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182204" w14:textId="77777777" w:rsidR="00E20581" w:rsidRDefault="00E20581" w:rsidP="00B61308">
      <w:pPr>
        <w:spacing w:line="360" w:lineRule="auto"/>
        <w:jc w:val="center"/>
        <w:rPr>
          <w:caps/>
          <w:sz w:val="28"/>
          <w:szCs w:val="28"/>
        </w:rPr>
      </w:pPr>
    </w:p>
    <w:p w14:paraId="4EDDAB0D" w14:textId="77777777" w:rsidR="00E20581" w:rsidRDefault="00E20581" w:rsidP="00B61308">
      <w:pPr>
        <w:spacing w:line="360" w:lineRule="auto"/>
        <w:jc w:val="center"/>
        <w:rPr>
          <w:caps/>
          <w:sz w:val="28"/>
          <w:szCs w:val="28"/>
        </w:rPr>
      </w:pPr>
    </w:p>
    <w:p w14:paraId="28F7E306" w14:textId="77777777" w:rsidR="00B61308" w:rsidRPr="00E20581" w:rsidRDefault="00B61308" w:rsidP="00B61308">
      <w:pPr>
        <w:spacing w:line="360" w:lineRule="auto"/>
        <w:jc w:val="center"/>
        <w:rPr>
          <w:caps/>
          <w:sz w:val="28"/>
          <w:szCs w:val="28"/>
        </w:rPr>
      </w:pPr>
      <w:r w:rsidRPr="00E20581">
        <w:rPr>
          <w:caps/>
          <w:sz w:val="28"/>
          <w:szCs w:val="28"/>
        </w:rPr>
        <w:t>the interaction of mechanical loading and metabolic stress on human CORTICAL bone:</w:t>
      </w:r>
      <w:r w:rsidR="006A3BEE">
        <w:rPr>
          <w:caps/>
          <w:sz w:val="28"/>
          <w:szCs w:val="28"/>
        </w:rPr>
        <w:t xml:space="preserve"> </w:t>
      </w:r>
      <w:r w:rsidRPr="00E20581">
        <w:rPr>
          <w:caps/>
          <w:sz w:val="28"/>
          <w:szCs w:val="28"/>
        </w:rPr>
        <w:t>TESTING ANTHROPOLOGICAL ASSUMPTIONS USING CROSS-SECTIONAL GEOMETRY and histomorphology</w:t>
      </w:r>
    </w:p>
    <w:p w14:paraId="48CD13BA" w14:textId="77777777" w:rsidR="003D07F7" w:rsidRPr="00E20581" w:rsidRDefault="00DD00DE" w:rsidP="00DD00DE">
      <w:pPr>
        <w:tabs>
          <w:tab w:val="center" w:pos="4320"/>
          <w:tab w:val="left" w:pos="7484"/>
        </w:tabs>
        <w:rPr>
          <w:rFonts w:ascii="Arial" w:hAnsi="Arial" w:cs="Arial"/>
          <w:b/>
          <w:sz w:val="28"/>
          <w:szCs w:val="28"/>
          <w:lang w:val="en-CA"/>
        </w:rPr>
      </w:pPr>
      <w:r w:rsidRPr="00E20581">
        <w:rPr>
          <w:rFonts w:ascii="Arial" w:hAnsi="Arial" w:cs="Arial"/>
          <w:b/>
          <w:sz w:val="28"/>
          <w:szCs w:val="28"/>
          <w:lang w:val="en-CA"/>
        </w:rPr>
        <w:tab/>
      </w:r>
    </w:p>
    <w:p w14:paraId="7E7AA966" w14:textId="77777777" w:rsidR="00236E6D" w:rsidRPr="00E20581" w:rsidRDefault="00236E6D" w:rsidP="00B61308">
      <w:pPr>
        <w:rPr>
          <w:rFonts w:ascii="Arial" w:hAnsi="Arial" w:cs="Arial"/>
          <w:sz w:val="28"/>
          <w:szCs w:val="28"/>
        </w:rPr>
      </w:pPr>
    </w:p>
    <w:p w14:paraId="42C19E4C" w14:textId="77777777" w:rsidR="00236E6D" w:rsidRPr="00E20581" w:rsidRDefault="00236E6D">
      <w:pPr>
        <w:jc w:val="center"/>
        <w:rPr>
          <w:rFonts w:ascii="Arial" w:hAnsi="Arial" w:cs="Arial"/>
          <w:sz w:val="28"/>
          <w:szCs w:val="28"/>
        </w:rPr>
      </w:pPr>
    </w:p>
    <w:p w14:paraId="18E2A759" w14:textId="77777777" w:rsidR="00236E6D" w:rsidRPr="00E20581" w:rsidRDefault="00236E6D">
      <w:pPr>
        <w:jc w:val="center"/>
        <w:rPr>
          <w:rFonts w:ascii="Arial" w:hAnsi="Arial" w:cs="Arial"/>
          <w:sz w:val="28"/>
          <w:szCs w:val="28"/>
        </w:rPr>
      </w:pPr>
    </w:p>
    <w:p w14:paraId="4A3ABDB9" w14:textId="77777777" w:rsidR="00236E6D" w:rsidRPr="00E20581" w:rsidRDefault="00236E6D">
      <w:pPr>
        <w:jc w:val="center"/>
        <w:rPr>
          <w:rFonts w:ascii="Arial" w:hAnsi="Arial" w:cs="Arial"/>
          <w:sz w:val="28"/>
          <w:szCs w:val="28"/>
        </w:rPr>
      </w:pPr>
    </w:p>
    <w:p w14:paraId="4A8D4B7B" w14:textId="77777777" w:rsidR="00236E6D" w:rsidRPr="00E20581" w:rsidRDefault="00236E6D">
      <w:pPr>
        <w:jc w:val="center"/>
        <w:rPr>
          <w:rFonts w:ascii="Arial" w:hAnsi="Arial" w:cs="Arial"/>
          <w:sz w:val="28"/>
          <w:szCs w:val="28"/>
        </w:rPr>
      </w:pPr>
    </w:p>
    <w:p w14:paraId="29958F64" w14:textId="77777777" w:rsidR="00236E6D" w:rsidRPr="00E20581" w:rsidRDefault="00236E6D">
      <w:pPr>
        <w:jc w:val="center"/>
        <w:rPr>
          <w:rFonts w:ascii="Arial" w:hAnsi="Arial" w:cs="Arial"/>
          <w:sz w:val="28"/>
          <w:szCs w:val="28"/>
        </w:rPr>
      </w:pPr>
    </w:p>
    <w:p w14:paraId="69AAC3C5" w14:textId="77777777" w:rsidR="00236E6D" w:rsidRPr="00E20581" w:rsidRDefault="009C755C">
      <w:pPr>
        <w:jc w:val="center"/>
        <w:rPr>
          <w:sz w:val="28"/>
          <w:szCs w:val="28"/>
        </w:rPr>
      </w:pPr>
      <w:r w:rsidRPr="00E20581">
        <w:rPr>
          <w:sz w:val="28"/>
          <w:szCs w:val="28"/>
        </w:rPr>
        <w:t>A Thesis Presented for</w:t>
      </w:r>
      <w:r w:rsidR="008865B6" w:rsidRPr="00E20581">
        <w:rPr>
          <w:sz w:val="28"/>
          <w:szCs w:val="28"/>
        </w:rPr>
        <w:t xml:space="preserve"> the</w:t>
      </w:r>
    </w:p>
    <w:p w14:paraId="5725519A" w14:textId="77777777" w:rsidR="009C755C" w:rsidRPr="00E20581" w:rsidRDefault="00615143" w:rsidP="00E20581">
      <w:pPr>
        <w:jc w:val="center"/>
        <w:rPr>
          <w:sz w:val="28"/>
          <w:szCs w:val="28"/>
        </w:rPr>
      </w:pPr>
      <w:r w:rsidRPr="00E20581">
        <w:rPr>
          <w:sz w:val="28"/>
          <w:szCs w:val="28"/>
        </w:rPr>
        <w:t>Doctor of Philosophy</w:t>
      </w:r>
      <w:r w:rsidR="00E20581">
        <w:rPr>
          <w:sz w:val="28"/>
          <w:szCs w:val="28"/>
        </w:rPr>
        <w:t xml:space="preserve"> </w:t>
      </w:r>
      <w:r w:rsidR="009C755C" w:rsidRPr="00E20581">
        <w:rPr>
          <w:sz w:val="28"/>
          <w:szCs w:val="28"/>
        </w:rPr>
        <w:t>Degree</w:t>
      </w:r>
    </w:p>
    <w:p w14:paraId="4DB87682" w14:textId="77777777" w:rsidR="009C755C" w:rsidRPr="00E20581" w:rsidRDefault="009C755C">
      <w:pPr>
        <w:jc w:val="center"/>
        <w:rPr>
          <w:sz w:val="28"/>
          <w:szCs w:val="28"/>
        </w:rPr>
      </w:pPr>
      <w:r w:rsidRPr="00E20581">
        <w:rPr>
          <w:sz w:val="28"/>
          <w:szCs w:val="28"/>
        </w:rPr>
        <w:t>The University of Tennessee, Knoxville</w:t>
      </w:r>
    </w:p>
    <w:p w14:paraId="38A732D7" w14:textId="77777777" w:rsidR="00236E6D" w:rsidRPr="00E20581" w:rsidRDefault="00236E6D">
      <w:pPr>
        <w:jc w:val="center"/>
        <w:rPr>
          <w:sz w:val="28"/>
          <w:szCs w:val="28"/>
        </w:rPr>
      </w:pPr>
    </w:p>
    <w:p w14:paraId="0156453D" w14:textId="77777777" w:rsidR="00236E6D" w:rsidRPr="00E20581" w:rsidRDefault="00236E6D">
      <w:pPr>
        <w:jc w:val="center"/>
        <w:rPr>
          <w:sz w:val="28"/>
          <w:szCs w:val="28"/>
        </w:rPr>
      </w:pPr>
    </w:p>
    <w:p w14:paraId="65AAF48C" w14:textId="77777777" w:rsidR="00236E6D" w:rsidRPr="00E20581" w:rsidRDefault="00236E6D">
      <w:pPr>
        <w:jc w:val="center"/>
        <w:rPr>
          <w:sz w:val="28"/>
          <w:szCs w:val="28"/>
        </w:rPr>
      </w:pPr>
    </w:p>
    <w:p w14:paraId="6A749253" w14:textId="77777777" w:rsidR="00236E6D" w:rsidRPr="00E20581" w:rsidRDefault="00236E6D">
      <w:pPr>
        <w:jc w:val="center"/>
        <w:rPr>
          <w:sz w:val="28"/>
          <w:szCs w:val="28"/>
        </w:rPr>
      </w:pPr>
    </w:p>
    <w:p w14:paraId="151E5BF0" w14:textId="77777777" w:rsidR="00236E6D" w:rsidRPr="00E20581" w:rsidRDefault="00236E6D">
      <w:pPr>
        <w:jc w:val="center"/>
        <w:rPr>
          <w:sz w:val="28"/>
          <w:szCs w:val="28"/>
        </w:rPr>
      </w:pPr>
    </w:p>
    <w:p w14:paraId="48B9BB3D" w14:textId="77777777" w:rsidR="00236E6D" w:rsidRPr="00E20581" w:rsidRDefault="00236E6D">
      <w:pPr>
        <w:jc w:val="center"/>
        <w:rPr>
          <w:sz w:val="28"/>
          <w:szCs w:val="28"/>
        </w:rPr>
      </w:pPr>
    </w:p>
    <w:p w14:paraId="1850DDB7" w14:textId="77777777" w:rsidR="00236E6D" w:rsidRPr="00E20581" w:rsidRDefault="00236E6D">
      <w:pPr>
        <w:jc w:val="center"/>
        <w:rPr>
          <w:sz w:val="28"/>
          <w:szCs w:val="28"/>
        </w:rPr>
      </w:pPr>
    </w:p>
    <w:p w14:paraId="7156850D" w14:textId="77777777" w:rsidR="00236E6D" w:rsidRPr="00E20581" w:rsidRDefault="00236E6D">
      <w:pPr>
        <w:jc w:val="center"/>
        <w:rPr>
          <w:sz w:val="28"/>
          <w:szCs w:val="28"/>
        </w:rPr>
      </w:pPr>
    </w:p>
    <w:p w14:paraId="1F3B402E" w14:textId="77777777" w:rsidR="00236E6D" w:rsidRPr="00E20581" w:rsidRDefault="00236E6D">
      <w:pPr>
        <w:jc w:val="center"/>
        <w:rPr>
          <w:sz w:val="28"/>
          <w:szCs w:val="28"/>
        </w:rPr>
      </w:pPr>
    </w:p>
    <w:p w14:paraId="3F19F350" w14:textId="77777777" w:rsidR="00236E6D" w:rsidRPr="00E20581" w:rsidRDefault="00236E6D">
      <w:pPr>
        <w:jc w:val="center"/>
        <w:rPr>
          <w:sz w:val="28"/>
          <w:szCs w:val="28"/>
        </w:rPr>
      </w:pPr>
    </w:p>
    <w:p w14:paraId="61980C4B" w14:textId="77777777" w:rsidR="00236E6D" w:rsidRPr="00E20581" w:rsidRDefault="00236E6D">
      <w:pPr>
        <w:jc w:val="center"/>
        <w:rPr>
          <w:sz w:val="28"/>
          <w:szCs w:val="28"/>
        </w:rPr>
      </w:pPr>
    </w:p>
    <w:p w14:paraId="211C76FC" w14:textId="77777777" w:rsidR="00236E6D" w:rsidRPr="00E20581" w:rsidRDefault="00236E6D">
      <w:pPr>
        <w:jc w:val="center"/>
        <w:rPr>
          <w:sz w:val="28"/>
          <w:szCs w:val="28"/>
        </w:rPr>
      </w:pPr>
    </w:p>
    <w:p w14:paraId="5C0D5DF0" w14:textId="77777777" w:rsidR="00236E6D" w:rsidRPr="00E20581" w:rsidRDefault="00B61308">
      <w:pPr>
        <w:jc w:val="center"/>
        <w:rPr>
          <w:sz w:val="28"/>
          <w:szCs w:val="28"/>
        </w:rPr>
      </w:pPr>
      <w:r w:rsidRPr="00E20581">
        <w:rPr>
          <w:sz w:val="28"/>
          <w:szCs w:val="28"/>
        </w:rPr>
        <w:t>Courtney D. Eleazer</w:t>
      </w:r>
    </w:p>
    <w:p w14:paraId="07D9A977" w14:textId="77777777" w:rsidR="009C755C" w:rsidRPr="00E20581" w:rsidRDefault="00B61308">
      <w:pPr>
        <w:jc w:val="center"/>
        <w:rPr>
          <w:sz w:val="28"/>
          <w:szCs w:val="28"/>
        </w:rPr>
      </w:pPr>
      <w:r w:rsidRPr="00E20581">
        <w:rPr>
          <w:sz w:val="28"/>
          <w:szCs w:val="28"/>
        </w:rPr>
        <w:t>August</w:t>
      </w:r>
      <w:r w:rsidR="009C755C" w:rsidRPr="00E20581">
        <w:rPr>
          <w:sz w:val="28"/>
          <w:szCs w:val="28"/>
        </w:rPr>
        <w:t xml:space="preserve"> </w:t>
      </w:r>
      <w:r w:rsidR="003D07F7" w:rsidRPr="00E20581">
        <w:rPr>
          <w:sz w:val="28"/>
          <w:szCs w:val="28"/>
        </w:rPr>
        <w:t>2</w:t>
      </w:r>
      <w:r w:rsidRPr="00E20581">
        <w:rPr>
          <w:sz w:val="28"/>
          <w:szCs w:val="28"/>
        </w:rPr>
        <w:t>013</w:t>
      </w:r>
    </w:p>
    <w:p w14:paraId="4446F593" w14:textId="77777777" w:rsidR="00E20581" w:rsidRDefault="00E20581">
      <w:pPr>
        <w:jc w:val="center"/>
        <w:rPr>
          <w:sz w:val="28"/>
          <w:szCs w:val="28"/>
        </w:rPr>
      </w:pPr>
    </w:p>
    <w:p w14:paraId="7147DCD8" w14:textId="77777777" w:rsidR="00236E6D" w:rsidRPr="00E20581" w:rsidRDefault="00236E6D" w:rsidP="00E20581">
      <w:pPr>
        <w:jc w:val="center"/>
        <w:rPr>
          <w:sz w:val="28"/>
          <w:szCs w:val="28"/>
        </w:rPr>
      </w:pPr>
    </w:p>
    <w:p w14:paraId="6CF03F81" w14:textId="77777777" w:rsidR="00236E6D" w:rsidRPr="00B61308" w:rsidRDefault="00236E6D">
      <w:pPr>
        <w:jc w:val="center"/>
      </w:pPr>
    </w:p>
    <w:p w14:paraId="57C12D93" w14:textId="77777777" w:rsidR="00236E6D" w:rsidRPr="00B61308" w:rsidRDefault="00236E6D">
      <w:pPr>
        <w:jc w:val="center"/>
      </w:pPr>
    </w:p>
    <w:p w14:paraId="28FE4808" w14:textId="77777777" w:rsidR="00236E6D" w:rsidRPr="00B61308" w:rsidRDefault="00236E6D">
      <w:pPr>
        <w:jc w:val="center"/>
      </w:pPr>
    </w:p>
    <w:p w14:paraId="3E1E1666" w14:textId="77777777" w:rsidR="006F5AA4" w:rsidRPr="00B61308" w:rsidRDefault="006F5AA4" w:rsidP="00E20581">
      <w:pPr>
        <w:rPr>
          <w:sz w:val="36"/>
          <w:szCs w:val="36"/>
        </w:rPr>
      </w:pPr>
    </w:p>
    <w:p w14:paraId="234E2970" w14:textId="77777777" w:rsidR="00CD73A9" w:rsidRPr="001E671B" w:rsidRDefault="006F5AA4" w:rsidP="009C755C">
      <w:pPr>
        <w:jc w:val="center"/>
        <w:rPr>
          <w:sz w:val="28"/>
          <w:szCs w:val="28"/>
        </w:rPr>
      </w:pPr>
      <w:r w:rsidRPr="00B61308">
        <w:rPr>
          <w:sz w:val="36"/>
          <w:szCs w:val="36"/>
        </w:rPr>
        <w:br w:type="page"/>
      </w:r>
      <w:r w:rsidR="00CD73A9" w:rsidRPr="001E671B">
        <w:rPr>
          <w:sz w:val="28"/>
          <w:szCs w:val="28"/>
        </w:rPr>
        <w:lastRenderedPageBreak/>
        <w:t>ACKNOWLEDGEMENTS</w:t>
      </w:r>
    </w:p>
    <w:p w14:paraId="08987420" w14:textId="77777777" w:rsidR="00CD73A9" w:rsidRPr="00B61308" w:rsidRDefault="00CD73A9">
      <w:pPr>
        <w:jc w:val="center"/>
      </w:pPr>
    </w:p>
    <w:p w14:paraId="5BAB9935" w14:textId="77777777" w:rsidR="009D794C" w:rsidRPr="00B61308" w:rsidRDefault="009D794C">
      <w:pPr>
        <w:jc w:val="center"/>
      </w:pPr>
    </w:p>
    <w:p w14:paraId="61217F30" w14:textId="77777777" w:rsidR="0085757D" w:rsidRPr="00B61308" w:rsidRDefault="0085757D" w:rsidP="008F60C3">
      <w:pPr>
        <w:jc w:val="center"/>
      </w:pPr>
    </w:p>
    <w:p w14:paraId="5D1934B8" w14:textId="77777777" w:rsidR="00236E6D" w:rsidRPr="001E671B" w:rsidRDefault="0085757D" w:rsidP="0085757D">
      <w:pPr>
        <w:jc w:val="center"/>
      </w:pPr>
      <w:r w:rsidRPr="00B61308">
        <w:br w:type="page"/>
      </w:r>
      <w:r w:rsidR="00236E6D" w:rsidRPr="001E671B">
        <w:rPr>
          <w:bCs/>
          <w:sz w:val="28"/>
          <w:szCs w:val="28"/>
        </w:rPr>
        <w:lastRenderedPageBreak/>
        <w:t>ABSTRACT</w:t>
      </w:r>
    </w:p>
    <w:p w14:paraId="2B086058" w14:textId="77777777" w:rsidR="009D794C" w:rsidRPr="00B61308" w:rsidRDefault="009D794C" w:rsidP="009D794C"/>
    <w:p w14:paraId="7B64E037" w14:textId="77777777" w:rsidR="009D794C" w:rsidRPr="00B61308" w:rsidRDefault="009D794C" w:rsidP="009D794C"/>
    <w:p w14:paraId="67FA8C6C" w14:textId="77777777" w:rsidR="00D10691" w:rsidRPr="00F33CCD" w:rsidRDefault="00D10691" w:rsidP="00D10691">
      <w:pPr>
        <w:spacing w:line="480" w:lineRule="auto"/>
        <w:ind w:firstLine="720"/>
        <w:contextualSpacing/>
        <w:rPr>
          <w:b/>
          <w:i/>
        </w:rPr>
      </w:pPr>
      <w:r w:rsidRPr="00F33CCD">
        <w:t>This research investigates how the interaction of mechanics and metabolism shapes human cortical bone morphology during development.</w:t>
      </w:r>
      <w:r w:rsidR="006A3BEE">
        <w:t xml:space="preserve"> </w:t>
      </w:r>
      <w:r w:rsidRPr="00F33CCD">
        <w:t xml:space="preserve">Understanding this interaction is </w:t>
      </w:r>
      <w:r>
        <w:t>important for</w:t>
      </w:r>
      <w:r w:rsidRPr="00F33CCD">
        <w:t xml:space="preserve"> research investigating human behavior from adult and </w:t>
      </w:r>
      <w:r w:rsidR="00F02A94">
        <w:t>subadult</w:t>
      </w:r>
      <w:r w:rsidRPr="00F33CCD">
        <w:t xml:space="preserve"> archaeological skeletal samples.</w:t>
      </w:r>
      <w:r w:rsidR="006A3BEE">
        <w:t xml:space="preserve"> </w:t>
      </w:r>
      <w:r w:rsidRPr="00F33CCD">
        <w:t xml:space="preserve">This dissertation provides a unique opportunity to better comprehend and appreciate the complexity of bone adaptation in response to environmental factors and will assist in analyses of human biocultural adaptation in the past. </w:t>
      </w:r>
    </w:p>
    <w:p w14:paraId="11EA018D" w14:textId="77777777" w:rsidR="00D10691" w:rsidRPr="00F33CCD" w:rsidRDefault="00D10691" w:rsidP="00D10691">
      <w:pPr>
        <w:spacing w:line="480" w:lineRule="auto"/>
        <w:ind w:firstLine="720"/>
        <w:contextualSpacing/>
        <w:rPr>
          <w:b/>
          <w:i/>
        </w:rPr>
      </w:pPr>
      <w:r w:rsidRPr="00F33CCD">
        <w:t>This study utilized a holistic approach, analyzing human cortical bone morphology at microscopic and macroscopic scales across three skeletal elements (i.e., femora, humeri, ribs) that are exposed to different levels of mechanical loading.</w:t>
      </w:r>
      <w:r w:rsidR="006A3BEE">
        <w:t xml:space="preserve"> </w:t>
      </w:r>
      <w:r w:rsidRPr="00F33CCD">
        <w:t>Bone properties were compared among individuals with varying amounts of metabolic stress</w:t>
      </w:r>
      <w:r>
        <w:t>, inferred from skeletal stress markers</w:t>
      </w:r>
      <w:r w:rsidRPr="00F33CCD">
        <w:t>.</w:t>
      </w:r>
      <w:r w:rsidR="006A3BEE">
        <w:t xml:space="preserve"> </w:t>
      </w:r>
      <w:r w:rsidRPr="00F33CCD">
        <w:t xml:space="preserve">Because bone responds to environmental influences most strongly during primary growth and development, a </w:t>
      </w:r>
      <w:r w:rsidR="00F02A94">
        <w:rPr>
          <w:i/>
        </w:rPr>
        <w:t>subadult</w:t>
      </w:r>
      <w:r w:rsidRPr="00F33CCD">
        <w:t xml:space="preserve"> archaeological sample from </w:t>
      </w:r>
      <w:r>
        <w:t xml:space="preserve">the medieval cemetery at Alytus, </w:t>
      </w:r>
      <w:r w:rsidRPr="00C7410A">
        <w:t>Lithuania (n=</w:t>
      </w:r>
      <w:r w:rsidR="00C7410A" w:rsidRPr="00C7410A">
        <w:t>57</w:t>
      </w:r>
      <w:r w:rsidRPr="00C7410A">
        <w:t>, 14</w:t>
      </w:r>
      <w:r w:rsidRPr="00C7410A">
        <w:rPr>
          <w:vertAlign w:val="superscript"/>
        </w:rPr>
        <w:t>th</w:t>
      </w:r>
      <w:r>
        <w:t>-17</w:t>
      </w:r>
      <w:r w:rsidRPr="009C7BC2">
        <w:rPr>
          <w:vertAlign w:val="superscript"/>
        </w:rPr>
        <w:t>th</w:t>
      </w:r>
      <w:r>
        <w:t xml:space="preserve"> centuries A.D.) </w:t>
      </w:r>
      <w:r w:rsidRPr="00F33CCD">
        <w:t>was employed.</w:t>
      </w:r>
      <w:r w:rsidR="006A3BEE">
        <w:t xml:space="preserve"> </w:t>
      </w:r>
      <w:r w:rsidRPr="00F33CCD">
        <w:t xml:space="preserve">Analyses tested the hypothesis that in order to maintain proper bone strength, metabolic stress effects are increasingly attenuated as mechanical loading demands increase across the three skeletal elements. </w:t>
      </w:r>
    </w:p>
    <w:p w14:paraId="594A2A6E" w14:textId="77777777" w:rsidR="00D10691" w:rsidRPr="00F33CCD" w:rsidDel="002C2BB3" w:rsidRDefault="00D10691" w:rsidP="00D10691">
      <w:pPr>
        <w:spacing w:line="480" w:lineRule="auto"/>
        <w:ind w:firstLine="720"/>
        <w:contextualSpacing/>
        <w:rPr>
          <w:b/>
          <w:i/>
        </w:rPr>
      </w:pPr>
      <w:r w:rsidRPr="00F33CCD">
        <w:rPr>
          <w:highlight w:val="yellow"/>
        </w:rPr>
        <w:t>Results suggest…</w:t>
      </w:r>
    </w:p>
    <w:p w14:paraId="0D4A9E3F" w14:textId="77777777" w:rsidR="0085757D" w:rsidRPr="00B61308" w:rsidRDefault="0085757D" w:rsidP="00F710F9">
      <w:pPr>
        <w:numPr>
          <w:ilvl w:val="12"/>
          <w:numId w:val="0"/>
        </w:numPr>
        <w:jc w:val="center"/>
      </w:pPr>
    </w:p>
    <w:p w14:paraId="02A59A07" w14:textId="77777777" w:rsidR="00236E6D" w:rsidRPr="001E671B" w:rsidRDefault="00236E6D" w:rsidP="00F710F9">
      <w:pPr>
        <w:numPr>
          <w:ilvl w:val="12"/>
          <w:numId w:val="0"/>
        </w:numPr>
        <w:jc w:val="center"/>
      </w:pPr>
      <w:r w:rsidRPr="00B61308">
        <w:br w:type="page"/>
      </w:r>
      <w:r w:rsidRPr="001E671B">
        <w:rPr>
          <w:bCs/>
          <w:sz w:val="28"/>
          <w:szCs w:val="28"/>
        </w:rPr>
        <w:lastRenderedPageBreak/>
        <w:t>TABLE OF CONTENTS</w:t>
      </w:r>
    </w:p>
    <w:p w14:paraId="2612A86E"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34D44C0C" w14:textId="77777777" w:rsidR="00637CB2" w:rsidRDefault="00DA5E05">
      <w:pPr>
        <w:pStyle w:val="TOC1"/>
        <w:rPr>
          <w:rFonts w:asciiTheme="minorHAnsi" w:eastAsiaTheme="minorEastAsia" w:hAnsiTheme="minorHAnsi" w:cstheme="minorBidi"/>
          <w:noProof/>
          <w:lang w:eastAsia="ja-JP"/>
        </w:rPr>
      </w:pPr>
      <w:r>
        <w:fldChar w:fldCharType="begin"/>
      </w:r>
      <w:r w:rsidR="00E21B99">
        <w:instrText xml:space="preserve"> TOC \o "1-4" \h \z \u </w:instrText>
      </w:r>
      <w:r>
        <w:fldChar w:fldCharType="separate"/>
      </w:r>
      <w:r w:rsidR="00637CB2">
        <w:rPr>
          <w:noProof/>
        </w:rPr>
        <w:t>Chapter 1: Introduction</w:t>
      </w:r>
      <w:r w:rsidR="00637CB2">
        <w:rPr>
          <w:noProof/>
        </w:rPr>
        <w:tab/>
      </w:r>
      <w:r>
        <w:rPr>
          <w:noProof/>
        </w:rPr>
        <w:fldChar w:fldCharType="begin"/>
      </w:r>
      <w:r w:rsidR="00637CB2">
        <w:rPr>
          <w:noProof/>
        </w:rPr>
        <w:instrText xml:space="preserve"> PAGEREF _Toc233171615 \h </w:instrText>
      </w:r>
      <w:r>
        <w:rPr>
          <w:noProof/>
        </w:rPr>
      </w:r>
      <w:r>
        <w:rPr>
          <w:noProof/>
        </w:rPr>
        <w:fldChar w:fldCharType="separate"/>
      </w:r>
      <w:r w:rsidR="00637CB2">
        <w:rPr>
          <w:noProof/>
        </w:rPr>
        <w:t>1</w:t>
      </w:r>
      <w:r>
        <w:rPr>
          <w:noProof/>
        </w:rPr>
        <w:fldChar w:fldCharType="end"/>
      </w:r>
    </w:p>
    <w:p w14:paraId="4F7628CC"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Research Questions and Hypotheses</w:t>
      </w:r>
      <w:r>
        <w:rPr>
          <w:noProof/>
        </w:rPr>
        <w:tab/>
      </w:r>
      <w:r w:rsidR="00DA5E05">
        <w:rPr>
          <w:noProof/>
        </w:rPr>
        <w:fldChar w:fldCharType="begin"/>
      </w:r>
      <w:r>
        <w:rPr>
          <w:noProof/>
        </w:rPr>
        <w:instrText xml:space="preserve"> PAGEREF _Toc233171616 \h </w:instrText>
      </w:r>
      <w:r w:rsidR="00DA5E05">
        <w:rPr>
          <w:noProof/>
        </w:rPr>
      </w:r>
      <w:r w:rsidR="00DA5E05">
        <w:rPr>
          <w:noProof/>
        </w:rPr>
        <w:fldChar w:fldCharType="separate"/>
      </w:r>
      <w:r>
        <w:rPr>
          <w:noProof/>
        </w:rPr>
        <w:t>5</w:t>
      </w:r>
      <w:r w:rsidR="00DA5E05">
        <w:rPr>
          <w:noProof/>
        </w:rPr>
        <w:fldChar w:fldCharType="end"/>
      </w:r>
    </w:p>
    <w:p w14:paraId="0307FC0B" w14:textId="77777777" w:rsidR="00637CB2" w:rsidRDefault="00637CB2">
      <w:pPr>
        <w:pStyle w:val="TOC1"/>
        <w:rPr>
          <w:rFonts w:asciiTheme="minorHAnsi" w:eastAsiaTheme="minorEastAsia" w:hAnsiTheme="minorHAnsi" w:cstheme="minorBidi"/>
          <w:noProof/>
          <w:lang w:eastAsia="ja-JP"/>
        </w:rPr>
      </w:pPr>
      <w:r>
        <w:rPr>
          <w:noProof/>
        </w:rPr>
        <w:t>CHAPTER 2: BONE FUNCTIONAL ADAPTATION AND MECHANICAL LOADING</w:t>
      </w:r>
      <w:r>
        <w:rPr>
          <w:noProof/>
        </w:rPr>
        <w:tab/>
      </w:r>
      <w:r w:rsidR="00DA5E05">
        <w:rPr>
          <w:noProof/>
        </w:rPr>
        <w:fldChar w:fldCharType="begin"/>
      </w:r>
      <w:r>
        <w:rPr>
          <w:noProof/>
        </w:rPr>
        <w:instrText xml:space="preserve"> PAGEREF _Toc233171617 \h </w:instrText>
      </w:r>
      <w:r w:rsidR="00DA5E05">
        <w:rPr>
          <w:noProof/>
        </w:rPr>
      </w:r>
      <w:r w:rsidR="00DA5E05">
        <w:rPr>
          <w:noProof/>
        </w:rPr>
        <w:fldChar w:fldCharType="separate"/>
      </w:r>
      <w:r>
        <w:rPr>
          <w:noProof/>
        </w:rPr>
        <w:t>9</w:t>
      </w:r>
      <w:r w:rsidR="00DA5E05">
        <w:rPr>
          <w:noProof/>
        </w:rPr>
        <w:fldChar w:fldCharType="end"/>
      </w:r>
    </w:p>
    <w:p w14:paraId="645CF4FB"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Mechanical Loading: An Introduction</w:t>
      </w:r>
      <w:r>
        <w:rPr>
          <w:noProof/>
        </w:rPr>
        <w:tab/>
      </w:r>
      <w:r w:rsidR="00DA5E05">
        <w:rPr>
          <w:noProof/>
        </w:rPr>
        <w:fldChar w:fldCharType="begin"/>
      </w:r>
      <w:r>
        <w:rPr>
          <w:noProof/>
        </w:rPr>
        <w:instrText xml:space="preserve"> PAGEREF _Toc233171618 \h </w:instrText>
      </w:r>
      <w:r w:rsidR="00DA5E05">
        <w:rPr>
          <w:noProof/>
        </w:rPr>
      </w:r>
      <w:r w:rsidR="00DA5E05">
        <w:rPr>
          <w:noProof/>
        </w:rPr>
        <w:fldChar w:fldCharType="separate"/>
      </w:r>
      <w:r>
        <w:rPr>
          <w:noProof/>
        </w:rPr>
        <w:t>10</w:t>
      </w:r>
      <w:r w:rsidR="00DA5E05">
        <w:rPr>
          <w:noProof/>
        </w:rPr>
        <w:fldChar w:fldCharType="end"/>
      </w:r>
    </w:p>
    <w:p w14:paraId="5D2F29DC"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Models of Bone Functional Adaptation</w:t>
      </w:r>
      <w:r>
        <w:rPr>
          <w:noProof/>
        </w:rPr>
        <w:tab/>
      </w:r>
      <w:r w:rsidR="00DA5E05">
        <w:rPr>
          <w:noProof/>
        </w:rPr>
        <w:fldChar w:fldCharType="begin"/>
      </w:r>
      <w:r>
        <w:rPr>
          <w:noProof/>
        </w:rPr>
        <w:instrText xml:space="preserve"> PAGEREF _Toc233171619 \h </w:instrText>
      </w:r>
      <w:r w:rsidR="00DA5E05">
        <w:rPr>
          <w:noProof/>
        </w:rPr>
      </w:r>
      <w:r w:rsidR="00DA5E05">
        <w:rPr>
          <w:noProof/>
        </w:rPr>
        <w:fldChar w:fldCharType="separate"/>
      </w:r>
      <w:r>
        <w:rPr>
          <w:noProof/>
        </w:rPr>
        <w:t>12</w:t>
      </w:r>
      <w:r w:rsidR="00DA5E05">
        <w:rPr>
          <w:noProof/>
        </w:rPr>
        <w:fldChar w:fldCharType="end"/>
      </w:r>
    </w:p>
    <w:p w14:paraId="7565C43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Frost’s Mechanostat Model</w:t>
      </w:r>
      <w:r>
        <w:rPr>
          <w:noProof/>
        </w:rPr>
        <w:tab/>
      </w:r>
      <w:r w:rsidR="00DA5E05">
        <w:rPr>
          <w:noProof/>
        </w:rPr>
        <w:fldChar w:fldCharType="begin"/>
      </w:r>
      <w:r>
        <w:rPr>
          <w:noProof/>
        </w:rPr>
        <w:instrText xml:space="preserve"> PAGEREF _Toc233171620 \h </w:instrText>
      </w:r>
      <w:r w:rsidR="00DA5E05">
        <w:rPr>
          <w:noProof/>
        </w:rPr>
      </w:r>
      <w:r w:rsidR="00DA5E05">
        <w:rPr>
          <w:noProof/>
        </w:rPr>
        <w:fldChar w:fldCharType="separate"/>
      </w:r>
      <w:r>
        <w:rPr>
          <w:noProof/>
        </w:rPr>
        <w:t>12</w:t>
      </w:r>
      <w:r w:rsidR="00DA5E05">
        <w:rPr>
          <w:noProof/>
        </w:rPr>
        <w:fldChar w:fldCharType="end"/>
      </w:r>
    </w:p>
    <w:p w14:paraId="5C26913B"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Turner’s Mechanotransduction Model</w:t>
      </w:r>
      <w:r>
        <w:rPr>
          <w:noProof/>
        </w:rPr>
        <w:tab/>
      </w:r>
      <w:r w:rsidR="00DA5E05">
        <w:rPr>
          <w:noProof/>
        </w:rPr>
        <w:fldChar w:fldCharType="begin"/>
      </w:r>
      <w:r>
        <w:rPr>
          <w:noProof/>
        </w:rPr>
        <w:instrText xml:space="preserve"> PAGEREF _Toc233171621 \h </w:instrText>
      </w:r>
      <w:r w:rsidR="00DA5E05">
        <w:rPr>
          <w:noProof/>
        </w:rPr>
      </w:r>
      <w:r w:rsidR="00DA5E05">
        <w:rPr>
          <w:noProof/>
        </w:rPr>
        <w:fldChar w:fldCharType="separate"/>
      </w:r>
      <w:r>
        <w:rPr>
          <w:noProof/>
        </w:rPr>
        <w:t>12</w:t>
      </w:r>
      <w:r w:rsidR="00DA5E05">
        <w:rPr>
          <w:noProof/>
        </w:rPr>
        <w:fldChar w:fldCharType="end"/>
      </w:r>
    </w:p>
    <w:p w14:paraId="4E9E7773"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Carter and Beaupré’s Mechanobiology Model</w:t>
      </w:r>
      <w:r>
        <w:rPr>
          <w:noProof/>
        </w:rPr>
        <w:tab/>
      </w:r>
      <w:r w:rsidR="00DA5E05">
        <w:rPr>
          <w:noProof/>
        </w:rPr>
        <w:fldChar w:fldCharType="begin"/>
      </w:r>
      <w:r>
        <w:rPr>
          <w:noProof/>
        </w:rPr>
        <w:instrText xml:space="preserve"> PAGEREF _Toc233171622 \h </w:instrText>
      </w:r>
      <w:r w:rsidR="00DA5E05">
        <w:rPr>
          <w:noProof/>
        </w:rPr>
      </w:r>
      <w:r w:rsidR="00DA5E05">
        <w:rPr>
          <w:noProof/>
        </w:rPr>
        <w:fldChar w:fldCharType="separate"/>
      </w:r>
      <w:r>
        <w:rPr>
          <w:noProof/>
        </w:rPr>
        <w:t>14</w:t>
      </w:r>
      <w:r w:rsidR="00DA5E05">
        <w:rPr>
          <w:noProof/>
        </w:rPr>
        <w:fldChar w:fldCharType="end"/>
      </w:r>
    </w:p>
    <w:p w14:paraId="305949A6"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Processes of Bone Functional Adaptation</w:t>
      </w:r>
      <w:r>
        <w:rPr>
          <w:noProof/>
        </w:rPr>
        <w:tab/>
      </w:r>
      <w:r w:rsidR="00DA5E05">
        <w:rPr>
          <w:noProof/>
        </w:rPr>
        <w:fldChar w:fldCharType="begin"/>
      </w:r>
      <w:r>
        <w:rPr>
          <w:noProof/>
        </w:rPr>
        <w:instrText xml:space="preserve"> PAGEREF _Toc233171623 \h </w:instrText>
      </w:r>
      <w:r w:rsidR="00DA5E05">
        <w:rPr>
          <w:noProof/>
        </w:rPr>
      </w:r>
      <w:r w:rsidR="00DA5E05">
        <w:rPr>
          <w:noProof/>
        </w:rPr>
        <w:fldChar w:fldCharType="separate"/>
      </w:r>
      <w:r>
        <w:rPr>
          <w:noProof/>
        </w:rPr>
        <w:t>16</w:t>
      </w:r>
      <w:r w:rsidR="00DA5E05">
        <w:rPr>
          <w:noProof/>
        </w:rPr>
        <w:fldChar w:fldCharType="end"/>
      </w:r>
    </w:p>
    <w:p w14:paraId="6C6B3B18"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Loading Variation within the Skeleton</w:t>
      </w:r>
      <w:r>
        <w:rPr>
          <w:noProof/>
        </w:rPr>
        <w:tab/>
      </w:r>
      <w:r w:rsidR="00DA5E05">
        <w:rPr>
          <w:noProof/>
        </w:rPr>
        <w:fldChar w:fldCharType="begin"/>
      </w:r>
      <w:r>
        <w:rPr>
          <w:noProof/>
        </w:rPr>
        <w:instrText xml:space="preserve"> PAGEREF _Toc233171624 \h </w:instrText>
      </w:r>
      <w:r w:rsidR="00DA5E05">
        <w:rPr>
          <w:noProof/>
        </w:rPr>
      </w:r>
      <w:r w:rsidR="00DA5E05">
        <w:rPr>
          <w:noProof/>
        </w:rPr>
        <w:fldChar w:fldCharType="separate"/>
      </w:r>
      <w:r>
        <w:rPr>
          <w:noProof/>
        </w:rPr>
        <w:t>20</w:t>
      </w:r>
      <w:r w:rsidR="00DA5E05">
        <w:rPr>
          <w:noProof/>
        </w:rPr>
        <w:fldChar w:fldCharType="end"/>
      </w:r>
    </w:p>
    <w:p w14:paraId="68C70718"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Ribs</w:t>
      </w:r>
      <w:r>
        <w:rPr>
          <w:noProof/>
        </w:rPr>
        <w:tab/>
      </w:r>
      <w:r w:rsidR="00DA5E05">
        <w:rPr>
          <w:noProof/>
        </w:rPr>
        <w:fldChar w:fldCharType="begin"/>
      </w:r>
      <w:r>
        <w:rPr>
          <w:noProof/>
        </w:rPr>
        <w:instrText xml:space="preserve"> PAGEREF _Toc233171625 \h </w:instrText>
      </w:r>
      <w:r w:rsidR="00DA5E05">
        <w:rPr>
          <w:noProof/>
        </w:rPr>
      </w:r>
      <w:r w:rsidR="00DA5E05">
        <w:rPr>
          <w:noProof/>
        </w:rPr>
        <w:fldChar w:fldCharType="separate"/>
      </w:r>
      <w:r>
        <w:rPr>
          <w:noProof/>
        </w:rPr>
        <w:t>21</w:t>
      </w:r>
      <w:r w:rsidR="00DA5E05">
        <w:rPr>
          <w:noProof/>
        </w:rPr>
        <w:fldChar w:fldCharType="end"/>
      </w:r>
    </w:p>
    <w:p w14:paraId="36681BD4"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Femora</w:t>
      </w:r>
      <w:r>
        <w:rPr>
          <w:noProof/>
        </w:rPr>
        <w:tab/>
      </w:r>
      <w:r w:rsidR="00DA5E05">
        <w:rPr>
          <w:noProof/>
        </w:rPr>
        <w:fldChar w:fldCharType="begin"/>
      </w:r>
      <w:r>
        <w:rPr>
          <w:noProof/>
        </w:rPr>
        <w:instrText xml:space="preserve"> PAGEREF _Toc233171626 \h </w:instrText>
      </w:r>
      <w:r w:rsidR="00DA5E05">
        <w:rPr>
          <w:noProof/>
        </w:rPr>
      </w:r>
      <w:r w:rsidR="00DA5E05">
        <w:rPr>
          <w:noProof/>
        </w:rPr>
        <w:fldChar w:fldCharType="separate"/>
      </w:r>
      <w:r>
        <w:rPr>
          <w:noProof/>
        </w:rPr>
        <w:t>22</w:t>
      </w:r>
      <w:r w:rsidR="00DA5E05">
        <w:rPr>
          <w:noProof/>
        </w:rPr>
        <w:fldChar w:fldCharType="end"/>
      </w:r>
    </w:p>
    <w:p w14:paraId="5300745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Humeri</w:t>
      </w:r>
      <w:r>
        <w:rPr>
          <w:noProof/>
        </w:rPr>
        <w:tab/>
      </w:r>
      <w:r w:rsidR="00DA5E05">
        <w:rPr>
          <w:noProof/>
        </w:rPr>
        <w:fldChar w:fldCharType="begin"/>
      </w:r>
      <w:r>
        <w:rPr>
          <w:noProof/>
        </w:rPr>
        <w:instrText xml:space="preserve"> PAGEREF _Toc233171627 \h </w:instrText>
      </w:r>
      <w:r w:rsidR="00DA5E05">
        <w:rPr>
          <w:noProof/>
        </w:rPr>
      </w:r>
      <w:r w:rsidR="00DA5E05">
        <w:rPr>
          <w:noProof/>
        </w:rPr>
        <w:fldChar w:fldCharType="separate"/>
      </w:r>
      <w:r>
        <w:rPr>
          <w:noProof/>
        </w:rPr>
        <w:t>23</w:t>
      </w:r>
      <w:r w:rsidR="00DA5E05">
        <w:rPr>
          <w:noProof/>
        </w:rPr>
        <w:fldChar w:fldCharType="end"/>
      </w:r>
    </w:p>
    <w:p w14:paraId="537D50FA" w14:textId="77777777" w:rsidR="00637CB2" w:rsidRDefault="00637CB2">
      <w:pPr>
        <w:pStyle w:val="TOC3"/>
        <w:tabs>
          <w:tab w:val="right" w:leader="dot" w:pos="8630"/>
        </w:tabs>
        <w:rPr>
          <w:rFonts w:asciiTheme="minorHAnsi" w:eastAsiaTheme="minorEastAsia" w:hAnsiTheme="minorHAnsi" w:cstheme="minorBidi"/>
          <w:noProof/>
          <w:lang w:eastAsia="ja-JP"/>
        </w:rPr>
      </w:pPr>
      <w:r w:rsidRPr="002F47F3">
        <w:rPr>
          <w:rFonts w:eastAsia="Cambria"/>
          <w:noProof/>
        </w:rPr>
        <w:t>Mechanical Influences on Immature Bone</w:t>
      </w:r>
      <w:r>
        <w:rPr>
          <w:noProof/>
        </w:rPr>
        <w:tab/>
      </w:r>
      <w:r w:rsidR="00DA5E05">
        <w:rPr>
          <w:noProof/>
        </w:rPr>
        <w:fldChar w:fldCharType="begin"/>
      </w:r>
      <w:r>
        <w:rPr>
          <w:noProof/>
        </w:rPr>
        <w:instrText xml:space="preserve"> PAGEREF _Toc233171628 \h </w:instrText>
      </w:r>
      <w:r w:rsidR="00DA5E05">
        <w:rPr>
          <w:noProof/>
        </w:rPr>
      </w:r>
      <w:r w:rsidR="00DA5E05">
        <w:rPr>
          <w:noProof/>
        </w:rPr>
        <w:fldChar w:fldCharType="separate"/>
      </w:r>
      <w:r>
        <w:rPr>
          <w:noProof/>
        </w:rPr>
        <w:t>24</w:t>
      </w:r>
      <w:r w:rsidR="00DA5E05">
        <w:rPr>
          <w:noProof/>
        </w:rPr>
        <w:fldChar w:fldCharType="end"/>
      </w:r>
    </w:p>
    <w:p w14:paraId="09987950"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Physical Activity Among Immature Humans</w:t>
      </w:r>
      <w:r>
        <w:rPr>
          <w:noProof/>
        </w:rPr>
        <w:tab/>
      </w:r>
      <w:r w:rsidR="00DA5E05">
        <w:rPr>
          <w:noProof/>
        </w:rPr>
        <w:fldChar w:fldCharType="begin"/>
      </w:r>
      <w:r>
        <w:rPr>
          <w:noProof/>
        </w:rPr>
        <w:instrText xml:space="preserve"> PAGEREF _Toc233171629 \h </w:instrText>
      </w:r>
      <w:r w:rsidR="00DA5E05">
        <w:rPr>
          <w:noProof/>
        </w:rPr>
      </w:r>
      <w:r w:rsidR="00DA5E05">
        <w:rPr>
          <w:noProof/>
        </w:rPr>
        <w:fldChar w:fldCharType="separate"/>
      </w:r>
      <w:r>
        <w:rPr>
          <w:noProof/>
        </w:rPr>
        <w:t>25</w:t>
      </w:r>
      <w:r w:rsidR="00DA5E05">
        <w:rPr>
          <w:noProof/>
        </w:rPr>
        <w:fldChar w:fldCharType="end"/>
      </w:r>
    </w:p>
    <w:p w14:paraId="3972BA85" w14:textId="77777777" w:rsidR="00637CB2" w:rsidRDefault="00637CB2">
      <w:pPr>
        <w:pStyle w:val="TOC3"/>
        <w:tabs>
          <w:tab w:val="right" w:leader="dot" w:pos="8630"/>
        </w:tabs>
        <w:rPr>
          <w:rFonts w:asciiTheme="minorHAnsi" w:eastAsiaTheme="minorEastAsia" w:hAnsiTheme="minorHAnsi" w:cstheme="minorBidi"/>
          <w:noProof/>
          <w:lang w:eastAsia="ja-JP"/>
        </w:rPr>
      </w:pPr>
      <w:r w:rsidRPr="002F47F3">
        <w:rPr>
          <w:rFonts w:eastAsia="Cambria"/>
          <w:noProof/>
        </w:rPr>
        <w:t>Bone Mass, Bone Balance, and Bone Strength</w:t>
      </w:r>
      <w:r>
        <w:rPr>
          <w:noProof/>
        </w:rPr>
        <w:tab/>
      </w:r>
      <w:r w:rsidR="00DA5E05">
        <w:rPr>
          <w:noProof/>
        </w:rPr>
        <w:fldChar w:fldCharType="begin"/>
      </w:r>
      <w:r>
        <w:rPr>
          <w:noProof/>
        </w:rPr>
        <w:instrText xml:space="preserve"> PAGEREF _Toc233171630 \h </w:instrText>
      </w:r>
      <w:r w:rsidR="00DA5E05">
        <w:rPr>
          <w:noProof/>
        </w:rPr>
      </w:r>
      <w:r w:rsidR="00DA5E05">
        <w:rPr>
          <w:noProof/>
        </w:rPr>
        <w:fldChar w:fldCharType="separate"/>
      </w:r>
      <w:r>
        <w:rPr>
          <w:noProof/>
        </w:rPr>
        <w:t>29</w:t>
      </w:r>
      <w:r w:rsidR="00DA5E05">
        <w:rPr>
          <w:noProof/>
        </w:rPr>
        <w:fldChar w:fldCharType="end"/>
      </w:r>
    </w:p>
    <w:p w14:paraId="016A4C99"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Macromorphology</w:t>
      </w:r>
      <w:r>
        <w:rPr>
          <w:noProof/>
        </w:rPr>
        <w:tab/>
      </w:r>
      <w:r w:rsidR="00DA5E05">
        <w:rPr>
          <w:noProof/>
        </w:rPr>
        <w:fldChar w:fldCharType="begin"/>
      </w:r>
      <w:r>
        <w:rPr>
          <w:noProof/>
        </w:rPr>
        <w:instrText xml:space="preserve"> PAGEREF _Toc233171631 \h </w:instrText>
      </w:r>
      <w:r w:rsidR="00DA5E05">
        <w:rPr>
          <w:noProof/>
        </w:rPr>
      </w:r>
      <w:r w:rsidR="00DA5E05">
        <w:rPr>
          <w:noProof/>
        </w:rPr>
        <w:fldChar w:fldCharType="separate"/>
      </w:r>
      <w:r>
        <w:rPr>
          <w:noProof/>
        </w:rPr>
        <w:t>31</w:t>
      </w:r>
      <w:r w:rsidR="00DA5E05">
        <w:rPr>
          <w:noProof/>
        </w:rPr>
        <w:fldChar w:fldCharType="end"/>
      </w:r>
    </w:p>
    <w:p w14:paraId="6609399C"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Basic Structure</w:t>
      </w:r>
      <w:r>
        <w:rPr>
          <w:noProof/>
        </w:rPr>
        <w:tab/>
      </w:r>
      <w:r w:rsidR="00DA5E05">
        <w:rPr>
          <w:noProof/>
        </w:rPr>
        <w:fldChar w:fldCharType="begin"/>
      </w:r>
      <w:r>
        <w:rPr>
          <w:noProof/>
        </w:rPr>
        <w:instrText xml:space="preserve"> PAGEREF _Toc233171632 \h </w:instrText>
      </w:r>
      <w:r w:rsidR="00DA5E05">
        <w:rPr>
          <w:noProof/>
        </w:rPr>
      </w:r>
      <w:r w:rsidR="00DA5E05">
        <w:rPr>
          <w:noProof/>
        </w:rPr>
        <w:fldChar w:fldCharType="separate"/>
      </w:r>
      <w:r>
        <w:rPr>
          <w:noProof/>
        </w:rPr>
        <w:t>31</w:t>
      </w:r>
      <w:r w:rsidR="00DA5E05">
        <w:rPr>
          <w:noProof/>
        </w:rPr>
        <w:fldChar w:fldCharType="end"/>
      </w:r>
    </w:p>
    <w:p w14:paraId="0AF40013"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Clinical Studies</w:t>
      </w:r>
      <w:r>
        <w:rPr>
          <w:noProof/>
        </w:rPr>
        <w:tab/>
      </w:r>
      <w:r w:rsidR="00DA5E05">
        <w:rPr>
          <w:noProof/>
        </w:rPr>
        <w:fldChar w:fldCharType="begin"/>
      </w:r>
      <w:r>
        <w:rPr>
          <w:noProof/>
        </w:rPr>
        <w:instrText xml:space="preserve"> PAGEREF _Toc233171633 \h </w:instrText>
      </w:r>
      <w:r w:rsidR="00DA5E05">
        <w:rPr>
          <w:noProof/>
        </w:rPr>
      </w:r>
      <w:r w:rsidR="00DA5E05">
        <w:rPr>
          <w:noProof/>
        </w:rPr>
        <w:fldChar w:fldCharType="separate"/>
      </w:r>
      <w:r>
        <w:rPr>
          <w:noProof/>
        </w:rPr>
        <w:t>34</w:t>
      </w:r>
      <w:r w:rsidR="00DA5E05">
        <w:rPr>
          <w:noProof/>
        </w:rPr>
        <w:fldChar w:fldCharType="end"/>
      </w:r>
    </w:p>
    <w:p w14:paraId="4DB39525"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Application to Anthropology</w:t>
      </w:r>
      <w:r>
        <w:rPr>
          <w:noProof/>
        </w:rPr>
        <w:tab/>
      </w:r>
      <w:r w:rsidR="00DA5E05">
        <w:rPr>
          <w:noProof/>
        </w:rPr>
        <w:fldChar w:fldCharType="begin"/>
      </w:r>
      <w:r>
        <w:rPr>
          <w:noProof/>
        </w:rPr>
        <w:instrText xml:space="preserve"> PAGEREF _Toc233171634 \h </w:instrText>
      </w:r>
      <w:r w:rsidR="00DA5E05">
        <w:rPr>
          <w:noProof/>
        </w:rPr>
      </w:r>
      <w:r w:rsidR="00DA5E05">
        <w:rPr>
          <w:noProof/>
        </w:rPr>
        <w:fldChar w:fldCharType="separate"/>
      </w:r>
      <w:r>
        <w:rPr>
          <w:noProof/>
        </w:rPr>
        <w:t>42</w:t>
      </w:r>
      <w:r w:rsidR="00DA5E05">
        <w:rPr>
          <w:noProof/>
        </w:rPr>
        <w:fldChar w:fldCharType="end"/>
      </w:r>
    </w:p>
    <w:p w14:paraId="7D6D87C7"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Micromorphology</w:t>
      </w:r>
      <w:r>
        <w:rPr>
          <w:noProof/>
        </w:rPr>
        <w:tab/>
      </w:r>
      <w:r w:rsidR="00DA5E05">
        <w:rPr>
          <w:noProof/>
        </w:rPr>
        <w:fldChar w:fldCharType="begin"/>
      </w:r>
      <w:r>
        <w:rPr>
          <w:noProof/>
        </w:rPr>
        <w:instrText xml:space="preserve"> PAGEREF _Toc233171635 \h </w:instrText>
      </w:r>
      <w:r w:rsidR="00DA5E05">
        <w:rPr>
          <w:noProof/>
        </w:rPr>
      </w:r>
      <w:r w:rsidR="00DA5E05">
        <w:rPr>
          <w:noProof/>
        </w:rPr>
        <w:fldChar w:fldCharType="separate"/>
      </w:r>
      <w:r>
        <w:rPr>
          <w:noProof/>
        </w:rPr>
        <w:t>47</w:t>
      </w:r>
      <w:r w:rsidR="00DA5E05">
        <w:rPr>
          <w:noProof/>
        </w:rPr>
        <w:fldChar w:fldCharType="end"/>
      </w:r>
    </w:p>
    <w:p w14:paraId="6DFEC73D"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Osteonal Remodeling Rates and Loading Behavior</w:t>
      </w:r>
      <w:r>
        <w:rPr>
          <w:noProof/>
        </w:rPr>
        <w:tab/>
      </w:r>
      <w:r w:rsidR="00DA5E05">
        <w:rPr>
          <w:noProof/>
        </w:rPr>
        <w:fldChar w:fldCharType="begin"/>
      </w:r>
      <w:r>
        <w:rPr>
          <w:noProof/>
        </w:rPr>
        <w:instrText xml:space="preserve"> PAGEREF _Toc233171636 \h </w:instrText>
      </w:r>
      <w:r w:rsidR="00DA5E05">
        <w:rPr>
          <w:noProof/>
        </w:rPr>
      </w:r>
      <w:r w:rsidR="00DA5E05">
        <w:rPr>
          <w:noProof/>
        </w:rPr>
        <w:fldChar w:fldCharType="separate"/>
      </w:r>
      <w:r>
        <w:rPr>
          <w:noProof/>
        </w:rPr>
        <w:t>49</w:t>
      </w:r>
      <w:r w:rsidR="00DA5E05">
        <w:rPr>
          <w:noProof/>
        </w:rPr>
        <w:fldChar w:fldCharType="end"/>
      </w:r>
    </w:p>
    <w:p w14:paraId="622E695E"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Remodeling Rates and Age</w:t>
      </w:r>
      <w:r>
        <w:rPr>
          <w:noProof/>
        </w:rPr>
        <w:tab/>
      </w:r>
      <w:r w:rsidR="00DA5E05">
        <w:rPr>
          <w:noProof/>
        </w:rPr>
        <w:fldChar w:fldCharType="begin"/>
      </w:r>
      <w:r>
        <w:rPr>
          <w:noProof/>
        </w:rPr>
        <w:instrText xml:space="preserve"> PAGEREF _Toc233171637 \h </w:instrText>
      </w:r>
      <w:r w:rsidR="00DA5E05">
        <w:rPr>
          <w:noProof/>
        </w:rPr>
      </w:r>
      <w:r w:rsidR="00DA5E05">
        <w:rPr>
          <w:noProof/>
        </w:rPr>
        <w:fldChar w:fldCharType="separate"/>
      </w:r>
      <w:r>
        <w:rPr>
          <w:noProof/>
        </w:rPr>
        <w:t>54</w:t>
      </w:r>
      <w:r w:rsidR="00DA5E05">
        <w:rPr>
          <w:noProof/>
        </w:rPr>
        <w:fldChar w:fldCharType="end"/>
      </w:r>
    </w:p>
    <w:p w14:paraId="298D1EE1"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Application to Anthropology</w:t>
      </w:r>
      <w:r>
        <w:rPr>
          <w:noProof/>
        </w:rPr>
        <w:tab/>
      </w:r>
      <w:r w:rsidR="00DA5E05">
        <w:rPr>
          <w:noProof/>
        </w:rPr>
        <w:fldChar w:fldCharType="begin"/>
      </w:r>
      <w:r>
        <w:rPr>
          <w:noProof/>
        </w:rPr>
        <w:instrText xml:space="preserve"> PAGEREF _Toc233171638 \h </w:instrText>
      </w:r>
      <w:r w:rsidR="00DA5E05">
        <w:rPr>
          <w:noProof/>
        </w:rPr>
      </w:r>
      <w:r w:rsidR="00DA5E05">
        <w:rPr>
          <w:noProof/>
        </w:rPr>
        <w:fldChar w:fldCharType="separate"/>
      </w:r>
      <w:r>
        <w:rPr>
          <w:noProof/>
        </w:rPr>
        <w:t>55</w:t>
      </w:r>
      <w:r w:rsidR="00DA5E05">
        <w:rPr>
          <w:noProof/>
        </w:rPr>
        <w:fldChar w:fldCharType="end"/>
      </w:r>
    </w:p>
    <w:p w14:paraId="25E66E83" w14:textId="77777777" w:rsidR="00637CB2" w:rsidRDefault="00637CB2">
      <w:pPr>
        <w:pStyle w:val="TOC1"/>
        <w:rPr>
          <w:rFonts w:asciiTheme="minorHAnsi" w:eastAsiaTheme="minorEastAsia" w:hAnsiTheme="minorHAnsi" w:cstheme="minorBidi"/>
          <w:noProof/>
          <w:lang w:eastAsia="ja-JP"/>
        </w:rPr>
      </w:pPr>
      <w:r>
        <w:rPr>
          <w:noProof/>
        </w:rPr>
        <w:t>CHAPTER 3: METABOLIC INFLUENCES ON BONE</w:t>
      </w:r>
      <w:r>
        <w:rPr>
          <w:noProof/>
        </w:rPr>
        <w:tab/>
      </w:r>
      <w:r w:rsidR="00DA5E05">
        <w:rPr>
          <w:noProof/>
        </w:rPr>
        <w:fldChar w:fldCharType="begin"/>
      </w:r>
      <w:r>
        <w:rPr>
          <w:noProof/>
        </w:rPr>
        <w:instrText xml:space="preserve"> PAGEREF _Toc233171639 \h </w:instrText>
      </w:r>
      <w:r w:rsidR="00DA5E05">
        <w:rPr>
          <w:noProof/>
        </w:rPr>
      </w:r>
      <w:r w:rsidR="00DA5E05">
        <w:rPr>
          <w:noProof/>
        </w:rPr>
        <w:fldChar w:fldCharType="separate"/>
      </w:r>
      <w:r>
        <w:rPr>
          <w:noProof/>
        </w:rPr>
        <w:t>59</w:t>
      </w:r>
      <w:r w:rsidR="00DA5E05">
        <w:rPr>
          <w:noProof/>
        </w:rPr>
        <w:fldChar w:fldCharType="end"/>
      </w:r>
    </w:p>
    <w:p w14:paraId="142A6A17"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Metabolic Stress</w:t>
      </w:r>
      <w:r>
        <w:rPr>
          <w:noProof/>
        </w:rPr>
        <w:tab/>
      </w:r>
      <w:r w:rsidR="00DA5E05">
        <w:rPr>
          <w:noProof/>
        </w:rPr>
        <w:fldChar w:fldCharType="begin"/>
      </w:r>
      <w:r>
        <w:rPr>
          <w:noProof/>
        </w:rPr>
        <w:instrText xml:space="preserve"> PAGEREF _Toc233171640 \h </w:instrText>
      </w:r>
      <w:r w:rsidR="00DA5E05">
        <w:rPr>
          <w:noProof/>
        </w:rPr>
      </w:r>
      <w:r w:rsidR="00DA5E05">
        <w:rPr>
          <w:noProof/>
        </w:rPr>
        <w:fldChar w:fldCharType="separate"/>
      </w:r>
      <w:r>
        <w:rPr>
          <w:noProof/>
        </w:rPr>
        <w:t>60</w:t>
      </w:r>
      <w:r w:rsidR="00DA5E05">
        <w:rPr>
          <w:noProof/>
        </w:rPr>
        <w:fldChar w:fldCharType="end"/>
      </w:r>
    </w:p>
    <w:p w14:paraId="3A34A74F"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The Osteological Paradox and Paleopathology</w:t>
      </w:r>
      <w:r>
        <w:rPr>
          <w:noProof/>
        </w:rPr>
        <w:tab/>
      </w:r>
      <w:r w:rsidR="00DA5E05">
        <w:rPr>
          <w:noProof/>
        </w:rPr>
        <w:fldChar w:fldCharType="begin"/>
      </w:r>
      <w:r>
        <w:rPr>
          <w:noProof/>
        </w:rPr>
        <w:instrText xml:space="preserve"> PAGEREF _Toc233171641 \h </w:instrText>
      </w:r>
      <w:r w:rsidR="00DA5E05">
        <w:rPr>
          <w:noProof/>
        </w:rPr>
      </w:r>
      <w:r w:rsidR="00DA5E05">
        <w:rPr>
          <w:noProof/>
        </w:rPr>
        <w:fldChar w:fldCharType="separate"/>
      </w:r>
      <w:r>
        <w:rPr>
          <w:noProof/>
        </w:rPr>
        <w:t>61</w:t>
      </w:r>
      <w:r w:rsidR="00DA5E05">
        <w:rPr>
          <w:noProof/>
        </w:rPr>
        <w:fldChar w:fldCharType="end"/>
      </w:r>
    </w:p>
    <w:p w14:paraId="110348F6"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Metabolic Influences on Immature Populations</w:t>
      </w:r>
      <w:r>
        <w:rPr>
          <w:noProof/>
        </w:rPr>
        <w:tab/>
      </w:r>
      <w:r w:rsidR="00DA5E05">
        <w:rPr>
          <w:noProof/>
        </w:rPr>
        <w:fldChar w:fldCharType="begin"/>
      </w:r>
      <w:r>
        <w:rPr>
          <w:noProof/>
        </w:rPr>
        <w:instrText xml:space="preserve"> PAGEREF _Toc233171642 \h </w:instrText>
      </w:r>
      <w:r w:rsidR="00DA5E05">
        <w:rPr>
          <w:noProof/>
        </w:rPr>
      </w:r>
      <w:r w:rsidR="00DA5E05">
        <w:rPr>
          <w:noProof/>
        </w:rPr>
        <w:fldChar w:fldCharType="separate"/>
      </w:r>
      <w:r>
        <w:rPr>
          <w:noProof/>
        </w:rPr>
        <w:t>65</w:t>
      </w:r>
      <w:r w:rsidR="00DA5E05">
        <w:rPr>
          <w:noProof/>
        </w:rPr>
        <w:fldChar w:fldCharType="end"/>
      </w:r>
    </w:p>
    <w:p w14:paraId="4612AEE1"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Metabolic Bone Disorders and Bone Loss</w:t>
      </w:r>
      <w:r>
        <w:rPr>
          <w:noProof/>
        </w:rPr>
        <w:tab/>
      </w:r>
      <w:r w:rsidR="00DA5E05">
        <w:rPr>
          <w:noProof/>
        </w:rPr>
        <w:fldChar w:fldCharType="begin"/>
      </w:r>
      <w:r>
        <w:rPr>
          <w:noProof/>
        </w:rPr>
        <w:instrText xml:space="preserve"> PAGEREF _Toc233171643 \h </w:instrText>
      </w:r>
      <w:r w:rsidR="00DA5E05">
        <w:rPr>
          <w:noProof/>
        </w:rPr>
      </w:r>
      <w:r w:rsidR="00DA5E05">
        <w:rPr>
          <w:noProof/>
        </w:rPr>
        <w:fldChar w:fldCharType="separate"/>
      </w:r>
      <w:r>
        <w:rPr>
          <w:noProof/>
        </w:rPr>
        <w:t>68</w:t>
      </w:r>
      <w:r w:rsidR="00DA5E05">
        <w:rPr>
          <w:noProof/>
        </w:rPr>
        <w:fldChar w:fldCharType="end"/>
      </w:r>
    </w:p>
    <w:p w14:paraId="55CBB957"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Scurvy</w:t>
      </w:r>
      <w:r>
        <w:rPr>
          <w:noProof/>
        </w:rPr>
        <w:tab/>
      </w:r>
      <w:r w:rsidR="00DA5E05">
        <w:rPr>
          <w:noProof/>
        </w:rPr>
        <w:fldChar w:fldCharType="begin"/>
      </w:r>
      <w:r>
        <w:rPr>
          <w:noProof/>
        </w:rPr>
        <w:instrText xml:space="preserve"> PAGEREF _Toc233171644 \h </w:instrText>
      </w:r>
      <w:r w:rsidR="00DA5E05">
        <w:rPr>
          <w:noProof/>
        </w:rPr>
      </w:r>
      <w:r w:rsidR="00DA5E05">
        <w:rPr>
          <w:noProof/>
        </w:rPr>
        <w:fldChar w:fldCharType="separate"/>
      </w:r>
      <w:r>
        <w:rPr>
          <w:noProof/>
        </w:rPr>
        <w:t>70</w:t>
      </w:r>
      <w:r w:rsidR="00DA5E05">
        <w:rPr>
          <w:noProof/>
        </w:rPr>
        <w:fldChar w:fldCharType="end"/>
      </w:r>
    </w:p>
    <w:p w14:paraId="03922303" w14:textId="77777777" w:rsidR="00637CB2" w:rsidRDefault="00637CB2">
      <w:pPr>
        <w:pStyle w:val="TOC4"/>
        <w:tabs>
          <w:tab w:val="right" w:leader="dot" w:pos="8630"/>
        </w:tabs>
        <w:rPr>
          <w:rFonts w:asciiTheme="minorHAnsi" w:eastAsiaTheme="minorEastAsia" w:hAnsiTheme="minorHAnsi" w:cstheme="minorBidi"/>
          <w:noProof/>
          <w:lang w:eastAsia="ja-JP"/>
        </w:rPr>
      </w:pPr>
      <w:r w:rsidRPr="002F47F3">
        <w:rPr>
          <w:rFonts w:eastAsia="Cambria"/>
          <w:noProof/>
        </w:rPr>
        <w:t>Rickets and Vitamin D Deficiency</w:t>
      </w:r>
      <w:r>
        <w:rPr>
          <w:noProof/>
        </w:rPr>
        <w:tab/>
      </w:r>
      <w:r w:rsidR="00DA5E05">
        <w:rPr>
          <w:noProof/>
        </w:rPr>
        <w:fldChar w:fldCharType="begin"/>
      </w:r>
      <w:r>
        <w:rPr>
          <w:noProof/>
        </w:rPr>
        <w:instrText xml:space="preserve"> PAGEREF _Toc233171645 \h </w:instrText>
      </w:r>
      <w:r w:rsidR="00DA5E05">
        <w:rPr>
          <w:noProof/>
        </w:rPr>
      </w:r>
      <w:r w:rsidR="00DA5E05">
        <w:rPr>
          <w:noProof/>
        </w:rPr>
        <w:fldChar w:fldCharType="separate"/>
      </w:r>
      <w:r>
        <w:rPr>
          <w:noProof/>
        </w:rPr>
        <w:t>70</w:t>
      </w:r>
      <w:r w:rsidR="00DA5E05">
        <w:rPr>
          <w:noProof/>
        </w:rPr>
        <w:fldChar w:fldCharType="end"/>
      </w:r>
    </w:p>
    <w:p w14:paraId="1855ECDB" w14:textId="77777777" w:rsidR="00637CB2" w:rsidRDefault="00637CB2">
      <w:pPr>
        <w:pStyle w:val="TOC4"/>
        <w:tabs>
          <w:tab w:val="right" w:leader="dot" w:pos="8630"/>
        </w:tabs>
        <w:rPr>
          <w:rFonts w:asciiTheme="minorHAnsi" w:eastAsiaTheme="minorEastAsia" w:hAnsiTheme="minorHAnsi" w:cstheme="minorBidi"/>
          <w:noProof/>
          <w:lang w:eastAsia="ja-JP"/>
        </w:rPr>
      </w:pPr>
      <w:r w:rsidRPr="002F47F3">
        <w:rPr>
          <w:rFonts w:eastAsia="Cambria"/>
          <w:noProof/>
        </w:rPr>
        <w:t>Non-specific Metabolic Diseases</w:t>
      </w:r>
      <w:r>
        <w:rPr>
          <w:noProof/>
        </w:rPr>
        <w:tab/>
      </w:r>
      <w:r w:rsidR="00DA5E05">
        <w:rPr>
          <w:noProof/>
        </w:rPr>
        <w:fldChar w:fldCharType="begin"/>
      </w:r>
      <w:r>
        <w:rPr>
          <w:noProof/>
        </w:rPr>
        <w:instrText xml:space="preserve"> PAGEREF _Toc233171646 \h </w:instrText>
      </w:r>
      <w:r w:rsidR="00DA5E05">
        <w:rPr>
          <w:noProof/>
        </w:rPr>
      </w:r>
      <w:r w:rsidR="00DA5E05">
        <w:rPr>
          <w:noProof/>
        </w:rPr>
        <w:fldChar w:fldCharType="separate"/>
      </w:r>
      <w:r>
        <w:rPr>
          <w:noProof/>
        </w:rPr>
        <w:t>71</w:t>
      </w:r>
      <w:r w:rsidR="00DA5E05">
        <w:rPr>
          <w:noProof/>
        </w:rPr>
        <w:fldChar w:fldCharType="end"/>
      </w:r>
    </w:p>
    <w:p w14:paraId="336C3AF7"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Metabolic Bone Loss and Bone Strength</w:t>
      </w:r>
      <w:r>
        <w:rPr>
          <w:noProof/>
        </w:rPr>
        <w:tab/>
      </w:r>
      <w:r w:rsidR="00DA5E05">
        <w:rPr>
          <w:noProof/>
        </w:rPr>
        <w:fldChar w:fldCharType="begin"/>
      </w:r>
      <w:r>
        <w:rPr>
          <w:noProof/>
        </w:rPr>
        <w:instrText xml:space="preserve"> PAGEREF _Toc233171647 \h </w:instrText>
      </w:r>
      <w:r w:rsidR="00DA5E05">
        <w:rPr>
          <w:noProof/>
        </w:rPr>
      </w:r>
      <w:r w:rsidR="00DA5E05">
        <w:rPr>
          <w:noProof/>
        </w:rPr>
        <w:fldChar w:fldCharType="separate"/>
      </w:r>
      <w:r>
        <w:rPr>
          <w:noProof/>
        </w:rPr>
        <w:t>72</w:t>
      </w:r>
      <w:r w:rsidR="00DA5E05">
        <w:rPr>
          <w:noProof/>
        </w:rPr>
        <w:fldChar w:fldCharType="end"/>
      </w:r>
    </w:p>
    <w:p w14:paraId="5A1EF26A"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Macromorphology</w:t>
      </w:r>
      <w:r>
        <w:rPr>
          <w:noProof/>
        </w:rPr>
        <w:tab/>
      </w:r>
      <w:r w:rsidR="00DA5E05">
        <w:rPr>
          <w:noProof/>
        </w:rPr>
        <w:fldChar w:fldCharType="begin"/>
      </w:r>
      <w:r>
        <w:rPr>
          <w:noProof/>
        </w:rPr>
        <w:instrText xml:space="preserve"> PAGEREF _Toc233171648 \h </w:instrText>
      </w:r>
      <w:r w:rsidR="00DA5E05">
        <w:rPr>
          <w:noProof/>
        </w:rPr>
      </w:r>
      <w:r w:rsidR="00DA5E05">
        <w:rPr>
          <w:noProof/>
        </w:rPr>
        <w:fldChar w:fldCharType="separate"/>
      </w:r>
      <w:r>
        <w:rPr>
          <w:noProof/>
        </w:rPr>
        <w:t>74</w:t>
      </w:r>
      <w:r w:rsidR="00DA5E05">
        <w:rPr>
          <w:noProof/>
        </w:rPr>
        <w:fldChar w:fldCharType="end"/>
      </w:r>
    </w:p>
    <w:p w14:paraId="7046C0CB"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Basic Structure</w:t>
      </w:r>
      <w:r>
        <w:rPr>
          <w:noProof/>
        </w:rPr>
        <w:tab/>
      </w:r>
      <w:r w:rsidR="00DA5E05">
        <w:rPr>
          <w:noProof/>
        </w:rPr>
        <w:fldChar w:fldCharType="begin"/>
      </w:r>
      <w:r>
        <w:rPr>
          <w:noProof/>
        </w:rPr>
        <w:instrText xml:space="preserve"> PAGEREF _Toc233171649 \h </w:instrText>
      </w:r>
      <w:r w:rsidR="00DA5E05">
        <w:rPr>
          <w:noProof/>
        </w:rPr>
      </w:r>
      <w:r w:rsidR="00DA5E05">
        <w:rPr>
          <w:noProof/>
        </w:rPr>
        <w:fldChar w:fldCharType="separate"/>
      </w:r>
      <w:r>
        <w:rPr>
          <w:noProof/>
        </w:rPr>
        <w:t>74</w:t>
      </w:r>
      <w:r w:rsidR="00DA5E05">
        <w:rPr>
          <w:noProof/>
        </w:rPr>
        <w:fldChar w:fldCharType="end"/>
      </w:r>
    </w:p>
    <w:p w14:paraId="655F285A"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Experimental Non-Human Animal Studies</w:t>
      </w:r>
      <w:r>
        <w:rPr>
          <w:noProof/>
        </w:rPr>
        <w:tab/>
      </w:r>
      <w:r w:rsidR="00DA5E05">
        <w:rPr>
          <w:noProof/>
        </w:rPr>
        <w:fldChar w:fldCharType="begin"/>
      </w:r>
      <w:r>
        <w:rPr>
          <w:noProof/>
        </w:rPr>
        <w:instrText xml:space="preserve"> PAGEREF _Toc233171650 \h </w:instrText>
      </w:r>
      <w:r w:rsidR="00DA5E05">
        <w:rPr>
          <w:noProof/>
        </w:rPr>
      </w:r>
      <w:r w:rsidR="00DA5E05">
        <w:rPr>
          <w:noProof/>
        </w:rPr>
        <w:fldChar w:fldCharType="separate"/>
      </w:r>
      <w:r>
        <w:rPr>
          <w:noProof/>
        </w:rPr>
        <w:t>75</w:t>
      </w:r>
      <w:r w:rsidR="00DA5E05">
        <w:rPr>
          <w:noProof/>
        </w:rPr>
        <w:fldChar w:fldCharType="end"/>
      </w:r>
    </w:p>
    <w:p w14:paraId="0E9BE13C"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Human Clinical Studies</w:t>
      </w:r>
      <w:r>
        <w:rPr>
          <w:noProof/>
        </w:rPr>
        <w:tab/>
      </w:r>
      <w:r w:rsidR="00DA5E05">
        <w:rPr>
          <w:noProof/>
        </w:rPr>
        <w:fldChar w:fldCharType="begin"/>
      </w:r>
      <w:r>
        <w:rPr>
          <w:noProof/>
        </w:rPr>
        <w:instrText xml:space="preserve"> PAGEREF _Toc233171651 \h </w:instrText>
      </w:r>
      <w:r w:rsidR="00DA5E05">
        <w:rPr>
          <w:noProof/>
        </w:rPr>
      </w:r>
      <w:r w:rsidR="00DA5E05">
        <w:rPr>
          <w:noProof/>
        </w:rPr>
        <w:fldChar w:fldCharType="separate"/>
      </w:r>
      <w:r>
        <w:rPr>
          <w:noProof/>
        </w:rPr>
        <w:t>78</w:t>
      </w:r>
      <w:r w:rsidR="00DA5E05">
        <w:rPr>
          <w:noProof/>
        </w:rPr>
        <w:fldChar w:fldCharType="end"/>
      </w:r>
    </w:p>
    <w:p w14:paraId="0D1C7ACA"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Application to Anthropology</w:t>
      </w:r>
      <w:r>
        <w:rPr>
          <w:noProof/>
        </w:rPr>
        <w:tab/>
      </w:r>
      <w:r w:rsidR="00DA5E05">
        <w:rPr>
          <w:noProof/>
        </w:rPr>
        <w:fldChar w:fldCharType="begin"/>
      </w:r>
      <w:r>
        <w:rPr>
          <w:noProof/>
        </w:rPr>
        <w:instrText xml:space="preserve"> PAGEREF _Toc233171652 \h </w:instrText>
      </w:r>
      <w:r w:rsidR="00DA5E05">
        <w:rPr>
          <w:noProof/>
        </w:rPr>
      </w:r>
      <w:r w:rsidR="00DA5E05">
        <w:rPr>
          <w:noProof/>
        </w:rPr>
        <w:fldChar w:fldCharType="separate"/>
      </w:r>
      <w:r>
        <w:rPr>
          <w:noProof/>
        </w:rPr>
        <w:t>82</w:t>
      </w:r>
      <w:r w:rsidR="00DA5E05">
        <w:rPr>
          <w:noProof/>
        </w:rPr>
        <w:fldChar w:fldCharType="end"/>
      </w:r>
    </w:p>
    <w:p w14:paraId="189F4F82"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Micromorphology</w:t>
      </w:r>
      <w:r>
        <w:rPr>
          <w:noProof/>
        </w:rPr>
        <w:tab/>
      </w:r>
      <w:r w:rsidR="00DA5E05">
        <w:rPr>
          <w:noProof/>
        </w:rPr>
        <w:fldChar w:fldCharType="begin"/>
      </w:r>
      <w:r>
        <w:rPr>
          <w:noProof/>
        </w:rPr>
        <w:instrText xml:space="preserve"> PAGEREF _Toc233171653 \h </w:instrText>
      </w:r>
      <w:r w:rsidR="00DA5E05">
        <w:rPr>
          <w:noProof/>
        </w:rPr>
      </w:r>
      <w:r w:rsidR="00DA5E05">
        <w:rPr>
          <w:noProof/>
        </w:rPr>
        <w:fldChar w:fldCharType="separate"/>
      </w:r>
      <w:r>
        <w:rPr>
          <w:noProof/>
        </w:rPr>
        <w:t>88</w:t>
      </w:r>
      <w:r w:rsidR="00DA5E05">
        <w:rPr>
          <w:noProof/>
        </w:rPr>
        <w:fldChar w:fldCharType="end"/>
      </w:r>
    </w:p>
    <w:p w14:paraId="32B9E394"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Basic Structure</w:t>
      </w:r>
      <w:r>
        <w:rPr>
          <w:noProof/>
        </w:rPr>
        <w:tab/>
      </w:r>
      <w:r w:rsidR="00DA5E05">
        <w:rPr>
          <w:noProof/>
        </w:rPr>
        <w:fldChar w:fldCharType="begin"/>
      </w:r>
      <w:r>
        <w:rPr>
          <w:noProof/>
        </w:rPr>
        <w:instrText xml:space="preserve"> PAGEREF _Toc233171654 \h </w:instrText>
      </w:r>
      <w:r w:rsidR="00DA5E05">
        <w:rPr>
          <w:noProof/>
        </w:rPr>
      </w:r>
      <w:r w:rsidR="00DA5E05">
        <w:rPr>
          <w:noProof/>
        </w:rPr>
        <w:fldChar w:fldCharType="separate"/>
      </w:r>
      <w:r>
        <w:rPr>
          <w:noProof/>
        </w:rPr>
        <w:t>88</w:t>
      </w:r>
      <w:r w:rsidR="00DA5E05">
        <w:rPr>
          <w:noProof/>
        </w:rPr>
        <w:fldChar w:fldCharType="end"/>
      </w:r>
    </w:p>
    <w:p w14:paraId="205C64D5"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Porosity and Bone Strength</w:t>
      </w:r>
      <w:r>
        <w:rPr>
          <w:noProof/>
        </w:rPr>
        <w:tab/>
      </w:r>
      <w:r w:rsidR="00DA5E05">
        <w:rPr>
          <w:noProof/>
        </w:rPr>
        <w:fldChar w:fldCharType="begin"/>
      </w:r>
      <w:r>
        <w:rPr>
          <w:noProof/>
        </w:rPr>
        <w:instrText xml:space="preserve"> PAGEREF _Toc233171655 \h </w:instrText>
      </w:r>
      <w:r w:rsidR="00DA5E05">
        <w:rPr>
          <w:noProof/>
        </w:rPr>
      </w:r>
      <w:r w:rsidR="00DA5E05">
        <w:rPr>
          <w:noProof/>
        </w:rPr>
        <w:fldChar w:fldCharType="separate"/>
      </w:r>
      <w:r>
        <w:rPr>
          <w:noProof/>
        </w:rPr>
        <w:t>89</w:t>
      </w:r>
      <w:r w:rsidR="00DA5E05">
        <w:rPr>
          <w:noProof/>
        </w:rPr>
        <w:fldChar w:fldCharType="end"/>
      </w:r>
    </w:p>
    <w:p w14:paraId="1394FE79"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Application to Anthropology</w:t>
      </w:r>
      <w:r>
        <w:rPr>
          <w:noProof/>
        </w:rPr>
        <w:tab/>
      </w:r>
      <w:r w:rsidR="00DA5E05">
        <w:rPr>
          <w:noProof/>
        </w:rPr>
        <w:fldChar w:fldCharType="begin"/>
      </w:r>
      <w:r>
        <w:rPr>
          <w:noProof/>
        </w:rPr>
        <w:instrText xml:space="preserve"> PAGEREF _Toc233171656 \h </w:instrText>
      </w:r>
      <w:r w:rsidR="00DA5E05">
        <w:rPr>
          <w:noProof/>
        </w:rPr>
      </w:r>
      <w:r w:rsidR="00DA5E05">
        <w:rPr>
          <w:noProof/>
        </w:rPr>
        <w:fldChar w:fldCharType="separate"/>
      </w:r>
      <w:r>
        <w:rPr>
          <w:noProof/>
        </w:rPr>
        <w:t>94</w:t>
      </w:r>
      <w:r w:rsidR="00DA5E05">
        <w:rPr>
          <w:noProof/>
        </w:rPr>
        <w:fldChar w:fldCharType="end"/>
      </w:r>
    </w:p>
    <w:p w14:paraId="55F3192F" w14:textId="77777777" w:rsidR="00637CB2" w:rsidRDefault="00637CB2">
      <w:pPr>
        <w:pStyle w:val="TOC1"/>
        <w:rPr>
          <w:rFonts w:asciiTheme="minorHAnsi" w:eastAsiaTheme="minorEastAsia" w:hAnsiTheme="minorHAnsi" w:cstheme="minorBidi"/>
          <w:noProof/>
          <w:lang w:eastAsia="ja-JP"/>
        </w:rPr>
      </w:pPr>
      <w:r>
        <w:rPr>
          <w:noProof/>
        </w:rPr>
        <w:lastRenderedPageBreak/>
        <w:t>Chapter 4: Materials and Methods</w:t>
      </w:r>
      <w:r>
        <w:rPr>
          <w:noProof/>
        </w:rPr>
        <w:tab/>
      </w:r>
      <w:r w:rsidR="00DA5E05">
        <w:rPr>
          <w:noProof/>
        </w:rPr>
        <w:fldChar w:fldCharType="begin"/>
      </w:r>
      <w:r>
        <w:rPr>
          <w:noProof/>
        </w:rPr>
        <w:instrText xml:space="preserve"> PAGEREF _Toc233171657 \h </w:instrText>
      </w:r>
      <w:r w:rsidR="00DA5E05">
        <w:rPr>
          <w:noProof/>
        </w:rPr>
      </w:r>
      <w:r w:rsidR="00DA5E05">
        <w:rPr>
          <w:noProof/>
        </w:rPr>
        <w:fldChar w:fldCharType="separate"/>
      </w:r>
      <w:r>
        <w:rPr>
          <w:noProof/>
        </w:rPr>
        <w:t>100</w:t>
      </w:r>
      <w:r w:rsidR="00DA5E05">
        <w:rPr>
          <w:noProof/>
        </w:rPr>
        <w:fldChar w:fldCharType="end"/>
      </w:r>
    </w:p>
    <w:p w14:paraId="6A1A06E0" w14:textId="77777777" w:rsidR="00637CB2" w:rsidRDefault="00637CB2">
      <w:pPr>
        <w:pStyle w:val="TOC2"/>
        <w:tabs>
          <w:tab w:val="right" w:leader="dot" w:pos="8630"/>
        </w:tabs>
        <w:rPr>
          <w:rFonts w:asciiTheme="minorHAnsi" w:eastAsiaTheme="minorEastAsia" w:hAnsiTheme="minorHAnsi" w:cstheme="minorBidi"/>
          <w:noProof/>
          <w:lang w:eastAsia="ja-JP"/>
        </w:rPr>
      </w:pPr>
      <w:r>
        <w:rPr>
          <w:noProof/>
        </w:rPr>
        <w:t>MATERIALS</w:t>
      </w:r>
      <w:r>
        <w:rPr>
          <w:noProof/>
        </w:rPr>
        <w:tab/>
      </w:r>
      <w:r w:rsidR="00DA5E05">
        <w:rPr>
          <w:noProof/>
        </w:rPr>
        <w:fldChar w:fldCharType="begin"/>
      </w:r>
      <w:r>
        <w:rPr>
          <w:noProof/>
        </w:rPr>
        <w:instrText xml:space="preserve"> PAGEREF _Toc233171658 \h </w:instrText>
      </w:r>
      <w:r w:rsidR="00DA5E05">
        <w:rPr>
          <w:noProof/>
        </w:rPr>
      </w:r>
      <w:r w:rsidR="00DA5E05">
        <w:rPr>
          <w:noProof/>
        </w:rPr>
        <w:fldChar w:fldCharType="separate"/>
      </w:r>
      <w:r>
        <w:rPr>
          <w:noProof/>
        </w:rPr>
        <w:t>100</w:t>
      </w:r>
      <w:r w:rsidR="00DA5E05">
        <w:rPr>
          <w:noProof/>
        </w:rPr>
        <w:fldChar w:fldCharType="end"/>
      </w:r>
    </w:p>
    <w:p w14:paraId="0386A14F"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The Alytus Archaeological Site</w:t>
      </w:r>
      <w:r>
        <w:rPr>
          <w:noProof/>
        </w:rPr>
        <w:tab/>
      </w:r>
      <w:r w:rsidR="00DA5E05">
        <w:rPr>
          <w:noProof/>
        </w:rPr>
        <w:fldChar w:fldCharType="begin"/>
      </w:r>
      <w:r>
        <w:rPr>
          <w:noProof/>
        </w:rPr>
        <w:instrText xml:space="preserve"> PAGEREF _Toc233171659 \h </w:instrText>
      </w:r>
      <w:r w:rsidR="00DA5E05">
        <w:rPr>
          <w:noProof/>
        </w:rPr>
      </w:r>
      <w:r w:rsidR="00DA5E05">
        <w:rPr>
          <w:noProof/>
        </w:rPr>
        <w:fldChar w:fldCharType="separate"/>
      </w:r>
      <w:r>
        <w:rPr>
          <w:noProof/>
        </w:rPr>
        <w:t>101</w:t>
      </w:r>
      <w:r w:rsidR="00DA5E05">
        <w:rPr>
          <w:noProof/>
        </w:rPr>
        <w:fldChar w:fldCharType="end"/>
      </w:r>
    </w:p>
    <w:p w14:paraId="5EE716A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History</w:t>
      </w:r>
      <w:r>
        <w:rPr>
          <w:noProof/>
        </w:rPr>
        <w:tab/>
      </w:r>
      <w:r w:rsidR="00DA5E05">
        <w:rPr>
          <w:noProof/>
        </w:rPr>
        <w:fldChar w:fldCharType="begin"/>
      </w:r>
      <w:r>
        <w:rPr>
          <w:noProof/>
        </w:rPr>
        <w:instrText xml:space="preserve"> PAGEREF _Toc233171660 \h </w:instrText>
      </w:r>
      <w:r w:rsidR="00DA5E05">
        <w:rPr>
          <w:noProof/>
        </w:rPr>
      </w:r>
      <w:r w:rsidR="00DA5E05">
        <w:rPr>
          <w:noProof/>
        </w:rPr>
        <w:fldChar w:fldCharType="separate"/>
      </w:r>
      <w:r>
        <w:rPr>
          <w:noProof/>
        </w:rPr>
        <w:t>101</w:t>
      </w:r>
      <w:r w:rsidR="00DA5E05">
        <w:rPr>
          <w:noProof/>
        </w:rPr>
        <w:fldChar w:fldCharType="end"/>
      </w:r>
    </w:p>
    <w:p w14:paraId="625E203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Living Conditions and Sources of Health Stress</w:t>
      </w:r>
      <w:r>
        <w:rPr>
          <w:noProof/>
        </w:rPr>
        <w:tab/>
      </w:r>
      <w:r w:rsidR="00DA5E05">
        <w:rPr>
          <w:noProof/>
        </w:rPr>
        <w:fldChar w:fldCharType="begin"/>
      </w:r>
      <w:r>
        <w:rPr>
          <w:noProof/>
        </w:rPr>
        <w:instrText xml:space="preserve"> PAGEREF _Toc233171661 \h </w:instrText>
      </w:r>
      <w:r w:rsidR="00DA5E05">
        <w:rPr>
          <w:noProof/>
        </w:rPr>
      </w:r>
      <w:r w:rsidR="00DA5E05">
        <w:rPr>
          <w:noProof/>
        </w:rPr>
        <w:fldChar w:fldCharType="separate"/>
      </w:r>
      <w:r>
        <w:rPr>
          <w:noProof/>
        </w:rPr>
        <w:t>105</w:t>
      </w:r>
      <w:r w:rsidR="00DA5E05">
        <w:rPr>
          <w:noProof/>
        </w:rPr>
        <w:fldChar w:fldCharType="end"/>
      </w:r>
    </w:p>
    <w:p w14:paraId="50080793" w14:textId="77777777" w:rsidR="00637CB2" w:rsidRDefault="00637CB2">
      <w:pPr>
        <w:pStyle w:val="TOC3"/>
        <w:tabs>
          <w:tab w:val="right" w:leader="dot" w:pos="8630"/>
        </w:tabs>
        <w:rPr>
          <w:rFonts w:asciiTheme="minorHAnsi" w:eastAsiaTheme="minorEastAsia" w:hAnsiTheme="minorHAnsi" w:cstheme="minorBidi"/>
          <w:noProof/>
          <w:lang w:eastAsia="ja-JP"/>
        </w:rPr>
      </w:pPr>
      <w:r w:rsidRPr="002F47F3">
        <w:rPr>
          <w:noProof/>
        </w:rPr>
        <w:t>The Dissertation Sample</w:t>
      </w:r>
      <w:r>
        <w:rPr>
          <w:noProof/>
        </w:rPr>
        <w:tab/>
      </w:r>
      <w:r w:rsidR="00DA5E05">
        <w:rPr>
          <w:noProof/>
        </w:rPr>
        <w:fldChar w:fldCharType="begin"/>
      </w:r>
      <w:r>
        <w:rPr>
          <w:noProof/>
        </w:rPr>
        <w:instrText xml:space="preserve"> PAGEREF _Toc233171662 \h </w:instrText>
      </w:r>
      <w:r w:rsidR="00DA5E05">
        <w:rPr>
          <w:noProof/>
        </w:rPr>
      </w:r>
      <w:r w:rsidR="00DA5E05">
        <w:rPr>
          <w:noProof/>
        </w:rPr>
        <w:fldChar w:fldCharType="separate"/>
      </w:r>
      <w:r>
        <w:rPr>
          <w:noProof/>
        </w:rPr>
        <w:t>110</w:t>
      </w:r>
      <w:r w:rsidR="00DA5E05">
        <w:rPr>
          <w:noProof/>
        </w:rPr>
        <w:fldChar w:fldCharType="end"/>
      </w:r>
    </w:p>
    <w:p w14:paraId="5F176173"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Caveats To Using An Archaeological Sample</w:t>
      </w:r>
      <w:r>
        <w:rPr>
          <w:noProof/>
        </w:rPr>
        <w:tab/>
      </w:r>
      <w:r w:rsidR="00DA5E05">
        <w:rPr>
          <w:noProof/>
        </w:rPr>
        <w:fldChar w:fldCharType="begin"/>
      </w:r>
      <w:r>
        <w:rPr>
          <w:noProof/>
        </w:rPr>
        <w:instrText xml:space="preserve"> PAGEREF _Toc233171663 \h </w:instrText>
      </w:r>
      <w:r w:rsidR="00DA5E05">
        <w:rPr>
          <w:noProof/>
        </w:rPr>
      </w:r>
      <w:r w:rsidR="00DA5E05">
        <w:rPr>
          <w:noProof/>
        </w:rPr>
        <w:fldChar w:fldCharType="separate"/>
      </w:r>
      <w:r>
        <w:rPr>
          <w:noProof/>
        </w:rPr>
        <w:t>111</w:t>
      </w:r>
      <w:r w:rsidR="00DA5E05">
        <w:rPr>
          <w:noProof/>
        </w:rPr>
        <w:fldChar w:fldCharType="end"/>
      </w:r>
    </w:p>
    <w:p w14:paraId="1F026AD2" w14:textId="77777777" w:rsidR="00637CB2" w:rsidRDefault="00637CB2">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sidR="00DA5E05">
        <w:rPr>
          <w:noProof/>
        </w:rPr>
        <w:fldChar w:fldCharType="begin"/>
      </w:r>
      <w:r>
        <w:rPr>
          <w:noProof/>
        </w:rPr>
        <w:instrText xml:space="preserve"> PAGEREF _Toc233171664 \h </w:instrText>
      </w:r>
      <w:r w:rsidR="00DA5E05">
        <w:rPr>
          <w:noProof/>
        </w:rPr>
      </w:r>
      <w:r w:rsidR="00DA5E05">
        <w:rPr>
          <w:noProof/>
        </w:rPr>
        <w:fldChar w:fldCharType="separate"/>
      </w:r>
      <w:r>
        <w:rPr>
          <w:noProof/>
        </w:rPr>
        <w:t>114</w:t>
      </w:r>
      <w:r w:rsidR="00DA5E05">
        <w:rPr>
          <w:noProof/>
        </w:rPr>
        <w:fldChar w:fldCharType="end"/>
      </w:r>
    </w:p>
    <w:p w14:paraId="3AC8BF4C"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Age Terminology &amp; Age Cohorts</w:t>
      </w:r>
      <w:r>
        <w:rPr>
          <w:noProof/>
        </w:rPr>
        <w:tab/>
      </w:r>
      <w:r w:rsidR="00DA5E05">
        <w:rPr>
          <w:noProof/>
        </w:rPr>
        <w:fldChar w:fldCharType="begin"/>
      </w:r>
      <w:r>
        <w:rPr>
          <w:noProof/>
        </w:rPr>
        <w:instrText xml:space="preserve"> PAGEREF _Toc233171665 \h </w:instrText>
      </w:r>
      <w:r w:rsidR="00DA5E05">
        <w:rPr>
          <w:noProof/>
        </w:rPr>
      </w:r>
      <w:r w:rsidR="00DA5E05">
        <w:rPr>
          <w:noProof/>
        </w:rPr>
        <w:fldChar w:fldCharType="separate"/>
      </w:r>
      <w:r>
        <w:rPr>
          <w:noProof/>
        </w:rPr>
        <w:t>114</w:t>
      </w:r>
      <w:r w:rsidR="00DA5E05">
        <w:rPr>
          <w:noProof/>
        </w:rPr>
        <w:fldChar w:fldCharType="end"/>
      </w:r>
    </w:p>
    <w:p w14:paraId="425FAB9D"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Age Estimation</w:t>
      </w:r>
      <w:r>
        <w:rPr>
          <w:noProof/>
        </w:rPr>
        <w:tab/>
      </w:r>
      <w:r w:rsidR="00DA5E05">
        <w:rPr>
          <w:noProof/>
        </w:rPr>
        <w:fldChar w:fldCharType="begin"/>
      </w:r>
      <w:r>
        <w:rPr>
          <w:noProof/>
        </w:rPr>
        <w:instrText xml:space="preserve"> PAGEREF _Toc233171666 \h </w:instrText>
      </w:r>
      <w:r w:rsidR="00DA5E05">
        <w:rPr>
          <w:noProof/>
        </w:rPr>
      </w:r>
      <w:r w:rsidR="00DA5E05">
        <w:rPr>
          <w:noProof/>
        </w:rPr>
        <w:fldChar w:fldCharType="separate"/>
      </w:r>
      <w:r>
        <w:rPr>
          <w:noProof/>
        </w:rPr>
        <w:t>116</w:t>
      </w:r>
      <w:r w:rsidR="00DA5E05">
        <w:rPr>
          <w:noProof/>
        </w:rPr>
        <w:fldChar w:fldCharType="end"/>
      </w:r>
    </w:p>
    <w:p w14:paraId="6B477A2D"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Assessment of Pathological Skeletal Lesions</w:t>
      </w:r>
      <w:r>
        <w:rPr>
          <w:noProof/>
        </w:rPr>
        <w:tab/>
      </w:r>
      <w:r w:rsidR="00DA5E05">
        <w:rPr>
          <w:noProof/>
        </w:rPr>
        <w:fldChar w:fldCharType="begin"/>
      </w:r>
      <w:r>
        <w:rPr>
          <w:noProof/>
        </w:rPr>
        <w:instrText xml:space="preserve"> PAGEREF _Toc233171667 \h </w:instrText>
      </w:r>
      <w:r w:rsidR="00DA5E05">
        <w:rPr>
          <w:noProof/>
        </w:rPr>
      </w:r>
      <w:r w:rsidR="00DA5E05">
        <w:rPr>
          <w:noProof/>
        </w:rPr>
        <w:fldChar w:fldCharType="separate"/>
      </w:r>
      <w:r>
        <w:rPr>
          <w:noProof/>
        </w:rPr>
        <w:t>119</w:t>
      </w:r>
      <w:r w:rsidR="00DA5E05">
        <w:rPr>
          <w:noProof/>
        </w:rPr>
        <w:fldChar w:fldCharType="end"/>
      </w:r>
    </w:p>
    <w:p w14:paraId="30270FE0"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Porotic Hyperostosis</w:t>
      </w:r>
      <w:r>
        <w:rPr>
          <w:noProof/>
        </w:rPr>
        <w:tab/>
      </w:r>
      <w:r w:rsidR="00DA5E05">
        <w:rPr>
          <w:noProof/>
        </w:rPr>
        <w:fldChar w:fldCharType="begin"/>
      </w:r>
      <w:r>
        <w:rPr>
          <w:noProof/>
        </w:rPr>
        <w:instrText xml:space="preserve"> PAGEREF _Toc233171668 \h </w:instrText>
      </w:r>
      <w:r w:rsidR="00DA5E05">
        <w:rPr>
          <w:noProof/>
        </w:rPr>
      </w:r>
      <w:r w:rsidR="00DA5E05">
        <w:rPr>
          <w:noProof/>
        </w:rPr>
        <w:fldChar w:fldCharType="separate"/>
      </w:r>
      <w:r>
        <w:rPr>
          <w:noProof/>
        </w:rPr>
        <w:t>119</w:t>
      </w:r>
      <w:r w:rsidR="00DA5E05">
        <w:rPr>
          <w:noProof/>
        </w:rPr>
        <w:fldChar w:fldCharType="end"/>
      </w:r>
    </w:p>
    <w:p w14:paraId="6598E435"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Dental Enamel Hypoplasia</w:t>
      </w:r>
      <w:r>
        <w:rPr>
          <w:noProof/>
        </w:rPr>
        <w:tab/>
      </w:r>
      <w:r w:rsidR="00DA5E05">
        <w:rPr>
          <w:noProof/>
        </w:rPr>
        <w:fldChar w:fldCharType="begin"/>
      </w:r>
      <w:r>
        <w:rPr>
          <w:noProof/>
        </w:rPr>
        <w:instrText xml:space="preserve"> PAGEREF _Toc233171669 \h </w:instrText>
      </w:r>
      <w:r w:rsidR="00DA5E05">
        <w:rPr>
          <w:noProof/>
        </w:rPr>
      </w:r>
      <w:r w:rsidR="00DA5E05">
        <w:rPr>
          <w:noProof/>
        </w:rPr>
        <w:fldChar w:fldCharType="separate"/>
      </w:r>
      <w:r>
        <w:rPr>
          <w:noProof/>
        </w:rPr>
        <w:t>120</w:t>
      </w:r>
      <w:r w:rsidR="00DA5E05">
        <w:rPr>
          <w:noProof/>
        </w:rPr>
        <w:fldChar w:fldCharType="end"/>
      </w:r>
    </w:p>
    <w:p w14:paraId="3577AB4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Osteoperiostitis</w:t>
      </w:r>
      <w:r>
        <w:rPr>
          <w:noProof/>
        </w:rPr>
        <w:tab/>
      </w:r>
      <w:r w:rsidR="00DA5E05">
        <w:rPr>
          <w:noProof/>
        </w:rPr>
        <w:fldChar w:fldCharType="begin"/>
      </w:r>
      <w:r>
        <w:rPr>
          <w:noProof/>
        </w:rPr>
        <w:instrText xml:space="preserve"> PAGEREF _Toc233171670 \h </w:instrText>
      </w:r>
      <w:r w:rsidR="00DA5E05">
        <w:rPr>
          <w:noProof/>
        </w:rPr>
      </w:r>
      <w:r w:rsidR="00DA5E05">
        <w:rPr>
          <w:noProof/>
        </w:rPr>
        <w:fldChar w:fldCharType="separate"/>
      </w:r>
      <w:r>
        <w:rPr>
          <w:noProof/>
        </w:rPr>
        <w:t>121</w:t>
      </w:r>
      <w:r w:rsidR="00DA5E05">
        <w:rPr>
          <w:noProof/>
        </w:rPr>
        <w:fldChar w:fldCharType="end"/>
      </w:r>
    </w:p>
    <w:p w14:paraId="4AF3B84F"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Specific Diseases of Malnutrition</w:t>
      </w:r>
      <w:r>
        <w:rPr>
          <w:noProof/>
        </w:rPr>
        <w:tab/>
      </w:r>
      <w:r w:rsidR="00DA5E05">
        <w:rPr>
          <w:noProof/>
        </w:rPr>
        <w:fldChar w:fldCharType="begin"/>
      </w:r>
      <w:r>
        <w:rPr>
          <w:noProof/>
        </w:rPr>
        <w:instrText xml:space="preserve"> PAGEREF _Toc233171671 \h </w:instrText>
      </w:r>
      <w:r w:rsidR="00DA5E05">
        <w:rPr>
          <w:noProof/>
        </w:rPr>
      </w:r>
      <w:r w:rsidR="00DA5E05">
        <w:rPr>
          <w:noProof/>
        </w:rPr>
        <w:fldChar w:fldCharType="separate"/>
      </w:r>
      <w:r>
        <w:rPr>
          <w:noProof/>
        </w:rPr>
        <w:t>122</w:t>
      </w:r>
      <w:r w:rsidR="00DA5E05">
        <w:rPr>
          <w:noProof/>
        </w:rPr>
        <w:fldChar w:fldCharType="end"/>
      </w:r>
    </w:p>
    <w:p w14:paraId="02F29AE6"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Determination of Chronic and Acute Stress Groups</w:t>
      </w:r>
      <w:r>
        <w:rPr>
          <w:noProof/>
        </w:rPr>
        <w:tab/>
      </w:r>
      <w:r w:rsidR="00DA5E05">
        <w:rPr>
          <w:noProof/>
        </w:rPr>
        <w:fldChar w:fldCharType="begin"/>
      </w:r>
      <w:r>
        <w:rPr>
          <w:noProof/>
        </w:rPr>
        <w:instrText xml:space="preserve"> PAGEREF _Toc233171672 \h </w:instrText>
      </w:r>
      <w:r w:rsidR="00DA5E05">
        <w:rPr>
          <w:noProof/>
        </w:rPr>
      </w:r>
      <w:r w:rsidR="00DA5E05">
        <w:rPr>
          <w:noProof/>
        </w:rPr>
        <w:fldChar w:fldCharType="separate"/>
      </w:r>
      <w:r>
        <w:rPr>
          <w:noProof/>
        </w:rPr>
        <w:t>122</w:t>
      </w:r>
      <w:r w:rsidR="00DA5E05">
        <w:rPr>
          <w:noProof/>
        </w:rPr>
        <w:fldChar w:fldCharType="end"/>
      </w:r>
    </w:p>
    <w:p w14:paraId="302D281F"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Data Loss Mitigation</w:t>
      </w:r>
      <w:r>
        <w:rPr>
          <w:noProof/>
        </w:rPr>
        <w:tab/>
      </w:r>
      <w:r w:rsidR="00DA5E05">
        <w:rPr>
          <w:noProof/>
        </w:rPr>
        <w:fldChar w:fldCharType="begin"/>
      </w:r>
      <w:r>
        <w:rPr>
          <w:noProof/>
        </w:rPr>
        <w:instrText xml:space="preserve"> PAGEREF _Toc233171673 \h </w:instrText>
      </w:r>
      <w:r w:rsidR="00DA5E05">
        <w:rPr>
          <w:noProof/>
        </w:rPr>
      </w:r>
      <w:r w:rsidR="00DA5E05">
        <w:rPr>
          <w:noProof/>
        </w:rPr>
        <w:fldChar w:fldCharType="separate"/>
      </w:r>
      <w:r>
        <w:rPr>
          <w:noProof/>
        </w:rPr>
        <w:t>123</w:t>
      </w:r>
      <w:r w:rsidR="00DA5E05">
        <w:rPr>
          <w:noProof/>
        </w:rPr>
        <w:fldChar w:fldCharType="end"/>
      </w:r>
    </w:p>
    <w:p w14:paraId="4F68FA71"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Bone Locations And Orientation for Histological Sampling</w:t>
      </w:r>
      <w:r>
        <w:rPr>
          <w:noProof/>
        </w:rPr>
        <w:tab/>
      </w:r>
      <w:r w:rsidR="00DA5E05">
        <w:rPr>
          <w:noProof/>
        </w:rPr>
        <w:fldChar w:fldCharType="begin"/>
      </w:r>
      <w:r>
        <w:rPr>
          <w:noProof/>
        </w:rPr>
        <w:instrText xml:space="preserve"> PAGEREF _Toc233171674 \h </w:instrText>
      </w:r>
      <w:r w:rsidR="00DA5E05">
        <w:rPr>
          <w:noProof/>
        </w:rPr>
      </w:r>
      <w:r w:rsidR="00DA5E05">
        <w:rPr>
          <w:noProof/>
        </w:rPr>
        <w:fldChar w:fldCharType="separate"/>
      </w:r>
      <w:r>
        <w:rPr>
          <w:noProof/>
        </w:rPr>
        <w:t>124</w:t>
      </w:r>
      <w:r w:rsidR="00DA5E05">
        <w:rPr>
          <w:noProof/>
        </w:rPr>
        <w:fldChar w:fldCharType="end"/>
      </w:r>
    </w:p>
    <w:p w14:paraId="095C8EFB"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Histological Sectioning</w:t>
      </w:r>
      <w:r>
        <w:rPr>
          <w:noProof/>
        </w:rPr>
        <w:tab/>
      </w:r>
      <w:r w:rsidR="00DA5E05">
        <w:rPr>
          <w:noProof/>
        </w:rPr>
        <w:fldChar w:fldCharType="begin"/>
      </w:r>
      <w:r>
        <w:rPr>
          <w:noProof/>
        </w:rPr>
        <w:instrText xml:space="preserve"> PAGEREF _Toc233171675 \h </w:instrText>
      </w:r>
      <w:r w:rsidR="00DA5E05">
        <w:rPr>
          <w:noProof/>
        </w:rPr>
      </w:r>
      <w:r w:rsidR="00DA5E05">
        <w:rPr>
          <w:noProof/>
        </w:rPr>
        <w:fldChar w:fldCharType="separate"/>
      </w:r>
      <w:r>
        <w:rPr>
          <w:noProof/>
        </w:rPr>
        <w:t>129</w:t>
      </w:r>
      <w:r w:rsidR="00DA5E05">
        <w:rPr>
          <w:noProof/>
        </w:rPr>
        <w:fldChar w:fldCharType="end"/>
      </w:r>
    </w:p>
    <w:p w14:paraId="3EE5E310"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Data Collection</w:t>
      </w:r>
      <w:r>
        <w:rPr>
          <w:noProof/>
        </w:rPr>
        <w:tab/>
      </w:r>
      <w:r w:rsidR="00DA5E05">
        <w:rPr>
          <w:noProof/>
        </w:rPr>
        <w:fldChar w:fldCharType="begin"/>
      </w:r>
      <w:r>
        <w:rPr>
          <w:noProof/>
        </w:rPr>
        <w:instrText xml:space="preserve"> PAGEREF _Toc233171676 \h </w:instrText>
      </w:r>
      <w:r w:rsidR="00DA5E05">
        <w:rPr>
          <w:noProof/>
        </w:rPr>
      </w:r>
      <w:r w:rsidR="00DA5E05">
        <w:rPr>
          <w:noProof/>
        </w:rPr>
        <w:fldChar w:fldCharType="separate"/>
      </w:r>
      <w:r>
        <w:rPr>
          <w:noProof/>
        </w:rPr>
        <w:t>131</w:t>
      </w:r>
      <w:r w:rsidR="00DA5E05">
        <w:rPr>
          <w:noProof/>
        </w:rPr>
        <w:fldChar w:fldCharType="end"/>
      </w:r>
    </w:p>
    <w:p w14:paraId="1444B947"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Macromorphological Measurements</w:t>
      </w:r>
      <w:r>
        <w:rPr>
          <w:noProof/>
        </w:rPr>
        <w:tab/>
      </w:r>
      <w:r w:rsidR="00DA5E05">
        <w:rPr>
          <w:noProof/>
        </w:rPr>
        <w:fldChar w:fldCharType="begin"/>
      </w:r>
      <w:r>
        <w:rPr>
          <w:noProof/>
        </w:rPr>
        <w:instrText xml:space="preserve"> PAGEREF _Toc233171677 \h </w:instrText>
      </w:r>
      <w:r w:rsidR="00DA5E05">
        <w:rPr>
          <w:noProof/>
        </w:rPr>
      </w:r>
      <w:r w:rsidR="00DA5E05">
        <w:rPr>
          <w:noProof/>
        </w:rPr>
        <w:fldChar w:fldCharType="separate"/>
      </w:r>
      <w:r>
        <w:rPr>
          <w:noProof/>
        </w:rPr>
        <w:t>131</w:t>
      </w:r>
      <w:r w:rsidR="00DA5E05">
        <w:rPr>
          <w:noProof/>
        </w:rPr>
        <w:fldChar w:fldCharType="end"/>
      </w:r>
    </w:p>
    <w:p w14:paraId="2B8491D1"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Histomorphological Measurements</w:t>
      </w:r>
      <w:r>
        <w:rPr>
          <w:noProof/>
        </w:rPr>
        <w:tab/>
      </w:r>
      <w:r w:rsidR="00DA5E05">
        <w:rPr>
          <w:noProof/>
        </w:rPr>
        <w:fldChar w:fldCharType="begin"/>
      </w:r>
      <w:r>
        <w:rPr>
          <w:noProof/>
        </w:rPr>
        <w:instrText xml:space="preserve"> PAGEREF _Toc233171678 \h </w:instrText>
      </w:r>
      <w:r w:rsidR="00DA5E05">
        <w:rPr>
          <w:noProof/>
        </w:rPr>
      </w:r>
      <w:r w:rsidR="00DA5E05">
        <w:rPr>
          <w:noProof/>
        </w:rPr>
        <w:fldChar w:fldCharType="separate"/>
      </w:r>
      <w:r>
        <w:rPr>
          <w:noProof/>
        </w:rPr>
        <w:t>136</w:t>
      </w:r>
      <w:r w:rsidR="00DA5E05">
        <w:rPr>
          <w:noProof/>
        </w:rPr>
        <w:fldChar w:fldCharType="end"/>
      </w:r>
    </w:p>
    <w:p w14:paraId="17DABB2C" w14:textId="77777777" w:rsidR="00637CB2" w:rsidRDefault="00637CB2">
      <w:pPr>
        <w:pStyle w:val="TOC3"/>
        <w:tabs>
          <w:tab w:val="right" w:leader="dot" w:pos="8630"/>
        </w:tabs>
        <w:rPr>
          <w:rFonts w:asciiTheme="minorHAnsi" w:eastAsiaTheme="minorEastAsia" w:hAnsiTheme="minorHAnsi" w:cstheme="minorBidi"/>
          <w:noProof/>
          <w:lang w:eastAsia="ja-JP"/>
        </w:rPr>
      </w:pPr>
      <w:r>
        <w:rPr>
          <w:noProof/>
        </w:rPr>
        <w:t>Analyses and Statistical Methods</w:t>
      </w:r>
      <w:r>
        <w:rPr>
          <w:noProof/>
        </w:rPr>
        <w:tab/>
      </w:r>
      <w:r w:rsidR="00DA5E05">
        <w:rPr>
          <w:noProof/>
        </w:rPr>
        <w:fldChar w:fldCharType="begin"/>
      </w:r>
      <w:r>
        <w:rPr>
          <w:noProof/>
        </w:rPr>
        <w:instrText xml:space="preserve"> PAGEREF _Toc233171679 \h </w:instrText>
      </w:r>
      <w:r w:rsidR="00DA5E05">
        <w:rPr>
          <w:noProof/>
        </w:rPr>
      </w:r>
      <w:r w:rsidR="00DA5E05">
        <w:rPr>
          <w:noProof/>
        </w:rPr>
        <w:fldChar w:fldCharType="separate"/>
      </w:r>
      <w:r>
        <w:rPr>
          <w:noProof/>
        </w:rPr>
        <w:t>141</w:t>
      </w:r>
      <w:r w:rsidR="00DA5E05">
        <w:rPr>
          <w:noProof/>
        </w:rPr>
        <w:fldChar w:fldCharType="end"/>
      </w:r>
    </w:p>
    <w:p w14:paraId="3D4B3BF6" w14:textId="77777777" w:rsidR="00637CB2" w:rsidRDefault="00637CB2">
      <w:pPr>
        <w:pStyle w:val="TOC4"/>
        <w:tabs>
          <w:tab w:val="right" w:leader="dot" w:pos="8630"/>
        </w:tabs>
        <w:rPr>
          <w:rFonts w:asciiTheme="minorHAnsi" w:eastAsiaTheme="minorEastAsia" w:hAnsiTheme="minorHAnsi" w:cstheme="minorBidi"/>
          <w:noProof/>
          <w:lang w:eastAsia="ja-JP"/>
        </w:rPr>
      </w:pPr>
      <w:r>
        <w:rPr>
          <w:noProof/>
        </w:rPr>
        <w:t>Size Standardization</w:t>
      </w:r>
      <w:r>
        <w:rPr>
          <w:noProof/>
        </w:rPr>
        <w:tab/>
      </w:r>
      <w:r w:rsidR="00DA5E05">
        <w:rPr>
          <w:noProof/>
        </w:rPr>
        <w:fldChar w:fldCharType="begin"/>
      </w:r>
      <w:r>
        <w:rPr>
          <w:noProof/>
        </w:rPr>
        <w:instrText xml:space="preserve"> PAGEREF _Toc233171680 \h </w:instrText>
      </w:r>
      <w:r w:rsidR="00DA5E05">
        <w:rPr>
          <w:noProof/>
        </w:rPr>
      </w:r>
      <w:r w:rsidR="00DA5E05">
        <w:rPr>
          <w:noProof/>
        </w:rPr>
        <w:fldChar w:fldCharType="separate"/>
      </w:r>
      <w:r>
        <w:rPr>
          <w:noProof/>
        </w:rPr>
        <w:t>141</w:t>
      </w:r>
      <w:r w:rsidR="00DA5E05">
        <w:rPr>
          <w:noProof/>
        </w:rPr>
        <w:fldChar w:fldCharType="end"/>
      </w:r>
    </w:p>
    <w:p w14:paraId="0A480FF5" w14:textId="77777777" w:rsidR="00637CB2" w:rsidRDefault="00637CB2">
      <w:pPr>
        <w:pStyle w:val="TOC1"/>
        <w:rPr>
          <w:rFonts w:asciiTheme="minorHAnsi" w:eastAsiaTheme="minorEastAsia" w:hAnsiTheme="minorHAnsi" w:cstheme="minorBidi"/>
          <w:noProof/>
          <w:lang w:eastAsia="ja-JP"/>
        </w:rPr>
      </w:pPr>
      <w:r>
        <w:rPr>
          <w:noProof/>
        </w:rPr>
        <w:t>CHAPTER 5: Results and Discussion</w:t>
      </w:r>
      <w:r>
        <w:rPr>
          <w:noProof/>
        </w:rPr>
        <w:tab/>
      </w:r>
      <w:r w:rsidR="00DA5E05">
        <w:rPr>
          <w:noProof/>
        </w:rPr>
        <w:fldChar w:fldCharType="begin"/>
      </w:r>
      <w:r>
        <w:rPr>
          <w:noProof/>
        </w:rPr>
        <w:instrText xml:space="preserve"> PAGEREF _Toc233171681 \h </w:instrText>
      </w:r>
      <w:r w:rsidR="00DA5E05">
        <w:rPr>
          <w:noProof/>
        </w:rPr>
      </w:r>
      <w:r w:rsidR="00DA5E05">
        <w:rPr>
          <w:noProof/>
        </w:rPr>
        <w:fldChar w:fldCharType="separate"/>
      </w:r>
      <w:r>
        <w:rPr>
          <w:noProof/>
        </w:rPr>
        <w:t>146</w:t>
      </w:r>
      <w:r w:rsidR="00DA5E05">
        <w:rPr>
          <w:noProof/>
        </w:rPr>
        <w:fldChar w:fldCharType="end"/>
      </w:r>
    </w:p>
    <w:p w14:paraId="0998D757" w14:textId="77777777" w:rsidR="00637CB2" w:rsidRDefault="00637CB2">
      <w:pPr>
        <w:pStyle w:val="TOC1"/>
        <w:rPr>
          <w:rFonts w:asciiTheme="minorHAnsi" w:eastAsiaTheme="minorEastAsia" w:hAnsiTheme="minorHAnsi" w:cstheme="minorBidi"/>
          <w:noProof/>
          <w:lang w:eastAsia="ja-JP"/>
        </w:rPr>
      </w:pPr>
      <w:r>
        <w:rPr>
          <w:noProof/>
        </w:rPr>
        <w:t>CHAPTER 6: Conclusions</w:t>
      </w:r>
      <w:r>
        <w:rPr>
          <w:noProof/>
        </w:rPr>
        <w:tab/>
      </w:r>
      <w:r w:rsidR="00DA5E05">
        <w:rPr>
          <w:noProof/>
        </w:rPr>
        <w:fldChar w:fldCharType="begin"/>
      </w:r>
      <w:r>
        <w:rPr>
          <w:noProof/>
        </w:rPr>
        <w:instrText xml:space="preserve"> PAGEREF _Toc233171682 \h </w:instrText>
      </w:r>
      <w:r w:rsidR="00DA5E05">
        <w:rPr>
          <w:noProof/>
        </w:rPr>
      </w:r>
      <w:r w:rsidR="00DA5E05">
        <w:rPr>
          <w:noProof/>
        </w:rPr>
        <w:fldChar w:fldCharType="separate"/>
      </w:r>
      <w:r>
        <w:rPr>
          <w:noProof/>
        </w:rPr>
        <w:t>155</w:t>
      </w:r>
      <w:r w:rsidR="00DA5E05">
        <w:rPr>
          <w:noProof/>
        </w:rPr>
        <w:fldChar w:fldCharType="end"/>
      </w:r>
    </w:p>
    <w:p w14:paraId="4789D3F6" w14:textId="77777777" w:rsidR="00637CB2" w:rsidRDefault="00637CB2">
      <w:pPr>
        <w:pStyle w:val="TOC1"/>
        <w:rPr>
          <w:rFonts w:asciiTheme="minorHAnsi" w:eastAsiaTheme="minorEastAsia" w:hAnsiTheme="minorHAnsi" w:cstheme="minorBidi"/>
          <w:noProof/>
          <w:lang w:eastAsia="ja-JP"/>
        </w:rPr>
      </w:pPr>
      <w:r>
        <w:rPr>
          <w:noProof/>
        </w:rPr>
        <w:t>LIST OF REFERENCES</w:t>
      </w:r>
      <w:r>
        <w:rPr>
          <w:noProof/>
        </w:rPr>
        <w:tab/>
      </w:r>
      <w:r w:rsidR="00DA5E05">
        <w:rPr>
          <w:noProof/>
        </w:rPr>
        <w:fldChar w:fldCharType="begin"/>
      </w:r>
      <w:r>
        <w:rPr>
          <w:noProof/>
        </w:rPr>
        <w:instrText xml:space="preserve"> PAGEREF _Toc233171683 \h </w:instrText>
      </w:r>
      <w:r w:rsidR="00DA5E05">
        <w:rPr>
          <w:noProof/>
        </w:rPr>
      </w:r>
      <w:r w:rsidR="00DA5E05">
        <w:rPr>
          <w:noProof/>
        </w:rPr>
        <w:fldChar w:fldCharType="separate"/>
      </w:r>
      <w:r>
        <w:rPr>
          <w:noProof/>
        </w:rPr>
        <w:t>156</w:t>
      </w:r>
      <w:r w:rsidR="00DA5E05">
        <w:rPr>
          <w:noProof/>
        </w:rPr>
        <w:fldChar w:fldCharType="end"/>
      </w:r>
    </w:p>
    <w:p w14:paraId="0D95566B" w14:textId="77777777" w:rsidR="00637CB2" w:rsidRDefault="00637CB2">
      <w:pPr>
        <w:pStyle w:val="TOC1"/>
        <w:rPr>
          <w:rFonts w:asciiTheme="minorHAnsi" w:eastAsiaTheme="minorEastAsia" w:hAnsiTheme="minorHAnsi" w:cstheme="minorBidi"/>
          <w:noProof/>
          <w:lang w:eastAsia="ja-JP"/>
        </w:rPr>
      </w:pPr>
      <w:r>
        <w:rPr>
          <w:noProof/>
        </w:rPr>
        <w:t>APPENDIX II:</w:t>
      </w:r>
      <w:r>
        <w:rPr>
          <w:noProof/>
        </w:rPr>
        <w:tab/>
      </w:r>
      <w:r w:rsidR="00DA5E05">
        <w:rPr>
          <w:noProof/>
        </w:rPr>
        <w:fldChar w:fldCharType="begin"/>
      </w:r>
      <w:r>
        <w:rPr>
          <w:noProof/>
        </w:rPr>
        <w:instrText xml:space="preserve"> PAGEREF _Toc233171684 \h </w:instrText>
      </w:r>
      <w:r w:rsidR="00DA5E05">
        <w:rPr>
          <w:noProof/>
        </w:rPr>
      </w:r>
      <w:r w:rsidR="00DA5E05">
        <w:rPr>
          <w:noProof/>
        </w:rPr>
        <w:fldChar w:fldCharType="separate"/>
      </w:r>
      <w:r>
        <w:rPr>
          <w:noProof/>
        </w:rPr>
        <w:t>191</w:t>
      </w:r>
      <w:r w:rsidR="00DA5E05">
        <w:rPr>
          <w:noProof/>
        </w:rPr>
        <w:fldChar w:fldCharType="end"/>
      </w:r>
    </w:p>
    <w:p w14:paraId="3520F660" w14:textId="77777777" w:rsidR="00637CB2" w:rsidRDefault="00637CB2">
      <w:pPr>
        <w:pStyle w:val="TOC1"/>
        <w:rPr>
          <w:rFonts w:asciiTheme="minorHAnsi" w:eastAsiaTheme="minorEastAsia" w:hAnsiTheme="minorHAnsi" w:cstheme="minorBidi"/>
          <w:noProof/>
          <w:lang w:eastAsia="ja-JP"/>
        </w:rPr>
      </w:pPr>
      <w:r>
        <w:rPr>
          <w:noProof/>
        </w:rPr>
        <w:t>APPENDIX III:</w:t>
      </w:r>
      <w:r>
        <w:rPr>
          <w:noProof/>
        </w:rPr>
        <w:tab/>
      </w:r>
      <w:r w:rsidR="00DA5E05">
        <w:rPr>
          <w:noProof/>
        </w:rPr>
        <w:fldChar w:fldCharType="begin"/>
      </w:r>
      <w:r>
        <w:rPr>
          <w:noProof/>
        </w:rPr>
        <w:instrText xml:space="preserve"> PAGEREF _Toc233171685 \h </w:instrText>
      </w:r>
      <w:r w:rsidR="00DA5E05">
        <w:rPr>
          <w:noProof/>
        </w:rPr>
      </w:r>
      <w:r w:rsidR="00DA5E05">
        <w:rPr>
          <w:noProof/>
        </w:rPr>
        <w:fldChar w:fldCharType="separate"/>
      </w:r>
      <w:r>
        <w:rPr>
          <w:noProof/>
        </w:rPr>
        <w:t>191</w:t>
      </w:r>
      <w:r w:rsidR="00DA5E05">
        <w:rPr>
          <w:noProof/>
        </w:rPr>
        <w:fldChar w:fldCharType="end"/>
      </w:r>
    </w:p>
    <w:p w14:paraId="4C98A0DC" w14:textId="77777777" w:rsidR="00637CB2" w:rsidRDefault="00637CB2">
      <w:pPr>
        <w:pStyle w:val="TOC1"/>
        <w:rPr>
          <w:rFonts w:asciiTheme="minorHAnsi" w:eastAsiaTheme="minorEastAsia" w:hAnsiTheme="minorHAnsi" w:cstheme="minorBidi"/>
          <w:noProof/>
          <w:lang w:eastAsia="ja-JP"/>
        </w:rPr>
      </w:pPr>
      <w:r>
        <w:rPr>
          <w:noProof/>
        </w:rPr>
        <w:t>APPENDIX IV:</w:t>
      </w:r>
      <w:r>
        <w:rPr>
          <w:noProof/>
        </w:rPr>
        <w:tab/>
      </w:r>
      <w:r w:rsidR="00DA5E05">
        <w:rPr>
          <w:noProof/>
        </w:rPr>
        <w:fldChar w:fldCharType="begin"/>
      </w:r>
      <w:r>
        <w:rPr>
          <w:noProof/>
        </w:rPr>
        <w:instrText xml:space="preserve"> PAGEREF _Toc233171686 \h </w:instrText>
      </w:r>
      <w:r w:rsidR="00DA5E05">
        <w:rPr>
          <w:noProof/>
        </w:rPr>
      </w:r>
      <w:r w:rsidR="00DA5E05">
        <w:rPr>
          <w:noProof/>
        </w:rPr>
        <w:fldChar w:fldCharType="separate"/>
      </w:r>
      <w:r>
        <w:rPr>
          <w:noProof/>
        </w:rPr>
        <w:t>191</w:t>
      </w:r>
      <w:r w:rsidR="00DA5E05">
        <w:rPr>
          <w:noProof/>
        </w:rPr>
        <w:fldChar w:fldCharType="end"/>
      </w:r>
    </w:p>
    <w:p w14:paraId="165FE58D" w14:textId="77777777" w:rsidR="00637CB2" w:rsidRDefault="00637CB2">
      <w:pPr>
        <w:pStyle w:val="TOC1"/>
        <w:rPr>
          <w:rFonts w:asciiTheme="minorHAnsi" w:eastAsiaTheme="minorEastAsia" w:hAnsiTheme="minorHAnsi" w:cstheme="minorBidi"/>
          <w:noProof/>
          <w:lang w:eastAsia="ja-JP"/>
        </w:rPr>
      </w:pPr>
      <w:r w:rsidRPr="002F47F3">
        <w:rPr>
          <w:noProof/>
        </w:rPr>
        <w:t>Vita</w:t>
      </w:r>
      <w:r>
        <w:rPr>
          <w:noProof/>
        </w:rPr>
        <w:tab/>
      </w:r>
      <w:r w:rsidR="00DA5E05">
        <w:rPr>
          <w:noProof/>
        </w:rPr>
        <w:fldChar w:fldCharType="begin"/>
      </w:r>
      <w:r>
        <w:rPr>
          <w:noProof/>
        </w:rPr>
        <w:instrText xml:space="preserve"> PAGEREF _Toc233171687 \h </w:instrText>
      </w:r>
      <w:r w:rsidR="00DA5E05">
        <w:rPr>
          <w:noProof/>
        </w:rPr>
      </w:r>
      <w:r w:rsidR="00DA5E05">
        <w:rPr>
          <w:noProof/>
        </w:rPr>
        <w:fldChar w:fldCharType="separate"/>
      </w:r>
      <w:r>
        <w:rPr>
          <w:noProof/>
        </w:rPr>
        <w:t>192</w:t>
      </w:r>
      <w:r w:rsidR="00DA5E05">
        <w:rPr>
          <w:noProof/>
        </w:rPr>
        <w:fldChar w:fldCharType="end"/>
      </w:r>
    </w:p>
    <w:p w14:paraId="77F60C97" w14:textId="77777777" w:rsidR="002C1035" w:rsidRDefault="00DA5E05" w:rsidP="002C103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fldChar w:fldCharType="end"/>
      </w:r>
    </w:p>
    <w:p w14:paraId="354DE9CD" w14:textId="77777777" w:rsidR="00057716" w:rsidRDefault="000577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090F3B83" w14:textId="77777777" w:rsidR="00236E6D" w:rsidRPr="00B61308" w:rsidRDefault="00236E6D">
      <w:pPr>
        <w:numPr>
          <w:ilvl w:val="12"/>
          <w:numId w:val="0"/>
        </w:numPr>
        <w:jc w:val="center"/>
        <w:rPr>
          <w:b/>
          <w:bCs/>
          <w:sz w:val="28"/>
          <w:szCs w:val="28"/>
        </w:rPr>
      </w:pPr>
    </w:p>
    <w:p w14:paraId="286AC27E" w14:textId="77777777" w:rsidR="00236E6D" w:rsidRPr="001E671B" w:rsidRDefault="009C755C">
      <w:pPr>
        <w:numPr>
          <w:ilvl w:val="12"/>
          <w:numId w:val="0"/>
        </w:numPr>
        <w:jc w:val="center"/>
      </w:pPr>
      <w:r w:rsidRPr="00B61308">
        <w:rPr>
          <w:b/>
          <w:bCs/>
          <w:sz w:val="28"/>
          <w:szCs w:val="28"/>
        </w:rPr>
        <w:br w:type="page"/>
      </w:r>
      <w:r w:rsidR="00236E6D" w:rsidRPr="001E671B">
        <w:rPr>
          <w:bCs/>
          <w:sz w:val="28"/>
          <w:szCs w:val="28"/>
        </w:rPr>
        <w:lastRenderedPageBreak/>
        <w:t>LIST OF TABLES</w:t>
      </w:r>
    </w:p>
    <w:p w14:paraId="22B43491" w14:textId="77777777" w:rsidR="00236E6D" w:rsidRPr="00B61308" w:rsidRDefault="00236E6D">
      <w:pPr>
        <w:numPr>
          <w:ilvl w:val="12"/>
          <w:numId w:val="0"/>
        </w:numPr>
        <w:jc w:val="center"/>
      </w:pPr>
    </w:p>
    <w:p w14:paraId="76515B84" w14:textId="77777777" w:rsidR="00236E6D" w:rsidRPr="00B61308"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B61308">
        <w:t>Table</w:t>
      </w:r>
      <w:r w:rsidRPr="00B61308">
        <w:tab/>
      </w:r>
      <w:r w:rsidRPr="00B61308">
        <w:tab/>
      </w:r>
      <w:r w:rsidRPr="00B61308">
        <w:tab/>
      </w:r>
      <w:r w:rsidRPr="00B61308">
        <w:tab/>
      </w:r>
      <w:r w:rsidRPr="00B61308">
        <w:tab/>
      </w:r>
      <w:r w:rsidRPr="00B61308">
        <w:tab/>
      </w:r>
      <w:r w:rsidRPr="00B61308">
        <w:tab/>
      </w:r>
      <w:r w:rsidRPr="00B61308">
        <w:tab/>
      </w:r>
      <w:r w:rsidRPr="00B61308">
        <w:tab/>
      </w:r>
      <w:r w:rsidRPr="00B61308">
        <w:tab/>
      </w:r>
      <w:r w:rsidR="006A3BEE">
        <w:t xml:space="preserve"> </w:t>
      </w:r>
      <w:r w:rsidRPr="00B61308">
        <w:t>Page</w:t>
      </w:r>
    </w:p>
    <w:p w14:paraId="2A30C3AD" w14:textId="77777777" w:rsidR="00236E6D" w:rsidRPr="00B61308"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2BCF8CE8" w14:textId="77777777" w:rsidR="006269F7" w:rsidRDefault="00DA5E05">
      <w:pPr>
        <w:pStyle w:val="TableofFigures"/>
        <w:tabs>
          <w:tab w:val="right" w:leader="dot" w:pos="8630"/>
        </w:tabs>
        <w:rPr>
          <w:rFonts w:asciiTheme="minorHAnsi" w:eastAsiaTheme="minorEastAsia" w:hAnsiTheme="minorHAnsi" w:cstheme="minorBidi"/>
          <w:noProof/>
          <w:lang w:eastAsia="ja-JP"/>
        </w:rPr>
      </w:pPr>
      <w:r w:rsidRPr="00B61308">
        <w:fldChar w:fldCharType="begin"/>
      </w:r>
      <w:r w:rsidR="00236E6D" w:rsidRPr="00B61308">
        <w:instrText xml:space="preserve"> TOC \h \z \c "Table" </w:instrText>
      </w:r>
      <w:r w:rsidRPr="00B61308">
        <w:fldChar w:fldCharType="separate"/>
      </w:r>
      <w:r w:rsidR="006269F7">
        <w:rPr>
          <w:noProof/>
        </w:rPr>
        <w:t>Table 3. Additional data collected to minimize data loss prior to destructive histological sampling. These measurements are not utilized in this study.</w:t>
      </w:r>
      <w:r w:rsidR="006269F7">
        <w:rPr>
          <w:noProof/>
        </w:rPr>
        <w:tab/>
      </w:r>
      <w:r>
        <w:rPr>
          <w:noProof/>
        </w:rPr>
        <w:fldChar w:fldCharType="begin"/>
      </w:r>
      <w:r w:rsidR="006269F7">
        <w:rPr>
          <w:noProof/>
        </w:rPr>
        <w:instrText xml:space="preserve"> PAGEREF _Toc233182898 \h </w:instrText>
      </w:r>
      <w:r>
        <w:rPr>
          <w:noProof/>
        </w:rPr>
      </w:r>
      <w:r>
        <w:rPr>
          <w:noProof/>
        </w:rPr>
        <w:fldChar w:fldCharType="separate"/>
      </w:r>
      <w:r w:rsidR="006269F7">
        <w:rPr>
          <w:noProof/>
        </w:rPr>
        <w:t>124</w:t>
      </w:r>
      <w:r>
        <w:rPr>
          <w:noProof/>
        </w:rPr>
        <w:fldChar w:fldCharType="end"/>
      </w:r>
    </w:p>
    <w:p w14:paraId="545D5794"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4. Cross-sectional properties used to quantify bone mass and bone strength.</w:t>
      </w:r>
      <w:r>
        <w:rPr>
          <w:noProof/>
        </w:rPr>
        <w:tab/>
      </w:r>
      <w:r w:rsidR="00DA5E05">
        <w:rPr>
          <w:noProof/>
        </w:rPr>
        <w:fldChar w:fldCharType="begin"/>
      </w:r>
      <w:r>
        <w:rPr>
          <w:noProof/>
        </w:rPr>
        <w:instrText xml:space="preserve"> PAGEREF _Toc233182899 \h </w:instrText>
      </w:r>
      <w:r w:rsidR="00DA5E05">
        <w:rPr>
          <w:noProof/>
        </w:rPr>
      </w:r>
      <w:r w:rsidR="00DA5E05">
        <w:rPr>
          <w:noProof/>
        </w:rPr>
        <w:fldChar w:fldCharType="separate"/>
      </w:r>
      <w:r>
        <w:rPr>
          <w:noProof/>
        </w:rPr>
        <w:t>132</w:t>
      </w:r>
      <w:r w:rsidR="00DA5E05">
        <w:rPr>
          <w:noProof/>
        </w:rPr>
        <w:fldChar w:fldCharType="end"/>
      </w:r>
    </w:p>
    <w:p w14:paraId="1BF5A48E"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5. Age distribution of the final sample utilized for cross-sectional geometric analyses by stress group and bone element.</w:t>
      </w:r>
      <w:r>
        <w:rPr>
          <w:noProof/>
        </w:rPr>
        <w:tab/>
      </w:r>
      <w:r w:rsidR="00DA5E05">
        <w:rPr>
          <w:noProof/>
        </w:rPr>
        <w:fldChar w:fldCharType="begin"/>
      </w:r>
      <w:r>
        <w:rPr>
          <w:noProof/>
        </w:rPr>
        <w:instrText xml:space="preserve"> PAGEREF _Toc233182900 \h </w:instrText>
      </w:r>
      <w:r w:rsidR="00DA5E05">
        <w:rPr>
          <w:noProof/>
        </w:rPr>
      </w:r>
      <w:r w:rsidR="00DA5E05">
        <w:rPr>
          <w:noProof/>
        </w:rPr>
        <w:fldChar w:fldCharType="separate"/>
      </w:r>
      <w:r>
        <w:rPr>
          <w:noProof/>
        </w:rPr>
        <w:t>136</w:t>
      </w:r>
      <w:r w:rsidR="00DA5E05">
        <w:rPr>
          <w:noProof/>
        </w:rPr>
        <w:fldChar w:fldCharType="end"/>
      </w:r>
    </w:p>
    <w:p w14:paraId="39B6A29E"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6. Histomorphological measurements used to quantify microscopic bone mass and remodeling.</w:t>
      </w:r>
      <w:r>
        <w:rPr>
          <w:noProof/>
        </w:rPr>
        <w:tab/>
      </w:r>
      <w:r w:rsidR="00DA5E05">
        <w:rPr>
          <w:noProof/>
        </w:rPr>
        <w:fldChar w:fldCharType="begin"/>
      </w:r>
      <w:r>
        <w:rPr>
          <w:noProof/>
        </w:rPr>
        <w:instrText xml:space="preserve"> PAGEREF _Toc233182901 \h </w:instrText>
      </w:r>
      <w:r w:rsidR="00DA5E05">
        <w:rPr>
          <w:noProof/>
        </w:rPr>
      </w:r>
      <w:r w:rsidR="00DA5E05">
        <w:rPr>
          <w:noProof/>
        </w:rPr>
        <w:fldChar w:fldCharType="separate"/>
      </w:r>
      <w:r>
        <w:rPr>
          <w:noProof/>
        </w:rPr>
        <w:t>137</w:t>
      </w:r>
      <w:r w:rsidR="00DA5E05">
        <w:rPr>
          <w:noProof/>
        </w:rPr>
        <w:fldChar w:fldCharType="end"/>
      </w:r>
    </w:p>
    <w:p w14:paraId="2E8968BB"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7. Age distribution of the final sample utilized for histomorphometric analyses by stress group and bone element.</w:t>
      </w:r>
      <w:r>
        <w:rPr>
          <w:noProof/>
        </w:rPr>
        <w:tab/>
      </w:r>
      <w:r w:rsidR="00DA5E05">
        <w:rPr>
          <w:noProof/>
        </w:rPr>
        <w:fldChar w:fldCharType="begin"/>
      </w:r>
      <w:r>
        <w:rPr>
          <w:noProof/>
        </w:rPr>
        <w:instrText xml:space="preserve"> PAGEREF _Toc233182902 \h </w:instrText>
      </w:r>
      <w:r w:rsidR="00DA5E05">
        <w:rPr>
          <w:noProof/>
        </w:rPr>
      </w:r>
      <w:r w:rsidR="00DA5E05">
        <w:rPr>
          <w:noProof/>
        </w:rPr>
        <w:fldChar w:fldCharType="separate"/>
      </w:r>
      <w:r>
        <w:rPr>
          <w:noProof/>
        </w:rPr>
        <w:t>140</w:t>
      </w:r>
      <w:r w:rsidR="00DA5E05">
        <w:rPr>
          <w:noProof/>
        </w:rPr>
        <w:fldChar w:fldCharType="end"/>
      </w:r>
    </w:p>
    <w:p w14:paraId="6883A5E6"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8. Measurements used in the estimation of body mass and bone length for size-standardization of macromorphological and histomorphological measurements</w:t>
      </w:r>
      <w:r>
        <w:rPr>
          <w:noProof/>
        </w:rPr>
        <w:tab/>
      </w:r>
      <w:r w:rsidR="00DA5E05">
        <w:rPr>
          <w:noProof/>
        </w:rPr>
        <w:fldChar w:fldCharType="begin"/>
      </w:r>
      <w:r>
        <w:rPr>
          <w:noProof/>
        </w:rPr>
        <w:instrText xml:space="preserve"> PAGEREF _Toc233182903 \h </w:instrText>
      </w:r>
      <w:r w:rsidR="00DA5E05">
        <w:rPr>
          <w:noProof/>
        </w:rPr>
      </w:r>
      <w:r w:rsidR="00DA5E05">
        <w:rPr>
          <w:noProof/>
        </w:rPr>
        <w:fldChar w:fldCharType="separate"/>
      </w:r>
      <w:r>
        <w:rPr>
          <w:noProof/>
        </w:rPr>
        <w:t>143</w:t>
      </w:r>
      <w:r w:rsidR="00DA5E05">
        <w:rPr>
          <w:noProof/>
        </w:rPr>
        <w:fldChar w:fldCharType="end"/>
      </w:r>
    </w:p>
    <w:p w14:paraId="1D804BD6"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9. Standardized</w:t>
      </w:r>
      <w:r w:rsidRPr="00F33324">
        <w:rPr>
          <w:noProof/>
          <w:vertAlign w:val="superscript"/>
        </w:rPr>
        <w:t>1</w:t>
      </w:r>
      <w:r>
        <w:rPr>
          <w:noProof/>
        </w:rPr>
        <w:t xml:space="preserve"> mean data for cross-sectional properties from pilot research</w:t>
      </w:r>
      <w:r>
        <w:rPr>
          <w:noProof/>
        </w:rPr>
        <w:tab/>
      </w:r>
      <w:r w:rsidR="00DA5E05">
        <w:rPr>
          <w:noProof/>
        </w:rPr>
        <w:fldChar w:fldCharType="begin"/>
      </w:r>
      <w:r>
        <w:rPr>
          <w:noProof/>
        </w:rPr>
        <w:instrText xml:space="preserve"> PAGEREF _Toc233182904 \h </w:instrText>
      </w:r>
      <w:r w:rsidR="00DA5E05">
        <w:rPr>
          <w:noProof/>
        </w:rPr>
      </w:r>
      <w:r w:rsidR="00DA5E05">
        <w:rPr>
          <w:noProof/>
        </w:rPr>
        <w:fldChar w:fldCharType="separate"/>
      </w:r>
      <w:r>
        <w:rPr>
          <w:noProof/>
        </w:rPr>
        <w:t>144</w:t>
      </w:r>
      <w:r w:rsidR="00DA5E05">
        <w:rPr>
          <w:noProof/>
        </w:rPr>
        <w:fldChar w:fldCharType="end"/>
      </w:r>
    </w:p>
    <w:p w14:paraId="5DEA1E11"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10. Mean data for histomorphological properties from pilot research</w:t>
      </w:r>
      <w:r>
        <w:rPr>
          <w:noProof/>
        </w:rPr>
        <w:tab/>
      </w:r>
      <w:r w:rsidR="00DA5E05">
        <w:rPr>
          <w:noProof/>
        </w:rPr>
        <w:fldChar w:fldCharType="begin"/>
      </w:r>
      <w:r>
        <w:rPr>
          <w:noProof/>
        </w:rPr>
        <w:instrText xml:space="preserve"> PAGEREF _Toc233182905 \h </w:instrText>
      </w:r>
      <w:r w:rsidR="00DA5E05">
        <w:rPr>
          <w:noProof/>
        </w:rPr>
      </w:r>
      <w:r w:rsidR="00DA5E05">
        <w:rPr>
          <w:noProof/>
        </w:rPr>
        <w:fldChar w:fldCharType="separate"/>
      </w:r>
      <w:r>
        <w:rPr>
          <w:noProof/>
        </w:rPr>
        <w:t>144</w:t>
      </w:r>
      <w:r w:rsidR="00DA5E05">
        <w:rPr>
          <w:noProof/>
        </w:rPr>
        <w:fldChar w:fldCharType="end"/>
      </w:r>
    </w:p>
    <w:p w14:paraId="79905D65"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11. Results of ANCOVA comparing body mass, stature, femoral length, and humeral length between stress groups.</w:t>
      </w:r>
      <w:r>
        <w:rPr>
          <w:noProof/>
        </w:rPr>
        <w:tab/>
      </w:r>
      <w:r w:rsidR="00DA5E05">
        <w:rPr>
          <w:noProof/>
        </w:rPr>
        <w:fldChar w:fldCharType="begin"/>
      </w:r>
      <w:r>
        <w:rPr>
          <w:noProof/>
        </w:rPr>
        <w:instrText xml:space="preserve"> PAGEREF _Toc233182906 \h </w:instrText>
      </w:r>
      <w:r w:rsidR="00DA5E05">
        <w:rPr>
          <w:noProof/>
        </w:rPr>
      </w:r>
      <w:r w:rsidR="00DA5E05">
        <w:rPr>
          <w:noProof/>
        </w:rPr>
        <w:fldChar w:fldCharType="separate"/>
      </w:r>
      <w:r>
        <w:rPr>
          <w:noProof/>
        </w:rPr>
        <w:t>146</w:t>
      </w:r>
      <w:r w:rsidR="00DA5E05">
        <w:rPr>
          <w:noProof/>
        </w:rPr>
        <w:fldChar w:fldCharType="end"/>
      </w:r>
    </w:p>
    <w:p w14:paraId="325BE91F"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12. Results of ANCOVA for cross-sectional geometric properties between stress groups.</w:t>
      </w:r>
      <w:r>
        <w:rPr>
          <w:noProof/>
        </w:rPr>
        <w:tab/>
      </w:r>
      <w:r w:rsidR="00DA5E05">
        <w:rPr>
          <w:noProof/>
        </w:rPr>
        <w:fldChar w:fldCharType="begin"/>
      </w:r>
      <w:r>
        <w:rPr>
          <w:noProof/>
        </w:rPr>
        <w:instrText xml:space="preserve"> PAGEREF _Toc233182907 \h </w:instrText>
      </w:r>
      <w:r w:rsidR="00DA5E05">
        <w:rPr>
          <w:noProof/>
        </w:rPr>
      </w:r>
      <w:r w:rsidR="00DA5E05">
        <w:rPr>
          <w:noProof/>
        </w:rPr>
        <w:fldChar w:fldCharType="separate"/>
      </w:r>
      <w:r>
        <w:rPr>
          <w:noProof/>
        </w:rPr>
        <w:t>146</w:t>
      </w:r>
      <w:r w:rsidR="00DA5E05">
        <w:rPr>
          <w:noProof/>
        </w:rPr>
        <w:fldChar w:fldCharType="end"/>
      </w:r>
    </w:p>
    <w:p w14:paraId="0B0B26CD"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13. Results of ANCOVA for cross-sectional geometric properties across elements within stress groups.</w:t>
      </w:r>
      <w:r>
        <w:rPr>
          <w:noProof/>
        </w:rPr>
        <w:tab/>
      </w:r>
      <w:r w:rsidR="00DA5E05">
        <w:rPr>
          <w:noProof/>
        </w:rPr>
        <w:fldChar w:fldCharType="begin"/>
      </w:r>
      <w:r>
        <w:rPr>
          <w:noProof/>
        </w:rPr>
        <w:instrText xml:space="preserve"> PAGEREF _Toc233182908 \h </w:instrText>
      </w:r>
      <w:r w:rsidR="00DA5E05">
        <w:rPr>
          <w:noProof/>
        </w:rPr>
      </w:r>
      <w:r w:rsidR="00DA5E05">
        <w:rPr>
          <w:noProof/>
        </w:rPr>
        <w:fldChar w:fldCharType="separate"/>
      </w:r>
      <w:r>
        <w:rPr>
          <w:noProof/>
        </w:rPr>
        <w:t>147</w:t>
      </w:r>
      <w:r w:rsidR="00DA5E05">
        <w:rPr>
          <w:noProof/>
        </w:rPr>
        <w:fldChar w:fldCharType="end"/>
      </w:r>
    </w:p>
    <w:p w14:paraId="45DC4676"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14. Results of Chi-square for percent cortical area within stress groups.</w:t>
      </w:r>
      <w:r>
        <w:rPr>
          <w:noProof/>
        </w:rPr>
        <w:tab/>
      </w:r>
      <w:r w:rsidR="00DA5E05">
        <w:rPr>
          <w:noProof/>
        </w:rPr>
        <w:fldChar w:fldCharType="begin"/>
      </w:r>
      <w:r>
        <w:rPr>
          <w:noProof/>
        </w:rPr>
        <w:instrText xml:space="preserve"> PAGEREF _Toc233182909 \h </w:instrText>
      </w:r>
      <w:r w:rsidR="00DA5E05">
        <w:rPr>
          <w:noProof/>
        </w:rPr>
      </w:r>
      <w:r w:rsidR="00DA5E05">
        <w:rPr>
          <w:noProof/>
        </w:rPr>
        <w:fldChar w:fldCharType="separate"/>
      </w:r>
      <w:r>
        <w:rPr>
          <w:noProof/>
        </w:rPr>
        <w:t>148</w:t>
      </w:r>
      <w:r w:rsidR="00DA5E05">
        <w:rPr>
          <w:noProof/>
        </w:rPr>
        <w:fldChar w:fldCharType="end"/>
      </w:r>
    </w:p>
    <w:p w14:paraId="2E87FB5A"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15. Results of ANCOVA for histomorphometric properties between stress groups.</w:t>
      </w:r>
      <w:r>
        <w:rPr>
          <w:noProof/>
        </w:rPr>
        <w:tab/>
      </w:r>
      <w:r w:rsidR="00DA5E05">
        <w:rPr>
          <w:noProof/>
        </w:rPr>
        <w:fldChar w:fldCharType="begin"/>
      </w:r>
      <w:r>
        <w:rPr>
          <w:noProof/>
        </w:rPr>
        <w:instrText xml:space="preserve"> PAGEREF _Toc233182910 \h </w:instrText>
      </w:r>
      <w:r w:rsidR="00DA5E05">
        <w:rPr>
          <w:noProof/>
        </w:rPr>
      </w:r>
      <w:r w:rsidR="00DA5E05">
        <w:rPr>
          <w:noProof/>
        </w:rPr>
        <w:fldChar w:fldCharType="separate"/>
      </w:r>
      <w:r>
        <w:rPr>
          <w:noProof/>
        </w:rPr>
        <w:t>148</w:t>
      </w:r>
      <w:r w:rsidR="00DA5E05">
        <w:rPr>
          <w:noProof/>
        </w:rPr>
        <w:fldChar w:fldCharType="end"/>
      </w:r>
    </w:p>
    <w:p w14:paraId="31C28769" w14:textId="77777777" w:rsidR="006269F7" w:rsidRDefault="006269F7">
      <w:pPr>
        <w:pStyle w:val="TableofFigures"/>
        <w:tabs>
          <w:tab w:val="right" w:leader="dot" w:pos="8630"/>
        </w:tabs>
        <w:rPr>
          <w:rFonts w:asciiTheme="minorHAnsi" w:eastAsiaTheme="minorEastAsia" w:hAnsiTheme="minorHAnsi" w:cstheme="minorBidi"/>
          <w:noProof/>
          <w:lang w:eastAsia="ja-JP"/>
        </w:rPr>
      </w:pPr>
      <w:r>
        <w:rPr>
          <w:noProof/>
        </w:rPr>
        <w:t>Table 16. Results of ANCOVA for histomorphometric properties across elements within stress groups.</w:t>
      </w:r>
      <w:r>
        <w:rPr>
          <w:noProof/>
        </w:rPr>
        <w:tab/>
      </w:r>
      <w:r w:rsidR="00DA5E05">
        <w:rPr>
          <w:noProof/>
        </w:rPr>
        <w:fldChar w:fldCharType="begin"/>
      </w:r>
      <w:r>
        <w:rPr>
          <w:noProof/>
        </w:rPr>
        <w:instrText xml:space="preserve"> PAGEREF _Toc233182911 \h </w:instrText>
      </w:r>
      <w:r w:rsidR="00DA5E05">
        <w:rPr>
          <w:noProof/>
        </w:rPr>
      </w:r>
      <w:r w:rsidR="00DA5E05">
        <w:rPr>
          <w:noProof/>
        </w:rPr>
        <w:fldChar w:fldCharType="separate"/>
      </w:r>
      <w:r>
        <w:rPr>
          <w:noProof/>
        </w:rPr>
        <w:t>149</w:t>
      </w:r>
      <w:r w:rsidR="00DA5E05">
        <w:rPr>
          <w:noProof/>
        </w:rPr>
        <w:fldChar w:fldCharType="end"/>
      </w:r>
    </w:p>
    <w:p w14:paraId="0ED18736" w14:textId="77777777" w:rsidR="00236E6D" w:rsidRPr="00B61308" w:rsidRDefault="00DA5E0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B61308">
        <w:fldChar w:fldCharType="end"/>
      </w:r>
    </w:p>
    <w:p w14:paraId="173CE1B6" w14:textId="77777777" w:rsidR="00236E6D" w:rsidRPr="00B61308" w:rsidRDefault="00236E6D">
      <w:pPr>
        <w:spacing w:line="2" w:lineRule="exact"/>
      </w:pPr>
    </w:p>
    <w:p w14:paraId="15ABB459" w14:textId="77777777" w:rsidR="00236E6D" w:rsidRPr="00B61308" w:rsidRDefault="00236E6D">
      <w:pPr>
        <w:spacing w:line="2" w:lineRule="exact"/>
      </w:pPr>
    </w:p>
    <w:p w14:paraId="77327AC4" w14:textId="77777777" w:rsidR="00236E6D" w:rsidRPr="00B61308" w:rsidRDefault="00236E6D">
      <w:pPr>
        <w:pStyle w:val="Level1"/>
        <w:tabs>
          <w:tab w:val="right" w:leader="dot" w:pos="8228"/>
        </w:tabs>
        <w:ind w:left="0"/>
        <w:rPr>
          <w:b/>
          <w:bCs/>
          <w:sz w:val="28"/>
          <w:szCs w:val="28"/>
        </w:rPr>
      </w:pPr>
    </w:p>
    <w:p w14:paraId="669CB97F" w14:textId="77777777" w:rsidR="0085757D" w:rsidRPr="00B61308" w:rsidRDefault="0085757D">
      <w:pPr>
        <w:pStyle w:val="Level1"/>
        <w:tabs>
          <w:tab w:val="right" w:leader="dot" w:pos="8228"/>
        </w:tabs>
        <w:ind w:left="0"/>
        <w:rPr>
          <w:b/>
          <w:bCs/>
          <w:sz w:val="28"/>
          <w:szCs w:val="28"/>
        </w:rPr>
      </w:pPr>
    </w:p>
    <w:p w14:paraId="25852690" w14:textId="77777777" w:rsidR="0085757D" w:rsidRPr="00B61308" w:rsidRDefault="0085757D">
      <w:pPr>
        <w:pStyle w:val="Level1"/>
        <w:tabs>
          <w:tab w:val="right" w:leader="dot" w:pos="8228"/>
        </w:tabs>
        <w:ind w:left="0"/>
        <w:rPr>
          <w:b/>
          <w:bCs/>
          <w:sz w:val="28"/>
          <w:szCs w:val="28"/>
        </w:rPr>
      </w:pPr>
    </w:p>
    <w:p w14:paraId="00252B99" w14:textId="77777777" w:rsidR="0085757D" w:rsidRPr="00B61308" w:rsidRDefault="0085757D">
      <w:pPr>
        <w:pStyle w:val="Level1"/>
        <w:tabs>
          <w:tab w:val="right" w:leader="dot" w:pos="8228"/>
        </w:tabs>
        <w:ind w:left="0"/>
        <w:rPr>
          <w:b/>
          <w:bCs/>
          <w:sz w:val="28"/>
          <w:szCs w:val="28"/>
        </w:rPr>
      </w:pPr>
    </w:p>
    <w:p w14:paraId="2D06326C" w14:textId="77777777" w:rsidR="0085757D" w:rsidRPr="00B61308" w:rsidRDefault="0085757D">
      <w:pPr>
        <w:pStyle w:val="Level1"/>
        <w:tabs>
          <w:tab w:val="right" w:leader="dot" w:pos="8228"/>
        </w:tabs>
        <w:ind w:left="0"/>
        <w:rPr>
          <w:b/>
          <w:bCs/>
          <w:sz w:val="28"/>
          <w:szCs w:val="28"/>
        </w:rPr>
      </w:pPr>
    </w:p>
    <w:p w14:paraId="61C928A8" w14:textId="77777777" w:rsidR="0085757D" w:rsidRPr="00B61308" w:rsidRDefault="0085757D">
      <w:pPr>
        <w:pStyle w:val="Level1"/>
        <w:tabs>
          <w:tab w:val="right" w:leader="dot" w:pos="8228"/>
        </w:tabs>
        <w:ind w:left="0"/>
        <w:rPr>
          <w:b/>
          <w:bCs/>
          <w:sz w:val="28"/>
          <w:szCs w:val="28"/>
        </w:rPr>
      </w:pPr>
    </w:p>
    <w:p w14:paraId="7D29B1EF" w14:textId="77777777" w:rsidR="00236E6D" w:rsidRPr="001E671B" w:rsidRDefault="00236E6D">
      <w:pPr>
        <w:numPr>
          <w:ilvl w:val="12"/>
          <w:numId w:val="0"/>
        </w:numPr>
        <w:jc w:val="center"/>
      </w:pPr>
      <w:r w:rsidRPr="00B61308">
        <w:rPr>
          <w:sz w:val="28"/>
          <w:szCs w:val="28"/>
        </w:rPr>
        <w:br w:type="page"/>
      </w:r>
      <w:r w:rsidRPr="001E671B">
        <w:rPr>
          <w:bCs/>
          <w:sz w:val="28"/>
          <w:szCs w:val="28"/>
        </w:rPr>
        <w:lastRenderedPageBreak/>
        <w:t>LIST OF FIGURES</w:t>
      </w:r>
    </w:p>
    <w:p w14:paraId="439C1629" w14:textId="77777777" w:rsidR="00236E6D" w:rsidRPr="00B61308"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14:paraId="560AF1F1" w14:textId="77777777" w:rsidR="00A20F0D" w:rsidRDefault="00DA5E05">
      <w:pPr>
        <w:pStyle w:val="TableofFigures"/>
        <w:tabs>
          <w:tab w:val="right" w:leader="dot" w:pos="8630"/>
        </w:tabs>
        <w:rPr>
          <w:rFonts w:asciiTheme="minorHAnsi" w:eastAsiaTheme="minorEastAsia" w:hAnsiTheme="minorHAnsi" w:cstheme="minorBidi"/>
          <w:noProof/>
          <w:lang w:eastAsia="ja-JP"/>
        </w:rPr>
      </w:pPr>
      <w:r w:rsidRPr="00B61308">
        <w:fldChar w:fldCharType="begin"/>
      </w:r>
      <w:r w:rsidR="00304BD0" w:rsidRPr="00B61308">
        <w:instrText xml:space="preserve"> TOC \h \z \c "Figure" </w:instrText>
      </w:r>
      <w:r w:rsidRPr="00B61308">
        <w:fldChar w:fldCharType="separate"/>
      </w:r>
      <w:r w:rsidR="00A20F0D">
        <w:rPr>
          <w:noProof/>
        </w:rPr>
        <w:t>Figure 1. Diagram of the mechanostat model of bone mechanical adaptation (adapted from Lanyon, 1982).</w:t>
      </w:r>
      <w:r w:rsidR="00A20F0D">
        <w:rPr>
          <w:noProof/>
        </w:rPr>
        <w:tab/>
      </w:r>
      <w:r w:rsidR="00A20F0D">
        <w:rPr>
          <w:noProof/>
        </w:rPr>
        <w:fldChar w:fldCharType="begin"/>
      </w:r>
      <w:r w:rsidR="00A20F0D">
        <w:rPr>
          <w:noProof/>
        </w:rPr>
        <w:instrText xml:space="preserve"> PAGEREF _Toc233257063 \h </w:instrText>
      </w:r>
      <w:r w:rsidR="00A20F0D">
        <w:rPr>
          <w:noProof/>
        </w:rPr>
      </w:r>
      <w:r w:rsidR="00A20F0D">
        <w:rPr>
          <w:noProof/>
        </w:rPr>
        <w:fldChar w:fldCharType="separate"/>
      </w:r>
      <w:r w:rsidR="00A20F0D">
        <w:rPr>
          <w:noProof/>
        </w:rPr>
        <w:t>13</w:t>
      </w:r>
      <w:r w:rsidR="00A20F0D">
        <w:rPr>
          <w:noProof/>
        </w:rPr>
        <w:fldChar w:fldCharType="end"/>
      </w:r>
    </w:p>
    <w:p w14:paraId="7CF09C97"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2. Diagram of the mechanobiology model of bone mechanical adaptation (adapted from Carter and Beaupré, 2001).</w:t>
      </w:r>
      <w:r>
        <w:rPr>
          <w:noProof/>
        </w:rPr>
        <w:tab/>
      </w:r>
      <w:r>
        <w:rPr>
          <w:noProof/>
        </w:rPr>
        <w:fldChar w:fldCharType="begin"/>
      </w:r>
      <w:r>
        <w:rPr>
          <w:noProof/>
        </w:rPr>
        <w:instrText xml:space="preserve"> PAGEREF _Toc233257064 \h </w:instrText>
      </w:r>
      <w:r>
        <w:rPr>
          <w:noProof/>
        </w:rPr>
      </w:r>
      <w:r>
        <w:rPr>
          <w:noProof/>
        </w:rPr>
        <w:fldChar w:fldCharType="separate"/>
      </w:r>
      <w:r>
        <w:rPr>
          <w:noProof/>
        </w:rPr>
        <w:t>16</w:t>
      </w:r>
      <w:r>
        <w:rPr>
          <w:noProof/>
        </w:rPr>
        <w:fldChar w:fldCharType="end"/>
      </w:r>
    </w:p>
    <w:p w14:paraId="35B4383B"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4. Diagram of the complex relationships among factors influencing metabolic status.</w:t>
      </w:r>
      <w:r>
        <w:rPr>
          <w:noProof/>
        </w:rPr>
        <w:tab/>
      </w:r>
      <w:r>
        <w:rPr>
          <w:noProof/>
        </w:rPr>
        <w:fldChar w:fldCharType="begin"/>
      </w:r>
      <w:r>
        <w:rPr>
          <w:noProof/>
        </w:rPr>
        <w:instrText xml:space="preserve"> PAGEREF _Toc233257065 \h </w:instrText>
      </w:r>
      <w:r>
        <w:rPr>
          <w:noProof/>
        </w:rPr>
      </w:r>
      <w:r>
        <w:rPr>
          <w:noProof/>
        </w:rPr>
        <w:fldChar w:fldCharType="separate"/>
      </w:r>
      <w:r>
        <w:rPr>
          <w:noProof/>
        </w:rPr>
        <w:t>63</w:t>
      </w:r>
      <w:r>
        <w:rPr>
          <w:noProof/>
        </w:rPr>
        <w:fldChar w:fldCharType="end"/>
      </w:r>
    </w:p>
    <w:p w14:paraId="5DDDEE26"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4. Diagram of the complex mechanisms regulating calcium metabolism.</w:t>
      </w:r>
      <w:r>
        <w:rPr>
          <w:noProof/>
        </w:rPr>
        <w:tab/>
      </w:r>
      <w:r>
        <w:rPr>
          <w:noProof/>
        </w:rPr>
        <w:fldChar w:fldCharType="begin"/>
      </w:r>
      <w:r>
        <w:rPr>
          <w:noProof/>
        </w:rPr>
        <w:instrText xml:space="preserve"> PAGEREF _Toc233257066 \h </w:instrText>
      </w:r>
      <w:r>
        <w:rPr>
          <w:noProof/>
        </w:rPr>
      </w:r>
      <w:r>
        <w:rPr>
          <w:noProof/>
        </w:rPr>
        <w:fldChar w:fldCharType="separate"/>
      </w:r>
      <w:r>
        <w:rPr>
          <w:noProof/>
        </w:rPr>
        <w:t>72</w:t>
      </w:r>
      <w:r>
        <w:rPr>
          <w:noProof/>
        </w:rPr>
        <w:fldChar w:fldCharType="end"/>
      </w:r>
    </w:p>
    <w:p w14:paraId="260602EB"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5. Histological sampling locations for femora, humeri, and rib elements.  (ADD LONG BONE PICTURE)</w:t>
      </w:r>
      <w:r>
        <w:rPr>
          <w:noProof/>
        </w:rPr>
        <w:tab/>
      </w:r>
      <w:r>
        <w:rPr>
          <w:noProof/>
        </w:rPr>
        <w:fldChar w:fldCharType="begin"/>
      </w:r>
      <w:r>
        <w:rPr>
          <w:noProof/>
        </w:rPr>
        <w:instrText xml:space="preserve"> PAGEREF _Toc233257067 \h </w:instrText>
      </w:r>
      <w:r>
        <w:rPr>
          <w:noProof/>
        </w:rPr>
      </w:r>
      <w:r>
        <w:rPr>
          <w:noProof/>
        </w:rPr>
        <w:fldChar w:fldCharType="separate"/>
      </w:r>
      <w:r>
        <w:rPr>
          <w:noProof/>
        </w:rPr>
        <w:t>129</w:t>
      </w:r>
      <w:r>
        <w:rPr>
          <w:noProof/>
        </w:rPr>
        <w:fldChar w:fldCharType="end"/>
      </w:r>
    </w:p>
    <w:p w14:paraId="4FAAC66A"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6. Anatomical alignment of long bones to maintain orientation of histological samples after sectioning.</w:t>
      </w:r>
      <w:r>
        <w:rPr>
          <w:noProof/>
        </w:rPr>
        <w:tab/>
      </w:r>
      <w:r>
        <w:rPr>
          <w:noProof/>
        </w:rPr>
        <w:fldChar w:fldCharType="begin"/>
      </w:r>
      <w:r>
        <w:rPr>
          <w:noProof/>
        </w:rPr>
        <w:instrText xml:space="preserve"> PAGEREF _Toc233257068 \h </w:instrText>
      </w:r>
      <w:r>
        <w:rPr>
          <w:noProof/>
        </w:rPr>
      </w:r>
      <w:r>
        <w:rPr>
          <w:noProof/>
        </w:rPr>
        <w:fldChar w:fldCharType="separate"/>
      </w:r>
      <w:r>
        <w:rPr>
          <w:noProof/>
        </w:rPr>
        <w:t>130</w:t>
      </w:r>
      <w:r>
        <w:rPr>
          <w:noProof/>
        </w:rPr>
        <w:fldChar w:fldCharType="end"/>
      </w:r>
    </w:p>
    <w:p w14:paraId="658AB090"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7. Methodology for processing images of bone cross-sections and defining histological regions of interest.</w:t>
      </w:r>
      <w:r>
        <w:rPr>
          <w:noProof/>
        </w:rPr>
        <w:tab/>
      </w:r>
      <w:r>
        <w:rPr>
          <w:noProof/>
        </w:rPr>
        <w:fldChar w:fldCharType="begin"/>
      </w:r>
      <w:r>
        <w:rPr>
          <w:noProof/>
        </w:rPr>
        <w:instrText xml:space="preserve"> PAGEREF _Toc233257069 \h </w:instrText>
      </w:r>
      <w:r>
        <w:rPr>
          <w:noProof/>
        </w:rPr>
      </w:r>
      <w:r>
        <w:rPr>
          <w:noProof/>
        </w:rPr>
        <w:fldChar w:fldCharType="separate"/>
      </w:r>
      <w:r>
        <w:rPr>
          <w:noProof/>
        </w:rPr>
        <w:t>136</w:t>
      </w:r>
      <w:r>
        <w:rPr>
          <w:noProof/>
        </w:rPr>
        <w:fldChar w:fldCharType="end"/>
      </w:r>
    </w:p>
    <w:p w14:paraId="14A47F46"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8. Scatterplots of body mass, stature, femoral length, and humeral length by age and stress group.</w:t>
      </w:r>
      <w:r>
        <w:rPr>
          <w:noProof/>
        </w:rPr>
        <w:tab/>
      </w:r>
      <w:r>
        <w:rPr>
          <w:noProof/>
        </w:rPr>
        <w:fldChar w:fldCharType="begin"/>
      </w:r>
      <w:r>
        <w:rPr>
          <w:noProof/>
        </w:rPr>
        <w:instrText xml:space="preserve"> PAGEREF _Toc233257070 \h </w:instrText>
      </w:r>
      <w:r>
        <w:rPr>
          <w:noProof/>
        </w:rPr>
      </w:r>
      <w:r>
        <w:rPr>
          <w:noProof/>
        </w:rPr>
        <w:fldChar w:fldCharType="separate"/>
      </w:r>
      <w:r>
        <w:rPr>
          <w:noProof/>
        </w:rPr>
        <w:t>155</w:t>
      </w:r>
      <w:r>
        <w:rPr>
          <w:noProof/>
        </w:rPr>
        <w:fldChar w:fldCharType="end"/>
      </w:r>
    </w:p>
    <w:p w14:paraId="05B356AF"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9. Scatterplot of skeletal age estimates by dental age estimates for each individual.</w:t>
      </w:r>
      <w:r>
        <w:rPr>
          <w:noProof/>
        </w:rPr>
        <w:tab/>
      </w:r>
      <w:r>
        <w:rPr>
          <w:noProof/>
        </w:rPr>
        <w:fldChar w:fldCharType="begin"/>
      </w:r>
      <w:r>
        <w:rPr>
          <w:noProof/>
        </w:rPr>
        <w:instrText xml:space="preserve"> PAGEREF _Toc233257071 \h </w:instrText>
      </w:r>
      <w:r>
        <w:rPr>
          <w:noProof/>
        </w:rPr>
      </w:r>
      <w:r>
        <w:rPr>
          <w:noProof/>
        </w:rPr>
        <w:fldChar w:fldCharType="separate"/>
      </w:r>
      <w:r>
        <w:rPr>
          <w:noProof/>
        </w:rPr>
        <w:t>156</w:t>
      </w:r>
      <w:r>
        <w:rPr>
          <w:noProof/>
        </w:rPr>
        <w:fldChar w:fldCharType="end"/>
      </w:r>
    </w:p>
    <w:p w14:paraId="4C11182B"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10. Boxplots of cross-sectional geometric properties between stress groups.</w:t>
      </w:r>
      <w:r>
        <w:rPr>
          <w:noProof/>
        </w:rPr>
        <w:tab/>
      </w:r>
      <w:r>
        <w:rPr>
          <w:noProof/>
        </w:rPr>
        <w:fldChar w:fldCharType="begin"/>
      </w:r>
      <w:r>
        <w:rPr>
          <w:noProof/>
        </w:rPr>
        <w:instrText xml:space="preserve"> PAGEREF _Toc233257072 \h </w:instrText>
      </w:r>
      <w:r>
        <w:rPr>
          <w:noProof/>
        </w:rPr>
      </w:r>
      <w:r>
        <w:rPr>
          <w:noProof/>
        </w:rPr>
        <w:fldChar w:fldCharType="separate"/>
      </w:r>
      <w:r>
        <w:rPr>
          <w:noProof/>
        </w:rPr>
        <w:t>157</w:t>
      </w:r>
      <w:r>
        <w:rPr>
          <w:noProof/>
        </w:rPr>
        <w:fldChar w:fldCharType="end"/>
      </w:r>
    </w:p>
    <w:p w14:paraId="46D903FC"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11. Boxplots of humeral cross-sectional geometric properties standardized by bone length.</w:t>
      </w:r>
      <w:r>
        <w:rPr>
          <w:noProof/>
        </w:rPr>
        <w:tab/>
      </w:r>
      <w:r>
        <w:rPr>
          <w:noProof/>
        </w:rPr>
        <w:fldChar w:fldCharType="begin"/>
      </w:r>
      <w:r>
        <w:rPr>
          <w:noProof/>
        </w:rPr>
        <w:instrText xml:space="preserve"> PAGEREF _Toc233257073 \h </w:instrText>
      </w:r>
      <w:r>
        <w:rPr>
          <w:noProof/>
        </w:rPr>
      </w:r>
      <w:r>
        <w:rPr>
          <w:noProof/>
        </w:rPr>
        <w:fldChar w:fldCharType="separate"/>
      </w:r>
      <w:r>
        <w:rPr>
          <w:noProof/>
        </w:rPr>
        <w:t>158</w:t>
      </w:r>
      <w:r>
        <w:rPr>
          <w:noProof/>
        </w:rPr>
        <w:fldChar w:fldCharType="end"/>
      </w:r>
    </w:p>
    <w:p w14:paraId="0E7AB6A3" w14:textId="77777777" w:rsidR="00A20F0D" w:rsidRDefault="00A20F0D">
      <w:pPr>
        <w:pStyle w:val="TableofFigures"/>
        <w:tabs>
          <w:tab w:val="right" w:leader="dot" w:pos="8630"/>
        </w:tabs>
        <w:rPr>
          <w:rFonts w:asciiTheme="minorHAnsi" w:eastAsiaTheme="minorEastAsia" w:hAnsiTheme="minorHAnsi" w:cstheme="minorBidi"/>
          <w:noProof/>
          <w:lang w:eastAsia="ja-JP"/>
        </w:rPr>
      </w:pPr>
      <w:r>
        <w:rPr>
          <w:noProof/>
        </w:rPr>
        <w:t>Figure 12. Boxplots of cross-sectional geometric properties across elements within stress groups.</w:t>
      </w:r>
      <w:r>
        <w:rPr>
          <w:noProof/>
        </w:rPr>
        <w:tab/>
      </w:r>
      <w:r>
        <w:rPr>
          <w:noProof/>
        </w:rPr>
        <w:fldChar w:fldCharType="begin"/>
      </w:r>
      <w:r>
        <w:rPr>
          <w:noProof/>
        </w:rPr>
        <w:instrText xml:space="preserve"> PAGEREF _Toc233257074 \h </w:instrText>
      </w:r>
      <w:r>
        <w:rPr>
          <w:noProof/>
        </w:rPr>
      </w:r>
      <w:r>
        <w:rPr>
          <w:noProof/>
        </w:rPr>
        <w:fldChar w:fldCharType="separate"/>
      </w:r>
      <w:r>
        <w:rPr>
          <w:noProof/>
        </w:rPr>
        <w:t>159</w:t>
      </w:r>
      <w:r>
        <w:rPr>
          <w:noProof/>
        </w:rPr>
        <w:fldChar w:fldCharType="end"/>
      </w:r>
    </w:p>
    <w:p w14:paraId="14BD47C3" w14:textId="77777777" w:rsidR="003C1575" w:rsidRPr="00B61308" w:rsidRDefault="00DA5E05">
      <w:pPr>
        <w:numPr>
          <w:ilvl w:val="12"/>
          <w:numId w:val="0"/>
        </w:numPr>
      </w:pPr>
      <w:r w:rsidRPr="00B61308">
        <w:fldChar w:fldCharType="end"/>
      </w:r>
    </w:p>
    <w:p w14:paraId="3C76AE53" w14:textId="77777777" w:rsidR="0085757D" w:rsidRPr="00B61308" w:rsidRDefault="0085757D">
      <w:pPr>
        <w:numPr>
          <w:ilvl w:val="12"/>
          <w:numId w:val="0"/>
        </w:numPr>
      </w:pPr>
    </w:p>
    <w:p w14:paraId="300A7F9E" w14:textId="77777777" w:rsidR="0085757D" w:rsidRPr="00B61308" w:rsidRDefault="0085757D">
      <w:pPr>
        <w:numPr>
          <w:ilvl w:val="12"/>
          <w:numId w:val="0"/>
        </w:numPr>
      </w:pPr>
    </w:p>
    <w:p w14:paraId="1DCEA598" w14:textId="77777777" w:rsidR="0085757D" w:rsidRPr="00B61308" w:rsidRDefault="0085757D">
      <w:pPr>
        <w:numPr>
          <w:ilvl w:val="12"/>
          <w:numId w:val="0"/>
        </w:numPr>
      </w:pPr>
    </w:p>
    <w:p w14:paraId="1BB37FDA" w14:textId="77777777" w:rsidR="0085757D" w:rsidRPr="00B61308" w:rsidRDefault="0085757D">
      <w:pPr>
        <w:numPr>
          <w:ilvl w:val="12"/>
          <w:numId w:val="0"/>
        </w:numPr>
      </w:pPr>
    </w:p>
    <w:p w14:paraId="503C9A8C" w14:textId="77777777" w:rsidR="0085757D" w:rsidRPr="00B61308" w:rsidRDefault="0085757D">
      <w:pPr>
        <w:numPr>
          <w:ilvl w:val="12"/>
          <w:numId w:val="0"/>
        </w:numPr>
        <w:sectPr w:rsidR="0085757D" w:rsidRPr="00B61308" w:rsidSect="00437FA5">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14:paraId="4001CA38" w14:textId="77777777" w:rsidR="00236E6D" w:rsidRPr="00B61308" w:rsidRDefault="00264090" w:rsidP="00264090">
      <w:pPr>
        <w:pStyle w:val="Heading1"/>
      </w:pPr>
      <w:bookmarkStart w:id="0" w:name="_Toc233171615"/>
      <w:r>
        <w:lastRenderedPageBreak/>
        <w:t>Chapter 1: Introduction</w:t>
      </w:r>
      <w:bookmarkEnd w:id="0"/>
    </w:p>
    <w:p w14:paraId="1FB7ACA0" w14:textId="77777777" w:rsidR="00236E6D" w:rsidRDefault="00236E6D">
      <w:pPr>
        <w:pStyle w:val="Footer"/>
        <w:numPr>
          <w:ilvl w:val="12"/>
          <w:numId w:val="0"/>
        </w:numPr>
        <w:tabs>
          <w:tab w:val="clear" w:pos="4320"/>
          <w:tab w:val="clear" w:pos="8640"/>
        </w:tabs>
      </w:pPr>
    </w:p>
    <w:p w14:paraId="64662747" w14:textId="77777777" w:rsidR="00264090" w:rsidRPr="00B61308" w:rsidRDefault="00264090">
      <w:pPr>
        <w:pStyle w:val="Footer"/>
        <w:numPr>
          <w:ilvl w:val="12"/>
          <w:numId w:val="0"/>
        </w:numPr>
        <w:tabs>
          <w:tab w:val="clear" w:pos="4320"/>
          <w:tab w:val="clear" w:pos="8640"/>
        </w:tabs>
      </w:pPr>
    </w:p>
    <w:p w14:paraId="3DFDAEA0" w14:textId="77777777" w:rsidR="004B0657" w:rsidRDefault="004B0657" w:rsidP="004B0657">
      <w:pPr>
        <w:spacing w:line="480" w:lineRule="auto"/>
        <w:ind w:firstLine="720"/>
      </w:pPr>
      <w:r w:rsidRPr="00F33CCD">
        <w:t xml:space="preserve">Biological anthropologists often examine cortical bone </w:t>
      </w:r>
      <w:r>
        <w:t>in</w:t>
      </w:r>
      <w:r w:rsidRPr="00F33CCD">
        <w:t xml:space="preserve"> </w:t>
      </w:r>
      <w:r>
        <w:t xml:space="preserve">human </w:t>
      </w:r>
      <w:r w:rsidRPr="00F33CCD">
        <w:t xml:space="preserve">skeletal remains to deduce the influence of environmental factors, such as </w:t>
      </w:r>
      <w:r>
        <w:t>physical activity</w:t>
      </w:r>
      <w:r w:rsidRPr="00F33CCD">
        <w:t xml:space="preserve"> and metabolic stress, on </w:t>
      </w:r>
      <w:r>
        <w:t xml:space="preserve">the skeletal morphologies of </w:t>
      </w:r>
      <w:r w:rsidRPr="00F33CCD">
        <w:t>human populations.</w:t>
      </w:r>
      <w:r w:rsidR="006A3BEE">
        <w:t xml:space="preserve"> </w:t>
      </w:r>
      <w:r>
        <w:t>Such</w:t>
      </w:r>
      <w:r w:rsidRPr="00F33CCD">
        <w:t xml:space="preserve"> analyses </w:t>
      </w:r>
      <w:r>
        <w:t>are foundation for</w:t>
      </w:r>
      <w:r w:rsidRPr="00F33CCD">
        <w:t xml:space="preserve"> </w:t>
      </w:r>
      <w:r>
        <w:t xml:space="preserve">the </w:t>
      </w:r>
      <w:r w:rsidRPr="00F33CCD">
        <w:t>behavior</w:t>
      </w:r>
      <w:r>
        <w:t>al reconstruction of past populations</w:t>
      </w:r>
      <w:r w:rsidRPr="00F33CCD">
        <w:t xml:space="preserve">, </w:t>
      </w:r>
      <w:r>
        <w:t>models of diachronic changes in biocultural practices</w:t>
      </w:r>
      <w:r w:rsidRPr="00F33CCD">
        <w:t xml:space="preserve">, and </w:t>
      </w:r>
      <w:r>
        <w:t xml:space="preserve">the </w:t>
      </w:r>
      <w:r w:rsidRPr="00F33CCD">
        <w:t>understand</w:t>
      </w:r>
      <w:r>
        <w:t>ing</w:t>
      </w:r>
      <w:r w:rsidRPr="00F33CCD">
        <w:t xml:space="preserve"> </w:t>
      </w:r>
      <w:r>
        <w:t xml:space="preserve">of </w:t>
      </w:r>
      <w:r w:rsidRPr="00F33CCD">
        <w:t>biological and biocultural adaptation in humans (Ag</w:t>
      </w:r>
      <w:r>
        <w:t>arwal, 2008; Ruff, 2008; Pinhasi and Stock, 2011</w:t>
      </w:r>
      <w:r w:rsidRPr="00F33CCD">
        <w:t>).</w:t>
      </w:r>
      <w:r w:rsidR="006A3BEE">
        <w:t xml:space="preserve"> </w:t>
      </w:r>
      <w:r>
        <w:t xml:space="preserve">Furthermore, many aspects of skeletal morphological variation within and among human populations are the product of individual ontogeny; adult skeletal properties and dimensions are largely shaped by factors encountered during primary growth (Cameron and Demerath, 2002; </w:t>
      </w:r>
      <w:r>
        <w:rPr>
          <w:rFonts w:eastAsia="Calibri"/>
        </w:rPr>
        <w:t>Ruff, 2003a; Pearson and Lieberman, 2004; Lewis, 2007</w:t>
      </w:r>
      <w:r>
        <w:t xml:space="preserve">). </w:t>
      </w:r>
    </w:p>
    <w:p w14:paraId="4821162D" w14:textId="77777777" w:rsidR="004B0657" w:rsidRPr="00F33CCD" w:rsidRDefault="004B0657" w:rsidP="004B0657">
      <w:pPr>
        <w:spacing w:line="480" w:lineRule="auto"/>
        <w:ind w:firstLine="720"/>
      </w:pPr>
      <w:r>
        <w:t>A thorough understanding of</w:t>
      </w:r>
      <w:r w:rsidRPr="00F33CCD">
        <w:t xml:space="preserve"> the effects of mechanics and metaboli</w:t>
      </w:r>
      <w:r>
        <w:t>sm on human bone development, then, is</w:t>
      </w:r>
      <w:r w:rsidRPr="00F33CCD">
        <w:t xml:space="preserve"> fundamental to </w:t>
      </w:r>
      <w:r>
        <w:t xml:space="preserve">any </w:t>
      </w:r>
      <w:r w:rsidRPr="00F33CCD">
        <w:t>osteological research</w:t>
      </w:r>
      <w:r>
        <w:t xml:space="preserve"> on human skeletal remains</w:t>
      </w:r>
      <w:r w:rsidRPr="00F33CCD">
        <w:t>.</w:t>
      </w:r>
      <w:r w:rsidR="006A3BEE">
        <w:t xml:space="preserve"> </w:t>
      </w:r>
      <w:r>
        <w:t xml:space="preserve">In both </w:t>
      </w:r>
      <w:r w:rsidR="00F02A94">
        <w:t>subadult</w:t>
      </w:r>
      <w:r>
        <w:t xml:space="preserve">s and adults, but especially in </w:t>
      </w:r>
      <w:r w:rsidR="00F02A94">
        <w:t>subadult</w:t>
      </w:r>
      <w:r>
        <w:t>s, c</w:t>
      </w:r>
      <w:r w:rsidRPr="00F33CCD">
        <w:t>ortical bone reacts to the</w:t>
      </w:r>
      <w:r>
        <w:t xml:space="preserve"> influence of mechanical and metabolic factors</w:t>
      </w:r>
      <w:r w:rsidRPr="00F33CCD">
        <w:t xml:space="preserve"> at both macroscopic and microscopic scales by altering its mass (i.e., quantity) and shape (i.e., distribution) (Turner, 2002; Bass et al., 2005).</w:t>
      </w:r>
      <w:r w:rsidR="006A3BEE">
        <w:t xml:space="preserve"> </w:t>
      </w:r>
      <w:r>
        <w:t xml:space="preserve">These </w:t>
      </w:r>
      <w:r w:rsidRPr="00F33CCD">
        <w:t>alterations, in turn, influence bone strength by changing how</w:t>
      </w:r>
      <w:r>
        <w:t xml:space="preserve"> forces encountered during</w:t>
      </w:r>
      <w:r w:rsidRPr="00F33CCD">
        <w:t xml:space="preserve"> mechanical load</w:t>
      </w:r>
      <w:r>
        <w:t>ing</w:t>
      </w:r>
      <w:r w:rsidRPr="00F33CCD">
        <w:t xml:space="preserve"> are distributed within the bone (Martin et al., 1998; </w:t>
      </w:r>
      <w:r>
        <w:t>Currey, 2003</w:t>
      </w:r>
      <w:r w:rsidRPr="00F33CCD">
        <w:t>).</w:t>
      </w:r>
    </w:p>
    <w:p w14:paraId="385CA553" w14:textId="77777777" w:rsidR="004B0657" w:rsidRDefault="004B0657" w:rsidP="004B0657">
      <w:pPr>
        <w:spacing w:line="480" w:lineRule="auto"/>
        <w:ind w:firstLine="720"/>
      </w:pPr>
      <w:r>
        <w:t>Of the multiple components that comprise mechanical and metabolic factors, it is well documented that</w:t>
      </w:r>
      <w:r w:rsidRPr="00F33CCD">
        <w:t xml:space="preserve"> interaction </w:t>
      </w:r>
      <w:r>
        <w:t xml:space="preserve">effects </w:t>
      </w:r>
      <w:r w:rsidRPr="00F33CCD">
        <w:t>between mechanical loading and metabolic stress may significantly influence bone morphology (</w:t>
      </w:r>
      <w:r w:rsidRPr="00C30399">
        <w:t>Ruff, 2006</w:t>
      </w:r>
      <w:r>
        <w:t xml:space="preserve">; Specker and Vukovich, 2007; </w:t>
      </w:r>
      <w:r w:rsidRPr="00F23FF3">
        <w:t>Vicente-Rodriguez e</w:t>
      </w:r>
      <w:r>
        <w:t>t al., 2008</w:t>
      </w:r>
      <w:r w:rsidRPr="00F33CCD">
        <w:t>)</w:t>
      </w:r>
      <w:r>
        <w:t>.</w:t>
      </w:r>
      <w:r w:rsidR="006A3BEE">
        <w:t xml:space="preserve"> </w:t>
      </w:r>
      <w:r>
        <w:t>Despite this knowledge</w:t>
      </w:r>
      <w:r w:rsidRPr="00F33CCD">
        <w:t xml:space="preserve">, </w:t>
      </w:r>
      <w:r>
        <w:t xml:space="preserve">until quite recently very </w:t>
      </w:r>
      <w:r w:rsidRPr="00F33CCD">
        <w:t xml:space="preserve">few studies have </w:t>
      </w:r>
      <w:r>
        <w:t xml:space="preserve">attempted to examine </w:t>
      </w:r>
      <w:r w:rsidRPr="00F33CCD">
        <w:t>this interaction in humans (</w:t>
      </w:r>
      <w:r w:rsidRPr="00F33CCD">
        <w:rPr>
          <w:color w:val="000000"/>
        </w:rPr>
        <w:t xml:space="preserve">Pearson and Lieberman, 2004; Ruff et al., </w:t>
      </w:r>
      <w:r w:rsidRPr="00F33CCD">
        <w:rPr>
          <w:color w:val="000000"/>
        </w:rPr>
        <w:lastRenderedPageBreak/>
        <w:t>2006).</w:t>
      </w:r>
      <w:r w:rsidR="006A3BEE">
        <w:t xml:space="preserve"> </w:t>
      </w:r>
      <w:r w:rsidRPr="00F33CCD">
        <w:t xml:space="preserve">Most </w:t>
      </w:r>
      <w:r>
        <w:t>researchers</w:t>
      </w:r>
      <w:r w:rsidRPr="00F33CCD">
        <w:t xml:space="preserve"> </w:t>
      </w:r>
      <w:r>
        <w:t xml:space="preserve">have </w:t>
      </w:r>
      <w:r w:rsidRPr="00F33CCD">
        <w:t>examine</w:t>
      </w:r>
      <w:r>
        <w:t>d</w:t>
      </w:r>
      <w:r w:rsidRPr="00F33CCD">
        <w:t xml:space="preserve"> these two environmental factors in isolation</w:t>
      </w:r>
      <w:r>
        <w:t xml:space="preserve"> </w:t>
      </w:r>
      <w:r w:rsidRPr="00325A0F">
        <w:t>(Rauch and Sch</w:t>
      </w:r>
      <w:r w:rsidRPr="00325A0F">
        <w:rPr>
          <w:color w:val="000000"/>
        </w:rPr>
        <w:t xml:space="preserve">önau, 2001; </w:t>
      </w:r>
      <w:r w:rsidRPr="002F02D7">
        <w:t>Cohen and Crane-Kramer, 2007; Pinhasi and Stock, 2011</w:t>
      </w:r>
      <w:r w:rsidRPr="00325A0F">
        <w:t>)</w:t>
      </w:r>
      <w:r>
        <w:t>.</w:t>
      </w:r>
      <w:r w:rsidR="006A3BEE">
        <w:t xml:space="preserve"> </w:t>
      </w:r>
      <w:r>
        <w:t>Even if it is not the intention of these studies, such separation in the analyses of mechanical loading and metabolic stress effectively models these factors as independent actors</w:t>
      </w:r>
      <w:r w:rsidRPr="00F33CCD">
        <w:t xml:space="preserve"> in shaping bone morphology</w:t>
      </w:r>
      <w:r>
        <w:t xml:space="preserve">. </w:t>
      </w:r>
    </w:p>
    <w:p w14:paraId="553F26FC" w14:textId="77777777" w:rsidR="004B0657" w:rsidRPr="00F33CCD" w:rsidRDefault="004B0657" w:rsidP="004B0657">
      <w:pPr>
        <w:spacing w:line="480" w:lineRule="auto"/>
        <w:ind w:firstLine="720"/>
      </w:pPr>
      <w:r w:rsidRPr="002F02D7">
        <w:t>Interaction effects between the two factors may actually confound</w:t>
      </w:r>
      <w:r>
        <w:t xml:space="preserve"> the</w:t>
      </w:r>
      <w:r w:rsidRPr="002F02D7">
        <w:t xml:space="preserve"> accurate interpretation of ei</w:t>
      </w:r>
      <w:r>
        <w:t>ther factor’s influence (Kimmel,</w:t>
      </w:r>
      <w:r w:rsidRPr="002F02D7">
        <w:t xml:space="preserve"> 1993; Frost and Sch</w:t>
      </w:r>
      <w:r w:rsidRPr="002F02D7">
        <w:rPr>
          <w:color w:val="000000"/>
        </w:rPr>
        <w:t>önau, 2000</w:t>
      </w:r>
      <w:r>
        <w:rPr>
          <w:color w:val="000000"/>
        </w:rPr>
        <w:t xml:space="preserve">; </w:t>
      </w:r>
      <w:r w:rsidRPr="002F02D7">
        <w:t>Jee</w:t>
      </w:r>
      <w:r>
        <w:t>, 2000</w:t>
      </w:r>
      <w:r w:rsidRPr="002F02D7">
        <w:t>).</w:t>
      </w:r>
      <w:r w:rsidR="006A3BEE">
        <w:t xml:space="preserve"> </w:t>
      </w:r>
      <w:r>
        <w:t>Because the nature of this interaction is unknown, researchers</w:t>
      </w:r>
      <w:r w:rsidRPr="002F02D7">
        <w:t xml:space="preserve"> </w:t>
      </w:r>
      <w:r>
        <w:t>have difficulty with</w:t>
      </w:r>
      <w:r w:rsidRPr="002F02D7">
        <w:t xml:space="preserve"> interpret</w:t>
      </w:r>
      <w:r>
        <w:t>ations of observed</w:t>
      </w:r>
      <w:r w:rsidRPr="002F02D7">
        <w:t xml:space="preserve"> </w:t>
      </w:r>
      <w:r>
        <w:t xml:space="preserve">cross-sectional geometry or histomorphological </w:t>
      </w:r>
      <w:r w:rsidRPr="002F02D7">
        <w:t xml:space="preserve">bone properties that do not match </w:t>
      </w:r>
      <w:r w:rsidRPr="002F02D7">
        <w:rPr>
          <w:i/>
        </w:rPr>
        <w:t xml:space="preserve">a priori </w:t>
      </w:r>
      <w:r w:rsidRPr="002F02D7">
        <w:t xml:space="preserve">expectations </w:t>
      </w:r>
      <w:r>
        <w:t xml:space="preserve">for a human skeletal sample </w:t>
      </w:r>
      <w:r w:rsidRPr="002F02D7">
        <w:t>(e.g., Ruff and Larsen, 2001; Mays et al., 2009).</w:t>
      </w:r>
      <w:r w:rsidR="006A3BEE">
        <w:t xml:space="preserve"> </w:t>
      </w:r>
      <w:r>
        <w:t>Take, for example, a case where</w:t>
      </w:r>
      <w:r w:rsidRPr="002F02D7">
        <w:t xml:space="preserve"> archaeological evidence suggests that a population is expected to exhibit greater bone strength due to increased activity over time.</w:t>
      </w:r>
      <w:r w:rsidR="006A3BEE">
        <w:t xml:space="preserve"> </w:t>
      </w:r>
      <w:r w:rsidRPr="002F02D7">
        <w:t xml:space="preserve">A researcher who, instead, </w:t>
      </w:r>
      <w:r>
        <w:t xml:space="preserve">documents a change in cross-sectional properties that indicates decreasing </w:t>
      </w:r>
      <w:r w:rsidRPr="002F02D7">
        <w:t xml:space="preserve">bone </w:t>
      </w:r>
      <w:r>
        <w:t xml:space="preserve">mass and </w:t>
      </w:r>
      <w:r w:rsidRPr="002F02D7">
        <w:t>strength would either interpret this pattern as reflecting an unexpected decline in activity or a decline in health status</w:t>
      </w:r>
      <w:r>
        <w:t xml:space="preserve"> that has tempered an increase in activity</w:t>
      </w:r>
      <w:r w:rsidRPr="002F02D7">
        <w:t>.</w:t>
      </w:r>
      <w:r w:rsidR="006A3BEE">
        <w:t xml:space="preserve"> </w:t>
      </w:r>
      <w:r>
        <w:t xml:space="preserve">Interpretation will depend on whether the researcher believes the </w:t>
      </w:r>
      <w:r>
        <w:rPr>
          <w:i/>
        </w:rPr>
        <w:t xml:space="preserve">a </w:t>
      </w:r>
      <w:r w:rsidRPr="004E3631">
        <w:rPr>
          <w:i/>
        </w:rPr>
        <w:t>priori</w:t>
      </w:r>
      <w:r>
        <w:rPr>
          <w:i/>
        </w:rPr>
        <w:t xml:space="preserve"> </w:t>
      </w:r>
      <w:r>
        <w:t>assumptions are valid, creating a tautology.</w:t>
      </w:r>
      <w:r w:rsidR="006A3BEE">
        <w:t xml:space="preserve"> </w:t>
      </w:r>
      <w:r>
        <w:t xml:space="preserve">Additional research would be </w:t>
      </w:r>
      <w:r w:rsidRPr="00A06F7C">
        <w:t>required to investigate whether changes also occurred in factors affecting metabolic stress, and if the decreases that occurred in cortical microscopic and macroscopic structure due to metabolic shifts interact</w:t>
      </w:r>
      <w:r>
        <w:t>ed</w:t>
      </w:r>
      <w:r w:rsidRPr="00A06F7C">
        <w:t xml:space="preserve"> with the effects of mechanical loading.</w:t>
      </w:r>
      <w:r w:rsidR="006A3BEE">
        <w:t xml:space="preserve"> </w:t>
      </w:r>
      <w:r w:rsidRPr="00A06F7C">
        <w:t>Thus, understanding the nature of the interaction of mechanical loading and metabolic stress has important implications for interpreting behavioral activity from skeletal samples.</w:t>
      </w:r>
    </w:p>
    <w:p w14:paraId="72C77679" w14:textId="77777777" w:rsidR="004B0657" w:rsidRDefault="004B0657" w:rsidP="004B0657">
      <w:pPr>
        <w:autoSpaceDE w:val="0"/>
        <w:autoSpaceDN w:val="0"/>
        <w:adjustRightInd w:val="0"/>
        <w:spacing w:line="480" w:lineRule="auto"/>
        <w:ind w:firstLine="720"/>
      </w:pPr>
      <w:r>
        <w:t xml:space="preserve">This study evaluates mechanical and metabolic influences on cortical bone development through the analysis of cross-sectional properties and histomorphometry in an archaeological </w:t>
      </w:r>
      <w:r>
        <w:lastRenderedPageBreak/>
        <w:t>sample of immature humans.</w:t>
      </w:r>
      <w:r w:rsidR="006A3BEE">
        <w:t xml:space="preserve"> </w:t>
      </w:r>
      <w:r>
        <w:t xml:space="preserve">In order to examine the potential interaction of mechanical and metabolic factors, the study has been designed with four </w:t>
      </w:r>
      <w:r w:rsidRPr="00A06F7C">
        <w:t>general objectives:</w:t>
      </w:r>
    </w:p>
    <w:p w14:paraId="6918F37F" w14:textId="77777777" w:rsidR="004B0657" w:rsidRDefault="004B0657" w:rsidP="004B0657">
      <w:pPr>
        <w:autoSpaceDE w:val="0"/>
        <w:autoSpaceDN w:val="0"/>
        <w:adjustRightInd w:val="0"/>
        <w:spacing w:line="480" w:lineRule="auto"/>
        <w:ind w:firstLine="720"/>
      </w:pPr>
    </w:p>
    <w:p w14:paraId="7D422C92" w14:textId="77777777" w:rsidR="004B0657" w:rsidRPr="00F33CCD" w:rsidRDefault="004B0657" w:rsidP="0006582C">
      <w:pPr>
        <w:pStyle w:val="ListParagraph"/>
        <w:numPr>
          <w:ilvl w:val="0"/>
          <w:numId w:val="1"/>
        </w:numPr>
        <w:spacing w:line="480" w:lineRule="auto"/>
        <w:ind w:right="720"/>
        <w:contextualSpacing/>
      </w:pPr>
      <w:r>
        <w:t xml:space="preserve">In order to examine the effects of the </w:t>
      </w:r>
      <w:r w:rsidRPr="00A06F7C">
        <w:t>research factors, a developmental</w:t>
      </w:r>
      <w:r>
        <w:t xml:space="preserve"> approach is taken through the use of an immature skeletal sample, as the effects of mechanical loading and metabolic stress are argued to be greatest during primary growth (</w:t>
      </w:r>
      <w:r w:rsidRPr="00CF6B09">
        <w:t>Wang and Seeman, 2008</w:t>
      </w:r>
      <w:r>
        <w:t>).</w:t>
      </w:r>
      <w:r w:rsidR="006A3BEE">
        <w:t xml:space="preserve"> </w:t>
      </w:r>
      <w:r w:rsidRPr="00E1255F">
        <w:t>An archaeological sample is chosen to address the significance of a potential interaction on behavioral interpretations from cemetery samples</w:t>
      </w:r>
      <w:r>
        <w:t xml:space="preserve"> (see </w:t>
      </w:r>
      <w:r>
        <w:rPr>
          <w:i/>
        </w:rPr>
        <w:t>Methods</w:t>
      </w:r>
      <w:r>
        <w:t xml:space="preserve"> for a full discussion)</w:t>
      </w:r>
      <w:r w:rsidRPr="00E1255F">
        <w:t>.</w:t>
      </w:r>
    </w:p>
    <w:p w14:paraId="6EB4CA48" w14:textId="77777777" w:rsidR="004B0657" w:rsidRDefault="004B0657" w:rsidP="0006582C">
      <w:pPr>
        <w:pStyle w:val="ListParagraph"/>
        <w:numPr>
          <w:ilvl w:val="0"/>
          <w:numId w:val="1"/>
        </w:numPr>
        <w:spacing w:line="480" w:lineRule="auto"/>
        <w:ind w:right="720"/>
        <w:contextualSpacing/>
      </w:pPr>
      <w:r>
        <w:t>The study sets out to q</w:t>
      </w:r>
      <w:r w:rsidRPr="00F33CCD">
        <w:t>uantify bone mass at both macroscopic and microscopic scales</w:t>
      </w:r>
      <w:r>
        <w:t xml:space="preserve"> in the same sample</w:t>
      </w:r>
      <w:r w:rsidRPr="00F33CCD">
        <w:t xml:space="preserve"> using cross-sectional properties and histomorphometry, respectively.</w:t>
      </w:r>
    </w:p>
    <w:p w14:paraId="28C12611" w14:textId="77777777" w:rsidR="004B0657" w:rsidRPr="00F33CCD" w:rsidRDefault="004B0657" w:rsidP="0006582C">
      <w:pPr>
        <w:pStyle w:val="ListParagraph"/>
        <w:numPr>
          <w:ilvl w:val="0"/>
          <w:numId w:val="1"/>
        </w:numPr>
        <w:spacing w:line="480" w:lineRule="auto"/>
        <w:ind w:right="720"/>
        <w:contextualSpacing/>
      </w:pPr>
      <w:r>
        <w:t>M</w:t>
      </w:r>
      <w:r w:rsidRPr="00F33CCD">
        <w:t xml:space="preserve">easurements </w:t>
      </w:r>
      <w:r>
        <w:t xml:space="preserve">of both cross-sectional properties and histomorphology are examined </w:t>
      </w:r>
      <w:r w:rsidRPr="00F33CCD">
        <w:t>in three skeletal elements (i.e., ribs, humeri, femora)</w:t>
      </w:r>
      <w:r>
        <w:t>, which are</w:t>
      </w:r>
      <w:r w:rsidRPr="00F33CCD">
        <w:t xml:space="preserve"> under different levels of mechanical loading.</w:t>
      </w:r>
    </w:p>
    <w:p w14:paraId="14DE2209" w14:textId="77777777" w:rsidR="004B0657" w:rsidRDefault="004B0657" w:rsidP="0006582C">
      <w:pPr>
        <w:pStyle w:val="ListParagraph"/>
        <w:numPr>
          <w:ilvl w:val="0"/>
          <w:numId w:val="1"/>
        </w:numPr>
        <w:spacing w:line="480" w:lineRule="auto"/>
        <w:ind w:right="720"/>
        <w:contextualSpacing/>
      </w:pPr>
      <w:r>
        <w:t xml:space="preserve">Differences in both sets of measurements are compared between those individuals </w:t>
      </w:r>
      <w:r w:rsidRPr="00F33CCD">
        <w:t>under chronic metabolic stress (those possessing one or more skeletal stress lesions) and individuals under acute s</w:t>
      </w:r>
      <w:r>
        <w:t xml:space="preserve">tress (without stress lesions) (see </w:t>
      </w:r>
      <w:r w:rsidRPr="007246C7">
        <w:rPr>
          <w:i/>
        </w:rPr>
        <w:t>Methods</w:t>
      </w:r>
      <w:r>
        <w:t xml:space="preserve"> for an explanation of these two categories).</w:t>
      </w:r>
    </w:p>
    <w:p w14:paraId="28CC6E2A" w14:textId="77777777" w:rsidR="004B0657" w:rsidRPr="00CE14D5" w:rsidRDefault="004B0657" w:rsidP="004B0657">
      <w:pPr>
        <w:spacing w:line="480" w:lineRule="auto"/>
        <w:ind w:firstLine="270"/>
        <w:contextualSpacing/>
      </w:pPr>
    </w:p>
    <w:p w14:paraId="45AB1241" w14:textId="77777777" w:rsidR="004B0657" w:rsidRPr="005018B0" w:rsidRDefault="004B0657" w:rsidP="004B0657">
      <w:pPr>
        <w:autoSpaceDE w:val="0"/>
        <w:autoSpaceDN w:val="0"/>
        <w:adjustRightInd w:val="0"/>
        <w:spacing w:line="480" w:lineRule="auto"/>
        <w:ind w:firstLine="720"/>
      </w:pPr>
      <w:r>
        <w:t xml:space="preserve">The analysis of cortical structure at both scales provides benefits over the use of a single scale, as both macroscopic and microscopic bone mass contribute to bone strength (Seeman and Delmas, 2006), and the relative influence of mechanics and metabolism may vary depending on </w:t>
      </w:r>
      <w:r>
        <w:lastRenderedPageBreak/>
        <w:t>the scale of analysis (Davison et al., 2006).</w:t>
      </w:r>
      <w:r w:rsidR="006A3BEE">
        <w:t xml:space="preserve"> </w:t>
      </w:r>
      <w:r>
        <w:t>In calculating cross-sectional geometric properties, microscopic structure is assumed to be homogenous within the section, yet recent evidence suggests that alterations in microarchitecture can have a disproportionately large impact on overall bone strength (Seeman, 2003; Dong and Guo, 2004; Burghardt et al., 2010).</w:t>
      </w:r>
      <w:r w:rsidR="006A3BEE">
        <w:t xml:space="preserve"> </w:t>
      </w:r>
      <w:r>
        <w:t xml:space="preserve">Though cortical bone may be capable of adapting to metabolic stress by maintaining bone strength despite changes in bone mass on the macroscopic level, metabolic bone loss at the microscopic level may or may not be similarly mitigated (see </w:t>
      </w:r>
      <w:r w:rsidRPr="00F86FBA">
        <w:t>Chapters 2 and 3</w:t>
      </w:r>
      <w:r>
        <w:t xml:space="preserve"> for a full explanation).</w:t>
      </w:r>
      <w:r w:rsidR="006A3BEE">
        <w:t xml:space="preserve"> </w:t>
      </w:r>
      <w:r>
        <w:t xml:space="preserve">This study is the first systematic attempt to investigate such an interaction at both scales in a </w:t>
      </w:r>
      <w:r w:rsidR="00F02A94">
        <w:t>subadult</w:t>
      </w:r>
      <w:r>
        <w:t xml:space="preserve"> human sample. </w:t>
      </w:r>
    </w:p>
    <w:p w14:paraId="4EE82F04" w14:textId="77777777" w:rsidR="004B0657" w:rsidRPr="00031F3F" w:rsidRDefault="004B0657" w:rsidP="004B0657">
      <w:pPr>
        <w:autoSpaceDE w:val="0"/>
        <w:autoSpaceDN w:val="0"/>
        <w:adjustRightInd w:val="0"/>
        <w:spacing w:line="480" w:lineRule="auto"/>
        <w:ind w:firstLine="720"/>
      </w:pPr>
      <w:r>
        <w:t xml:space="preserve">As emphasized above, this research utilizes a developmental approach that is essential to ascertain </w:t>
      </w:r>
      <w:r w:rsidRPr="00137A19">
        <w:t>potential mechanical and metabolic interactions.</w:t>
      </w:r>
      <w:r w:rsidR="006A3BEE">
        <w:t xml:space="preserve"> </w:t>
      </w:r>
      <w:r w:rsidRPr="00137A19">
        <w:t>After skeletal maturity, bone is less responsive to environmental effects</w:t>
      </w:r>
      <w:r>
        <w:t>; a majority of adult cortical bone morphology (especially bone mass and quality) reflects factors that affect cortical structure during development, rather than the influence of factors encountered during adulthood</w:t>
      </w:r>
      <w:r w:rsidRPr="00137A19">
        <w:t xml:space="preserve"> (Forwood and Burr, 1993; Kontulainen et al., 2001; Lieberman et al., 2001, 2003; Turner et al., 2003; Lewis, 2007; Rizzoli et al., 2010).</w:t>
      </w:r>
      <w:r w:rsidR="006A3BEE">
        <w:t xml:space="preserve"> </w:t>
      </w:r>
      <w:r>
        <w:rPr>
          <w:rFonts w:eastAsia="Calibri"/>
        </w:rPr>
        <w:t>This developmental approach, then, is more sensitive to variations in skeletal properties that result from activity and metabolic differences among individuals and will assist in achieving a more comprehensive understanding of human behavioral variation.</w:t>
      </w:r>
    </w:p>
    <w:p w14:paraId="3C607968" w14:textId="77777777" w:rsidR="004B0657" w:rsidRDefault="004B0657" w:rsidP="004B0657">
      <w:pPr>
        <w:autoSpaceDE w:val="0"/>
        <w:autoSpaceDN w:val="0"/>
        <w:adjustRightInd w:val="0"/>
        <w:spacing w:line="480" w:lineRule="auto"/>
        <w:ind w:firstLine="720"/>
      </w:pPr>
      <w:r>
        <w:t>In light of this approach, this dissertation sets out to test specific questions about the association of metrics indicative of skeletal mechanics and metabolism, both within and among individuals.</w:t>
      </w:r>
      <w:r w:rsidR="006A3BEE">
        <w:t xml:space="preserve"> </w:t>
      </w:r>
      <w:r>
        <w:t>The differential effects of mechanical loading and metabolic stress on the skeleton present an opportunity for the possible disentanglement of their effects, as well as developing an understanding of their mutual interactions.</w:t>
      </w:r>
      <w:r w:rsidR="006A3BEE">
        <w:t xml:space="preserve"> </w:t>
      </w:r>
      <w:r w:rsidRPr="00F33CCD">
        <w:t xml:space="preserve">Mechanical loading increases bone mass and </w:t>
      </w:r>
      <w:r w:rsidRPr="00F33CCD">
        <w:lastRenderedPageBreak/>
        <w:t xml:space="preserve">distribution </w:t>
      </w:r>
      <w:r w:rsidRPr="00F33CCD">
        <w:rPr>
          <w:i/>
        </w:rPr>
        <w:t xml:space="preserve">locally </w:t>
      </w:r>
      <w:r w:rsidRPr="00F33CCD">
        <w:t xml:space="preserve">(within the bone being loaded), while metabolic stress decreases bone mass </w:t>
      </w:r>
      <w:r w:rsidRPr="00F33CCD">
        <w:rPr>
          <w:i/>
        </w:rPr>
        <w:t xml:space="preserve">systemically </w:t>
      </w:r>
      <w:r w:rsidRPr="00F33CCD">
        <w:t>(across the skeleton) (Raisz, 1999; Ruff, 1999, 2006).</w:t>
      </w:r>
      <w:r w:rsidR="006A3BEE">
        <w:t xml:space="preserve"> </w:t>
      </w:r>
      <w:r w:rsidRPr="00F33CCD">
        <w:t>Therefore, theoretically, the relative influence of these factors would vary across individuals (with different health statuses and activity levels) and within individuals (across skeletal elements under dissimilar mechanical demands).</w:t>
      </w:r>
      <w:r w:rsidR="006A3BEE">
        <w:t xml:space="preserve"> </w:t>
      </w:r>
      <w:r>
        <w:t>Thus, comparisons made in this research study test whether differences in cortical bone structure follow expectations given these differential effects.</w:t>
      </w:r>
    </w:p>
    <w:p w14:paraId="5C1E5329" w14:textId="77777777" w:rsidR="004B0657" w:rsidRPr="00F33CCD" w:rsidRDefault="004B0657" w:rsidP="004B0657">
      <w:pPr>
        <w:spacing w:line="480" w:lineRule="auto"/>
        <w:ind w:firstLine="270"/>
        <w:contextualSpacing/>
      </w:pPr>
    </w:p>
    <w:p w14:paraId="12693792" w14:textId="77777777" w:rsidR="004B0657" w:rsidRDefault="004B0657" w:rsidP="0068348B">
      <w:pPr>
        <w:pStyle w:val="Heading3"/>
        <w:spacing w:line="480" w:lineRule="auto"/>
      </w:pPr>
      <w:bookmarkStart w:id="1" w:name="_Toc233171616"/>
      <w:r w:rsidRPr="00F86FBA">
        <w:rPr>
          <w:rStyle w:val="Emphasis"/>
          <w:i/>
          <w:iCs w:val="0"/>
        </w:rPr>
        <w:t>Research Questions and Hypotheses</w:t>
      </w:r>
      <w:bookmarkEnd w:id="1"/>
    </w:p>
    <w:p w14:paraId="69859030" w14:textId="77777777" w:rsidR="004B0657" w:rsidRDefault="004B0657" w:rsidP="0068348B">
      <w:pPr>
        <w:spacing w:line="480" w:lineRule="auto"/>
        <w:ind w:firstLine="720"/>
        <w:contextualSpacing/>
      </w:pPr>
      <w:r>
        <w:t xml:space="preserve">Three central questions are posed in this dissertation: 1) How does the interaction between mechanical loading and metabolic stress influence macroscopic and microscopic cortical bone structure? 2) Does this interaction affect bone strength within and across individuals? and 3) Does the interaction potentially restrict interpretations of </w:t>
      </w:r>
      <w:r w:rsidR="008114F5">
        <w:t>behavioral</w:t>
      </w:r>
      <w:r>
        <w:t xml:space="preserve"> activity and health status from skeletal samples?</w:t>
      </w:r>
      <w:r w:rsidR="006A3BEE">
        <w:t xml:space="preserve"> </w:t>
      </w:r>
      <w:r>
        <w:t xml:space="preserve">The subsequent hypotheses and background chapters are centered around these research questions. </w:t>
      </w:r>
    </w:p>
    <w:p w14:paraId="43F96B76" w14:textId="77777777" w:rsidR="004B0657" w:rsidRPr="00F33CCD" w:rsidRDefault="004B0657" w:rsidP="004B0657">
      <w:pPr>
        <w:spacing w:line="480" w:lineRule="auto"/>
        <w:ind w:firstLine="720"/>
        <w:contextualSpacing/>
      </w:pPr>
      <w:r w:rsidRPr="00F33CCD">
        <w:t>The first set of hypotheses</w:t>
      </w:r>
      <w:r>
        <w:t xml:space="preserve"> assessed in this study </w:t>
      </w:r>
      <w:r w:rsidRPr="00F33CCD">
        <w:t>addresses the relationship between chronic metabolic stress (as inferred from skeletal stress lesions</w:t>
      </w:r>
      <w:r>
        <w:t xml:space="preserve"> and defined in </w:t>
      </w:r>
      <w:r w:rsidRPr="005953E7">
        <w:rPr>
          <w:i/>
        </w:rPr>
        <w:t>Chapter 3</w:t>
      </w:r>
      <w:r w:rsidRPr="00F33CCD">
        <w:t>) and systemic bone loss.</w:t>
      </w:r>
      <w:r w:rsidR="006A3BEE">
        <w:t xml:space="preserve"> </w:t>
      </w:r>
      <w:r w:rsidRPr="00F33CCD">
        <w:t xml:space="preserve">It </w:t>
      </w:r>
      <w:r>
        <w:t>is</w:t>
      </w:r>
      <w:r w:rsidRPr="00F33CCD">
        <w:t xml:space="preserve"> important to establish this relationship prior to addressing the main research question, </w:t>
      </w:r>
      <w:r>
        <w:t>as it is an essential research component that skeletal morphology reflects differences in the amounts of metabolic stress encountered by individuals</w:t>
      </w:r>
      <w:r w:rsidRPr="00F33CCD">
        <w:t>.</w:t>
      </w:r>
      <w:r w:rsidR="006A3BEE">
        <w:t xml:space="preserve"> </w:t>
      </w:r>
      <w:r>
        <w:t>I</w:t>
      </w:r>
      <w:r w:rsidRPr="00F33CCD">
        <w:t>t is generally assumed that systemic bone loss occurs with chronic metabolic stress</w:t>
      </w:r>
      <w:r>
        <w:t xml:space="preserve"> (Brickley and Ives, 2008), </w:t>
      </w:r>
      <w:r w:rsidRPr="00F33CCD">
        <w:t xml:space="preserve">though </w:t>
      </w:r>
      <w:r>
        <w:t xml:space="preserve">local mechanical and hormonal factors are likely to mitigate this effect (Raisz, 1999, </w:t>
      </w:r>
      <w:r>
        <w:lastRenderedPageBreak/>
        <w:t xml:space="preserve">2005), and the distribution of bone loss with metabolic stress </w:t>
      </w:r>
      <w:r w:rsidRPr="00F33CCD">
        <w:t>has not been thor</w:t>
      </w:r>
      <w:r>
        <w:t>oughly investigated in humans</w:t>
      </w:r>
      <w:r w:rsidRPr="00F33CCD">
        <w:t>.</w:t>
      </w:r>
      <w:r w:rsidR="006A3BEE">
        <w:t xml:space="preserve"> </w:t>
      </w:r>
      <w:r>
        <w:t>Thus, two related hypotheses are examined:</w:t>
      </w:r>
    </w:p>
    <w:p w14:paraId="529C6888" w14:textId="77777777" w:rsidR="004B0657" w:rsidRPr="00F33CCD" w:rsidRDefault="004B0657" w:rsidP="004B0657">
      <w:pPr>
        <w:spacing w:line="480" w:lineRule="auto"/>
        <w:ind w:right="720" w:firstLine="270"/>
        <w:contextualSpacing/>
      </w:pPr>
    </w:p>
    <w:p w14:paraId="5562FB01" w14:textId="77777777" w:rsidR="004B0657" w:rsidRPr="00F33CCD" w:rsidRDefault="004B0657" w:rsidP="0006582C">
      <w:pPr>
        <w:pStyle w:val="ListParagraph"/>
        <w:numPr>
          <w:ilvl w:val="0"/>
          <w:numId w:val="2"/>
        </w:numPr>
        <w:spacing w:after="200" w:line="480" w:lineRule="auto"/>
        <w:ind w:right="720"/>
        <w:contextualSpacing/>
      </w:pPr>
      <w:r w:rsidRPr="00F33CCD">
        <w:t>Chronically stressed individuals exhibit systemic macroscopic bone loss—</w:t>
      </w:r>
      <w:r>
        <w:t xml:space="preserve">indicated by </w:t>
      </w:r>
      <w:r w:rsidRPr="00F33CCD">
        <w:t>reduced cortical area in all three skeletal elements—relative to acutely stressed individuals.</w:t>
      </w:r>
    </w:p>
    <w:p w14:paraId="514427C9" w14:textId="77777777" w:rsidR="004B0657" w:rsidRPr="0006328A" w:rsidRDefault="004B0657" w:rsidP="0006582C">
      <w:pPr>
        <w:pStyle w:val="ListParagraph"/>
        <w:numPr>
          <w:ilvl w:val="0"/>
          <w:numId w:val="2"/>
        </w:numPr>
        <w:spacing w:after="200" w:line="480" w:lineRule="auto"/>
        <w:ind w:right="720"/>
        <w:contextualSpacing/>
        <w:rPr>
          <w:b/>
          <w:i/>
        </w:rPr>
      </w:pPr>
      <w:r w:rsidRPr="00F33CCD">
        <w:t>Chronically stressed individuals have systemic microscopic bone loss—</w:t>
      </w:r>
      <w:r>
        <w:t>indicated by</w:t>
      </w:r>
      <w:r w:rsidRPr="00F33CCD">
        <w:t xml:space="preserve"> disrupted remodeling </w:t>
      </w:r>
      <w:r>
        <w:t xml:space="preserve">and/or increased resorption </w:t>
      </w:r>
      <w:r w:rsidRPr="00F33CCD">
        <w:t xml:space="preserve">in all three skeletal elements—relative to acutely stressed individuals. </w:t>
      </w:r>
    </w:p>
    <w:p w14:paraId="3EB71C5E" w14:textId="77777777" w:rsidR="004B0657" w:rsidRPr="00F33CCD" w:rsidRDefault="004B0657" w:rsidP="004B0657">
      <w:pPr>
        <w:pStyle w:val="ListParagraph"/>
        <w:spacing w:after="200" w:line="480" w:lineRule="auto"/>
        <w:ind w:right="720"/>
        <w:rPr>
          <w:b/>
          <w:i/>
        </w:rPr>
      </w:pPr>
    </w:p>
    <w:p w14:paraId="11C80D88" w14:textId="77777777" w:rsidR="004B0657" w:rsidRPr="00F33CCD" w:rsidRDefault="004B0657" w:rsidP="004B0657">
      <w:pPr>
        <w:spacing w:line="480" w:lineRule="auto"/>
        <w:ind w:firstLine="720"/>
        <w:contextualSpacing/>
      </w:pPr>
      <w:r w:rsidRPr="00F33CCD">
        <w:t xml:space="preserve">The second set of hypotheses addresses the interaction between </w:t>
      </w:r>
      <w:r>
        <w:t xml:space="preserve">mechanical </w:t>
      </w:r>
      <w:r w:rsidRPr="00F33CCD">
        <w:t xml:space="preserve">loading and </w:t>
      </w:r>
      <w:r>
        <w:t xml:space="preserve">metabolic </w:t>
      </w:r>
      <w:r w:rsidRPr="00F33CCD">
        <w:t>stress.</w:t>
      </w:r>
      <w:r w:rsidR="006A3BEE">
        <w:t xml:space="preserve"> </w:t>
      </w:r>
      <w:r w:rsidRPr="00F33CCD">
        <w:t>As mechanical loading demands increase across the three different skeletal elements</w:t>
      </w:r>
      <w:r>
        <w:t xml:space="preserve"> assessed in this study (ribs, then humeri, then femora)</w:t>
      </w:r>
      <w:r w:rsidRPr="00F33CCD">
        <w:t>, it is hypothesized that systemic reductions in bone mass due to metabolic stress are increasingly attenuated</w:t>
      </w:r>
      <w:r>
        <w:t xml:space="preserve"> among these three elements</w:t>
      </w:r>
      <w:r w:rsidRPr="00F33CCD">
        <w:t xml:space="preserve"> in order to maintain proper bone strength (Halioua and Anderson, 1989; Prais et al., 2008).</w:t>
      </w:r>
      <w:r w:rsidR="006A3BEE">
        <w:t xml:space="preserve"> </w:t>
      </w:r>
      <w:r w:rsidRPr="00F33CCD">
        <w:t xml:space="preserve">Therefore, </w:t>
      </w:r>
      <w:r>
        <w:t xml:space="preserve">this study anticipates that </w:t>
      </w:r>
      <w:r w:rsidRPr="00F33CCD">
        <w:t>skeletal elements that experience the greatest loads (i.e., femora) demonstrate minimal reductions in bone mass and strength due to metabolic stress, while those under the least loads (i.e., ribs) show significant reductions.</w:t>
      </w:r>
      <w:r w:rsidR="006A3BEE">
        <w:t xml:space="preserve"> </w:t>
      </w:r>
      <w:r w:rsidRPr="00F33CCD">
        <w:t>Humeri</w:t>
      </w:r>
      <w:r>
        <w:t xml:space="preserve"> have </w:t>
      </w:r>
      <w:r w:rsidRPr="00F33CCD">
        <w:t>intermediate levels of mechanical loading</w:t>
      </w:r>
      <w:r>
        <w:t xml:space="preserve"> relative to femora and ribs</w:t>
      </w:r>
      <w:r w:rsidRPr="00F33CCD">
        <w:t xml:space="preserve">, </w:t>
      </w:r>
      <w:r>
        <w:t xml:space="preserve">and so are expected to </w:t>
      </w:r>
      <w:r w:rsidRPr="00F33CCD">
        <w:t>exhibit intermediate reductions in mass and strength.</w:t>
      </w:r>
    </w:p>
    <w:p w14:paraId="42BBC38B" w14:textId="77777777" w:rsidR="004B0657" w:rsidRPr="00F33CCD" w:rsidRDefault="004B0657" w:rsidP="004B0657">
      <w:pPr>
        <w:spacing w:line="480" w:lineRule="auto"/>
        <w:ind w:firstLine="270"/>
        <w:contextualSpacing/>
      </w:pPr>
    </w:p>
    <w:p w14:paraId="38497A9F" w14:textId="77777777" w:rsidR="004B0657" w:rsidRDefault="004B0657" w:rsidP="0006582C">
      <w:pPr>
        <w:pStyle w:val="ListParagraph"/>
        <w:numPr>
          <w:ilvl w:val="0"/>
          <w:numId w:val="3"/>
        </w:numPr>
        <w:spacing w:after="200" w:line="480" w:lineRule="auto"/>
        <w:ind w:right="720"/>
        <w:contextualSpacing/>
      </w:pPr>
      <w:r w:rsidRPr="00F33CCD">
        <w:lastRenderedPageBreak/>
        <w:t>In chronically stressed individuals, periosteal bone deposition compensates for macroscopic bone loss</w:t>
      </w:r>
      <w:r>
        <w:t xml:space="preserve"> that occurs endosteally</w:t>
      </w:r>
      <w:r w:rsidRPr="00F33CCD">
        <w:t xml:space="preserve">, causing </w:t>
      </w:r>
      <w:r>
        <w:t>augmentations</w:t>
      </w:r>
      <w:r w:rsidRPr="00F33CCD">
        <w:t xml:space="preserve"> to cross-sectional properties that maintain bone strength.</w:t>
      </w:r>
      <w:r w:rsidR="006A3BEE">
        <w:t xml:space="preserve"> </w:t>
      </w:r>
      <w:r w:rsidRPr="00F33CCD">
        <w:t>Mechanical compensation for macroscopic bone loss increases as loading increases (i.e., femora demonstrate the greatest compensation, ribs show little to no compensation, and humeri are intermediate).</w:t>
      </w:r>
      <w:r w:rsidR="006A3BEE">
        <w:t xml:space="preserve"> </w:t>
      </w:r>
      <w:r>
        <w:t>This pattern will not be present in acutely stressed individuals.</w:t>
      </w:r>
    </w:p>
    <w:p w14:paraId="75F1F868" w14:textId="77777777" w:rsidR="004B0657" w:rsidRPr="00F33CCD" w:rsidRDefault="004B0657" w:rsidP="0006582C">
      <w:pPr>
        <w:pStyle w:val="ListParagraph"/>
        <w:numPr>
          <w:ilvl w:val="0"/>
          <w:numId w:val="3"/>
        </w:numPr>
        <w:spacing w:after="200" w:line="480" w:lineRule="auto"/>
        <w:ind w:right="720"/>
        <w:contextualSpacing/>
      </w:pPr>
      <w:r w:rsidRPr="00F33CCD">
        <w:t xml:space="preserve">Microscopic bone loss due to metabolic stress </w:t>
      </w:r>
      <w:r>
        <w:t xml:space="preserve">will </w:t>
      </w:r>
      <w:r w:rsidRPr="00F33CCD">
        <w:t xml:space="preserve">decrease </w:t>
      </w:r>
      <w:r>
        <w:t>relative to the increasing</w:t>
      </w:r>
      <w:r w:rsidRPr="00F33CCD">
        <w:t xml:space="preserve"> </w:t>
      </w:r>
      <w:r>
        <w:t>mechanical demands placed on an element</w:t>
      </w:r>
      <w:r w:rsidRPr="00F33CCD">
        <w:t xml:space="preserve"> (i.e., rib elements possess the most loss, femora the least loss, and humeri are intermediate).</w:t>
      </w:r>
    </w:p>
    <w:p w14:paraId="5ED39508" w14:textId="77777777" w:rsidR="004B0657" w:rsidRDefault="004B0657" w:rsidP="0006582C">
      <w:pPr>
        <w:pStyle w:val="ListParagraph"/>
        <w:numPr>
          <w:ilvl w:val="0"/>
          <w:numId w:val="3"/>
        </w:numPr>
        <w:spacing w:after="200" w:line="480" w:lineRule="auto"/>
        <w:ind w:right="720"/>
        <w:contextualSpacing/>
      </w:pPr>
      <w:r w:rsidRPr="00F33CCD">
        <w:t xml:space="preserve">Microscopic bone loss indicative of </w:t>
      </w:r>
      <w:r>
        <w:t xml:space="preserve">metabolic </w:t>
      </w:r>
      <w:r w:rsidRPr="00F33CCD">
        <w:t xml:space="preserve">stress is located only in macroscopic regions of long bone cross-sections where </w:t>
      </w:r>
      <w:r>
        <w:t xml:space="preserve">reductions to bone strength would be minimized (i.e., </w:t>
      </w:r>
      <w:r w:rsidRPr="00F33CCD">
        <w:t>along a</w:t>
      </w:r>
      <w:r>
        <w:t xml:space="preserve">xes of minimum bending rigidity, </w:t>
      </w:r>
      <w:r w:rsidRPr="00F33CCD">
        <w:t>I</w:t>
      </w:r>
      <w:r w:rsidRPr="0009747D">
        <w:t>min</w:t>
      </w:r>
      <w:r w:rsidRPr="00F33CCD">
        <w:t>).</w:t>
      </w:r>
      <w:r w:rsidR="006A3BEE">
        <w:t xml:space="preserve"> </w:t>
      </w:r>
      <w:r>
        <w:t>This pattern should be more apparent in the femora relative to the humeri.</w:t>
      </w:r>
    </w:p>
    <w:p w14:paraId="7609396E" w14:textId="77777777" w:rsidR="00264090" w:rsidRDefault="00264090" w:rsidP="00264090">
      <w:pPr>
        <w:pStyle w:val="ListParagraph"/>
        <w:spacing w:after="200" w:line="480" w:lineRule="auto"/>
        <w:ind w:left="720" w:right="720"/>
        <w:contextualSpacing/>
      </w:pPr>
    </w:p>
    <w:p w14:paraId="5AED35E2" w14:textId="77777777" w:rsidR="004B0657" w:rsidRDefault="004B0657" w:rsidP="004B0657">
      <w:pPr>
        <w:spacing w:line="480" w:lineRule="auto"/>
        <w:ind w:firstLine="720"/>
      </w:pPr>
      <w:r w:rsidRPr="00F33CCD">
        <w:t xml:space="preserve">Support for the second set of hypotheses would suggest that researchers </w:t>
      </w:r>
      <w:r>
        <w:t xml:space="preserve">should </w:t>
      </w:r>
      <w:r w:rsidRPr="00F33CCD">
        <w:t>infer physical activity from elements under the strongest mechanical demands and metabolic stress from those under the least mechanical influence.</w:t>
      </w:r>
      <w:r w:rsidR="006A3BEE">
        <w:t xml:space="preserve"> </w:t>
      </w:r>
      <w:r>
        <w:t>That is, local mechanical loading demands will attenuate the effects of cortical bone reductions that are the result of metabolic stress.</w:t>
      </w:r>
      <w:r w:rsidR="006A3BEE">
        <w:t xml:space="preserve"> </w:t>
      </w:r>
      <w:r w:rsidRPr="00F33CCD">
        <w:t xml:space="preserve">On the other hand, rejection of the second set of hypotheses </w:t>
      </w:r>
      <w:r>
        <w:t xml:space="preserve">and support for the first set of hypotheses </w:t>
      </w:r>
      <w:r w:rsidRPr="00F33CCD">
        <w:t>would indicate that metabolic stress has a significant effect on bone mass and strength regardless of the amount of mechanical loading.</w:t>
      </w:r>
      <w:r w:rsidR="006A3BEE">
        <w:t xml:space="preserve"> </w:t>
      </w:r>
      <w:r>
        <w:t xml:space="preserve">Additionally, if neither set of hypotheses is supported, the study’s results would argue that loading activity has a strong influence on cortical bone structure </w:t>
      </w:r>
      <w:r>
        <w:lastRenderedPageBreak/>
        <w:t>regardless of the presence of metabolic stress.</w:t>
      </w:r>
      <w:r w:rsidR="006A3BEE">
        <w:t xml:space="preserve"> </w:t>
      </w:r>
      <w:r w:rsidRPr="00F33CCD">
        <w:t>Therefore,</w:t>
      </w:r>
      <w:r>
        <w:t xml:space="preserve"> if either of the latter two scenarios is upheld,</w:t>
      </w:r>
      <w:r w:rsidRPr="00F33CCD">
        <w:t xml:space="preserve"> the way in which human behavior is inferred from skeletal remains may require reevaluation to account for strong interaction effects</w:t>
      </w:r>
      <w:r>
        <w:t xml:space="preserve"> between mechanical loading and metabolic stress</w:t>
      </w:r>
      <w:r w:rsidRPr="00F33CCD">
        <w:t xml:space="preserve">. </w:t>
      </w:r>
    </w:p>
    <w:p w14:paraId="593901EE" w14:textId="77777777" w:rsidR="003D07F7" w:rsidRPr="00B61308" w:rsidRDefault="003D07F7" w:rsidP="003D07F7">
      <w:pPr>
        <w:numPr>
          <w:ilvl w:val="12"/>
          <w:numId w:val="0"/>
        </w:numPr>
      </w:pPr>
    </w:p>
    <w:p w14:paraId="7B0BF7B3" w14:textId="77777777" w:rsidR="003D07F7" w:rsidRPr="00B61308" w:rsidRDefault="00DD00DE" w:rsidP="003D07F7">
      <w:pPr>
        <w:numPr>
          <w:ilvl w:val="12"/>
          <w:numId w:val="0"/>
        </w:numPr>
      </w:pPr>
      <w:r w:rsidRPr="00B61308">
        <w:br w:type="page"/>
      </w:r>
    </w:p>
    <w:p w14:paraId="152A91FB" w14:textId="77777777" w:rsidR="001E671B" w:rsidRPr="001E671B" w:rsidRDefault="001E671B" w:rsidP="0070252E">
      <w:pPr>
        <w:pStyle w:val="Heading1"/>
      </w:pPr>
      <w:bookmarkStart w:id="2" w:name="_Toc233171617"/>
      <w:r w:rsidRPr="001E671B">
        <w:lastRenderedPageBreak/>
        <w:t>CHAPTER 2: BONE FUNCTIONAL ADAPTATION AND MECHANICAL LOADING</w:t>
      </w:r>
      <w:bookmarkEnd w:id="2"/>
    </w:p>
    <w:p w14:paraId="1D2EF8B7" w14:textId="77777777" w:rsidR="001E671B" w:rsidRPr="00D17CF7" w:rsidRDefault="001E671B" w:rsidP="001E671B">
      <w:pPr>
        <w:spacing w:line="276" w:lineRule="auto"/>
        <w:contextualSpacing/>
        <w:jc w:val="center"/>
        <w:rPr>
          <w:sz w:val="20"/>
          <w:szCs w:val="20"/>
        </w:rPr>
      </w:pPr>
    </w:p>
    <w:p w14:paraId="2E08569A" w14:textId="77777777" w:rsidR="001E671B" w:rsidRDefault="001E671B" w:rsidP="001E671B">
      <w:pPr>
        <w:spacing w:line="276" w:lineRule="auto"/>
        <w:contextualSpacing/>
        <w:jc w:val="center"/>
        <w:rPr>
          <w:i/>
          <w:sz w:val="20"/>
          <w:szCs w:val="20"/>
        </w:rPr>
      </w:pPr>
      <w:r w:rsidRPr="00D17CF7">
        <w:rPr>
          <w:i/>
          <w:sz w:val="20"/>
          <w:szCs w:val="20"/>
        </w:rPr>
        <w:t xml:space="preserve">Those who seek to study skeletal response to load find a literature replete with </w:t>
      </w:r>
    </w:p>
    <w:p w14:paraId="10EF2EC9" w14:textId="77777777" w:rsidR="001E671B" w:rsidRDefault="001E671B" w:rsidP="001E671B">
      <w:pPr>
        <w:spacing w:line="276" w:lineRule="auto"/>
        <w:contextualSpacing/>
        <w:jc w:val="center"/>
        <w:rPr>
          <w:i/>
          <w:sz w:val="20"/>
          <w:szCs w:val="20"/>
        </w:rPr>
      </w:pPr>
      <w:r w:rsidRPr="00D17CF7">
        <w:rPr>
          <w:i/>
          <w:sz w:val="20"/>
          <w:szCs w:val="20"/>
        </w:rPr>
        <w:t>confusing and often contradictory experimental evidence.</w:t>
      </w:r>
    </w:p>
    <w:p w14:paraId="42E28A85" w14:textId="77777777" w:rsidR="001E671B" w:rsidRDefault="001E671B" w:rsidP="001E671B">
      <w:pPr>
        <w:pStyle w:val="ListParagraph"/>
        <w:numPr>
          <w:ilvl w:val="0"/>
          <w:numId w:val="17"/>
        </w:numPr>
        <w:spacing w:line="276" w:lineRule="auto"/>
        <w:contextualSpacing/>
        <w:jc w:val="center"/>
        <w:rPr>
          <w:i/>
          <w:sz w:val="20"/>
          <w:szCs w:val="20"/>
        </w:rPr>
      </w:pPr>
      <w:r>
        <w:rPr>
          <w:i/>
          <w:sz w:val="20"/>
          <w:szCs w:val="20"/>
        </w:rPr>
        <w:t>Bertram and Swartz (1991)</w:t>
      </w:r>
    </w:p>
    <w:p w14:paraId="07E8DE52" w14:textId="77777777" w:rsidR="001E671B" w:rsidRDefault="001E671B" w:rsidP="001E671B">
      <w:pPr>
        <w:pStyle w:val="ListParagraph"/>
        <w:spacing w:line="276" w:lineRule="auto"/>
        <w:ind w:left="5400"/>
        <w:rPr>
          <w:i/>
          <w:sz w:val="20"/>
          <w:szCs w:val="20"/>
        </w:rPr>
      </w:pPr>
    </w:p>
    <w:p w14:paraId="0BA5A6A4" w14:textId="77777777" w:rsidR="001E671B" w:rsidRPr="00D17CF7" w:rsidRDefault="001E671B" w:rsidP="001E671B">
      <w:pPr>
        <w:pStyle w:val="ListParagraph"/>
        <w:spacing w:line="276" w:lineRule="auto"/>
        <w:jc w:val="center"/>
        <w:rPr>
          <w:i/>
          <w:sz w:val="20"/>
          <w:szCs w:val="20"/>
        </w:rPr>
      </w:pPr>
    </w:p>
    <w:p w14:paraId="6CF6938E" w14:textId="77777777" w:rsidR="001E671B" w:rsidRDefault="001E671B" w:rsidP="001E671B">
      <w:pPr>
        <w:spacing w:line="480" w:lineRule="auto"/>
        <w:ind w:firstLine="720"/>
        <w:contextualSpacing/>
      </w:pPr>
      <w:r>
        <w:t xml:space="preserve">Bone </w:t>
      </w:r>
      <w:r w:rsidRPr="00F33CCD">
        <w:t xml:space="preserve">is influenced </w:t>
      </w:r>
      <w:r>
        <w:t>over the course of an</w:t>
      </w:r>
      <w:r w:rsidRPr="00F33CCD">
        <w:t xml:space="preserve"> individual’s lifetime by the mechanical forces to which it is exposed.</w:t>
      </w:r>
      <w:r>
        <w:t xml:space="preserve"> </w:t>
      </w:r>
      <w:r w:rsidRPr="00F33CCD">
        <w:t xml:space="preserve">This fundamental principle </w:t>
      </w:r>
      <w:r>
        <w:t xml:space="preserve">has been supported by extensive experimental and theoretical research and </w:t>
      </w:r>
      <w:r w:rsidRPr="00F33CCD">
        <w:t xml:space="preserve">forms the basis for </w:t>
      </w:r>
      <w:r>
        <w:t>understanding</w:t>
      </w:r>
      <w:r w:rsidRPr="00F33CCD">
        <w:t xml:space="preserve"> behavioral variation in the archaeological record.</w:t>
      </w:r>
      <w:r>
        <w:t xml:space="preserve"> </w:t>
      </w:r>
      <w:r w:rsidRPr="00F33CCD">
        <w:t xml:space="preserve">This chapter reviews theoretical models of </w:t>
      </w:r>
      <w:r>
        <w:t>the</w:t>
      </w:r>
      <w:r w:rsidRPr="00F33CCD">
        <w:t xml:space="preserve"> functional adaptation </w:t>
      </w:r>
      <w:r>
        <w:t xml:space="preserve">of bone to activity and loading, </w:t>
      </w:r>
      <w:r w:rsidRPr="00F33CCD">
        <w:t xml:space="preserve">and explores the extensive </w:t>
      </w:r>
      <w:r>
        <w:t xml:space="preserve">research about mechanical influences on human cortical bone. While both cortical bone and trabecular bone morphology are regulated by mechanical inputs, these background chapters focus on mechanical responses in cortical bone, as this study uses skeletal remains from an archaeological context, in which trabecular architecture is infrequently well preserved. The subsequent review considers macroscopic and microscopic implications for the results of these previous studies separately. Specifically, the discussion of previous research focuses on the variation in loading patterns across the human skeletal elements employed in this study, mechanical effects on immature bone during growth, and application of bone adaption principles to anthropological samples. All material in this chapter refers to biological processes and outcomes that would occur in healthy, non-metabolically stressed individuals. Particular effects of metabolic stress on cortical bone are presented in </w:t>
      </w:r>
      <w:r w:rsidRPr="00906DC4">
        <w:t>Chapter 3</w:t>
      </w:r>
      <w:r>
        <w:t>.</w:t>
      </w:r>
    </w:p>
    <w:p w14:paraId="4A878E58" w14:textId="77777777" w:rsidR="001E671B" w:rsidRDefault="001E671B" w:rsidP="00241365">
      <w:pPr>
        <w:spacing w:line="480" w:lineRule="auto"/>
        <w:contextualSpacing/>
      </w:pPr>
    </w:p>
    <w:p w14:paraId="4D6CA534" w14:textId="77777777" w:rsidR="00241365" w:rsidRPr="00F33CCD" w:rsidRDefault="00241365" w:rsidP="00241365">
      <w:pPr>
        <w:spacing w:line="480" w:lineRule="auto"/>
        <w:contextualSpacing/>
        <w:jc w:val="center"/>
      </w:pPr>
    </w:p>
    <w:p w14:paraId="5C0A908F" w14:textId="77777777" w:rsidR="0068348B" w:rsidRPr="0068348B" w:rsidRDefault="001E671B" w:rsidP="0068348B">
      <w:pPr>
        <w:pStyle w:val="Heading3"/>
        <w:spacing w:line="480" w:lineRule="auto"/>
      </w:pPr>
      <w:bookmarkStart w:id="3" w:name="_Toc233171618"/>
      <w:r w:rsidRPr="0068348B">
        <w:lastRenderedPageBreak/>
        <w:t>Mechanical Loading: An Introduction</w:t>
      </w:r>
      <w:bookmarkEnd w:id="3"/>
    </w:p>
    <w:p w14:paraId="1C58A188" w14:textId="77777777" w:rsidR="001E671B" w:rsidRDefault="001E671B" w:rsidP="0068348B">
      <w:pPr>
        <w:spacing w:line="480" w:lineRule="auto"/>
        <w:ind w:firstLine="720"/>
        <w:contextualSpacing/>
      </w:pPr>
      <w:r>
        <w:t>N</w:t>
      </w:r>
      <w:r w:rsidRPr="00F33CCD">
        <w:t>umerous experimental and observational studies have demonstrated that bone responds to changes in mechanical loading.</w:t>
      </w:r>
      <w:r>
        <w:t xml:space="preserve"> </w:t>
      </w:r>
      <w:r w:rsidRPr="00F33CCD">
        <w:t>During physical activity, mechanical forces (loads) are applied to bone externally by the environment</w:t>
      </w:r>
      <w:r>
        <w:t xml:space="preserve"> (e.g., gravity, activity, etc.)</w:t>
      </w:r>
      <w:r w:rsidRPr="00F33CCD">
        <w:t xml:space="preserve"> and internally by the action of muscles (Fr</w:t>
      </w:r>
      <w:r>
        <w:t>ost, 1990; Turner, 1998</w:t>
      </w:r>
      <w:r w:rsidRPr="00F33CCD">
        <w:t>).</w:t>
      </w:r>
      <w:r>
        <w:t xml:space="preserve"> </w:t>
      </w:r>
      <w:r w:rsidRPr="00F33CCD">
        <w:t>These stresses (forces per unit area) produce deformations, or strains (changes in length per</w:t>
      </w:r>
      <w:r>
        <w:t xml:space="preserve"> unit length), within the bone</w:t>
      </w:r>
      <w:r w:rsidRPr="00F33CCD">
        <w:t>.</w:t>
      </w:r>
      <w:r>
        <w:t xml:space="preserve"> </w:t>
      </w:r>
      <w:r w:rsidRPr="00F33CCD">
        <w:t>The location of bone deformation depends on the type of stress (i.e., axial compression, tension, ben</w:t>
      </w:r>
      <w:r>
        <w:t>ding, twisting, and/or shear) (Currey, 1984; Martin et al., 1998; Carter and Beaupré, 2001</w:t>
      </w:r>
      <w:r w:rsidRPr="00F33CCD">
        <w:t>).</w:t>
      </w:r>
      <w:r>
        <w:t xml:space="preserve"> The stress of i</w:t>
      </w:r>
      <w:r w:rsidRPr="00F33CCD">
        <w:t xml:space="preserve">ncreased activity level enhances the strain incurred by bone, necessitating a compensatory </w:t>
      </w:r>
      <w:r>
        <w:t>change in</w:t>
      </w:r>
      <w:r w:rsidRPr="00F33CCD">
        <w:t xml:space="preserve"> bone </w:t>
      </w:r>
      <w:r>
        <w:t xml:space="preserve">volume and/or shape in order to maintain enough </w:t>
      </w:r>
      <w:r w:rsidRPr="00F33CCD">
        <w:t>strength t</w:t>
      </w:r>
      <w:r>
        <w:t>o prevent fracture</w:t>
      </w:r>
      <w:r w:rsidRPr="00F33CCD">
        <w:t>.</w:t>
      </w:r>
      <w:r>
        <w:t xml:space="preserve"> </w:t>
      </w:r>
      <w:r w:rsidRPr="00F33CCD">
        <w:t>L</w:t>
      </w:r>
      <w:r>
        <w:t>ikewise, decreased activity</w:t>
      </w:r>
      <w:r w:rsidRPr="00F33CCD">
        <w:t xml:space="preserve"> lowers strain levels, </w:t>
      </w:r>
      <w:r>
        <w:t>and in turn decreases the amount of bone necessary to meet strength demands; bone is removed in order to minimize the costs associated with the maintenance of extraneous tissue (Currey, 2002</w:t>
      </w:r>
      <w:r w:rsidRPr="00F33CCD">
        <w:t>).</w:t>
      </w:r>
    </w:p>
    <w:p w14:paraId="0F39A13F" w14:textId="421C7D94" w:rsidR="001E671B" w:rsidRDefault="001E671B" w:rsidP="001E671B">
      <w:pPr>
        <w:spacing w:line="480" w:lineRule="auto"/>
        <w:ind w:firstLine="720"/>
        <w:contextualSpacing/>
      </w:pPr>
      <w:r w:rsidRPr="00F33CCD">
        <w:t>To maintain an “equilibrium” or “customary” strain level within the bone, bone structure must adapt to changes in strains at both the macroscopic and microscopic level</w:t>
      </w:r>
      <w:r>
        <w:t xml:space="preserve"> </w:t>
      </w:r>
      <w:r w:rsidRPr="00F33CCD">
        <w:t>(Lanyon, 1982; Carter, 1984; Frost, 1987; Turner, 1998).</w:t>
      </w:r>
      <w:r>
        <w:t xml:space="preserve"> </w:t>
      </w:r>
      <w:r w:rsidRPr="00F33CCD">
        <w:t xml:space="preserve">A “customary” strain level is maintained </w:t>
      </w:r>
      <w:r>
        <w:t>under a changing mechanical environment</w:t>
      </w:r>
      <w:r w:rsidRPr="00F33CCD">
        <w:t xml:space="preserve"> when macroscopic mass (size), macroscopic shape (distribution), and/or microstructure</w:t>
      </w:r>
      <w:r>
        <w:t xml:space="preserve"> (e.g., osteon density or porosity)</w:t>
      </w:r>
      <w:r w:rsidRPr="00F33CCD">
        <w:t xml:space="preserve"> are modified, adjusting the distribution of s</w:t>
      </w:r>
      <w:r>
        <w:t xml:space="preserve">trains within the bone </w:t>
      </w:r>
      <w:r w:rsidRPr="00F33CCD">
        <w:t>(Mart</w:t>
      </w:r>
      <w:r>
        <w:t>in and Burr, 1989; Currey, 2002</w:t>
      </w:r>
      <w:r w:rsidRPr="00F33CCD">
        <w:t>).</w:t>
      </w:r>
      <w:r>
        <w:t xml:space="preserve"> All three approaches involve modification to bone structure, but not the material properties of bone tissue itself. Changes in the collagen and mineral content of bone tissue occur throughout life, which </w:t>
      </w:r>
      <w:r>
        <w:rPr>
          <w:i/>
        </w:rPr>
        <w:t>does</w:t>
      </w:r>
      <w:r>
        <w:t xml:space="preserve"> affect material properties and therefore mechanical properties of cortical bone (Evans, 1973; Pidaparti and Burr, 1992; Burr, 2002), but these are typically associated with senescence </w:t>
      </w:r>
      <w:r>
        <w:lastRenderedPageBreak/>
        <w:t xml:space="preserve">and disease processes; bone material properties vary little within and among healthy, active individuals within the same species (Cowin, 2001; </w:t>
      </w:r>
      <w:r w:rsidRPr="00AC358A">
        <w:t>Currey, 2003</w:t>
      </w:r>
      <w:r>
        <w:t xml:space="preserve">). The </w:t>
      </w:r>
      <w:r w:rsidRPr="00F33CCD">
        <w:t xml:space="preserve">adaptive process </w:t>
      </w:r>
      <w:r>
        <w:t xml:space="preserve">of bone structural modification </w:t>
      </w:r>
      <w:r w:rsidRPr="00F33CCD">
        <w:t xml:space="preserve">involves a self-regulating feedback mechanism, </w:t>
      </w:r>
      <w:r>
        <w:t>resulting</w:t>
      </w:r>
      <w:r w:rsidRPr="00F33CCD">
        <w:t xml:space="preserve"> in bone tissue being </w:t>
      </w:r>
      <w:r>
        <w:t>remodeled</w:t>
      </w:r>
      <w:r w:rsidRPr="00F33CCD">
        <w:t xml:space="preserve"> (</w:t>
      </w:r>
      <w:r>
        <w:t xml:space="preserve">i.e., removed and deposited; see “Processes of Bone Functional Adaptation” below on page </w:t>
      </w:r>
      <w:r w:rsidR="005417E7" w:rsidRPr="005417E7">
        <w:t>17</w:t>
      </w:r>
      <w:r w:rsidRPr="00F33CCD">
        <w:t xml:space="preserve">) continuously over the course of an individual's lifetime to preserve biomechanical competence </w:t>
      </w:r>
      <w:r>
        <w:t>and adapt to changes in loading behavior</w:t>
      </w:r>
      <w:r w:rsidRPr="00F33CCD">
        <w:t>.</w:t>
      </w:r>
      <w:r>
        <w:t xml:space="preserve"> This hypothesized mechanism has provided the basic foundation for specific models of bone functional adaptation, outlined below.</w:t>
      </w:r>
    </w:p>
    <w:p w14:paraId="30EBA243" w14:textId="77777777" w:rsidR="001E671B" w:rsidRPr="00F33CCD" w:rsidRDefault="001E671B" w:rsidP="001E671B">
      <w:pPr>
        <w:spacing w:line="480" w:lineRule="auto"/>
        <w:ind w:firstLine="720"/>
        <w:contextualSpacing/>
      </w:pPr>
      <w:r>
        <w:t>The term “b</w:t>
      </w:r>
      <w:r w:rsidRPr="00F33CCD">
        <w:t xml:space="preserve">one functional adaptation” </w:t>
      </w:r>
      <w:r>
        <w:t xml:space="preserve">encompasses the full spectrum of specific theoretical models for </w:t>
      </w:r>
      <w:r w:rsidRPr="00C06F42">
        <w:rPr>
          <w:i/>
        </w:rPr>
        <w:t>how</w:t>
      </w:r>
      <w:r>
        <w:t xml:space="preserve"> bone adapts to mechanical forces. It has been proposed as a more appropriate term to describe the process of bone response to mechanical loading, and is a general application of concepts previously associated with “Wolff’s Law” </w:t>
      </w:r>
      <w:r w:rsidRPr="00F33CCD">
        <w:t>(</w:t>
      </w:r>
      <w:r>
        <w:t>Pearson and Lieberman, 2004; Ruff et al., 2006</w:t>
      </w:r>
      <w:r w:rsidRPr="00F33CCD">
        <w:t>)</w:t>
      </w:r>
      <w:r>
        <w:t>. Until the last decade, t</w:t>
      </w:r>
      <w:r w:rsidRPr="00F33CCD">
        <w:t xml:space="preserve">he term “Wolff’s Law” </w:t>
      </w:r>
      <w:r>
        <w:t>was often</w:t>
      </w:r>
      <w:r w:rsidRPr="00F33CCD">
        <w:t xml:space="preserve"> used to refer to the general concept that </w:t>
      </w:r>
      <w:r>
        <w:t>bone morphology reflects its current and past loading history by adapting to its biomechanical environment</w:t>
      </w:r>
      <w:r w:rsidRPr="00F33CCD">
        <w:t>.</w:t>
      </w:r>
      <w:r>
        <w:t xml:space="preserve"> </w:t>
      </w:r>
      <w:r w:rsidRPr="00F33CCD">
        <w:t xml:space="preserve">However, many have critiqued the </w:t>
      </w:r>
      <w:r>
        <w:t xml:space="preserve">use of </w:t>
      </w:r>
      <w:r w:rsidRPr="00F33CCD">
        <w:t xml:space="preserve">this term, because its original meaning has since been discredited (Bertram and Swartz, 1991; </w:t>
      </w:r>
      <w:r>
        <w:t xml:space="preserve">Martin et al., 1998; Cowin, 2001; </w:t>
      </w:r>
      <w:r w:rsidRPr="00F33CCD">
        <w:t>Pearson and Lieberman, 2004; Ruff et al., 2006).</w:t>
      </w:r>
      <w:r>
        <w:t xml:space="preserve"> </w:t>
      </w:r>
      <w:r w:rsidRPr="00F33CCD">
        <w:t xml:space="preserve">Wolff (1892) </w:t>
      </w:r>
      <w:r>
        <w:t xml:space="preserve">originally </w:t>
      </w:r>
      <w:r w:rsidRPr="00F33CCD">
        <w:t>sought to delineate the mathematical principles by which the trabecular bone structure of long bone epiphyses adapts to alterations in the mechanical environment.</w:t>
      </w:r>
      <w:r>
        <w:t xml:space="preserve"> </w:t>
      </w:r>
      <w:r w:rsidRPr="00F33CCD">
        <w:t xml:space="preserve">Because “Wolff’s Law,” </w:t>
      </w:r>
      <w:r w:rsidRPr="00F33CCD">
        <w:rPr>
          <w:i/>
        </w:rPr>
        <w:t>sensu stricto</w:t>
      </w:r>
      <w:r w:rsidRPr="00F33CCD">
        <w:t xml:space="preserve">, does not adequately explain the principle of bone adaptation </w:t>
      </w:r>
      <w:r>
        <w:t xml:space="preserve">to mechanical forces </w:t>
      </w:r>
      <w:r w:rsidRPr="00F33CCD">
        <w:t xml:space="preserve">in </w:t>
      </w:r>
      <w:r>
        <w:t>general</w:t>
      </w:r>
      <w:r w:rsidRPr="00F33CCD">
        <w:t>,</w:t>
      </w:r>
      <w:r>
        <w:t xml:space="preserve"> some authors propose avoidance of the term entirely (Martin et al., 1998; Cowin, 2001; Pearson &amp; Lieberman, 2004), a trend that is reflected herein. </w:t>
      </w:r>
    </w:p>
    <w:p w14:paraId="5ABCBCE7" w14:textId="77777777" w:rsidR="001E671B" w:rsidRPr="00F33CCD" w:rsidRDefault="001E671B" w:rsidP="001E671B">
      <w:pPr>
        <w:spacing w:line="480" w:lineRule="auto"/>
        <w:ind w:firstLine="720"/>
        <w:contextualSpacing/>
      </w:pPr>
    </w:p>
    <w:p w14:paraId="15A7DE96" w14:textId="77777777" w:rsidR="001E671B" w:rsidRPr="0068348B" w:rsidRDefault="001E671B" w:rsidP="0068348B">
      <w:pPr>
        <w:pStyle w:val="Heading3"/>
        <w:spacing w:line="480" w:lineRule="auto"/>
      </w:pPr>
      <w:bookmarkStart w:id="4" w:name="_Toc233171619"/>
      <w:r w:rsidRPr="0068348B">
        <w:lastRenderedPageBreak/>
        <w:t>Models of Bone Functional Adaptation</w:t>
      </w:r>
      <w:bookmarkEnd w:id="4"/>
    </w:p>
    <w:p w14:paraId="6412CCD9" w14:textId="77777777" w:rsidR="001E671B" w:rsidRPr="0068348B" w:rsidRDefault="001E671B" w:rsidP="0068348B">
      <w:pPr>
        <w:pStyle w:val="Style1"/>
      </w:pPr>
      <w:bookmarkStart w:id="5" w:name="_Toc233171620"/>
      <w:r w:rsidRPr="0068348B">
        <w:t>Frost’s Mechanostat Model</w:t>
      </w:r>
      <w:bookmarkEnd w:id="5"/>
    </w:p>
    <w:p w14:paraId="40498F0D" w14:textId="77777777" w:rsidR="001E671B" w:rsidRDefault="001E671B" w:rsidP="0068348B">
      <w:pPr>
        <w:spacing w:line="480" w:lineRule="auto"/>
        <w:ind w:firstLine="720"/>
        <w:contextualSpacing/>
      </w:pPr>
      <w:r>
        <w:t>One of the first and most well-known models of bone adaptation was Frost’s mechanostat model (</w:t>
      </w:r>
      <w:r w:rsidRPr="00F00EE3">
        <w:t xml:space="preserve">Figure </w:t>
      </w:r>
      <w:r w:rsidR="00DB5ED3">
        <w:t>1</w:t>
      </w:r>
      <w:r w:rsidRPr="00056E13">
        <w:t>),</w:t>
      </w:r>
      <w:r>
        <w:t xml:space="preserve"> which introduced the hypothesis that bone remodeling is regulated by a homeostatic, negative feedback loop that Frost likened to a thermostat (Frost, 1964, 1987, 1990a, 1990b, 2003). Under this model, mechanical strains induce alterations to bone strength only when they surpass a particular strain threshold. When strains are maintained within the customary strain window, no bone response occurs. However, strains that surpass the upper limit of this customary strain window stimulate bone deposition, which in turn decreases the strain incurred by the bone and thus returns it to mechanical equilibrium as a result of the shifted bone morphology. Conversely, a reduction in strain level below the lower limit of the customary window promotes bone resorption and a return to customary strain levels. The mechanostat model is one of the only </w:t>
      </w:r>
      <w:r w:rsidRPr="00C12C41">
        <w:t>equilibrium models to incorporate hypotheses for both macroscopic and microscopic responses to mechanical stimuli and is, therefore, useful for</w:t>
      </w:r>
      <w:r>
        <w:t xml:space="preserve"> constructing hypotheses tested</w:t>
      </w:r>
      <w:r w:rsidRPr="00C12C41">
        <w:t xml:space="preserve"> in this research study.</w:t>
      </w:r>
      <w:r>
        <w:t xml:space="preserve"> Epigenetic regulatory models (Turner, 1992), while useful for models of woven bone formation and maintenance, are less appropriate for understanding the regulation of cortical bone and so are not considered further here.</w:t>
      </w:r>
    </w:p>
    <w:p w14:paraId="6101C6FA" w14:textId="77777777" w:rsidR="00AF5A4A" w:rsidRDefault="00AF5A4A" w:rsidP="00AF5A4A">
      <w:pPr>
        <w:keepNext/>
        <w:autoSpaceDE w:val="0"/>
        <w:autoSpaceDN w:val="0"/>
        <w:adjustRightInd w:val="0"/>
        <w:spacing w:line="480" w:lineRule="auto"/>
        <w:jc w:val="center"/>
      </w:pPr>
      <w:r>
        <w:rPr>
          <w:rFonts w:eastAsia="Cambria"/>
          <w:noProof/>
        </w:rPr>
        <w:lastRenderedPageBreak/>
        <w:drawing>
          <wp:inline distT="0" distB="0" distL="0" distR="0" wp14:anchorId="302A5858" wp14:editId="638C04CE">
            <wp:extent cx="3408045" cy="2886529"/>
            <wp:effectExtent l="0" t="0" r="0" b="0"/>
            <wp:docPr id="1" name="Picture 0" descr="Diagram of the mechanostat model of bone mechanical adaptation (adapted from Frost, 1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of the mechanostat model of bone mechanical adaptation (adapted from Frost, 1987)..jpg"/>
                    <pic:cNvPicPr/>
                  </pic:nvPicPr>
                  <pic:blipFill>
                    <a:blip r:embed="rId12"/>
                    <a:stretch>
                      <a:fillRect/>
                    </a:stretch>
                  </pic:blipFill>
                  <pic:spPr>
                    <a:xfrm>
                      <a:off x="0" y="0"/>
                      <a:ext cx="3408503" cy="2886917"/>
                    </a:xfrm>
                    <a:prstGeom prst="rect">
                      <a:avLst/>
                    </a:prstGeom>
                  </pic:spPr>
                </pic:pic>
              </a:graphicData>
            </a:graphic>
          </wp:inline>
        </w:drawing>
      </w:r>
    </w:p>
    <w:p w14:paraId="1C3B5C2F" w14:textId="77777777" w:rsidR="00AF5A4A" w:rsidRDefault="00AF5A4A" w:rsidP="00AF5A4A">
      <w:pPr>
        <w:pStyle w:val="Caption"/>
        <w:jc w:val="center"/>
        <w:rPr>
          <w:rFonts w:eastAsia="Cambria"/>
        </w:rPr>
      </w:pPr>
      <w:bookmarkStart w:id="6" w:name="_Toc233257063"/>
      <w:r>
        <w:t xml:space="preserve">Figure </w:t>
      </w:r>
      <w:fldSimple w:instr=" SEQ Figure \* ARABIC ">
        <w:r>
          <w:rPr>
            <w:noProof/>
          </w:rPr>
          <w:t>1</w:t>
        </w:r>
      </w:fldSimple>
      <w:r>
        <w:t xml:space="preserve">. </w:t>
      </w:r>
      <w:r w:rsidRPr="008F6EDE">
        <w:t xml:space="preserve">Diagram of the mechanostat model of bone mechanical adaptation (adapted from </w:t>
      </w:r>
      <w:r>
        <w:t>Lanyon, 1982</w:t>
      </w:r>
      <w:r w:rsidRPr="008F6EDE">
        <w:t>).</w:t>
      </w:r>
      <w:bookmarkEnd w:id="6"/>
    </w:p>
    <w:p w14:paraId="2C4C381D" w14:textId="77777777" w:rsidR="0068348B" w:rsidRPr="00305E5F" w:rsidRDefault="0068348B" w:rsidP="0068348B">
      <w:pPr>
        <w:spacing w:line="480" w:lineRule="auto"/>
        <w:ind w:firstLine="720"/>
        <w:contextualSpacing/>
      </w:pPr>
    </w:p>
    <w:p w14:paraId="03117D7E" w14:textId="77777777" w:rsidR="001E671B" w:rsidRPr="0068348B" w:rsidRDefault="001E671B" w:rsidP="0068348B">
      <w:pPr>
        <w:pStyle w:val="Style1"/>
      </w:pPr>
      <w:bookmarkStart w:id="7" w:name="_Toc233171621"/>
      <w:r w:rsidRPr="0068348B">
        <w:t>Turner’s Mechanotransduction Model</w:t>
      </w:r>
      <w:bookmarkEnd w:id="7"/>
    </w:p>
    <w:p w14:paraId="5107ECCA" w14:textId="77777777" w:rsidR="001E671B" w:rsidRDefault="001E671B" w:rsidP="001E671B">
      <w:pPr>
        <w:spacing w:line="480" w:lineRule="auto"/>
        <w:ind w:firstLine="720"/>
      </w:pPr>
      <w:r>
        <w:t xml:space="preserve">Building on Frost’s mechanostat model, Turner (1998) introduced refinements that assisted in understanding local responses in bone to loading at the cellular level. In his model, mechanical responses are </w:t>
      </w:r>
      <w:r w:rsidRPr="00376BEB">
        <w:t>facilitated by mechanotransduction</w:t>
      </w:r>
      <w:r>
        <w:t xml:space="preserve">, wherein </w:t>
      </w:r>
      <w:r w:rsidRPr="00376BEB">
        <w:t>osteocytes sense mechanical loads and transmit biological signals to activate or inhibit osteoblasts and/or osteoclasts (Jones et al., 1995; Henderson and Carter, 2002; Klein-Nulend et al., 2013</w:t>
      </w:r>
      <w:r>
        <w:t>)</w:t>
      </w:r>
      <w:r w:rsidRPr="00376BEB">
        <w:t>.</w:t>
      </w:r>
      <w:r>
        <w:t xml:space="preserve"> This process regulates structural changes at the tissue level, which may or may not accumulate to form macroscopic structural shifts (</w:t>
      </w:r>
      <w:r w:rsidRPr="00376BEB">
        <w:t xml:space="preserve">Rauch and </w:t>
      </w:r>
      <w:r w:rsidRPr="00F33CCD">
        <w:t>Sch</w:t>
      </w:r>
      <w:r w:rsidRPr="00F33CCD">
        <w:rPr>
          <w:color w:val="000000"/>
        </w:rPr>
        <w:t>önau</w:t>
      </w:r>
      <w:r w:rsidRPr="00376BEB">
        <w:t>, 2001</w:t>
      </w:r>
      <w:r>
        <w:t xml:space="preserve">). </w:t>
      </w:r>
    </w:p>
    <w:p w14:paraId="3813ED0F" w14:textId="77777777" w:rsidR="001E671B" w:rsidRDefault="001E671B" w:rsidP="001E671B">
      <w:pPr>
        <w:spacing w:line="480" w:lineRule="auto"/>
        <w:ind w:firstLine="720"/>
      </w:pPr>
      <w:r>
        <w:t xml:space="preserve">In the mechanotransduction model, Turner provided three specific rules that governed bone regulation. These rules have been crucial in the development of subsequent research into bone mechanical properties, and inform part of the basis for this study. </w:t>
      </w:r>
      <w:r w:rsidRPr="00376BEB">
        <w:t xml:space="preserve">The first rule states that </w:t>
      </w:r>
      <w:r w:rsidRPr="00376BEB">
        <w:lastRenderedPageBreak/>
        <w:t>bone responds to dynamic rather than static loads</w:t>
      </w:r>
      <w:r>
        <w:t xml:space="preserve">. In addition to the magnitude of loading, loading frequency and strain rate are significant determinants of bone remodeling response (Lanyon and Rubin, 1984; Rubin and Lanyon, 1984; Turner et al., 1994; Forwood and Turner, 1995; Turner et al., 1995). Experimental studies on rats have shown that increases in bone mass and strength require loading frequencies at or above a threshold of 0.5 Hz (Turner et al., 1994). </w:t>
      </w:r>
    </w:p>
    <w:p w14:paraId="6F7A239A" w14:textId="77777777" w:rsidR="001E671B" w:rsidRDefault="001E671B" w:rsidP="001E671B">
      <w:pPr>
        <w:spacing w:line="480" w:lineRule="auto"/>
        <w:ind w:firstLine="720"/>
        <w:contextualSpacing/>
      </w:pPr>
      <w:r>
        <w:t xml:space="preserve">Second, only short durations of loading are required to stimulate an osteological response; extending the period of loading has diminishing returns in terms of bone formation. As loading duration increases bone response diminishes and bone cells become desensitized to mechanical forces (Rubin and Lanyon, 1984; Turner et al., 1994). Mechanosensitivity is reduced by 95% after only 20 loading cycles (Robling et al., 2001; 2006). After cessation of loading, bone cells will become “resensitized” to further mechanical stimulation; however, the time required for resensitization depends on the nature of the loading stimulus—its magnitude, frequency, and duration. Therefore, the loading conditions most conducive to osteogenic response are short bouts at frequencies above the customary strain level and punctuated by short periods of recovery (Srinivasan et al., 2002). </w:t>
      </w:r>
    </w:p>
    <w:p w14:paraId="3BB4ABE7" w14:textId="77777777" w:rsidR="001E671B" w:rsidRDefault="001E671B" w:rsidP="001E671B">
      <w:pPr>
        <w:spacing w:line="480" w:lineRule="auto"/>
        <w:ind w:firstLine="720"/>
      </w:pPr>
      <w:r>
        <w:t xml:space="preserve">Last, osteocytes become less responsive to mechanical loads associated with a routine loading regime. Thus, structural changes are brought about not through continued cycles of normal loading but under abnormal strains. In some respects, an osteocyte can be said to acquire a memory of its past loading environment, which in turn allows the cell to recognize and adjust to new mechanical environments. Cellular accommodation, by way of cytoskeletal restructuring and/or genetic expression, appears to occur in response to a habitual loading stimulus (Robling et al., 2000; Burr et al., 2002). Changes in the strain environment will induce alterations to </w:t>
      </w:r>
      <w:r>
        <w:lastRenderedPageBreak/>
        <w:t xml:space="preserve">cytoskeletal organization and intercellular protein expression and, thus, alter the mechanosensitivity of the cell (Rubin et al., 2002). </w:t>
      </w:r>
    </w:p>
    <w:p w14:paraId="1D33988F" w14:textId="77777777" w:rsidR="001E671B" w:rsidRPr="00A214CA" w:rsidRDefault="001E671B" w:rsidP="001E671B">
      <w:pPr>
        <w:spacing w:line="480" w:lineRule="auto"/>
        <w:contextualSpacing/>
      </w:pPr>
    </w:p>
    <w:p w14:paraId="5F705F0B" w14:textId="77777777" w:rsidR="001E671B" w:rsidRPr="0068348B" w:rsidRDefault="001E671B" w:rsidP="0068348B">
      <w:pPr>
        <w:pStyle w:val="Style1"/>
      </w:pPr>
      <w:bookmarkStart w:id="8" w:name="_Toc233171622"/>
      <w:r w:rsidRPr="0068348B">
        <w:t>Carter and Beaupré’s Mechanobiology Model</w:t>
      </w:r>
      <w:bookmarkEnd w:id="8"/>
    </w:p>
    <w:p w14:paraId="74FB1291" w14:textId="5CA8C653" w:rsidR="001E671B" w:rsidRDefault="001E671B" w:rsidP="001E671B">
      <w:pPr>
        <w:autoSpaceDE w:val="0"/>
        <w:autoSpaceDN w:val="0"/>
        <w:adjustRightInd w:val="0"/>
        <w:spacing w:line="480" w:lineRule="auto"/>
        <w:rPr>
          <w:rFonts w:eastAsia="Cambria"/>
        </w:rPr>
      </w:pPr>
      <w:r w:rsidRPr="001E671B">
        <w:rPr>
          <w:rFonts w:eastAsia="Cambria"/>
          <w:b/>
          <w:i/>
        </w:rPr>
        <w:tab/>
      </w:r>
      <w:r w:rsidRPr="001E671B">
        <w:rPr>
          <w:rFonts w:eastAsia="Cambria"/>
        </w:rPr>
        <w:t>Using Frost’s and Turner’s feedback loop models as a foundation, Carter and Beaupr</w:t>
      </w:r>
      <w:r>
        <w:t>é</w:t>
      </w:r>
      <w:r w:rsidRPr="001E671B">
        <w:rPr>
          <w:rFonts w:eastAsia="Cambria"/>
        </w:rPr>
        <w:t xml:space="preserve"> (2001) proposed a more complex bone adaptation hypothesis that, unlike previous models, incorporated the influence of developmental factors (</w:t>
      </w:r>
      <w:r w:rsidRPr="00DB5ED3">
        <w:rPr>
          <w:rFonts w:eastAsia="Cambria"/>
        </w:rPr>
        <w:t xml:space="preserve">Figure </w:t>
      </w:r>
      <w:r w:rsidR="00DB5ED3" w:rsidRPr="00DB5ED3">
        <w:rPr>
          <w:rFonts w:eastAsia="Cambria"/>
        </w:rPr>
        <w:t>2</w:t>
      </w:r>
      <w:r w:rsidRPr="00DB5ED3">
        <w:rPr>
          <w:rFonts w:eastAsia="Cambria"/>
        </w:rPr>
        <w:t>).</w:t>
      </w:r>
      <w:r w:rsidRPr="001E671B">
        <w:rPr>
          <w:rFonts w:eastAsia="Cambria"/>
        </w:rPr>
        <w:t xml:space="preserve"> According to their mechanobiology model, bone growth can be deconstructed into two components: a biological component and a mechanobiological component. The biological component encompasses intrinsic growth processes regulated by genes, hormones, and factors such as metabolic status.</w:t>
      </w:r>
      <w:r w:rsidR="006A3BEE">
        <w:rPr>
          <w:rFonts w:eastAsia="Cambria"/>
        </w:rPr>
        <w:t xml:space="preserve"> </w:t>
      </w:r>
      <w:r w:rsidRPr="001E671B">
        <w:rPr>
          <w:rFonts w:eastAsia="Cambria"/>
        </w:rPr>
        <w:t xml:space="preserve">The mechanobiological component, however, represents the bone growth (i.e., modeling; </w:t>
      </w:r>
      <w:r>
        <w:t xml:space="preserve">see “Processes of Bone Functional Adaptation” below on </w:t>
      </w:r>
      <w:r w:rsidRPr="005417E7">
        <w:t xml:space="preserve">page </w:t>
      </w:r>
      <w:r w:rsidR="005417E7" w:rsidRPr="005417E7">
        <w:t>17</w:t>
      </w:r>
      <w:r w:rsidRPr="005417E7">
        <w:rPr>
          <w:rFonts w:eastAsia="Cambria"/>
        </w:rPr>
        <w:t>) that occurs</w:t>
      </w:r>
      <w:r w:rsidRPr="001E671B">
        <w:rPr>
          <w:rFonts w:eastAsia="Cambria"/>
        </w:rPr>
        <w:t xml:space="preserve"> to maintain an optimum strain level within the bone in response to encountered mechanical loads. These two components combine to affect bone morphology across ontogeny; with increasing age, the biological component becomes less influential and the mechanobiological component increases in importance (Carter and Beaupr</w:t>
      </w:r>
      <w:r>
        <w:t>é</w:t>
      </w:r>
      <w:r w:rsidRPr="001E671B">
        <w:rPr>
          <w:rFonts w:eastAsia="Cambria"/>
        </w:rPr>
        <w:t xml:space="preserve">, 2001). Simulation and empirical studies verify that the mechanobiology model predicts long bone geometric properties and bone acquisition </w:t>
      </w:r>
      <w:r w:rsidR="00A752A1">
        <w:rPr>
          <w:rFonts w:eastAsia="Cambria"/>
        </w:rPr>
        <w:t>during growth</w:t>
      </w:r>
      <w:r w:rsidRPr="001E671B">
        <w:rPr>
          <w:rFonts w:eastAsia="Cambria"/>
        </w:rPr>
        <w:t xml:space="preserve"> quite accurately (van der Meulen et al., 1993, 1995, 1996, 1997; Carter et al., 1996).</w:t>
      </w:r>
    </w:p>
    <w:p w14:paraId="5F044241" w14:textId="77777777" w:rsidR="00AF5A4A" w:rsidRDefault="00AF5A4A" w:rsidP="00AF5A4A">
      <w:pPr>
        <w:keepNext/>
        <w:autoSpaceDE w:val="0"/>
        <w:autoSpaceDN w:val="0"/>
        <w:adjustRightInd w:val="0"/>
        <w:spacing w:line="480" w:lineRule="auto"/>
      </w:pPr>
      <w:r w:rsidRPr="00241365">
        <w:rPr>
          <w:rFonts w:eastAsia="Cambria"/>
          <w:noProof/>
        </w:rPr>
        <w:lastRenderedPageBreak/>
        <w:drawing>
          <wp:inline distT="0" distB="0" distL="0" distR="0" wp14:anchorId="0DA12EB4" wp14:editId="7B895706">
            <wp:extent cx="5943600" cy="2675559"/>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75559"/>
                    </a:xfrm>
                    <a:prstGeom prst="rect">
                      <a:avLst/>
                    </a:prstGeom>
                    <a:noFill/>
                    <a:ln>
                      <a:noFill/>
                    </a:ln>
                  </pic:spPr>
                </pic:pic>
              </a:graphicData>
            </a:graphic>
          </wp:inline>
        </w:drawing>
      </w:r>
    </w:p>
    <w:p w14:paraId="416EA1F0" w14:textId="77777777" w:rsidR="00AF5A4A" w:rsidRDefault="00AF5A4A" w:rsidP="00AF5A4A">
      <w:pPr>
        <w:pStyle w:val="Caption"/>
        <w:jc w:val="center"/>
        <w:rPr>
          <w:rFonts w:eastAsia="Cambria"/>
        </w:rPr>
      </w:pPr>
      <w:bookmarkStart w:id="9" w:name="_Toc233257064"/>
      <w:r>
        <w:t xml:space="preserve">Figure </w:t>
      </w:r>
      <w:fldSimple w:instr=" SEQ Figure \* ARABIC ">
        <w:r>
          <w:rPr>
            <w:noProof/>
          </w:rPr>
          <w:t>2</w:t>
        </w:r>
      </w:fldSimple>
      <w:r>
        <w:t xml:space="preserve">. </w:t>
      </w:r>
      <w:r w:rsidRPr="00E0701C">
        <w:t>Diagram of the mechanobiology model of bone mechanical adaptation (adapted from Carter and Beaupré, 2001).</w:t>
      </w:r>
      <w:bookmarkEnd w:id="9"/>
    </w:p>
    <w:p w14:paraId="4C47445C" w14:textId="77777777" w:rsidR="00AF5A4A" w:rsidRPr="001E671B" w:rsidRDefault="00AF5A4A" w:rsidP="001E671B">
      <w:pPr>
        <w:autoSpaceDE w:val="0"/>
        <w:autoSpaceDN w:val="0"/>
        <w:adjustRightInd w:val="0"/>
        <w:spacing w:line="480" w:lineRule="auto"/>
        <w:rPr>
          <w:rFonts w:eastAsia="Cambria"/>
        </w:rPr>
      </w:pPr>
    </w:p>
    <w:p w14:paraId="651664E5" w14:textId="77777777" w:rsidR="001E671B" w:rsidRDefault="001E671B" w:rsidP="001E671B">
      <w:pPr>
        <w:autoSpaceDE w:val="0"/>
        <w:autoSpaceDN w:val="0"/>
        <w:adjustRightInd w:val="0"/>
        <w:spacing w:line="480" w:lineRule="auto"/>
        <w:ind w:firstLine="720"/>
      </w:pPr>
      <w:r w:rsidRPr="001E671B">
        <w:rPr>
          <w:rFonts w:eastAsia="Cambria"/>
        </w:rPr>
        <w:t>The greatest contribution the mechanobiology model has made to understanding bone functional adaptation is its appreciation of intrinsic factors that may affect the threshold (or “attractor stimulus”) for osteological response. This aspect of the model makes it especially relevant to the current study, which focuses on the interaction between extrinsic mechanical influences and intrinsic metabolic factors. The attractor stimulus is a strain level locus surrounded by a “lazy zone,” or region where changes in strain result in little to no net bone gain or loss. Only substantial changes in mechanical loading will result in strains beyond the lazy zone, causing bone deposition or resorption (Carter and Beaupr</w:t>
      </w:r>
      <w:r>
        <w:t>é, 2001). The model allows for biological disturbances (e.g., metabolic status),</w:t>
      </w:r>
      <w:r w:rsidRPr="007C4677">
        <w:t xml:space="preserve"> </w:t>
      </w:r>
      <w:r>
        <w:t>factors not incorporated into either the mechanostat or mechanotransduction models, to influence bone deposition and resorption directly through the input parameter r</w:t>
      </w:r>
      <w:r w:rsidRPr="007C4677">
        <w:rPr>
          <w:vertAlign w:val="subscript"/>
        </w:rPr>
        <w:t>b</w:t>
      </w:r>
      <w:r>
        <w:t xml:space="preserve"> (Figure </w:t>
      </w:r>
      <w:r w:rsidR="00DB5ED3">
        <w:t>2</w:t>
      </w:r>
      <w:r>
        <w:t>). This input parameter is filtered through either the upper or lower feedback loop to affect the output parameter (r</w:t>
      </w:r>
      <w:r w:rsidRPr="003624B3">
        <w:rPr>
          <w:vertAlign w:val="subscript"/>
        </w:rPr>
        <w:t>m</w:t>
      </w:r>
      <w:r>
        <w:t xml:space="preserve">)—mechanobiological loss or </w:t>
      </w:r>
      <w:r>
        <w:lastRenderedPageBreak/>
        <w:t xml:space="preserve">gain of bone. Non-mechanical systemic factors (e.g., metabolic status, genetics, local tissue interactions) may also affect net bone mass by indirectly altering the mechanical strain level locus itself (i.e., the upper feedback </w:t>
      </w:r>
      <w:r w:rsidRPr="00DB5ED3">
        <w:t xml:space="preserve">loop in Figure </w:t>
      </w:r>
      <w:r w:rsidR="00DB5ED3" w:rsidRPr="00DB5ED3">
        <w:t>2</w:t>
      </w:r>
      <w:r w:rsidRPr="00DB5ED3">
        <w:t>). The lower</w:t>
      </w:r>
      <w:r>
        <w:t xml:space="preserve"> feedback loop contains variables that influence the daily stress stimulus experienced by the bone, such as bone geometric properties and loading history.</w:t>
      </w:r>
    </w:p>
    <w:p w14:paraId="27299F7A" w14:textId="77777777" w:rsidR="001E671B" w:rsidRDefault="001E671B" w:rsidP="001E671B">
      <w:pPr>
        <w:autoSpaceDE w:val="0"/>
        <w:autoSpaceDN w:val="0"/>
        <w:adjustRightInd w:val="0"/>
        <w:spacing w:line="480" w:lineRule="auto"/>
      </w:pPr>
    </w:p>
    <w:p w14:paraId="02D7CF96" w14:textId="77777777" w:rsidR="001E671B" w:rsidRPr="0068348B" w:rsidRDefault="001E671B" w:rsidP="0068348B">
      <w:pPr>
        <w:pStyle w:val="Heading3"/>
        <w:spacing w:line="480" w:lineRule="auto"/>
      </w:pPr>
      <w:bookmarkStart w:id="10" w:name="_Toc233171623"/>
      <w:r w:rsidRPr="0068348B">
        <w:t>Processes of Bone Functional Adaptation</w:t>
      </w:r>
      <w:bookmarkEnd w:id="10"/>
    </w:p>
    <w:p w14:paraId="2C434CD0" w14:textId="77777777" w:rsidR="001E671B" w:rsidRDefault="001E671B" w:rsidP="0068348B">
      <w:pPr>
        <w:widowControl w:val="0"/>
        <w:autoSpaceDE w:val="0"/>
        <w:autoSpaceDN w:val="0"/>
        <w:adjustRightInd w:val="0"/>
        <w:spacing w:line="480" w:lineRule="auto"/>
        <w:ind w:firstLine="720"/>
        <w:contextualSpacing/>
        <w:rPr>
          <w:color w:val="000000"/>
        </w:rPr>
      </w:pPr>
      <w:r>
        <w:t>B</w:t>
      </w:r>
      <w:r w:rsidRPr="00F33CCD">
        <w:t>one responds to mechanical loading through two processes: modeling and remodeling.</w:t>
      </w:r>
      <w:r>
        <w:t xml:space="preserve"> Cortical bone m</w:t>
      </w:r>
      <w:r w:rsidRPr="00F33CCD">
        <w:t xml:space="preserve">odeling involves </w:t>
      </w:r>
      <w:r w:rsidRPr="00153C5B">
        <w:rPr>
          <w:i/>
        </w:rPr>
        <w:t>either</w:t>
      </w:r>
      <w:r>
        <w:t xml:space="preserve"> </w:t>
      </w:r>
      <w:r w:rsidRPr="00F33CCD">
        <w:t xml:space="preserve">deposition or resorption at the periosteal </w:t>
      </w:r>
      <w:r>
        <w:t xml:space="preserve">or endosteal surfaces that </w:t>
      </w:r>
      <w:r w:rsidRPr="00F33CCD">
        <w:t xml:space="preserve">occur </w:t>
      </w:r>
      <w:r w:rsidRPr="00153C5B">
        <w:rPr>
          <w:i/>
        </w:rPr>
        <w:t>independently</w:t>
      </w:r>
      <w:r w:rsidRPr="00F33CCD">
        <w:t xml:space="preserve"> of one another by the actions of osteoclasts and ost</w:t>
      </w:r>
      <w:r>
        <w:t>eoblasts, respectively. Remodeling, on the other hand,</w:t>
      </w:r>
      <w:r w:rsidRPr="00F33CCD">
        <w:rPr>
          <w:color w:val="000000"/>
        </w:rPr>
        <w:t xml:space="preserve"> involves the </w:t>
      </w:r>
      <w:r>
        <w:rPr>
          <w:color w:val="000000"/>
        </w:rPr>
        <w:t>coordination</w:t>
      </w:r>
      <w:r w:rsidRPr="00F33CCD">
        <w:rPr>
          <w:color w:val="000000"/>
        </w:rPr>
        <w:t xml:space="preserve"> of both osteoblasts and osteoclasts </w:t>
      </w:r>
      <w:r>
        <w:rPr>
          <w:color w:val="000000"/>
        </w:rPr>
        <w:t xml:space="preserve">to resorb and deposit bone </w:t>
      </w:r>
      <w:r w:rsidRPr="004A08C0">
        <w:rPr>
          <w:i/>
          <w:color w:val="000000"/>
        </w:rPr>
        <w:t>simultaneously</w:t>
      </w:r>
      <w:r>
        <w:rPr>
          <w:color w:val="000000"/>
        </w:rPr>
        <w:t xml:space="preserve">, removing older bone and replacing it with new bone matrix </w:t>
      </w:r>
      <w:r w:rsidRPr="00F33CCD">
        <w:rPr>
          <w:color w:val="000000"/>
        </w:rPr>
        <w:t>(</w:t>
      </w:r>
      <w:r>
        <w:rPr>
          <w:color w:val="000000"/>
        </w:rPr>
        <w:t>Frost, 1990b). In short, modeling tends to alter the gross morphology—shape and size—of bone, while remodeling tends to maintain existing bone geometry as well as alters tissue-level structure.</w:t>
      </w:r>
    </w:p>
    <w:p w14:paraId="2CE69E8F" w14:textId="77777777" w:rsidR="001E671B" w:rsidRDefault="001E671B" w:rsidP="001E671B">
      <w:pPr>
        <w:widowControl w:val="0"/>
        <w:autoSpaceDE w:val="0"/>
        <w:autoSpaceDN w:val="0"/>
        <w:adjustRightInd w:val="0"/>
        <w:spacing w:line="480" w:lineRule="auto"/>
        <w:ind w:firstLine="720"/>
        <w:contextualSpacing/>
      </w:pPr>
      <w:r w:rsidRPr="00F33CCD">
        <w:rPr>
          <w:color w:val="000000"/>
        </w:rPr>
        <w:t xml:space="preserve">Biomechanical loading during childhood and adolescence induces modeling to </w:t>
      </w:r>
      <w:r>
        <w:rPr>
          <w:color w:val="000000"/>
        </w:rPr>
        <w:t>maintain bone strength as the bone grows in size</w:t>
      </w:r>
      <w:r w:rsidRPr="004E7A92">
        <w:rPr>
          <w:color w:val="000000"/>
        </w:rPr>
        <w:t xml:space="preserve"> </w:t>
      </w:r>
      <w:r>
        <w:rPr>
          <w:color w:val="000000"/>
        </w:rPr>
        <w:t xml:space="preserve">(Enlow, 1963; Frost, 1988; 1990a), sculpting the bone according to its genetic plan through mechanical stimulation </w:t>
      </w:r>
      <w:r w:rsidRPr="00F33CCD">
        <w:rPr>
          <w:color w:val="000000"/>
        </w:rPr>
        <w:t>(</w:t>
      </w:r>
      <w:r>
        <w:rPr>
          <w:color w:val="000000"/>
        </w:rPr>
        <w:t xml:space="preserve">Wong and Carter, 1990; Henderson and Carter, 2002). </w:t>
      </w:r>
      <w:r>
        <w:t>Modeling is</w:t>
      </w:r>
      <w:r w:rsidRPr="00F33CCD">
        <w:t xml:space="preserve"> most active during infancy and slowly subsides after skeletal maturity, </w:t>
      </w:r>
      <w:r>
        <w:t xml:space="preserve">at which time </w:t>
      </w:r>
      <w:r w:rsidRPr="00F33CCD">
        <w:t xml:space="preserve">remodeling activity </w:t>
      </w:r>
      <w:r>
        <w:t xml:space="preserve">becomes more predominant (Frost 1964a, 1990a). Specifically, with respect to long bone diaphyses, modeling functions mostly to increase bone strength throughout ontogeny by depositing bone periosteally while removing it endosteally </w:t>
      </w:r>
      <w:r>
        <w:lastRenderedPageBreak/>
        <w:t xml:space="preserve">as the bone grows proximodistally (Rubin and Lanyon, 1984a, 1984b; Biewener et al., 1986; Bass et al., 1998; Ruff et al., 1994; Lieberman and Pearson, 2001). The opposite is true of the metaphyseal portions of the growing long bone, where expansion of the periosteal collar involves removal of the periosteum and deposition at the endosteum to preserve its morphological function (Enlow, 1963). A similar process occurs in ribs to accommodate expansion of the thorax during growth; however rib cortices tends to drift cutaneously as bone is resorbed periosteally from the pleural side and endosteally from the cutaneous side while it is simultaneously deposited periosteally on the cutaneous side and endosteally on the pleural side (Epker and Frost, 1966; Landeros and Frost, 1964; Streeter, 2005). </w:t>
      </w:r>
    </w:p>
    <w:p w14:paraId="265D9A02" w14:textId="77777777" w:rsidR="001E671B" w:rsidRDefault="001E671B" w:rsidP="001E671B">
      <w:pPr>
        <w:spacing w:line="480" w:lineRule="auto"/>
        <w:ind w:firstLine="720"/>
        <w:contextualSpacing/>
        <w:rPr>
          <w:color w:val="000000"/>
        </w:rPr>
      </w:pPr>
      <w:r>
        <w:t xml:space="preserve">Remodeling occurs throughout the lifecycle, turning over small packets of bone at a time and eventually culminating in the replacement of the entire adult skeleton every seven to ten years. </w:t>
      </w:r>
      <w:r>
        <w:rPr>
          <w:color w:val="000000"/>
        </w:rPr>
        <w:t>This is achieved through g</w:t>
      </w:r>
      <w:r w:rsidRPr="00F33CCD">
        <w:rPr>
          <w:color w:val="000000"/>
        </w:rPr>
        <w:t xml:space="preserve">roups of cells called basic multicellular units (BMUs), </w:t>
      </w:r>
      <w:r>
        <w:rPr>
          <w:color w:val="000000"/>
        </w:rPr>
        <w:t xml:space="preserve">which </w:t>
      </w:r>
      <w:r w:rsidRPr="00F33CCD">
        <w:rPr>
          <w:color w:val="000000"/>
        </w:rPr>
        <w:t>are composed of roughly 10 osteoclasts, hundreds of osteoblasts, and their associated blood vessels and nerves (</w:t>
      </w:r>
      <w:r>
        <w:t>Frost, 1963</w:t>
      </w:r>
      <w:r>
        <w:rPr>
          <w:color w:val="000000"/>
        </w:rPr>
        <w:t>; Sims and Gooi, 2008</w:t>
      </w:r>
      <w:r w:rsidRPr="00F33CCD">
        <w:rPr>
          <w:color w:val="000000"/>
        </w:rPr>
        <w:t>).</w:t>
      </w:r>
      <w:r>
        <w:t xml:space="preserve"> Bone remodeling is surface dependent; </w:t>
      </w:r>
      <w:r w:rsidRPr="00F33CCD">
        <w:rPr>
          <w:color w:val="000000"/>
        </w:rPr>
        <w:t>BMUs can be generated at</w:t>
      </w:r>
      <w:r>
        <w:rPr>
          <w:color w:val="000000"/>
        </w:rPr>
        <w:t xml:space="preserve"> any </w:t>
      </w:r>
      <w:r w:rsidRPr="00F33CCD">
        <w:rPr>
          <w:color w:val="000000"/>
        </w:rPr>
        <w:t>bone surface</w:t>
      </w:r>
      <w:r>
        <w:rPr>
          <w:color w:val="000000"/>
        </w:rPr>
        <w:t xml:space="preserve"> that is </w:t>
      </w:r>
      <w:r w:rsidRPr="00F33CCD">
        <w:rPr>
          <w:color w:val="000000"/>
        </w:rPr>
        <w:t>lined with oste</w:t>
      </w:r>
      <w:r>
        <w:rPr>
          <w:color w:val="000000"/>
        </w:rPr>
        <w:t>ogenic connective tissue (i.e.</w:t>
      </w:r>
      <w:r w:rsidRPr="00F33CCD">
        <w:rPr>
          <w:color w:val="000000"/>
        </w:rPr>
        <w:t xml:space="preserve">, trabecular, </w:t>
      </w:r>
      <w:r>
        <w:rPr>
          <w:color w:val="000000"/>
        </w:rPr>
        <w:t>periosteal, endosteal, intracortical, and Haversian canals</w:t>
      </w:r>
      <w:r w:rsidRPr="00F33CCD">
        <w:rPr>
          <w:color w:val="000000"/>
        </w:rPr>
        <w:t>) (</w:t>
      </w:r>
      <w:r>
        <w:rPr>
          <w:color w:val="000000"/>
        </w:rPr>
        <w:t>Hattner et al., 1965</w:t>
      </w:r>
      <w:r w:rsidRPr="00F33CCD">
        <w:rPr>
          <w:color w:val="000000"/>
        </w:rPr>
        <w:t>).</w:t>
      </w:r>
      <w:r>
        <w:rPr>
          <w:color w:val="000000"/>
        </w:rPr>
        <w:t xml:space="preserve"> </w:t>
      </w:r>
    </w:p>
    <w:p w14:paraId="6FEA1232" w14:textId="77777777" w:rsidR="001E671B" w:rsidRDefault="001E671B" w:rsidP="001E671B">
      <w:pPr>
        <w:spacing w:line="480" w:lineRule="auto"/>
        <w:ind w:firstLine="720"/>
        <w:contextualSpacing/>
      </w:pPr>
      <w:r w:rsidRPr="00F33CCD">
        <w:t xml:space="preserve">Changes in cortical bone microstructure occur through </w:t>
      </w:r>
      <w:r>
        <w:t xml:space="preserve">intracortical </w:t>
      </w:r>
      <w:r w:rsidRPr="00F33CCD">
        <w:t>remodeling</w:t>
      </w:r>
      <w:r>
        <w:t>, the process by which secondary osteons (i.e., Haversian systems) are created</w:t>
      </w:r>
      <w:r w:rsidRPr="00F33CCD">
        <w:t>.</w:t>
      </w:r>
      <w:r>
        <w:t xml:space="preserve"> Secondary osteons form when BMUs tunnel through cortical bone and replace old, damaged tissue. </w:t>
      </w:r>
      <w:r w:rsidRPr="00F33CCD">
        <w:t xml:space="preserve">These </w:t>
      </w:r>
      <w:r>
        <w:t>structures</w:t>
      </w:r>
      <w:r w:rsidRPr="00F33CCD">
        <w:t xml:space="preserve"> are called </w:t>
      </w:r>
      <w:r w:rsidRPr="00D2037D">
        <w:rPr>
          <w:i/>
        </w:rPr>
        <w:t>secondary</w:t>
      </w:r>
      <w:r w:rsidRPr="00F33CCD">
        <w:t xml:space="preserve"> osteons because they develop after the affected tissue has ossified and require the resorption of preexisting bone tissue </w:t>
      </w:r>
      <w:r>
        <w:t>prior to formation</w:t>
      </w:r>
      <w:r w:rsidRPr="00F33CCD">
        <w:t>.</w:t>
      </w:r>
      <w:r>
        <w:t xml:space="preserve"> </w:t>
      </w:r>
      <w:r w:rsidRPr="00F33CCD">
        <w:t xml:space="preserve">Primary osteons, on the other hand, develop without resorption </w:t>
      </w:r>
      <w:r>
        <w:t>as the spaces within woven bone are filled by concentric lamellae (Hall, 1965</w:t>
      </w:r>
      <w:r w:rsidRPr="00F33CCD">
        <w:t>).</w:t>
      </w:r>
      <w:r>
        <w:t xml:space="preserve"> </w:t>
      </w:r>
    </w:p>
    <w:p w14:paraId="01C8EF58" w14:textId="77777777" w:rsidR="001E671B" w:rsidRPr="00F33CCD" w:rsidRDefault="001E671B" w:rsidP="001E671B">
      <w:pPr>
        <w:spacing w:line="480" w:lineRule="auto"/>
        <w:ind w:firstLine="720"/>
        <w:contextualSpacing/>
      </w:pPr>
      <w:r>
        <w:rPr>
          <w:color w:val="000000"/>
        </w:rPr>
        <w:lastRenderedPageBreak/>
        <w:t xml:space="preserve">A brief overview of the intracortical remodeling process is presented here in support of the rationale behind the research hypotheses on microscopic adaptations to mechanics and metabolism. </w:t>
      </w:r>
      <w:r w:rsidRPr="00F33CCD">
        <w:rPr>
          <w:color w:val="000000"/>
        </w:rPr>
        <w:t>Each BMU undergoes three lifecycle stages (referred to collectively as ARF): activation, resorption, and formation (</w:t>
      </w:r>
      <w:r>
        <w:rPr>
          <w:color w:val="000000"/>
        </w:rPr>
        <w:t>Frost 1964b, 1969</w:t>
      </w:r>
      <w:r w:rsidRPr="00F33CCD">
        <w:rPr>
          <w:color w:val="000000"/>
        </w:rPr>
        <w:t>).</w:t>
      </w:r>
      <w:r>
        <w:rPr>
          <w:color w:val="000000"/>
        </w:rPr>
        <w:t xml:space="preserve"> </w:t>
      </w:r>
      <w:r w:rsidRPr="00F33CCD">
        <w:rPr>
          <w:color w:val="000000"/>
        </w:rPr>
        <w:t xml:space="preserve">The first step in remodeling occurs with activation of osteoclast formation through the fusion of </w:t>
      </w:r>
      <w:r w:rsidRPr="00F33CCD">
        <w:t xml:space="preserve">monocytes, a process </w:t>
      </w:r>
      <w:r>
        <w:t>that</w:t>
      </w:r>
      <w:r w:rsidRPr="00F33CCD">
        <w:t xml:space="preserve"> takes about</w:t>
      </w:r>
      <w:r w:rsidRPr="00F33CCD">
        <w:rPr>
          <w:color w:val="000000"/>
        </w:rPr>
        <w:t xml:space="preserve"> 3 days to complete (Martin et al., 1998).</w:t>
      </w:r>
      <w:r>
        <w:rPr>
          <w:color w:val="000000"/>
        </w:rPr>
        <w:t xml:space="preserve"> </w:t>
      </w:r>
      <w:r w:rsidRPr="00F33CCD">
        <w:rPr>
          <w:color w:val="000000"/>
        </w:rPr>
        <w:t>These</w:t>
      </w:r>
      <w:r w:rsidRPr="00F33CCD">
        <w:t xml:space="preserve"> newly</w:t>
      </w:r>
      <w:r>
        <w:t xml:space="preserve"> </w:t>
      </w:r>
      <w:r w:rsidRPr="00F33CCD">
        <w:t xml:space="preserve">formed osteoclasts begin to resorb bone at a rate of about 40 </w:t>
      </w:r>
      <w:r w:rsidRPr="00F33CCD">
        <w:rPr>
          <w:bCs/>
        </w:rPr>
        <w:t>μ</w:t>
      </w:r>
      <w:r>
        <w:t xml:space="preserve">m per day, tunneling through the bone cortex </w:t>
      </w:r>
      <w:r w:rsidRPr="00F33CCD">
        <w:t>(Frost, 1964</w:t>
      </w:r>
      <w:r>
        <w:t>b</w:t>
      </w:r>
      <w:r w:rsidRPr="00F33CCD">
        <w:t>).</w:t>
      </w:r>
      <w:r>
        <w:t xml:space="preserve"> </w:t>
      </w:r>
      <w:r w:rsidRPr="00F33CCD">
        <w:t>This osteoclast activity forms a resorptive space in cross section, an empty space within the cortical layer delineated by a rugged</w:t>
      </w:r>
      <w:r w:rsidRPr="00F33CCD">
        <w:rPr>
          <w:color w:val="000000"/>
        </w:rPr>
        <w:t xml:space="preserve"> </w:t>
      </w:r>
      <w:r>
        <w:t>outline</w:t>
      </w:r>
      <w:r w:rsidRPr="00F33CCD">
        <w:t>.</w:t>
      </w:r>
      <w:r>
        <w:t xml:space="preserve"> </w:t>
      </w:r>
      <w:r w:rsidRPr="00F33CCD">
        <w:t>Eventually, the osteoclasts experien</w:t>
      </w:r>
      <w:r>
        <w:t>ce apoptosis</w:t>
      </w:r>
      <w:r w:rsidRPr="00F33CCD">
        <w:t>, which signals the initiation of osteoblast formation from precursor cells</w:t>
      </w:r>
      <w:r>
        <w:t xml:space="preserve"> especially found in the medullary cavity</w:t>
      </w:r>
      <w:r w:rsidRPr="00F33CCD">
        <w:t>.</w:t>
      </w:r>
      <w:r>
        <w:t xml:space="preserve"> </w:t>
      </w:r>
      <w:r w:rsidRPr="00F33CCD">
        <w:t>In a BMU tunnel, the reversal from osteoclastic to osteoblastic activity creates an empty space between the resorptive and formative regions alo</w:t>
      </w:r>
      <w:r>
        <w:t>ng the tunnel’s length</w:t>
      </w:r>
      <w:r w:rsidRPr="00F33CCD">
        <w:t>.</w:t>
      </w:r>
      <w:r>
        <w:t xml:space="preserve"> </w:t>
      </w:r>
      <w:r w:rsidRPr="00F33CCD">
        <w:t>This space represents the lag time between resorption and formation, caused by the differential activity ra</w:t>
      </w:r>
      <w:r>
        <w:t>tes of both cell types; a</w:t>
      </w:r>
      <w:r w:rsidRPr="00F33CCD">
        <w:t>n osteoblast can secrete 1 micrometer of bone per day, while an osteoclast resorbs tens</w:t>
      </w:r>
      <w:r>
        <w:t xml:space="preserve"> of micrometers of bone per day. </w:t>
      </w:r>
      <w:r w:rsidRPr="00F33CCD">
        <w:t>This reversal line coincides with the future cement line of the secondary osteon, a hypermineralized line delineating the border between the bone cortex and the newly created</w:t>
      </w:r>
      <w:r>
        <w:t xml:space="preserve"> Haversian system</w:t>
      </w:r>
      <w:r w:rsidRPr="00F33CCD">
        <w:t xml:space="preserve"> (</w:t>
      </w:r>
      <w:r>
        <w:t>Frost, 1969</w:t>
      </w:r>
      <w:r w:rsidRPr="00F33CCD">
        <w:t>).</w:t>
      </w:r>
      <w:r>
        <w:t xml:space="preserve"> </w:t>
      </w:r>
    </w:p>
    <w:p w14:paraId="1492BB18" w14:textId="77777777" w:rsidR="001E671B" w:rsidRPr="00F33CCD" w:rsidRDefault="001E671B" w:rsidP="001E671B">
      <w:pPr>
        <w:spacing w:line="480" w:lineRule="auto"/>
        <w:ind w:firstLine="720"/>
        <w:contextualSpacing/>
        <w:rPr>
          <w:color w:val="000000"/>
        </w:rPr>
      </w:pPr>
      <w:r w:rsidRPr="00F33CCD">
        <w:t>After</w:t>
      </w:r>
      <w:r w:rsidRPr="00F33CCD">
        <w:rPr>
          <w:color w:val="000000"/>
        </w:rPr>
        <w:t xml:space="preserve"> </w:t>
      </w:r>
      <w:r w:rsidRPr="00F33CCD">
        <w:t>proliferating and lining the resorptive cavity, osteoblasts deposit concentric layers of osteoid (unmineralized bone matrix) onto this reversal line, slowly reducing the size of the remodeling space.</w:t>
      </w:r>
      <w:r>
        <w:t xml:space="preserve"> </w:t>
      </w:r>
      <w:r w:rsidRPr="00F33CCD">
        <w:t>After each layer (or osteonal lamella) is deposit</w:t>
      </w:r>
      <w:r>
        <w:t>ed, it will begin to mineralize</w:t>
      </w:r>
      <w:r w:rsidRPr="00F33CCD">
        <w:t xml:space="preserve"> with the older lamellae on t</w:t>
      </w:r>
      <w:r>
        <w:t>he periphery mineralizing first.</w:t>
      </w:r>
      <w:r w:rsidR="006A3BEE">
        <w:t xml:space="preserve"> </w:t>
      </w:r>
      <w:r w:rsidRPr="00F33CCD">
        <w:t>Mineralization occurs through the deposition of mineral crystals within and between collagen fibers of the organic bone matrix (Frost,</w:t>
      </w:r>
      <w:r w:rsidRPr="00F33CCD">
        <w:rPr>
          <w:color w:val="000000"/>
        </w:rPr>
        <w:t xml:space="preserve"> </w:t>
      </w:r>
      <w:r>
        <w:t>1963</w:t>
      </w:r>
      <w:r w:rsidRPr="00F33CCD">
        <w:t>).</w:t>
      </w:r>
      <w:r>
        <w:t xml:space="preserve"> </w:t>
      </w:r>
      <w:r w:rsidRPr="00F33CCD">
        <w:t xml:space="preserve">About 75% of osteon mineralization occurs in the first few days after formation; </w:t>
      </w:r>
      <w:r w:rsidRPr="00F33CCD">
        <w:lastRenderedPageBreak/>
        <w:t xml:space="preserve">the remaining portion occurs slowly over the next year or so </w:t>
      </w:r>
      <w:r w:rsidR="00DA5E05" w:rsidRPr="00F33CCD">
        <w:fldChar w:fldCharType="begin"/>
      </w:r>
      <w:r w:rsidRPr="00F33CCD">
        <w:instrText xml:space="preserve"> ADDIN EN.CITE &lt;EndNote&gt;&lt;Cite&gt;&lt;Author&gt;Ortner&lt;/Author&gt;&lt;Year&gt;2003&lt;/Year&gt;&lt;RecNum&gt;2&lt;/RecNum&gt;&lt;record&gt;&lt;rec-number&gt;2&lt;/rec-number&gt;&lt;ref-type name="Book"&gt;6&lt;/ref-type&gt;&lt;contributors&gt;&lt;authors&gt;&lt;author&gt;Ortner, DJ&lt;/author&gt;&lt;/authors&gt;&lt;/contributors&gt;&lt;titles&gt;&lt;title&gt;Identification of pathological conditions in human skeletal remains.&lt;/title&gt;&lt;/titles&gt;&lt;edition&gt;2nd&lt;/edition&gt;&lt;dates&gt;&lt;year&gt;2003&lt;/year&gt;&lt;/dates&gt;&lt;pub-location&gt;San Diego&lt;/pub-location&gt;&lt;publisher&gt;Elsevier&lt;/publisher&gt;&lt;urls&gt;&lt;/urls&gt;&lt;/record&gt;&lt;/Cite&gt;&lt;/EndNote&gt;</w:instrText>
      </w:r>
      <w:r w:rsidR="00DA5E05" w:rsidRPr="00F33CCD">
        <w:fldChar w:fldCharType="separate"/>
      </w:r>
      <w:r w:rsidRPr="00F33CCD">
        <w:t>(Ortner, 2003</w:t>
      </w:r>
      <w:r>
        <w:t>; Fuchs et al., 2008</w:t>
      </w:r>
      <w:r w:rsidRPr="00F33CCD">
        <w:t>)</w:t>
      </w:r>
      <w:r w:rsidR="00DA5E05" w:rsidRPr="00F33CCD">
        <w:fldChar w:fldCharType="end"/>
      </w:r>
      <w:r w:rsidRPr="00F33CCD">
        <w:t>.</w:t>
      </w:r>
      <w:r>
        <w:t xml:space="preserve"> </w:t>
      </w:r>
      <w:r w:rsidRPr="00F33CCD">
        <w:t xml:space="preserve">Once the BMU is isolated within the bone’s cortex, a constant vascular supply is needed to provide nutrients to the working cells, including the osteoblasts that </w:t>
      </w:r>
      <w:r>
        <w:t xml:space="preserve">are enclosed in the developing matrix; these embedded osteoblasts </w:t>
      </w:r>
      <w:r w:rsidRPr="00F33CCD">
        <w:t>become osteocytes.</w:t>
      </w:r>
      <w:r>
        <w:t xml:space="preserve"> </w:t>
      </w:r>
      <w:r w:rsidRPr="00F33CCD">
        <w:t xml:space="preserve">Thus, </w:t>
      </w:r>
      <w:r>
        <w:t>at</w:t>
      </w:r>
      <w:r w:rsidRPr="00F33CCD">
        <w:t xml:space="preserve"> </w:t>
      </w:r>
      <w:r>
        <w:t xml:space="preserve">the </w:t>
      </w:r>
      <w:r w:rsidRPr="00F33CCD">
        <w:t>center of each osteon</w:t>
      </w:r>
      <w:r>
        <w:t xml:space="preserve"> is a Haversian canal that contains blood vessels</w:t>
      </w:r>
      <w:r w:rsidRPr="00F33CCD">
        <w:t xml:space="preserve"> for nutrient supply</w:t>
      </w:r>
      <w:r w:rsidRPr="00F33CCD">
        <w:rPr>
          <w:color w:val="000000"/>
        </w:rPr>
        <w:t xml:space="preserve"> </w:t>
      </w:r>
      <w:r>
        <w:rPr>
          <w:color w:val="000000"/>
        </w:rPr>
        <w:t xml:space="preserve">within the bone tissue </w:t>
      </w:r>
      <w:r w:rsidRPr="00F33CCD">
        <w:t xml:space="preserve">(Martin and Burr, 1989; </w:t>
      </w:r>
      <w:r>
        <w:t>Martin et al., 1998</w:t>
      </w:r>
      <w:r w:rsidRPr="00F33CCD">
        <w:t>).</w:t>
      </w:r>
    </w:p>
    <w:p w14:paraId="5C203D12" w14:textId="77777777" w:rsidR="001E671B" w:rsidRDefault="001E671B" w:rsidP="001E671B">
      <w:pPr>
        <w:spacing w:line="480" w:lineRule="auto"/>
        <w:ind w:firstLine="720"/>
        <w:contextualSpacing/>
      </w:pPr>
      <w:r>
        <w:rPr>
          <w:color w:val="000000"/>
        </w:rPr>
        <w:t xml:space="preserve">There are two purposes for intracortical remodeling, which in turn affect the interpretation of mechanics and metabolism from cortical bone. </w:t>
      </w:r>
      <w:r>
        <w:t>“T</w:t>
      </w:r>
      <w:r w:rsidRPr="00F33CCD">
        <w:t>argeted” remodeling is a mech</w:t>
      </w:r>
      <w:r>
        <w:t xml:space="preserve">anical adaptation to loading that replaces old, damaged bone tissue </w:t>
      </w:r>
      <w:r w:rsidRPr="00F33CCD">
        <w:t>(Burr, 2002</w:t>
      </w:r>
      <w:r>
        <w:t xml:space="preserve">; Parfitt; 2002; Martin; 2007). This form of remodeling is the subject of both Frost’s and Turner’s models. </w:t>
      </w:r>
      <w:r w:rsidRPr="00F33CCD">
        <w:t xml:space="preserve">In contrast, “stochastic” remodeling is </w:t>
      </w:r>
      <w:r>
        <w:t xml:space="preserve">hypothesized to be </w:t>
      </w:r>
      <w:r w:rsidRPr="00F33CCD">
        <w:t xml:space="preserve">a normal part of </w:t>
      </w:r>
      <w:r>
        <w:t>mineral</w:t>
      </w:r>
      <w:r w:rsidRPr="00F33CCD">
        <w:t xml:space="preserve"> homeostasis, </w:t>
      </w:r>
      <w:r>
        <w:t>which</w:t>
      </w:r>
      <w:r w:rsidRPr="00F33CCD">
        <w:t xml:space="preserve"> </w:t>
      </w:r>
      <w:r>
        <w:t xml:space="preserve">theoretically </w:t>
      </w:r>
      <w:r w:rsidRPr="00F33CCD">
        <w:t xml:space="preserve">occurs in random locations with respect to loading </w:t>
      </w:r>
      <w:r>
        <w:t xml:space="preserve">to maintain levels of essential nutrients in the bloodstream </w:t>
      </w:r>
      <w:r w:rsidRPr="00F33CCD">
        <w:t>(Martin and Burr, 1982</w:t>
      </w:r>
      <w:r>
        <w:t>; Burr, 2002; Martin, 2004</w:t>
      </w:r>
      <w:r w:rsidRPr="00F33CCD">
        <w:t>).</w:t>
      </w:r>
    </w:p>
    <w:p w14:paraId="5BD3B29B" w14:textId="77777777" w:rsidR="001E671B" w:rsidRDefault="001E671B" w:rsidP="001E671B">
      <w:pPr>
        <w:spacing w:line="480" w:lineRule="auto"/>
        <w:ind w:firstLine="720"/>
        <w:contextualSpacing/>
      </w:pPr>
      <w:r w:rsidRPr="00F33CCD">
        <w:rPr>
          <w:color w:val="000000"/>
        </w:rPr>
        <w:t xml:space="preserve">As bone tissue ages, microscopic damage in the form of </w:t>
      </w:r>
      <w:r>
        <w:rPr>
          <w:color w:val="000000"/>
        </w:rPr>
        <w:t xml:space="preserve">microstress fractures </w:t>
      </w:r>
      <w:r w:rsidR="008114F5" w:rsidRPr="00F33CCD">
        <w:rPr>
          <w:color w:val="000000"/>
        </w:rPr>
        <w:t>occurs</w:t>
      </w:r>
      <w:r w:rsidRPr="00F33CCD">
        <w:t xml:space="preserve"> </w:t>
      </w:r>
      <w:r w:rsidRPr="00F33CCD">
        <w:rPr>
          <w:color w:val="000000"/>
        </w:rPr>
        <w:t>th</w:t>
      </w:r>
      <w:r>
        <w:rPr>
          <w:color w:val="000000"/>
        </w:rPr>
        <w:t>rough mechanical usage, and would eventually accumulate to form larger fractures without intervention</w:t>
      </w:r>
      <w:r w:rsidRPr="00F33CCD">
        <w:rPr>
          <w:color w:val="000000"/>
        </w:rPr>
        <w:t>.</w:t>
      </w:r>
      <w:r>
        <w:rPr>
          <w:color w:val="000000"/>
        </w:rPr>
        <w:t xml:space="preserve"> </w:t>
      </w:r>
      <w:r>
        <w:t xml:space="preserve">The purposes of targeted remodeling are not entirely understood. However it has been proposed that secondary osteons maintain </w:t>
      </w:r>
      <w:r w:rsidRPr="00F33CCD">
        <w:t>bone strength</w:t>
      </w:r>
      <w:r>
        <w:t xml:space="preserve"> through various methods: their formation </w:t>
      </w:r>
      <w:r w:rsidRPr="00F33CCD">
        <w:t>replac</w:t>
      </w:r>
      <w:r>
        <w:t>es</w:t>
      </w:r>
      <w:r w:rsidRPr="00F33CCD">
        <w:t xml:space="preserve"> fatigue-damaged tissue </w:t>
      </w:r>
      <w:r>
        <w:t>(Carter, 1984</w:t>
      </w:r>
      <w:r>
        <w:rPr>
          <w:color w:val="000000"/>
        </w:rPr>
        <w:t xml:space="preserve">; </w:t>
      </w:r>
      <w:r w:rsidRPr="00F33CCD">
        <w:t>Frost, 1987)</w:t>
      </w:r>
      <w:r>
        <w:t xml:space="preserve">; their shape—especially the cement line—prevents microcrack propagation (Frost, 1960; </w:t>
      </w:r>
      <w:r>
        <w:rPr>
          <w:color w:val="000000"/>
        </w:rPr>
        <w:t>Schaffler et al., 1995</w:t>
      </w:r>
      <w:r>
        <w:t>); or, perhaps, their presence and concentration prevents microdamage by anticipating potentially weakened areas (Parfitt, 2002)</w:t>
      </w:r>
      <w:r w:rsidRPr="00F33CCD">
        <w:t>.</w:t>
      </w:r>
      <w:r>
        <w:t xml:space="preserve"> In any of these scenarios no </w:t>
      </w:r>
      <w:r w:rsidRPr="009034D8">
        <w:rPr>
          <w:i/>
        </w:rPr>
        <w:t>ultimate</w:t>
      </w:r>
      <w:r>
        <w:t xml:space="preserve"> </w:t>
      </w:r>
      <w:r w:rsidRPr="00F33CCD">
        <w:t>changes to mass</w:t>
      </w:r>
      <w:r>
        <w:t xml:space="preserve"> occur because equal amounts of bone tissue are removed and replaced; although remodeling </w:t>
      </w:r>
      <w:r>
        <w:rPr>
          <w:i/>
        </w:rPr>
        <w:t xml:space="preserve">temporarily </w:t>
      </w:r>
      <w:r>
        <w:t>reduces microscopic bone mass, as resorption</w:t>
      </w:r>
      <w:r w:rsidRPr="00F33CCD">
        <w:t xml:space="preserve"> </w:t>
      </w:r>
      <w:r>
        <w:t xml:space="preserve">of damaged tissue increases porosity </w:t>
      </w:r>
      <w:r>
        <w:lastRenderedPageBreak/>
        <w:t xml:space="preserve">and newly-formed, unmineralized bone is less dense than completely mineralized bone tissue (Carter and Hayes, 1977; Boivin et al., 2000). Targeted remodeling </w:t>
      </w:r>
      <w:r w:rsidRPr="00F33CCD">
        <w:t xml:space="preserve">produces higher </w:t>
      </w:r>
      <w:r>
        <w:t>osteon counts</w:t>
      </w:r>
      <w:r w:rsidRPr="00F33CCD">
        <w:t xml:space="preserve"> in areas of the cross-section th</w:t>
      </w:r>
      <w:r>
        <w:t>at experience the greatest loading stresses</w:t>
      </w:r>
      <w:r w:rsidRPr="00F33CCD">
        <w:t xml:space="preserve"> (e.g., I</w:t>
      </w:r>
      <w:r w:rsidRPr="00F33CCD">
        <w:rPr>
          <w:vertAlign w:val="subscript"/>
        </w:rPr>
        <w:t>MAX</w:t>
      </w:r>
      <w:r>
        <w:t>,</w:t>
      </w:r>
      <w:r w:rsidRPr="00F33CCD">
        <w:t xml:space="preserve"> periosteal surface) (Lieberman et al., 2003; Drapeau and Streeter, 2006).</w:t>
      </w:r>
      <w:r>
        <w:t xml:space="preserve"> Remodeling also increases in cases of disuse, when the strain stimulus drops below a particular threshold (Martin, 2000), though significant periods of unloading are required to initiate such a response (Frost, 1997; Skerry, 2008). </w:t>
      </w:r>
    </w:p>
    <w:p w14:paraId="6377C0B1" w14:textId="77777777" w:rsidR="001E671B" w:rsidRDefault="001E671B" w:rsidP="001E671B">
      <w:pPr>
        <w:spacing w:line="480" w:lineRule="auto"/>
        <w:ind w:firstLine="720"/>
      </w:pPr>
      <w:r>
        <w:t xml:space="preserve">The processes of non-targeted remodeling are less well understood. As discussed in Chapter 3, bone acts as a reservoir for minerals, especially calcium, and so remodeling is the mechanism by which these elements are released for use elsewhere in the body. Even though the specific factors that initiate this homeostatic process are complex, and the reasons for some bone regions being resorbed rather than others is not resolved, the existence of this apparently stochastic replacement of bone alone speaks to the complexity of environmental inputs and pathways associated with BMU initiation. The sensitivity of BMUs to both mechanically-driven and homeostatic cellular processes suggests that bone is able to prioritize different needs in order to maintain mechanical competency (Parfitt, 2002). Both types of remodeling—targeted and stochastic—occur simultaneously within cortical bone, and would theoretically vary in their relative frequencies depending on the region and its strain stimulus. The relationship between these kinds of remodeling is further discussed in </w:t>
      </w:r>
      <w:r w:rsidRPr="00734592">
        <w:t>Chapter 3</w:t>
      </w:r>
      <w:r>
        <w:t>.</w:t>
      </w:r>
    </w:p>
    <w:p w14:paraId="04284515" w14:textId="77777777" w:rsidR="001E671B" w:rsidRPr="007A0BC2" w:rsidRDefault="001E671B" w:rsidP="001E671B">
      <w:pPr>
        <w:autoSpaceDE w:val="0"/>
        <w:autoSpaceDN w:val="0"/>
        <w:adjustRightInd w:val="0"/>
        <w:spacing w:line="480" w:lineRule="auto"/>
      </w:pPr>
    </w:p>
    <w:p w14:paraId="17EEF6FF" w14:textId="77777777" w:rsidR="001E671B" w:rsidRPr="0052393E" w:rsidRDefault="001E671B" w:rsidP="0052393E">
      <w:pPr>
        <w:pStyle w:val="Heading3"/>
        <w:spacing w:line="480" w:lineRule="auto"/>
      </w:pPr>
      <w:bookmarkStart w:id="11" w:name="_Toc233171624"/>
      <w:r w:rsidRPr="0052393E">
        <w:lastRenderedPageBreak/>
        <w:t>Loading Variation within the Skeleton</w:t>
      </w:r>
      <w:bookmarkEnd w:id="11"/>
    </w:p>
    <w:p w14:paraId="4586493D" w14:textId="77777777" w:rsidR="001E671B" w:rsidRDefault="001E671B" w:rsidP="0052393E">
      <w:pPr>
        <w:spacing w:line="480" w:lineRule="auto"/>
        <w:ind w:firstLine="720"/>
        <w:contextualSpacing/>
      </w:pPr>
      <w:r>
        <w:t xml:space="preserve">As discussed above, mechanical loading has a localized influence on bone through mechanotransduced osteocytic regulation of osteoblasts and osteoclasts, which are activated for targeted remodeling. Loading effects, therefore, are generated within the particular mechanically active skeletal element, and vary both across and within skeletal elements with distinct habitual loading patterns (Lieberman et al., 2001, 2003; Rauch and </w:t>
      </w:r>
      <w:r w:rsidRPr="00F33CCD">
        <w:t>Sch</w:t>
      </w:r>
      <w:r w:rsidRPr="00F33CCD">
        <w:rPr>
          <w:color w:val="000000"/>
        </w:rPr>
        <w:t>önau</w:t>
      </w:r>
      <w:r>
        <w:t xml:space="preserve">, 2001; Peck and Stout, 2007). Thus, morphological adaptations to mechanical loading are </w:t>
      </w:r>
      <w:r w:rsidRPr="00F33CCD">
        <w:t>greatest in bones that experience the highest loads</w:t>
      </w:r>
      <w:r>
        <w:t xml:space="preserve"> and decrease with lower dynamic loading activity (Turner et al., 2002). From this context, the following sections describe the relative influence of mechanics on cortical bone in the three skeletal elements of interest to this study: ribs, femora, and humeri. </w:t>
      </w:r>
    </w:p>
    <w:p w14:paraId="4BB47044" w14:textId="77777777" w:rsidR="001E671B" w:rsidRDefault="001E671B" w:rsidP="001E671B">
      <w:pPr>
        <w:spacing w:line="480" w:lineRule="auto"/>
        <w:ind w:firstLine="720"/>
        <w:contextualSpacing/>
      </w:pPr>
    </w:p>
    <w:p w14:paraId="6443C900" w14:textId="77777777" w:rsidR="001E671B" w:rsidRPr="0052393E" w:rsidRDefault="001E671B" w:rsidP="0052393E">
      <w:pPr>
        <w:pStyle w:val="Style1"/>
      </w:pPr>
      <w:bookmarkStart w:id="12" w:name="_Toc233171625"/>
      <w:r w:rsidRPr="0052393E">
        <w:t>Ribs</w:t>
      </w:r>
      <w:bookmarkEnd w:id="12"/>
    </w:p>
    <w:p w14:paraId="1782FF36" w14:textId="77777777" w:rsidR="001E671B" w:rsidRDefault="001E671B" w:rsidP="001E671B">
      <w:pPr>
        <w:spacing w:line="480" w:lineRule="auto"/>
        <w:ind w:firstLine="720"/>
        <w:contextualSpacing/>
      </w:pPr>
      <w:r>
        <w:t>The rib cage experiences lower strains relative to long bone elements, mainly</w:t>
      </w:r>
      <w:r w:rsidRPr="00F33CCD">
        <w:t xml:space="preserve"> through muscular action during respiration (Stein and Granik, 1974).</w:t>
      </w:r>
      <w:r>
        <w:t xml:space="preserve"> Rib elements are not directly involved in locomotor behavior or manipulative tasks, though they would hypothetically be under higher loads during increased physical activity and the subsequent rise in respiration rate. However, Tommerup et al. (</w:t>
      </w:r>
      <w:r w:rsidRPr="00F33CCD">
        <w:t>1993</w:t>
      </w:r>
      <w:r>
        <w:t>) found no effect on rib morphology with i</w:t>
      </w:r>
      <w:r w:rsidRPr="00F33CCD">
        <w:t xml:space="preserve">ncreased breathing rate during </w:t>
      </w:r>
      <w:r>
        <w:t>exercise in sows, demonstrating that loading primarily has a limited, localized effect on bone rather than a systemic one</w:t>
      </w:r>
      <w:r w:rsidRPr="00F33CCD">
        <w:t>.</w:t>
      </w:r>
      <w:r>
        <w:t xml:space="preserve"> For this reason, ribs are often examined for health status in skeletal samples.</w:t>
      </w:r>
      <w:r w:rsidR="006A3BEE">
        <w:t xml:space="preserve"> </w:t>
      </w:r>
      <w:r>
        <w:t xml:space="preserve">This is because they are thought to be more representative of hormonal influences and metabolic stress (Sedlin, 1964; Ott et al., 1999; Vajda et al., 1999), without the </w:t>
      </w:r>
      <w:r>
        <w:lastRenderedPageBreak/>
        <w:t xml:space="preserve">confounding influence of mechanical loading, to which they are less responsive than long bones (Raab et al., 1991; Tommerup et al., 1993). </w:t>
      </w:r>
    </w:p>
    <w:p w14:paraId="178577E9" w14:textId="77777777" w:rsidR="001E671B" w:rsidRDefault="001E671B" w:rsidP="001E671B">
      <w:pPr>
        <w:spacing w:line="480" w:lineRule="auto"/>
        <w:ind w:firstLine="720"/>
        <w:contextualSpacing/>
      </w:pPr>
      <w:r>
        <w:t>This does not imply that ribs fail to adapt functionally to the mechanical loads placed on them. Several experimental studies utilizing three-point bending and tensile loading have tested the mechanical material properties and cortical geometry of ribs and noted adaptations to strain level variations within the rib c</w:t>
      </w:r>
      <w:r w:rsidRPr="00487EEC">
        <w:t>age (Granik</w:t>
      </w:r>
      <w:r>
        <w:t xml:space="preserve"> </w:t>
      </w:r>
      <w:r w:rsidRPr="00487EEC">
        <w:t>and</w:t>
      </w:r>
      <w:r>
        <w:t xml:space="preserve"> </w:t>
      </w:r>
      <w:r w:rsidRPr="00487EEC">
        <w:t>Stein, 1973; Schultz et</w:t>
      </w:r>
      <w:r>
        <w:t xml:space="preserve"> </w:t>
      </w:r>
      <w:r w:rsidRPr="00487EEC">
        <w:t>al., 1974</w:t>
      </w:r>
      <w:r>
        <w:t xml:space="preserve">; </w:t>
      </w:r>
      <w:r w:rsidRPr="00487EEC">
        <w:t>Stein</w:t>
      </w:r>
      <w:r>
        <w:t xml:space="preserve"> </w:t>
      </w:r>
      <w:r w:rsidRPr="00487EEC">
        <w:t>and</w:t>
      </w:r>
      <w:r>
        <w:t xml:space="preserve"> </w:t>
      </w:r>
      <w:r w:rsidRPr="00487EEC">
        <w:t>Granik, 1976</w:t>
      </w:r>
      <w:r>
        <w:t xml:space="preserve">; </w:t>
      </w:r>
      <w:r w:rsidRPr="00487EEC">
        <w:t>Yoganandan</w:t>
      </w:r>
      <w:r>
        <w:t xml:space="preserve"> </w:t>
      </w:r>
      <w:r w:rsidRPr="00487EEC">
        <w:t>and</w:t>
      </w:r>
      <w:r>
        <w:t xml:space="preserve"> </w:t>
      </w:r>
      <w:r w:rsidRPr="00487EEC">
        <w:t>Pintar, 1998</w:t>
      </w:r>
      <w:r>
        <w:t xml:space="preserve">; </w:t>
      </w:r>
      <w:r w:rsidRPr="00487EEC">
        <w:t>Cormier et</w:t>
      </w:r>
      <w:r>
        <w:t xml:space="preserve"> </w:t>
      </w:r>
      <w:r w:rsidRPr="00487EEC">
        <w:t>al., 2005; Kemper</w:t>
      </w:r>
      <w:r>
        <w:t xml:space="preserve"> </w:t>
      </w:r>
      <w:r w:rsidRPr="00487EEC">
        <w:t>et</w:t>
      </w:r>
      <w:r>
        <w:t xml:space="preserve"> </w:t>
      </w:r>
      <w:r w:rsidRPr="00487EEC">
        <w:t>al.,</w:t>
      </w:r>
      <w:r>
        <w:t xml:space="preserve"> 2005; </w:t>
      </w:r>
      <w:r w:rsidRPr="00487EEC">
        <w:t>2007;</w:t>
      </w:r>
      <w:r>
        <w:t xml:space="preserve"> </w:t>
      </w:r>
      <w:r w:rsidRPr="00487EEC">
        <w:t>Stitzel et al., 2003</w:t>
      </w:r>
      <w:r>
        <w:t>). This variation is not driven by differences in bone material properties, which vary little within and among ribs; rather, cross-sectional geometric properties vary significantly by location in the rib cage (Kemper et al., 2005).</w:t>
      </w:r>
    </w:p>
    <w:p w14:paraId="7655EF72" w14:textId="77777777" w:rsidR="001E671B" w:rsidRDefault="001E671B" w:rsidP="001E671B">
      <w:pPr>
        <w:spacing w:line="480" w:lineRule="auto"/>
        <w:ind w:firstLine="720"/>
        <w:contextualSpacing/>
      </w:pPr>
      <w:r>
        <w:t>Additionally, compared to long bones, rib elements contain high amounts of medullary tissue, undergo significant modeling and remodeling as the thorax expands during growth, and therefore have a younger effective tissue age (Robling and Stout, 1999; Cho and Stout, 2001; Streeter, 2005). Because bone turnover is higher, ribs are expected to capture comparatively recent events in an individual’s mechanical and metabolic history (Pfeiffer et al., 2006).</w:t>
      </w:r>
    </w:p>
    <w:p w14:paraId="59CFE565" w14:textId="77777777" w:rsidR="001E671B" w:rsidRDefault="001E671B" w:rsidP="001E671B">
      <w:pPr>
        <w:spacing w:line="480" w:lineRule="auto"/>
        <w:ind w:firstLine="720"/>
        <w:contextualSpacing/>
      </w:pPr>
    </w:p>
    <w:p w14:paraId="17A02CA2" w14:textId="77777777" w:rsidR="001E671B" w:rsidRPr="0052393E" w:rsidRDefault="001E671B" w:rsidP="0052393E">
      <w:pPr>
        <w:pStyle w:val="Style1"/>
      </w:pPr>
      <w:bookmarkStart w:id="13" w:name="_Toc233171626"/>
      <w:r w:rsidRPr="0052393E">
        <w:t>Femora</w:t>
      </w:r>
      <w:bookmarkEnd w:id="13"/>
    </w:p>
    <w:p w14:paraId="76DD0DA1" w14:textId="77777777" w:rsidR="001E671B" w:rsidRDefault="001E671B" w:rsidP="001E671B">
      <w:pPr>
        <w:spacing w:line="480" w:lineRule="auto"/>
        <w:ind w:firstLine="720"/>
        <w:contextualSpacing/>
      </w:pPr>
      <w:r w:rsidRPr="00F33CCD">
        <w:t>The human lower limb is under the strongest magnitude o</w:t>
      </w:r>
      <w:r>
        <w:t>f loading, because it is weight-</w:t>
      </w:r>
      <w:r w:rsidRPr="00F33CCD">
        <w:t xml:space="preserve">bearing (supports body mass) and sustains </w:t>
      </w:r>
      <w:r>
        <w:t xml:space="preserve">bending and torsional </w:t>
      </w:r>
      <w:r w:rsidRPr="00F33CCD">
        <w:t>loads during</w:t>
      </w:r>
      <w:r>
        <w:t xml:space="preserve"> bipedal locomotion (Ruff, 2003a, 2003</w:t>
      </w:r>
      <w:r w:rsidRPr="00F33CCD">
        <w:t>b).</w:t>
      </w:r>
      <w:r>
        <w:t xml:space="preserve"> Evidence for the hominid lower limb being a highly functionally-adapted structure comes from numerous analyses of diaphyseal robusticity (defined as bone strength relative to mechanically-relevant body size; Ruff et al., 1993). The lower limb </w:t>
      </w:r>
      <w:r>
        <w:lastRenderedPageBreak/>
        <w:t>has higher strength properties than the upper limb across many modern, adult human and fossil hominid samples (Ruff et al., 1984; Ruff and Larsen, 2001; Wescott, 2001; Shackelford, 2007; Ruff, 2008, 2009). Femoral strength properties are strongly associated with variation in mobility patterns (Ruff, 1987, 1999; Ruff et al., 1993; Trinkaus and Ruff, 1999; Ruff and Larsen, 2001; Wescott, 2006; Stock, 2006). Mechanically, within individuals, there is a correlation between femoral shape and bending loads about the hip (Ruff, 1987, 1995). Histomorphometric studies have also found higher rates of remodeling in femora relative to other bones (Kerley, 1965; Evans and Bang, 1967; Robling and Stout, 2000; Tersigni, 2005). Additional consideration of both geometric properties and histological properties of the femur is presented later in this chapter.</w:t>
      </w:r>
    </w:p>
    <w:p w14:paraId="1960BDF8" w14:textId="77777777" w:rsidR="001E671B" w:rsidRDefault="001E671B" w:rsidP="001E671B">
      <w:pPr>
        <w:spacing w:line="480" w:lineRule="auto"/>
        <w:ind w:firstLine="720"/>
        <w:contextualSpacing/>
      </w:pPr>
    </w:p>
    <w:p w14:paraId="2F649CE6" w14:textId="77777777" w:rsidR="001E671B" w:rsidRPr="0052393E" w:rsidRDefault="001E671B" w:rsidP="0052393E">
      <w:pPr>
        <w:pStyle w:val="Style1"/>
      </w:pPr>
      <w:bookmarkStart w:id="14" w:name="_Toc233171627"/>
      <w:r w:rsidRPr="0052393E">
        <w:t>Humeri</w:t>
      </w:r>
      <w:bookmarkEnd w:id="14"/>
    </w:p>
    <w:p w14:paraId="41E3FA2C" w14:textId="77777777" w:rsidR="001E671B" w:rsidRDefault="001E671B" w:rsidP="001E671B">
      <w:pPr>
        <w:autoSpaceDE w:val="0"/>
        <w:autoSpaceDN w:val="0"/>
        <w:adjustRightInd w:val="0"/>
        <w:spacing w:line="480" w:lineRule="auto"/>
        <w:ind w:firstLine="720"/>
      </w:pPr>
      <w:r>
        <w:t>In bipedal humans, l</w:t>
      </w:r>
      <w:r w:rsidRPr="00F33CCD">
        <w:t>oa</w:t>
      </w:r>
      <w:r>
        <w:t>ding in the adult upper limb</w:t>
      </w:r>
      <w:r w:rsidRPr="00F33CCD">
        <w:t xml:space="preserve"> is intermediate relative to the rib cage and lower limb, because it is </w:t>
      </w:r>
      <w:r>
        <w:t xml:space="preserve">generally </w:t>
      </w:r>
      <w:r w:rsidRPr="00F33CCD">
        <w:t xml:space="preserve">not </w:t>
      </w:r>
      <w:r>
        <w:t xml:space="preserve">habitually </w:t>
      </w:r>
      <w:r w:rsidRPr="00F33CCD">
        <w:t>used in locomotion but is loaded during manipulative tasks (Sumner and Andriacchi, 1996</w:t>
      </w:r>
      <w:r>
        <w:t>; Ruff, 2003a, 2003b</w:t>
      </w:r>
      <w:r w:rsidRPr="00F33CCD">
        <w:t>).</w:t>
      </w:r>
      <w:r>
        <w:t xml:space="preserve"> Without locomotor constraints, the human humerus exhibits directional asymmetry in diaphyseal size and robusticity, which likely corresponds with lateralized behaviors across a wide range of human populations (Auerbach and Ruff, 2006). Although the humerus has lower values for properties associated with bone strength, as mentioned above, observations of marked humeral asymmetry in tennis and racquetball players (Jones et al., 2001; Kontulainen et al., 2002; Bass et al., 2002) further demonstrates that the upper limb may be subject to high mechanical loads, and that the upper limb has less mechanical constraint than the lower limb. The unique functional role of the </w:t>
      </w:r>
      <w:r>
        <w:lastRenderedPageBreak/>
        <w:t xml:space="preserve">humerus in humans is also demonstrated during the transition from crawling to walking in toddlers. Prior to bipedal walking, infant lower and upper limb strength proportions more closely mimic those of quadrupedal animals; however, after walking commences, humeral strength proportions slowly decline, while femoral strength rises (Ruff, 2003a, 2003b; Cowgill, 2010). In fact, due to lowered mechanical stress and intracortical remodeling rates in humeri relative to femora, use of upper limb elements in adult histomorphological age estimation has been encouraged, as humeri appear to provide better age estimates than highly mechanically-stressed elements (Tersigni, 2005; Robling and Stout, 2008). </w:t>
      </w:r>
    </w:p>
    <w:p w14:paraId="620142EC" w14:textId="77777777" w:rsidR="001E671B" w:rsidRPr="001E671B" w:rsidRDefault="001E671B" w:rsidP="001E671B">
      <w:pPr>
        <w:autoSpaceDE w:val="0"/>
        <w:autoSpaceDN w:val="0"/>
        <w:adjustRightInd w:val="0"/>
        <w:spacing w:line="480" w:lineRule="auto"/>
        <w:rPr>
          <w:rFonts w:eastAsia="Cambria"/>
          <w:b/>
          <w:i/>
        </w:rPr>
      </w:pPr>
    </w:p>
    <w:p w14:paraId="657148E0" w14:textId="77777777" w:rsidR="001E671B" w:rsidRPr="0052393E" w:rsidRDefault="001E671B" w:rsidP="0052393E">
      <w:pPr>
        <w:pStyle w:val="Heading3"/>
        <w:spacing w:line="480" w:lineRule="auto"/>
        <w:rPr>
          <w:rFonts w:eastAsia="Cambria"/>
        </w:rPr>
      </w:pPr>
      <w:bookmarkStart w:id="15" w:name="_Toc233171628"/>
      <w:r w:rsidRPr="0052393E">
        <w:rPr>
          <w:rFonts w:eastAsia="Cambria"/>
        </w:rPr>
        <w:t>Mechanical Influences on Immature Bone</w:t>
      </w:r>
      <w:bookmarkEnd w:id="15"/>
      <w:r w:rsidRPr="0052393E">
        <w:rPr>
          <w:rFonts w:eastAsia="Cambria"/>
        </w:rPr>
        <w:t xml:space="preserve"> </w:t>
      </w:r>
    </w:p>
    <w:p w14:paraId="46059DDB" w14:textId="77777777" w:rsidR="001E671B" w:rsidRPr="001E671B" w:rsidRDefault="001E671B" w:rsidP="0052393E">
      <w:pPr>
        <w:autoSpaceDE w:val="0"/>
        <w:autoSpaceDN w:val="0"/>
        <w:adjustRightInd w:val="0"/>
        <w:spacing w:line="480" w:lineRule="auto"/>
        <w:ind w:firstLine="720"/>
        <w:rPr>
          <w:rFonts w:eastAsia="Cambria"/>
        </w:rPr>
      </w:pPr>
      <w:r w:rsidRPr="001E671B">
        <w:rPr>
          <w:rFonts w:eastAsia="Cambria"/>
        </w:rPr>
        <w:t>Regardless of which skeletal element is examined, research has shown that immature bone is more responsive to environmental factors and perturbations, including mechanical loading, than adult bone (Bertram and Schwartz, 1991; Forwood and Burr, 1993; Lieberman et al., 2001, 2003; Turner et al., 2003). After skeletal maturity, it becomes increasingly difficult to increase bone strength (Kontulainen et al., 1999, 2001), because adult osteogenic response is lowered relative to immature individuals (Kotev-Emeth et al., 2000; Lieberman et al., 2003; Guadalupe-Grau et al., 2009). This is especially true in older adults in which alterations in hormone levels (e.g., estrogen and testosterone), as well as the senescence of osteoblasts and osteoprogenitor cells, disrupt the balance between bone resorption and formation, tipping the scales in favor of bone loss (Teitelbaum et al., 1996; Nishida et al., 1999). Thus, the maximization of peak bone mass early in development mitigates excessive bone loss caused by aging (i.e. osteoporosis) and other metabolic disturbances.</w:t>
      </w:r>
    </w:p>
    <w:p w14:paraId="6085A449" w14:textId="77777777" w:rsidR="001E671B" w:rsidRPr="001E671B" w:rsidRDefault="001E671B" w:rsidP="001E671B">
      <w:pPr>
        <w:autoSpaceDE w:val="0"/>
        <w:autoSpaceDN w:val="0"/>
        <w:adjustRightInd w:val="0"/>
        <w:spacing w:line="480" w:lineRule="auto"/>
        <w:ind w:firstLine="720"/>
        <w:rPr>
          <w:rFonts w:eastAsia="Cambria"/>
        </w:rPr>
      </w:pPr>
      <w:r w:rsidRPr="001E671B">
        <w:rPr>
          <w:rFonts w:eastAsia="Cambria"/>
        </w:rPr>
        <w:lastRenderedPageBreak/>
        <w:t xml:space="preserve">Numerous studies have demonstrated that adequate exercise is required for optimal skeletal development throughout childhood and adolescence (Bonjour et al., 1994; Goulding et al., 2000, 2001; Hernandez et al., 2003; Ward et al., 2007) and contributes significantly to maintenance of bone mass, and thus prevention of osteoporosis, into adulthood (Kannus et al., 1995; Puntila et al., 1997; Cooper et al., 2006; Rizzoli et al., 2010). In fact, studies suggest that the majority of bone mineral content of the adult skeleton is formed during childhood and early adolescence, the amount of which is modulated by activity levels (Bailey et al., 1999; Harel et al., 2007). Consequently, inactivity (along with malnutrition; see Chapter 3) in children and adolescents is one of the most significant causes of adult osteoporosis and has become an increasingly alarming health concern within the past few decades. Because bone is considerably sensitive to intrinsic and extrinsic inputs during growth, much of adult cortical bone morphology reflects skeletal loading history and physical activities </w:t>
      </w:r>
      <w:r w:rsidRPr="001E671B">
        <w:rPr>
          <w:rFonts w:eastAsia="Cambria"/>
          <w:i/>
        </w:rPr>
        <w:t xml:space="preserve">prior </w:t>
      </w:r>
      <w:r w:rsidRPr="001E671B">
        <w:rPr>
          <w:rFonts w:eastAsia="Cambria"/>
        </w:rPr>
        <w:t>to and coinciding with early skeletal maturity (Haapasalo et al., 1998; Bass et al., 2002; Pearson and Lieberman, 2004; Shaw and Stock, 2009a, 2009b) Therefore, studies using archaeological subadult samples can provide optimal resolution of environmental influences on bone.</w:t>
      </w:r>
    </w:p>
    <w:p w14:paraId="01FC7A89" w14:textId="77777777" w:rsidR="001E671B" w:rsidRPr="001E671B" w:rsidRDefault="001E671B" w:rsidP="001E671B">
      <w:pPr>
        <w:autoSpaceDE w:val="0"/>
        <w:autoSpaceDN w:val="0"/>
        <w:adjustRightInd w:val="0"/>
        <w:spacing w:line="480" w:lineRule="auto"/>
        <w:ind w:firstLine="720"/>
        <w:rPr>
          <w:rFonts w:eastAsia="Cambria"/>
        </w:rPr>
      </w:pPr>
    </w:p>
    <w:p w14:paraId="4DF59077" w14:textId="77777777" w:rsidR="001E671B" w:rsidRPr="0052393E" w:rsidRDefault="001E671B" w:rsidP="0052393E">
      <w:pPr>
        <w:pStyle w:val="Heading3"/>
        <w:spacing w:line="480" w:lineRule="auto"/>
      </w:pPr>
      <w:bookmarkStart w:id="16" w:name="_Toc233171629"/>
      <w:r w:rsidRPr="0052393E">
        <w:t>Physical Activity Among Immature Humans</w:t>
      </w:r>
      <w:bookmarkEnd w:id="16"/>
    </w:p>
    <w:p w14:paraId="60B41600" w14:textId="77777777" w:rsidR="001E671B" w:rsidRPr="001E671B" w:rsidRDefault="001E671B" w:rsidP="0052393E">
      <w:pPr>
        <w:autoSpaceDE w:val="0"/>
        <w:autoSpaceDN w:val="0"/>
        <w:adjustRightInd w:val="0"/>
        <w:spacing w:line="480" w:lineRule="auto"/>
        <w:ind w:firstLine="720"/>
        <w:rPr>
          <w:rFonts w:eastAsia="Cambria"/>
        </w:rPr>
      </w:pPr>
      <w:r w:rsidRPr="001E671B">
        <w:rPr>
          <w:rFonts w:eastAsia="Cambria"/>
        </w:rPr>
        <w:t xml:space="preserve">Researchers have recognized for some time that immature bone is highly sensitive to mechanical inputs, and this directly impacts the interpretation of physical activity and behavior from skeletal samples. Only recently, though, has immature bone been the subject of biomechanical studies in anthropology (Pearson and Lieberman, 2004; Ruff et al., 2006). Historically, adult cortical bone has been examined to interpret loading behavior in human </w:t>
      </w:r>
      <w:r w:rsidRPr="001E671B">
        <w:rPr>
          <w:rFonts w:eastAsia="Cambria"/>
        </w:rPr>
        <w:lastRenderedPageBreak/>
        <w:t xml:space="preserve">populations (e.g., Ruff, 2008). Based on the knowledge of bone responses to loading </w:t>
      </w:r>
      <w:r w:rsidR="00A752A1">
        <w:rPr>
          <w:rFonts w:eastAsia="Cambria"/>
        </w:rPr>
        <w:t>during growth</w:t>
      </w:r>
      <w:r w:rsidRPr="001E671B">
        <w:rPr>
          <w:rFonts w:eastAsia="Cambria"/>
        </w:rPr>
        <w:t>, there would arguably be tremendous benefit in turning attention toward the ontogeny of cortical morphology and its relationship with activity during growth. Research that has begun to explore biomechanical effects on bone during ontogeny has shown strong relationships between immature bone morphology and loading behavior (Ruff, 2003a, 2003b; Cowgill and Hager, 2007; Ruff, 2007; Cowgill, 2010; Cowgill et al., 2010; Garafalo, 2012). Collectively, these studies provide new perspectives on variation in population activity, as well as new topics that the study of adult skeletons cannot address; for example, research on subadult remains sheds light on the initiation of cultural participation in subsistence-related behaviors by children, as well as morphological development during the onset of bipedal walking (Cowgill, 2008; Cowgill, 2010; Garofalo, 2012).</w:t>
      </w:r>
    </w:p>
    <w:p w14:paraId="77BCD6A3" w14:textId="77777777" w:rsidR="001E671B" w:rsidRPr="001E671B" w:rsidRDefault="001E671B" w:rsidP="001E671B">
      <w:pPr>
        <w:autoSpaceDE w:val="0"/>
        <w:autoSpaceDN w:val="0"/>
        <w:adjustRightInd w:val="0"/>
        <w:spacing w:line="480" w:lineRule="auto"/>
        <w:ind w:firstLine="720"/>
        <w:rPr>
          <w:rFonts w:eastAsia="Cambria"/>
        </w:rPr>
      </w:pPr>
      <w:r w:rsidRPr="001E671B">
        <w:rPr>
          <w:rFonts w:eastAsia="Cambria"/>
        </w:rPr>
        <w:t xml:space="preserve"> The focus on adult bone in anthropology is due, in part, to a misconception of physical activity during growth: that subadults do not engage in typical adult behaviors. Ethnographic research reveals that older children and adolescents frequently engage in activities similar to those of the adults in their population (Moberg, 1985; Bradley, 1993). In contrast to postindustrial urban societies, children as young as six years old contribute significantly to the work force in past and non-urban societies, especially providing aid in subsistence-related tasks (Bradley, 1993; Bird and Bird, 2000; Kamp, 2001; Bird-David, 2005). Prior to the age of six, the activities typically require minimal strength and skill and, if labor-related, are more energetically costly in terms of yield than tasks performed by adults. It has been argued that insufficient brain development, coordination, and experience cause </w:t>
      </w:r>
      <w:r w:rsidR="00A752A1">
        <w:rPr>
          <w:rFonts w:eastAsia="Cambria"/>
        </w:rPr>
        <w:t>individuals</w:t>
      </w:r>
      <w:r w:rsidRPr="001E671B">
        <w:rPr>
          <w:rFonts w:eastAsia="Cambria"/>
        </w:rPr>
        <w:t xml:space="preserve"> under the age of six to be unable to contribute significantly to a cultural economy (Kaplan, 2000; Hewlitt and Lamb, 2005). Between the ages of six and ten, labor activities become increasingly similar to the adult pattern, and after </w:t>
      </w:r>
      <w:r w:rsidRPr="001E671B">
        <w:rPr>
          <w:rFonts w:eastAsia="Cambria"/>
        </w:rPr>
        <w:lastRenderedPageBreak/>
        <w:t xml:space="preserve">age ten they mimic the gender-specific tasks of same-sex adults (Bradley, 1984, 1985, 1993; Hill and Hurtado, 1996; Bock, 2005). Although </w:t>
      </w:r>
      <w:r w:rsidR="00A752A1">
        <w:rPr>
          <w:rFonts w:eastAsia="Cambria"/>
        </w:rPr>
        <w:t xml:space="preserve">subadults </w:t>
      </w:r>
      <w:r w:rsidRPr="001E671B">
        <w:rPr>
          <w:rFonts w:eastAsia="Cambria"/>
        </w:rPr>
        <w:t>are less productive laborers in general, this deficiency is likely due to smaller body size and strength rather than a lack of knowledge and experience or inadequate intelligence (Bird and Bliege Bird, 2002, 2005; Blurton Jones and Marlow, 2002; Bock, 2005). Smaller body size and strength appears to affect such factors as walking speed and upper arm fatigue, especially increasing the energetic costs associated with foraging and hunting (Blurton Jones and Marlow, 2002; Bock, 2005; Gurven et al., 2006).</w:t>
      </w:r>
    </w:p>
    <w:p w14:paraId="228326D9" w14:textId="77777777" w:rsidR="001E671B" w:rsidRPr="001E671B" w:rsidRDefault="001E671B" w:rsidP="001E671B">
      <w:pPr>
        <w:autoSpaceDE w:val="0"/>
        <w:autoSpaceDN w:val="0"/>
        <w:adjustRightInd w:val="0"/>
        <w:spacing w:line="480" w:lineRule="auto"/>
        <w:ind w:firstLine="720"/>
        <w:rPr>
          <w:rFonts w:eastAsia="Cambria"/>
        </w:rPr>
      </w:pPr>
      <w:r w:rsidRPr="001E671B">
        <w:rPr>
          <w:rFonts w:eastAsia="Cambria"/>
        </w:rPr>
        <w:t>Subadult activities can make a significant contribution to the subsistence economy of both hunter-gatherer and agricultural communities. Although subadults are oftentimes left with the tasks deemed tedious and unchallenging by adults (Bradley, 1993), their foraging behavior and agricultural labor leave traces in the archaeological record, though it is difficult to distinguish their activities from those of adults (</w:t>
      </w:r>
      <w:r w:rsidR="003B443C" w:rsidRPr="003B443C">
        <w:rPr>
          <w:color w:val="101010"/>
        </w:rPr>
        <w:t>Sofaer Derevenski</w:t>
      </w:r>
      <w:r w:rsidRPr="001E671B">
        <w:rPr>
          <w:rFonts w:eastAsia="Cambria"/>
        </w:rPr>
        <w:t xml:space="preserve">, 1997; Bird and Bird, 2000; Kamp, 2001). Given this lack of discernable activity patterns in archaeological contexts, ethnographic studies have been essential in ascertaining the influence of </w:t>
      </w:r>
      <w:r w:rsidR="00A752A1">
        <w:rPr>
          <w:rFonts w:eastAsia="Cambria"/>
        </w:rPr>
        <w:t>immature</w:t>
      </w:r>
      <w:r w:rsidRPr="001E671B">
        <w:rPr>
          <w:rFonts w:eastAsia="Cambria"/>
        </w:rPr>
        <w:t xml:space="preserve"> subsistence activities on cultural economy. In foraging societies, </w:t>
      </w:r>
      <w:r w:rsidR="00A752A1">
        <w:rPr>
          <w:rFonts w:eastAsia="Cambria"/>
        </w:rPr>
        <w:t>subadults</w:t>
      </w:r>
      <w:r w:rsidRPr="001E671B">
        <w:rPr>
          <w:rFonts w:eastAsia="Cambria"/>
        </w:rPr>
        <w:t xml:space="preserve"> hunt small, easily captured game (e.g., lizards, birds) and collect food items low to the ground (e.g., eggs, shellfish, nuts, tubers) (de Boer et al., 2000; Bird and Bliege Bird, 2000, 2002, 2005; Tucker and Young, 2005). These resources tend to provide a significant portion of their daily caloric intake and, in some cases, fulfill their nutritional needs entirely (Bird and Bliege Bird, 2005; Hawkes et al., 1995). While foraging, </w:t>
      </w:r>
      <w:r w:rsidR="00A752A1">
        <w:rPr>
          <w:rFonts w:eastAsia="Cambria"/>
        </w:rPr>
        <w:t>individuals</w:t>
      </w:r>
      <w:r w:rsidRPr="001E671B">
        <w:rPr>
          <w:rFonts w:eastAsia="Cambria"/>
        </w:rPr>
        <w:t xml:space="preserve"> over the age of six are more likely to travel large distances away from the home base in search of food resources (Hawkes et al., 1995), increasing the loads placed on their lower limbs during locomotion relative to their upper limbs. Approaching adolescence, foraging </w:t>
      </w:r>
      <w:r w:rsidRPr="001E671B">
        <w:rPr>
          <w:rFonts w:eastAsia="Cambria"/>
        </w:rPr>
        <w:lastRenderedPageBreak/>
        <w:t xml:space="preserve">production in subadults increases beyond sustaining individual caloric needs and attains an important role in supplying the community resource base (Tucker and Young, 2005). </w:t>
      </w:r>
    </w:p>
    <w:p w14:paraId="1C762196" w14:textId="77777777" w:rsidR="001E671B" w:rsidRPr="001E671B" w:rsidRDefault="001E671B" w:rsidP="001E671B">
      <w:pPr>
        <w:autoSpaceDE w:val="0"/>
        <w:autoSpaceDN w:val="0"/>
        <w:adjustRightInd w:val="0"/>
        <w:spacing w:line="480" w:lineRule="auto"/>
        <w:ind w:firstLine="720"/>
        <w:rPr>
          <w:rFonts w:eastAsia="Cambria"/>
        </w:rPr>
      </w:pPr>
      <w:r w:rsidRPr="001E671B">
        <w:rPr>
          <w:rFonts w:eastAsia="Cambria"/>
        </w:rPr>
        <w:t xml:space="preserve">In agricultural societies, children and adolescents are considered an essential asset to economic success and form a more vital component of the work force than in foraging communities (Bradley, 1993; Moberg, 1985; Porter, 1996). The activities of </w:t>
      </w:r>
      <w:r w:rsidR="00A752A1">
        <w:rPr>
          <w:rFonts w:eastAsia="Cambria"/>
        </w:rPr>
        <w:t>subadults</w:t>
      </w:r>
      <w:r w:rsidRPr="001E671B">
        <w:rPr>
          <w:rFonts w:eastAsia="Cambria"/>
        </w:rPr>
        <w:t xml:space="preserve"> are more varied and include household chores, such as cleaning, cooking, fetching and carrying water, and caring for smaller children. They also are expected to care for domesticated animals, engage in animal husbandry, and participate in the maintenance of crops (White, 1975; Pomeroy, 1987; Porter, 1996). In agricultural groups, high demands for labor place strong incentives on families to have many offspring to assist with daily tasks (Cain, 1977; Moberg, 1985; Ratha and Mahakud, 1988; Porter, 1996), and a strong correlation exists between the utilization of child labor and economic production (Nag et al., 1978). Compared to foraging societies, subadults in agricultural communities also generally perform more gender-specific duties that mirror those of adult males and females (Bradley, 1993; </w:t>
      </w:r>
      <w:r w:rsidRPr="003B443C">
        <w:rPr>
          <w:rFonts w:eastAsia="Cambria"/>
        </w:rPr>
        <w:t xml:space="preserve">Porter, 1996; </w:t>
      </w:r>
      <w:r w:rsidR="003B443C" w:rsidRPr="003B443C">
        <w:rPr>
          <w:color w:val="101010"/>
        </w:rPr>
        <w:t>Sofaer Derevenski</w:t>
      </w:r>
      <w:r w:rsidRPr="003B443C">
        <w:rPr>
          <w:rFonts w:eastAsia="Cambria"/>
        </w:rPr>
        <w:t>, 1997</w:t>
      </w:r>
      <w:r w:rsidRPr="001E671B">
        <w:rPr>
          <w:rFonts w:eastAsia="Cambria"/>
        </w:rPr>
        <w:t>). For both females and males, the hours spent engaged in subsistence activities generally increase during adolescence, until the adult workload is achieved (White, 1975; Nag et al, 1978). For example, in Bangladesh young children work on average five hours a day until they reach 13-15 years of age, at which time their workload is raised to the typical adult work commitment of 9 hours (Caine, 1977).</w:t>
      </w:r>
    </w:p>
    <w:p w14:paraId="7AF3274B" w14:textId="77777777" w:rsidR="001E671B" w:rsidRPr="001E671B" w:rsidRDefault="001E671B" w:rsidP="001E671B">
      <w:pPr>
        <w:autoSpaceDE w:val="0"/>
        <w:autoSpaceDN w:val="0"/>
        <w:adjustRightInd w:val="0"/>
        <w:spacing w:line="480" w:lineRule="auto"/>
        <w:ind w:firstLine="720"/>
        <w:rPr>
          <w:rFonts w:eastAsia="Cambria"/>
        </w:rPr>
      </w:pPr>
      <w:r w:rsidRPr="001E671B">
        <w:rPr>
          <w:rFonts w:eastAsia="Cambria"/>
        </w:rPr>
        <w:t xml:space="preserve">These studies underscore the need for further research on skeletal responses to mechanical stresses in subadults and a more complete understanding of cortical bone development. Behavioral analyses of skeletal samples would benefit from the inclusion of immature individuals wherever possible, as environmental factors will have the strongest </w:t>
      </w:r>
      <w:r w:rsidRPr="001E671B">
        <w:rPr>
          <w:rFonts w:eastAsia="Cambria"/>
        </w:rPr>
        <w:lastRenderedPageBreak/>
        <w:t xml:space="preserve">influence on this portion of the population and produce lasting effects into adulthood. Understanding the impact of environmental effects on adult bone morphology in archaeological samples, therefore, necessitates examination of </w:t>
      </w:r>
      <w:r w:rsidR="00F02A94">
        <w:rPr>
          <w:rFonts w:eastAsia="Cambria"/>
        </w:rPr>
        <w:t>subadult</w:t>
      </w:r>
      <w:r w:rsidRPr="001E671B">
        <w:rPr>
          <w:rFonts w:eastAsia="Cambria"/>
        </w:rPr>
        <w:t xml:space="preserve"> skeletal remains, and is therefore the focus of this study. In light of the background provided, the remainder of this chapter reviews the specific methods applied to studying the macroscopic and microscopic properties of human bone, and the relevant findings of research that has used these approaches. Consideration is given to applications of these methods to archaeological samples, particularly to immature skeletal remains.</w:t>
      </w:r>
    </w:p>
    <w:p w14:paraId="5D37641A" w14:textId="77777777" w:rsidR="001E671B" w:rsidRPr="001E671B" w:rsidRDefault="001E671B" w:rsidP="001E671B">
      <w:pPr>
        <w:autoSpaceDE w:val="0"/>
        <w:autoSpaceDN w:val="0"/>
        <w:adjustRightInd w:val="0"/>
        <w:spacing w:line="480" w:lineRule="auto"/>
        <w:ind w:firstLine="720"/>
        <w:rPr>
          <w:rFonts w:eastAsia="Cambria"/>
        </w:rPr>
      </w:pPr>
    </w:p>
    <w:p w14:paraId="31081D07" w14:textId="77777777" w:rsidR="001E671B" w:rsidRPr="0052393E" w:rsidRDefault="001E671B" w:rsidP="0052393E">
      <w:pPr>
        <w:pStyle w:val="Heading3"/>
        <w:spacing w:line="480" w:lineRule="auto"/>
        <w:rPr>
          <w:rFonts w:eastAsia="Cambria"/>
        </w:rPr>
      </w:pPr>
      <w:bookmarkStart w:id="17" w:name="_Toc233171630"/>
      <w:r w:rsidRPr="0052393E">
        <w:rPr>
          <w:rFonts w:eastAsia="Cambria"/>
        </w:rPr>
        <w:t>Bone Mass, Bone Balance, and Bone Strength</w:t>
      </w:r>
      <w:bookmarkEnd w:id="17"/>
    </w:p>
    <w:p w14:paraId="1F4E5862" w14:textId="77777777" w:rsidR="001E671B" w:rsidRPr="007E56B0" w:rsidRDefault="001E671B" w:rsidP="0052393E">
      <w:pPr>
        <w:spacing w:line="480" w:lineRule="auto"/>
        <w:contextualSpacing/>
      </w:pPr>
      <w:r>
        <w:tab/>
        <w:t xml:space="preserve">One of the most essential concepts for bone morphological studies is optimization theory, which proposes a trade-off between </w:t>
      </w:r>
      <w:r w:rsidRPr="007E56B0">
        <w:t>bone</w:t>
      </w:r>
      <w:r>
        <w:t xml:space="preserve"> strength and bone mass (Currey, 1984, 2002, 2003; Lieberman et al., 2003</w:t>
      </w:r>
      <w:r w:rsidRPr="007E56B0">
        <w:t>).</w:t>
      </w:r>
      <w:r>
        <w:t xml:space="preserve"> To be advantageously adapted, bones must be able to resist external forces exerted on them without fracture but also have a low enough weight to be moved efficiently through muscular action. While adding bone mass will certainly reduce the risk of fracture by distributing forces over a wider area, increasing bone mass will eventually compromise the function of the element due to the high metabolic costs associated with its movement. Therefore, if the skeleton optimally balances these two competing functions, bone strength will be maximized while minimalizing increases to bone mass. Optimization is especially important in the long bones of vertebrate limbs, where elements are specially adapted to locomotor behaviors (Currey, 1984, 2002, 2003).</w:t>
      </w:r>
    </w:p>
    <w:p w14:paraId="1BA15BFB" w14:textId="77777777" w:rsidR="001E671B" w:rsidRDefault="001E671B" w:rsidP="001E671B">
      <w:pPr>
        <w:spacing w:line="480" w:lineRule="auto"/>
        <w:ind w:firstLine="720"/>
        <w:contextualSpacing/>
      </w:pPr>
      <w:r>
        <w:lastRenderedPageBreak/>
        <w:t>Thus, retention of bone strength is closely related to</w:t>
      </w:r>
      <w:r w:rsidRPr="007E56B0">
        <w:t xml:space="preserve"> </w:t>
      </w:r>
      <w:r>
        <w:t xml:space="preserve">the </w:t>
      </w:r>
      <w:r w:rsidRPr="007E56B0">
        <w:t>maintenance of bone mass</w:t>
      </w:r>
      <w:r>
        <w:t xml:space="preserve"> within certain limits</w:t>
      </w:r>
      <w:r w:rsidRPr="007E56B0">
        <w:t>.</w:t>
      </w:r>
      <w:r>
        <w:t xml:space="preserve"> </w:t>
      </w:r>
      <w:r w:rsidRPr="007E56B0">
        <w:t xml:space="preserve">In order to maintain bone strength, macroscopic and microscopic bone mass must </w:t>
      </w:r>
      <w:r>
        <w:t xml:space="preserve">often </w:t>
      </w:r>
      <w:r w:rsidRPr="007E56B0">
        <w:t xml:space="preserve">be conserved to </w:t>
      </w:r>
      <w:r>
        <w:t>resist typically encountered</w:t>
      </w:r>
      <w:r w:rsidRPr="007E56B0">
        <w:t xml:space="preserve"> loads within the customary strain window</w:t>
      </w:r>
      <w:r>
        <w:t xml:space="preserve"> (i.e., the lazy zone)</w:t>
      </w:r>
      <w:r w:rsidRPr="007E56B0">
        <w:t>.</w:t>
      </w:r>
      <w:r>
        <w:t xml:space="preserve"> </w:t>
      </w:r>
      <w:r w:rsidRPr="007E56B0">
        <w:t>Bone mass is maintained when resorption and formation are balanced</w:t>
      </w:r>
      <w:r>
        <w:t xml:space="preserve"> (Seeman and Delmas, 2006)</w:t>
      </w:r>
      <w:r w:rsidRPr="007E56B0">
        <w:t>.</w:t>
      </w:r>
      <w:r>
        <w:t xml:space="preserve"> </w:t>
      </w:r>
      <w:r w:rsidRPr="007E56B0">
        <w:t>Negative bone balance occurs when resorption exceeds formation, causing reduced bone mass; positive bone balance results when the opposite conditions occur and bo</w:t>
      </w:r>
      <w:r>
        <w:t>ne mass increases (Frost, 1990a, 1990b;</w:t>
      </w:r>
      <w:r w:rsidRPr="007E56B0">
        <w:t xml:space="preserve"> </w:t>
      </w:r>
      <w:r>
        <w:t>Parfitt, 2002; Grynpas, 2002</w:t>
      </w:r>
      <w:r w:rsidRPr="007E56B0">
        <w:t>).</w:t>
      </w:r>
      <w:r>
        <w:t xml:space="preserve"> </w:t>
      </w:r>
      <w:r w:rsidRPr="007E56B0">
        <w:t>In healthy subadults and young adults, bone remodeling is a balanced process—old, damaged bone is replaced by an equal amount of new bone matrix.</w:t>
      </w:r>
      <w:r>
        <w:t xml:space="preserve"> </w:t>
      </w:r>
      <w:r w:rsidRPr="007E56B0">
        <w:t>However, with increasing age, resorption begins to exceed formation (Hattner et al., 1965</w:t>
      </w:r>
      <w:r>
        <w:t xml:space="preserve">; </w:t>
      </w:r>
      <w:r w:rsidRPr="007E56B0">
        <w:t>Martin and Seeman, 2008).</w:t>
      </w:r>
      <w:r>
        <w:t xml:space="preserve"> Likewise, low levels of loading or cessation of loading altogether (e.g., spaceflight, extended bed rest) can cause quiescence in remodeling or asymmetric bone turnover (that is, more resorption) to restore customary strain levels (Baldwin et al., 1996). In this “disuse-mode” remodeling, more bone is resorbed than created, resulting in permanent bone loss in trabecular and cortical envelopes (Jee and Li, 1990; Li et al., 1990; Li and Jee, 1991). Similarly, m</w:t>
      </w:r>
      <w:r w:rsidRPr="007E56B0">
        <w:t xml:space="preserve">etabolic bone diseases and </w:t>
      </w:r>
      <w:r>
        <w:t xml:space="preserve">other illnesses that interrupt bone balance also have drastic effects on bone strength by promoting negative bone balance (see </w:t>
      </w:r>
      <w:r w:rsidRPr="00734592">
        <w:t>Chapter 3</w:t>
      </w:r>
      <w:r>
        <w:t>). This relationship between bone mass and bone strength drives the hypotheses set forth in this project.</w:t>
      </w:r>
    </w:p>
    <w:p w14:paraId="18525E63" w14:textId="77777777" w:rsidR="001E671B" w:rsidRPr="00F33CCD" w:rsidRDefault="001E671B" w:rsidP="001E671B">
      <w:pPr>
        <w:spacing w:line="480" w:lineRule="auto"/>
        <w:ind w:firstLine="720"/>
        <w:contextualSpacing/>
        <w:rPr>
          <w:color w:val="000000"/>
        </w:rPr>
      </w:pPr>
      <w:r>
        <w:t>In light of optimization theory, bone may exhibit multiple solutions to changes in loading that add complexity to a simple model of bone mass conservation. With increases in loading stimulus, c</w:t>
      </w:r>
      <w:r w:rsidRPr="00F33CCD">
        <w:t xml:space="preserve">ortical bone strength can be </w:t>
      </w:r>
      <w:r>
        <w:t>maintained</w:t>
      </w:r>
      <w:r w:rsidRPr="00F33CCD">
        <w:t xml:space="preserve"> in three ways: 1) </w:t>
      </w:r>
      <w:r w:rsidRPr="00F33CCD">
        <w:rPr>
          <w:color w:val="000000"/>
        </w:rPr>
        <w:t>adding macroscopic bone mass</w:t>
      </w:r>
      <w:r>
        <w:rPr>
          <w:color w:val="000000"/>
        </w:rPr>
        <w:t xml:space="preserve"> (e.g., to the periosteal or endosteal surfaces)</w:t>
      </w:r>
      <w:r w:rsidRPr="00F33CCD">
        <w:rPr>
          <w:color w:val="000000"/>
        </w:rPr>
        <w:t xml:space="preserve">, </w:t>
      </w:r>
      <w:r>
        <w:rPr>
          <w:color w:val="000000"/>
        </w:rPr>
        <w:t xml:space="preserve">2) redistributing macroscopic bone further away from the mechanical centroid (the neutral bending or torsional axis, often modeled as the </w:t>
      </w:r>
      <w:r>
        <w:rPr>
          <w:color w:val="000000"/>
        </w:rPr>
        <w:lastRenderedPageBreak/>
        <w:t>center of a long bone cross-section), or 3)</w:t>
      </w:r>
      <w:r w:rsidRPr="00F33CCD">
        <w:rPr>
          <w:color w:val="000000"/>
        </w:rPr>
        <w:t xml:space="preserve"> increasing </w:t>
      </w:r>
      <w:r>
        <w:rPr>
          <w:color w:val="000000"/>
        </w:rPr>
        <w:t xml:space="preserve">osteonal remodeling to reduce the incidence of microcracks </w:t>
      </w:r>
      <w:r w:rsidRPr="00F33CCD">
        <w:rPr>
          <w:color w:val="000000"/>
        </w:rPr>
        <w:t>(Martin et al., 1998; Currey, 2003).</w:t>
      </w:r>
      <w:r>
        <w:rPr>
          <w:color w:val="000000"/>
        </w:rPr>
        <w:t xml:space="preserve"> </w:t>
      </w:r>
      <w:r w:rsidRPr="00F33CCD">
        <w:rPr>
          <w:color w:val="000000"/>
        </w:rPr>
        <w:t xml:space="preserve">The following section, </w:t>
      </w:r>
      <w:r w:rsidRPr="00F33CCD">
        <w:rPr>
          <w:i/>
          <w:color w:val="000000"/>
        </w:rPr>
        <w:t>Macromorphology</w:t>
      </w:r>
      <w:r>
        <w:rPr>
          <w:color w:val="000000"/>
        </w:rPr>
        <w:t>, reviews these specific</w:t>
      </w:r>
      <w:r w:rsidRPr="00F33CCD">
        <w:rPr>
          <w:color w:val="000000"/>
        </w:rPr>
        <w:t xml:space="preserve"> </w:t>
      </w:r>
      <w:r>
        <w:rPr>
          <w:color w:val="000000"/>
        </w:rPr>
        <w:t xml:space="preserve">mechanical alterations in macroscopic cortical bone structure and their impact on interpretations of cortical morphology. Next, the </w:t>
      </w:r>
      <w:r w:rsidRPr="00F33CCD">
        <w:rPr>
          <w:i/>
          <w:color w:val="000000"/>
        </w:rPr>
        <w:t>Micromorphology</w:t>
      </w:r>
      <w:r w:rsidRPr="00F33CCD">
        <w:rPr>
          <w:color w:val="000000"/>
        </w:rPr>
        <w:t xml:space="preserve"> section discusses </w:t>
      </w:r>
      <w:r>
        <w:rPr>
          <w:color w:val="000000"/>
        </w:rPr>
        <w:t>mechanical adaptations in cortical bone microstructure. Each section begins with a description of morphological adaptations to loading followed by a summary of previous studies in living humans, as well as anthropological applications of these studies to human skeletal samples. These studies form the foundation upon which the current analysis is based.</w:t>
      </w:r>
    </w:p>
    <w:p w14:paraId="2AFBCA44" w14:textId="77777777" w:rsidR="001E671B" w:rsidRPr="00F33CCD" w:rsidRDefault="001E671B" w:rsidP="001E671B">
      <w:pPr>
        <w:spacing w:line="480" w:lineRule="auto"/>
        <w:contextualSpacing/>
      </w:pPr>
    </w:p>
    <w:p w14:paraId="188B656D" w14:textId="77777777" w:rsidR="001E671B" w:rsidRPr="0052393E" w:rsidRDefault="001E671B" w:rsidP="0052393E">
      <w:pPr>
        <w:pStyle w:val="Heading3"/>
        <w:spacing w:line="480" w:lineRule="auto"/>
      </w:pPr>
      <w:bookmarkStart w:id="18" w:name="_Toc233171631"/>
      <w:r w:rsidRPr="0052393E">
        <w:t>Macromorphology</w:t>
      </w:r>
      <w:bookmarkEnd w:id="18"/>
    </w:p>
    <w:p w14:paraId="36BECE74" w14:textId="77777777" w:rsidR="001E671B" w:rsidRPr="0052393E" w:rsidRDefault="001E671B" w:rsidP="0052393E">
      <w:pPr>
        <w:pStyle w:val="Style1"/>
      </w:pPr>
      <w:bookmarkStart w:id="19" w:name="_Toc233171632"/>
      <w:r w:rsidRPr="0052393E">
        <w:t>Basic Structure</w:t>
      </w:r>
      <w:bookmarkEnd w:id="19"/>
    </w:p>
    <w:p w14:paraId="51031966" w14:textId="77777777" w:rsidR="001E671B" w:rsidRDefault="001E671B" w:rsidP="001E671B">
      <w:pPr>
        <w:spacing w:line="480" w:lineRule="auto"/>
        <w:ind w:firstLine="720"/>
        <w:contextualSpacing/>
      </w:pPr>
      <w:r w:rsidRPr="00F931CB">
        <w:t>Given</w:t>
      </w:r>
      <w:r>
        <w:t xml:space="preserve"> the response</w:t>
      </w:r>
      <w:r w:rsidRPr="00F931CB">
        <w:t xml:space="preserve"> </w:t>
      </w:r>
      <w:r>
        <w:t xml:space="preserve">of cortical bone </w:t>
      </w:r>
      <w:r w:rsidRPr="00F931CB">
        <w:t xml:space="preserve">to mechanical loading, a strong relationship </w:t>
      </w:r>
      <w:r>
        <w:t xml:space="preserve">ought to exist </w:t>
      </w:r>
      <w:r w:rsidRPr="00F931CB">
        <w:t>between loading patterns and cortical bone morphology.</w:t>
      </w:r>
      <w:r>
        <w:t xml:space="preserve"> This hypothesis has formed the basis for studies examining size and shape changes in human long bone cross-sectional geometry with differences in loading both within and among individuals. By modeling long bone diaphyses as hollow, static beams, the resistance of a bone to different types of mechanical loads can be calculated using engineering Euler-Bernoulli beam theory (Huiskes, 1982; Ruff and Hayes, 1983). The area of bone within a cross-section (i.e., total area [TA] and cortical area [CA]) is proportional to its strength under axial compression and tension forces. Macroscopic modeling and remodeling to specific bone surfaces regulate the amount of bone within the cross-section. Cortical area is increased by</w:t>
      </w:r>
      <w:r w:rsidRPr="00F33CCD">
        <w:t xml:space="preserve"> adding bone to the periosteal surface, where the maximum </w:t>
      </w:r>
      <w:r w:rsidRPr="00F33CCD">
        <w:lastRenderedPageBreak/>
        <w:t>strain occurs</w:t>
      </w:r>
      <w:r>
        <w:t xml:space="preserve"> (as it is farthest from the neutral plane where strains equal zero)</w:t>
      </w:r>
      <w:r w:rsidRPr="00F33CCD">
        <w:t xml:space="preserve">, and </w:t>
      </w:r>
      <w:r>
        <w:t>/or</w:t>
      </w:r>
      <w:r w:rsidRPr="00F33CCD">
        <w:t xml:space="preserve"> reducing the rate of bone resorption at the endos</w:t>
      </w:r>
      <w:r>
        <w:t>teal surface (Lazenby, 1990b; Ruff et al., 1994</w:t>
      </w:r>
      <w:r w:rsidRPr="00F33CCD">
        <w:t>).</w:t>
      </w:r>
      <w:r>
        <w:t xml:space="preserve"> </w:t>
      </w:r>
    </w:p>
    <w:p w14:paraId="7EF22F0C" w14:textId="77777777" w:rsidR="001E671B" w:rsidRDefault="001E671B" w:rsidP="001E671B">
      <w:pPr>
        <w:spacing w:line="480" w:lineRule="auto"/>
        <w:ind w:firstLine="720"/>
        <w:contextualSpacing/>
      </w:pPr>
      <w:r>
        <w:t xml:space="preserve">However, long bones rarely undergo pure axial loads and most often experience some combination of compression and tension, which results in bending (Biewener, 1983; Rubin and Lanyon, 1982; </w:t>
      </w:r>
      <w:r w:rsidRPr="001E671B">
        <w:rPr>
          <w:rFonts w:eastAsia="Cambria"/>
        </w:rPr>
        <w:t xml:space="preserve">Bertram and Biewener, 1988). </w:t>
      </w:r>
      <w:r>
        <w:t>The distribution of bone about the neutral axis, where strain levels are zero, is proportional to a bone’s resistance to bending and torsional loads.</w:t>
      </w:r>
      <w:r w:rsidR="006A3BEE">
        <w:t xml:space="preserve"> </w:t>
      </w:r>
      <w:r>
        <w:t xml:space="preserve">Second moments of </w:t>
      </w:r>
      <w:r w:rsidRPr="001C05EE">
        <w:t>area (Ix, Iy, Imax, Imin) quantify bending rigidity about a particular bending axis.</w:t>
      </w:r>
      <w:r>
        <w:t xml:space="preserve"> </w:t>
      </w:r>
      <w:r w:rsidRPr="001C05EE">
        <w:t>Ix and Iy estimate bending rigidity in the anteroposterior and medi</w:t>
      </w:r>
      <w:r>
        <w:t xml:space="preserve">olateral planes, respectively. The Ix axis is parallel to the mediolateral plane and estimates bending rigidity when the bone is bent in the anteroposterior plane. Likewise, the Iy axis estimates rigidity when the bone is bent mediolaterally, and this axis falls in the anteroposterior plane. </w:t>
      </w:r>
      <w:r w:rsidRPr="001C05EE">
        <w:t>Imax and Imin represent the maximum and minimum bending rigidities within the diaphysis, and therefore, the location of these second moments of area will vary based on the shape of the cross-section.</w:t>
      </w:r>
      <w:r>
        <w:t xml:space="preserve"> </w:t>
      </w:r>
      <w:r w:rsidRPr="001C05EE">
        <w:t>The location of maximum bending rigidity in relation to anatomical axes is expressed as the a</w:t>
      </w:r>
      <w:r>
        <w:t>ngle between two axes (theta, θ</w:t>
      </w:r>
      <w:r w:rsidRPr="001C05EE">
        <w:t>).</w:t>
      </w:r>
      <w:r>
        <w:t xml:space="preserve"> </w:t>
      </w:r>
      <w:r w:rsidRPr="001C05EE">
        <w:t xml:space="preserve">By summing two respective second moments of area (e.g., Imax and Imin or Ix and Iy), the </w:t>
      </w:r>
      <w:r>
        <w:t xml:space="preserve">bone’s torsional strength (polar moment of area, J) is calculated (Ruff and Hayes, 1983). The polar moment of area is a good indicator of overall rigidity, as it is proportional to twice the average bending rigidity. To account for the fact that the maximum strains in bending and torsion occur on the periosteal surface, second moments of area are often divided by the distance between the centroid and the outermost surface. The resulting section </w:t>
      </w:r>
      <w:r w:rsidRPr="001C05EE">
        <w:t>moduli (</w:t>
      </w:r>
      <w:r>
        <w:t xml:space="preserve">i.e., </w:t>
      </w:r>
      <w:r w:rsidRPr="001C05EE">
        <w:t>Zx, Zy, Zmax, Zmin) represent</w:t>
      </w:r>
      <w:r>
        <w:t xml:space="preserve"> bending strengths rather than rigidity in bending. The polar section modulus (</w:t>
      </w:r>
      <w:r w:rsidRPr="001C05EE">
        <w:t>Zp</w:t>
      </w:r>
      <w:r>
        <w:t>)</w:t>
      </w:r>
      <w:r w:rsidRPr="001C05EE">
        <w:t xml:space="preserve"> is</w:t>
      </w:r>
      <w:r>
        <w:t xml:space="preserve"> the section modulus equivalent of the polar moment of J and is a good index of overall torsional strength (Ruff, 1995, 2002). </w:t>
      </w:r>
    </w:p>
    <w:p w14:paraId="2C03ED20" w14:textId="77777777" w:rsidR="001E671B" w:rsidRPr="00653BCB" w:rsidRDefault="001E671B" w:rsidP="001E671B">
      <w:pPr>
        <w:spacing w:line="480" w:lineRule="auto"/>
        <w:ind w:firstLine="720"/>
        <w:contextualSpacing/>
      </w:pPr>
      <w:r>
        <w:lastRenderedPageBreak/>
        <w:t xml:space="preserve">Some caveats should be noted about the use of beam theory as summarized. Given the vagaries of absolute material properties among bones, it is important to note that none of the cross-sectional properties calculated (I, J, or Z) are the </w:t>
      </w:r>
      <w:r>
        <w:rPr>
          <w:i/>
        </w:rPr>
        <w:t>absolute</w:t>
      </w:r>
      <w:r>
        <w:t xml:space="preserve"> values for bone rigidity and strength, but they are considered to be </w:t>
      </w:r>
      <w:r>
        <w:rPr>
          <w:i/>
        </w:rPr>
        <w:t>proportional</w:t>
      </w:r>
      <w:r>
        <w:t xml:space="preserve"> to these values. Though, when similar methods are applied across individuals, strength properties will be proportional to the actual values and comparisons will reflect morphological differences between individuals. In addition, experimental evaluation of strain gauge data shows that the neutral axis is not always located on the cross-sectional centroid and shifts depending on the mechanical loading environment of the bone, suggesting that second moments of area and section moduli do not reflect true in vivo bone strength but are simply an approximation of strength (Lieberman et al., 2004). Nevertheless, cross-sectional properties calculated on the centroid are highly correlated with those calculated on the experimental neutral axis (Lieberman, 1997). Additionally, shifts in neutral axis location in dynamic loading cannot be accounted for in static models, and in cases where mechanical loading conditions are unknown, geometric properties are the best method for estimating bone strength (Ruff et al., 2006; Ruff, 2008).</w:t>
      </w:r>
    </w:p>
    <w:p w14:paraId="2DACB194" w14:textId="77777777" w:rsidR="001E671B" w:rsidRDefault="001E671B" w:rsidP="001E671B">
      <w:pPr>
        <w:spacing w:line="480" w:lineRule="auto"/>
        <w:ind w:firstLine="720"/>
        <w:contextualSpacing/>
      </w:pPr>
      <w:r>
        <w:t>The</w:t>
      </w:r>
      <w:r w:rsidRPr="00F33CCD">
        <w:t xml:space="preserve"> properties </w:t>
      </w:r>
      <w:r>
        <w:t>outlined above</w:t>
      </w:r>
      <w:r w:rsidRPr="00F33CCD">
        <w:t xml:space="preserve"> </w:t>
      </w:r>
      <w:r>
        <w:t>vary not only with</w:t>
      </w:r>
      <w:r w:rsidRPr="00F33CCD">
        <w:t xml:space="preserve"> the amount of bone present, </w:t>
      </w:r>
      <w:r>
        <w:t>but with</w:t>
      </w:r>
      <w:r w:rsidRPr="00F33CCD">
        <w:t xml:space="preserve"> its distribution</w:t>
      </w:r>
      <w:r>
        <w:t xml:space="preserve"> as well</w:t>
      </w:r>
      <w:r w:rsidRPr="00F33CCD">
        <w:t>.</w:t>
      </w:r>
      <w:r>
        <w:t xml:space="preserve"> </w:t>
      </w:r>
      <w:r w:rsidRPr="00F33CCD">
        <w:t>A reduction in cortical area does not result in a reduction in strength</w:t>
      </w:r>
      <w:r>
        <w:t xml:space="preserve"> and rigidity</w:t>
      </w:r>
      <w:r w:rsidRPr="00F33CCD">
        <w:t xml:space="preserve"> if the bone is distributed farther from the centroid of the cross-section, resulting in larger </w:t>
      </w:r>
      <w:r>
        <w:t>second moments of area and section moduli</w:t>
      </w:r>
      <w:r w:rsidRPr="00F33CCD">
        <w:t xml:space="preserve"> </w:t>
      </w:r>
      <w:r>
        <w:t xml:space="preserve">and distribution of loads over a wider area </w:t>
      </w:r>
      <w:r w:rsidRPr="00F33CCD">
        <w:t>(Lazenby, 1990; Frost and Sch</w:t>
      </w:r>
      <w:r w:rsidRPr="00F33CCD">
        <w:rPr>
          <w:color w:val="000000"/>
        </w:rPr>
        <w:t>önau, 2000</w:t>
      </w:r>
      <w:r w:rsidRPr="00F33CCD">
        <w:t>).</w:t>
      </w:r>
      <w:r>
        <w:t xml:space="preserve"> Periosteal deposition coupled with more modest endosteal resorption during growth allows for the development of wider, stronger diaphyses and is required to maintain adequate cross-sectional strength for increasing body mass and bone length (Figure</w:t>
      </w:r>
      <w:r w:rsidR="001442BB">
        <w:t xml:space="preserve"> 3</w:t>
      </w:r>
      <w:r>
        <w:t>; Ruff, 2003a, 2003b). Endosteal resorption serves to remove bone from the area of the cross-</w:t>
      </w:r>
      <w:r>
        <w:lastRenderedPageBreak/>
        <w:t>section under the least strain, while periosteal deposition increases bone mass in the area of highest strain (</w:t>
      </w:r>
      <w:r w:rsidRPr="00F33CCD">
        <w:rPr>
          <w:color w:val="000000"/>
        </w:rPr>
        <w:t>Ruff et al., 1994</w:t>
      </w:r>
      <w:r>
        <w:t>). Periosteal deposition is an efficient means of adding bone mass in response to increased loads while minimizing bone weight, because a</w:t>
      </w:r>
      <w:r w:rsidRPr="00F33CCD">
        <w:t xml:space="preserve"> small volume of bone can be added periosteally and provide </w:t>
      </w:r>
      <w:r>
        <w:t>a considerable</w:t>
      </w:r>
      <w:r w:rsidRPr="00F33CCD">
        <w:t xml:space="preserve"> improvement in mechanical strength </w:t>
      </w:r>
      <w:r>
        <w:t>compared to endosteal deposition</w:t>
      </w:r>
      <w:r w:rsidRPr="00F33CCD">
        <w:t xml:space="preserve"> (Jones et al., 1977; Lazenby, 1990</w:t>
      </w:r>
      <w:r>
        <w:t>b</w:t>
      </w:r>
      <w:r w:rsidRPr="00F33CCD">
        <w:t>; Bertram and Swartz, 1991;</w:t>
      </w:r>
      <w:r w:rsidRPr="00F33CCD">
        <w:rPr>
          <w:color w:val="000000"/>
        </w:rPr>
        <w:t xml:space="preserve"> Ruff et al., 1994; Bass et al., 1998</w:t>
      </w:r>
      <w:r>
        <w:t>). I</w:t>
      </w:r>
      <w:r w:rsidRPr="00F33CCD">
        <w:rPr>
          <w:color w:val="000000"/>
        </w:rPr>
        <w:t xml:space="preserve">ncreased </w:t>
      </w:r>
      <w:r>
        <w:rPr>
          <w:color w:val="000000"/>
        </w:rPr>
        <w:t>loads incurred by a bone, whether due to growth-induced alterations in body composition or increased physical activity, lead to intensified modeling rates.</w:t>
      </w:r>
      <w:r w:rsidR="006A3BEE">
        <w:rPr>
          <w:color w:val="000000"/>
        </w:rPr>
        <w:t xml:space="preserve"> </w:t>
      </w:r>
      <w:r>
        <w:rPr>
          <w:color w:val="000000"/>
        </w:rPr>
        <w:t xml:space="preserve">Under </w:t>
      </w:r>
      <w:r w:rsidR="008114F5">
        <w:rPr>
          <w:color w:val="000000"/>
        </w:rPr>
        <w:t>these conditions</w:t>
      </w:r>
      <w:r>
        <w:rPr>
          <w:color w:val="000000"/>
        </w:rPr>
        <w:t>, resorption on the endosteal surface and deposition on the periosteal surface will increase relative to elements under less strain. On</w:t>
      </w:r>
      <w:r w:rsidRPr="00F33CCD">
        <w:rPr>
          <w:color w:val="000000"/>
        </w:rPr>
        <w:t xml:space="preserve"> the other hand,</w:t>
      </w:r>
      <w:r w:rsidRPr="00F33CCD">
        <w:t xml:space="preserve"> </w:t>
      </w:r>
      <w:r>
        <w:t xml:space="preserve">reduced loading strain </w:t>
      </w:r>
      <w:r w:rsidRPr="00F33CCD">
        <w:t>stimulate</w:t>
      </w:r>
      <w:r>
        <w:t>s</w:t>
      </w:r>
      <w:r w:rsidRPr="00F33CCD">
        <w:t xml:space="preserve"> bone resorption at the endosteal surface and the cessation of periosteal deposition (Lany</w:t>
      </w:r>
      <w:r>
        <w:t xml:space="preserve">on and Rubin, 1984; Biewener and Bertram, 1994). </w:t>
      </w:r>
    </w:p>
    <w:p w14:paraId="55254325" w14:textId="77777777" w:rsidR="00A20F0D" w:rsidRDefault="00A20F0D" w:rsidP="001E671B">
      <w:pPr>
        <w:spacing w:line="480" w:lineRule="auto"/>
        <w:ind w:firstLine="720"/>
        <w:contextualSpacing/>
      </w:pPr>
    </w:p>
    <w:p w14:paraId="118DCE1E" w14:textId="77777777" w:rsidR="00A20F0D" w:rsidRDefault="00A20F0D" w:rsidP="001E671B">
      <w:pPr>
        <w:spacing w:line="480" w:lineRule="auto"/>
        <w:ind w:firstLine="720"/>
        <w:contextualSpacing/>
      </w:pPr>
      <w:r>
        <w:rPr>
          <w:noProof/>
        </w:rPr>
        <mc:AlternateContent>
          <mc:Choice Requires="wps">
            <w:drawing>
              <wp:anchor distT="0" distB="0" distL="114300" distR="114300" simplePos="0" relativeHeight="251659264" behindDoc="0" locked="0" layoutInCell="1" allowOverlap="1" wp14:anchorId="5EDC84C1" wp14:editId="4CDDB874">
                <wp:simplePos x="0" y="0"/>
                <wp:positionH relativeFrom="column">
                  <wp:posOffset>-593725</wp:posOffset>
                </wp:positionH>
                <wp:positionV relativeFrom="paragraph">
                  <wp:posOffset>31115</wp:posOffset>
                </wp:positionV>
                <wp:extent cx="6055995" cy="24003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6055995" cy="2400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913A5E" w14:textId="77777777" w:rsidR="00A20F0D" w:rsidRDefault="00A20F0D">
                            <w:r>
                              <w:rPr>
                                <w:b/>
                                <w:noProof/>
                                <w:color w:val="EEECE1" w:themeColor="background2"/>
                                <w:sz w:val="72"/>
                                <w:szCs w:val="72"/>
                              </w:rPr>
                              <w:drawing>
                                <wp:inline distT="0" distB="0" distL="0" distR="0" wp14:anchorId="45DE1516" wp14:editId="73DBC9D3">
                                  <wp:extent cx="5748568" cy="223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Diagram representing periosteal deposition and endosteal resorption during growth.png"/>
                                          <pic:cNvPicPr/>
                                        </pic:nvPicPr>
                                        <pic:blipFill rotWithShape="1">
                                          <a:blip r:embed="rId14">
                                            <a:extLst>
                                              <a:ext uri="{28A0092B-C50C-407E-A947-70E740481C1C}">
                                                <a14:useLocalDpi xmlns:a14="http://schemas.microsoft.com/office/drawing/2010/main" val="0"/>
                                              </a:ext>
                                            </a:extLst>
                                          </a:blip>
                                          <a:srcRect t="3" r="7691" b="44961"/>
                                          <a:stretch/>
                                        </pic:blipFill>
                                        <pic:spPr bwMode="auto">
                                          <a:xfrm>
                                            <a:off x="0" y="0"/>
                                            <a:ext cx="5749752" cy="22356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left:0;text-align:left;margin-left:-46.7pt;margin-top:2.45pt;width:476.8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0/3tACAAAR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" filled="f" stroked="f">
                <v:textbox>
                  <w:txbxContent>
                    <w:p w14:paraId="74913A5E" w14:textId="77777777" w:rsidR="00A20F0D" w:rsidRDefault="00A20F0D">
                      <w:r>
                        <w:rPr>
                          <w:b/>
                          <w:noProof/>
                          <w:color w:val="EEECE1" w:themeColor="background2"/>
                          <w:sz w:val="72"/>
                          <w:szCs w:val="72"/>
                        </w:rPr>
                        <w:drawing>
                          <wp:inline distT="0" distB="0" distL="0" distR="0" wp14:anchorId="45DE1516" wp14:editId="73DBC9D3">
                            <wp:extent cx="5748568" cy="223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Diagram representing periosteal deposition and endosteal resorption during growth.png"/>
                                    <pic:cNvPicPr/>
                                  </pic:nvPicPr>
                                  <pic:blipFill rotWithShape="1">
                                    <a:blip r:embed="rId16">
                                      <a:extLst>
                                        <a:ext uri="{28A0092B-C50C-407E-A947-70E740481C1C}">
                                          <a14:useLocalDpi xmlns:a14="http://schemas.microsoft.com/office/drawing/2010/main" val="0"/>
                                        </a:ext>
                                      </a:extLst>
                                    </a:blip>
                                    <a:srcRect t="3" r="7691" b="44961"/>
                                    <a:stretch/>
                                  </pic:blipFill>
                                  <pic:spPr bwMode="auto">
                                    <a:xfrm>
                                      <a:off x="0" y="0"/>
                                      <a:ext cx="5749752" cy="223566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0829090D" w14:textId="77777777" w:rsidR="00A20F0D" w:rsidRDefault="00A20F0D" w:rsidP="001E671B">
      <w:pPr>
        <w:spacing w:line="480" w:lineRule="auto"/>
        <w:ind w:firstLine="720"/>
        <w:contextualSpacing/>
      </w:pPr>
    </w:p>
    <w:p w14:paraId="294CFB62" w14:textId="77777777" w:rsidR="00A20F0D" w:rsidRDefault="00A20F0D" w:rsidP="001E671B">
      <w:pPr>
        <w:spacing w:line="480" w:lineRule="auto"/>
        <w:ind w:firstLine="720"/>
        <w:contextualSpacing/>
      </w:pPr>
    </w:p>
    <w:p w14:paraId="0954B945" w14:textId="77777777" w:rsidR="00A20F0D" w:rsidRDefault="00A20F0D" w:rsidP="001E671B">
      <w:pPr>
        <w:spacing w:line="480" w:lineRule="auto"/>
        <w:ind w:firstLine="720"/>
        <w:contextualSpacing/>
      </w:pPr>
    </w:p>
    <w:p w14:paraId="1254374E" w14:textId="77777777" w:rsidR="00A20F0D" w:rsidRDefault="00A20F0D" w:rsidP="001E671B">
      <w:pPr>
        <w:spacing w:line="480" w:lineRule="auto"/>
        <w:ind w:firstLine="720"/>
        <w:contextualSpacing/>
      </w:pPr>
    </w:p>
    <w:p w14:paraId="43DA5765" w14:textId="77777777" w:rsidR="00A20F0D" w:rsidRDefault="00A20F0D" w:rsidP="001E671B">
      <w:pPr>
        <w:spacing w:line="480" w:lineRule="auto"/>
        <w:ind w:firstLine="720"/>
        <w:contextualSpacing/>
      </w:pPr>
      <w:r>
        <w:rPr>
          <w:noProof/>
        </w:rPr>
        <mc:AlternateContent>
          <mc:Choice Requires="wps">
            <w:drawing>
              <wp:anchor distT="0" distB="0" distL="114300" distR="114300" simplePos="0" relativeHeight="251660288" behindDoc="0" locked="0" layoutInCell="1" allowOverlap="1" wp14:anchorId="70FA19E5" wp14:editId="45C06BA3">
                <wp:simplePos x="0" y="0"/>
                <wp:positionH relativeFrom="column">
                  <wp:posOffset>-3320415</wp:posOffset>
                </wp:positionH>
                <wp:positionV relativeFrom="paragraph">
                  <wp:posOffset>335915</wp:posOffset>
                </wp:positionV>
                <wp:extent cx="949960" cy="2286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94996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3C8269" w14:textId="77777777" w:rsidR="00A20F0D" w:rsidRDefault="00A20F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261.4pt;margin-top:26.45pt;width:74.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" fillcolor="white [3212]" stroked="f">
                <v:textbox>
                  <w:txbxContent>
                    <w:p w14:paraId="793C8269" w14:textId="77777777" w:rsidR="00A20F0D" w:rsidRDefault="00A20F0D"/>
                  </w:txbxContent>
                </v:textbox>
                <w10:wrap type="square"/>
              </v:shape>
            </w:pict>
          </mc:Fallback>
        </mc:AlternateContent>
      </w:r>
    </w:p>
    <w:p w14:paraId="2A57900A" w14:textId="77777777" w:rsidR="00A20F0D" w:rsidRDefault="00A20F0D" w:rsidP="00A20F0D">
      <w:pPr>
        <w:ind w:firstLine="720"/>
        <w:contextualSpacing/>
      </w:pPr>
    </w:p>
    <w:p w14:paraId="7C3D9B02" w14:textId="77777777" w:rsidR="00A20F0D" w:rsidRDefault="00A20F0D" w:rsidP="00A20F0D">
      <w:pPr>
        <w:pStyle w:val="Caption"/>
        <w:jc w:val="center"/>
      </w:pPr>
      <w:r>
        <w:t xml:space="preserve"> Figure 3: Diagram representing periosteal deposition and endosteal resorption during growth.</w:t>
      </w:r>
    </w:p>
    <w:p w14:paraId="62709196" w14:textId="77777777" w:rsidR="00A20F0D" w:rsidRDefault="00A20F0D" w:rsidP="00A20F0D">
      <w:pPr>
        <w:ind w:firstLine="720"/>
        <w:contextualSpacing/>
        <w:jc w:val="center"/>
      </w:pPr>
    </w:p>
    <w:p w14:paraId="138E1D0F" w14:textId="77777777" w:rsidR="00A20F0D" w:rsidRDefault="00A20F0D" w:rsidP="00A20F0D">
      <w:pPr>
        <w:ind w:firstLine="720"/>
        <w:contextualSpacing/>
        <w:jc w:val="center"/>
      </w:pPr>
    </w:p>
    <w:p w14:paraId="4DFD7BB3" w14:textId="77777777" w:rsidR="00A20F0D" w:rsidRDefault="00A20F0D" w:rsidP="00A20F0D">
      <w:pPr>
        <w:ind w:firstLine="720"/>
        <w:contextualSpacing/>
        <w:jc w:val="center"/>
      </w:pPr>
    </w:p>
    <w:p w14:paraId="107F6529" w14:textId="77777777" w:rsidR="00A20F0D" w:rsidRDefault="00A20F0D" w:rsidP="00A20F0D">
      <w:pPr>
        <w:ind w:firstLine="720"/>
        <w:contextualSpacing/>
        <w:jc w:val="center"/>
      </w:pPr>
    </w:p>
    <w:p w14:paraId="0258954A" w14:textId="77777777" w:rsidR="00A20F0D" w:rsidRDefault="00A20F0D" w:rsidP="00A20F0D">
      <w:pPr>
        <w:ind w:firstLine="720"/>
        <w:contextualSpacing/>
        <w:jc w:val="center"/>
      </w:pPr>
    </w:p>
    <w:p w14:paraId="1B63DEA0" w14:textId="77777777" w:rsidR="00A20F0D" w:rsidRDefault="00A20F0D" w:rsidP="00A20F0D">
      <w:pPr>
        <w:ind w:firstLine="720"/>
        <w:contextualSpacing/>
        <w:jc w:val="center"/>
      </w:pPr>
    </w:p>
    <w:p w14:paraId="61605014" w14:textId="77777777" w:rsidR="001E671B" w:rsidRDefault="001E671B" w:rsidP="00A20F0D">
      <w:pPr>
        <w:spacing w:line="480" w:lineRule="auto"/>
        <w:ind w:firstLine="720"/>
        <w:contextualSpacing/>
      </w:pPr>
      <w:r>
        <w:t xml:space="preserve">Therefore, the lack of correlation between bone mass and bone strength in long bone diaphyses </w:t>
      </w:r>
      <w:r w:rsidRPr="00F33CCD">
        <w:t>is important to recognize when considering the effects of metabolic bon</w:t>
      </w:r>
      <w:r>
        <w:t xml:space="preserve">e loss on macroscopic bone mass, which occurs preferentially at the endosteal surface </w:t>
      </w:r>
      <w:r w:rsidRPr="00F33CCD">
        <w:t xml:space="preserve">(see </w:t>
      </w:r>
      <w:r w:rsidRPr="00734592">
        <w:t>Chapter 3</w:t>
      </w:r>
      <w:r w:rsidRPr="00F33CCD">
        <w:t>).</w:t>
      </w:r>
      <w:r>
        <w:t xml:space="preserve"> As</w:t>
      </w:r>
      <w:r w:rsidRPr="00F33CCD">
        <w:t xml:space="preserve"> loading demands increase among different skeletal elements, </w:t>
      </w:r>
      <w:r w:rsidRPr="00F33CCD">
        <w:rPr>
          <w:i/>
        </w:rPr>
        <w:t>low</w:t>
      </w:r>
      <w:r w:rsidRPr="00F33CCD">
        <w:t xml:space="preserve"> macroscopic bone mass does not necessarily equate to </w:t>
      </w:r>
      <w:r w:rsidRPr="00F33CCD">
        <w:rPr>
          <w:i/>
        </w:rPr>
        <w:t>inadequate</w:t>
      </w:r>
      <w:r w:rsidRPr="00F33CCD">
        <w:t xml:space="preserve"> bone mass for resisting loads. </w:t>
      </w:r>
      <w:r>
        <w:t>Therefore, analyses of the distribution of bone are more salient to the questions asked in this study than simple measurements of overall bone mass (i.e., total area and cortical area), or bone mineral content and density. However, research on bone mineral content and density has been important to establishing the effects of activity on bone in living subjects.</w:t>
      </w:r>
    </w:p>
    <w:p w14:paraId="46ED09B3" w14:textId="77777777" w:rsidR="001E671B" w:rsidRDefault="001E671B" w:rsidP="001E671B">
      <w:pPr>
        <w:spacing w:line="480" w:lineRule="auto"/>
        <w:ind w:firstLine="720"/>
        <w:contextualSpacing/>
      </w:pPr>
    </w:p>
    <w:p w14:paraId="0E99EA3A" w14:textId="77777777" w:rsidR="001E671B" w:rsidRPr="0052393E" w:rsidRDefault="001E671B" w:rsidP="0052393E">
      <w:pPr>
        <w:pStyle w:val="Style1"/>
      </w:pPr>
      <w:bookmarkStart w:id="20" w:name="_Toc233171633"/>
      <w:r w:rsidRPr="0052393E">
        <w:t>Clinical Studies</w:t>
      </w:r>
      <w:bookmarkEnd w:id="20"/>
    </w:p>
    <w:p w14:paraId="41BB7083" w14:textId="77777777" w:rsidR="001E671B" w:rsidRDefault="001E671B" w:rsidP="001E671B">
      <w:pPr>
        <w:spacing w:line="480" w:lineRule="auto"/>
        <w:ind w:firstLine="720"/>
        <w:contextualSpacing/>
      </w:pPr>
      <w:r w:rsidRPr="00877E69">
        <w:rPr>
          <w:b/>
        </w:rPr>
        <w:t>Bone Mineral Density</w:t>
      </w:r>
      <w:r>
        <w:t xml:space="preserve">. Clinical research on the effects of exercise in living humans has proven quite useful in understanding mechanical alterations in cortical bone mass. As reviewed below, numerous studies have documented increased bone mineral content (BMC) and bone mineral density (the amount of mineral per square centimeter of bone tissue) across multiple skeletal locations with increased physical activity in adults and subadults. These analyses typically examine locations in appendicular elements (e.g., femoral neck, distal radius) and/or axial elements (e.g., lumbar spine) that are not investigated in anthropological contexts. Although femoral and humeral diaphyseal midshafts are occasionally analyzed, rib elements are not a common location of interest in clinical settings. However, the general skeletal findings of these studies, especially those involving </w:t>
      </w:r>
      <w:r w:rsidR="00A752A1">
        <w:t xml:space="preserve">subadults, </w:t>
      </w:r>
      <w:r>
        <w:t xml:space="preserve">inform hypotheses set forth in </w:t>
      </w:r>
      <w:r w:rsidRPr="002358F7">
        <w:t>Chapter 1</w:t>
      </w:r>
      <w:r>
        <w:t xml:space="preserve"> for </w:t>
      </w:r>
      <w:r>
        <w:lastRenderedPageBreak/>
        <w:t>long bone elements. The findings of this body of research are described here to establish patterns of mechanical adaptation in subadults, as well as advocate for more focused structural analyses of cortical bone in immature samples. In addition, the limitations in the application of the methods for examining both bone mineral content and density are reviewed in light of the goals of this study.</w:t>
      </w:r>
    </w:p>
    <w:p w14:paraId="4ED82955" w14:textId="77777777" w:rsidR="001E671B" w:rsidRDefault="001E671B" w:rsidP="001E671B">
      <w:pPr>
        <w:spacing w:line="480" w:lineRule="auto"/>
        <w:ind w:firstLine="720"/>
        <w:contextualSpacing/>
      </w:pPr>
      <w:r>
        <w:t>Bone mineral density (BMD) varies significantly with variation in quantity and quality of dynamic activity. High, frequent dynamic skeletal loading (i.e., “high impact” activities) in adults—such as encountered in volleyball, soccer, hockey, running, and weightlifting—is associated with significant BMD increases in loaded elements relative to non-athletic controls, regardless of the skeletal location (Heinrich et al., 1990; Karlsson et al., 1993; Taaffe et al., 1995; Alfredson et al., 1996, 1997, 1998; Pettersson et al., 1999). Conversely, low-impact and non-weight bearing exercise (e.g., swimming) has less effect on bone strength between athletes and controls (Block et al., 1989; Heinonen et al., 1993). Increased activity level in adult non-athletes also results in increased BMD, although the response is modest in comparison to the differences between athletes and non-athletic controls (Menkes et al., 1993; Heinonen et al., 1996; Kerr et al., 1996; Nickols-Richardson et al., 2007). On the other hand, cessation of exercise, as occurs with decreased athletic training and immobilization during bed rest, has been linked to considerably reduced bone mineral densities (Tilton et al., 1980; LeBlanc et al., 1990; Schneider et al, 1995; Valdimarsson et al., 2005).</w:t>
      </w:r>
    </w:p>
    <w:p w14:paraId="55B67041" w14:textId="77777777" w:rsidR="001E671B" w:rsidRDefault="001E671B" w:rsidP="001E671B">
      <w:pPr>
        <w:spacing w:line="480" w:lineRule="auto"/>
        <w:ind w:firstLine="720"/>
        <w:contextualSpacing/>
      </w:pPr>
      <w:r>
        <w:t xml:space="preserve">While adult exercise studies have detected differences in bone mass in association with activity level, lowered adult osteogenic response suggests that not all of these differences can be explained by loading effects encountered after skeletal maturity. Exercise studies on children and adolescents have revealed comparable results to adult exercise studies, though osteogenic </w:t>
      </w:r>
      <w:r>
        <w:lastRenderedPageBreak/>
        <w:t>response is heightened and the effects of activity far exceed those of adult studies. McCulloch et al. (1992) compared BMC in the calcaneus and distal radius across adolescent competitive swimmers, soccer players, and controls. Results indicated that swimmers of both sexes had the lowest calcaneal BMC and soccer players had the highest, whereas no differences were present in the radius between activity groups. The authors concluded that extended periods of time spent in a weightless, buoyant environment would preferentially affect weight-bearing bones, supporting previous analyses of astronauts experiencing prolonged space flight (Smith and Gillian, 1987; LeBlanc et al., 2000). Since McCulloch et al.’s publication, several additional studies have documented BMD differences ranging from 5% to 40% in immature individuals participating in high-impact sports (e.g., ballet, soccer, and gymnastics) compared to those engaged in low-impact activities (e.g., walking), non-weight bearing exercise (e.g., cycling, swimming), and no athletic activity (Young et al., 1994; Kannus et al., 1995; Dyson et al., 1997; Bass et al., 1998). In addition to exercise types, immature BMD also varies with overall activity level. For example, Meyer et al. (2011) detected an increase in total body, femoral neck, and total hip BMD in primary school children introduced to a 9-month physical activity intervention program. A three-year follow up on the oldest children showed that high BMD values were maintained into adolescence relative to controls, suggesting that physical activity encountered early in life may have long-term effects on bone density (Meyer et al., 2013).</w:t>
      </w:r>
      <w:r w:rsidRPr="00D7108E">
        <w:t xml:space="preserve"> </w:t>
      </w:r>
    </w:p>
    <w:p w14:paraId="52FD474D" w14:textId="77777777" w:rsidR="001E671B" w:rsidRPr="001E671B" w:rsidRDefault="001E671B" w:rsidP="001E671B">
      <w:pPr>
        <w:autoSpaceDE w:val="0"/>
        <w:autoSpaceDN w:val="0"/>
        <w:adjustRightInd w:val="0"/>
        <w:spacing w:line="480" w:lineRule="auto"/>
        <w:ind w:firstLine="720"/>
        <w:rPr>
          <w:rFonts w:eastAsia="Cambria"/>
          <w:sz w:val="19"/>
          <w:szCs w:val="19"/>
        </w:rPr>
      </w:pPr>
      <w:r>
        <w:t xml:space="preserve">Although BMD accounts for up to 40% of variation in bone strength and is a good predictor of fracture risk (Wachter et al., 2002), it is not a mechanical property and does not encapsulate the majority of variation in bone strength caused by differences in bone structure (Ruff et al., 2006). Recent studies have demonstrated that adjustments in mechanical properties sometimes occur without modifications to bone mineral density (Ashizawa et al., 1999; </w:t>
      </w:r>
      <w:r>
        <w:lastRenderedPageBreak/>
        <w:t>Haapasalo et al., 2000). For example, comparing dominant and non-dominant arms in adult tennis players, Ashizawa et al. (1999) found that the radii of dominant forearms exhibited significantly higher total areas and cortical areas, though BMD was actually lower in the dominant forearm.</w:t>
      </w:r>
    </w:p>
    <w:p w14:paraId="59A53F12" w14:textId="77777777" w:rsidR="001E671B" w:rsidRDefault="001E671B" w:rsidP="001E671B">
      <w:pPr>
        <w:spacing w:line="480" w:lineRule="auto"/>
        <w:ind w:firstLine="720"/>
        <w:contextualSpacing/>
      </w:pPr>
      <w:r>
        <w:t xml:space="preserve">Moreover, as noted, methods used for examining BMD do not account for the properties of interest in this study, namely cortical cross-sectional geometry and histological evidence of bone turnover or maintenance. The most widely used technology for calculating BMD, single-energy X-ray absorptiometry (SXA) and dual-energy X-ray absorptiometry (DXA), cannot adequately distinguish between trabecular and cortical bone, though recent techniques have improved this distinction (Zabeze et al., 2013). BMD itself is not a measure of true density, because it cannot distinguish between areas containing ossified tissues and those that do not (Prentice et al., 1994), though it is a standard measurement by which differences in bone size can be compared across groups under the same methodological conditions and is strongly correlated with risk of fracture in adults (Stone et al., 2003) and </w:t>
      </w:r>
      <w:r w:rsidR="00A752A1">
        <w:t>subadults</w:t>
      </w:r>
      <w:r>
        <w:t xml:space="preserve"> (Clark et al., 2002, 2008; Bianchi, 2007). However, only true bone density can assist with understanding more nuanced changes in bone strength with environmental and behavioral factors. New, alternative methods such as quantitative computed tomography (QCT) and peripheral quantita</w:t>
      </w:r>
      <w:r w:rsidR="008114F5">
        <w:t>tive computed tomography (pQCT)</w:t>
      </w:r>
      <w:r>
        <w:t xml:space="preserve"> provide the ability to measure geometric properties as well as volumetric BMD rather than areal BMD. These alternative methods involve high doses of radiation and are more expensive, and therefore, less widely available (cf. Shaw and Stock, 2009a, 2009b). </w:t>
      </w:r>
    </w:p>
    <w:p w14:paraId="3371772C" w14:textId="77777777" w:rsidR="001E671B" w:rsidRDefault="001E671B" w:rsidP="001E671B">
      <w:pPr>
        <w:spacing w:line="480" w:lineRule="auto"/>
        <w:ind w:firstLine="720"/>
        <w:contextualSpacing/>
      </w:pPr>
      <w:r>
        <w:t xml:space="preserve">Another complication is that the calculation of BMD (BMC ÷ bone area or bone width) assumes that BMC and bone area are linearly proportional—an increase in BMC is associated with the same percentage increase in bone area—though this relationship has not been verified. </w:t>
      </w:r>
      <w:r>
        <w:lastRenderedPageBreak/>
        <w:t>Therefore, assumptions of linearity can lead to spurious correlations among BMD and other variables (e.g., caloric intake, energy expenditure) simply due to their relationship with overall body size, and standardizations by body size measures (e.g., body mass index, BMI) are not likely to account completely for bone and body size differences (Prentice et al., 1994). For the reasons outlined above, researchers have called for more honed examinations of cortical bone morphology to determine the structural factors (including cross-sectional geometry, osteonal remodeling, and microscopic porosity) that determine overall bone strength (Seeman, 2003b; Daly, 2007). This study, then, joins a broad literature in attempting to address this appeal.</w:t>
      </w:r>
    </w:p>
    <w:p w14:paraId="22F5A076" w14:textId="77777777" w:rsidR="001E671B" w:rsidRDefault="001E671B" w:rsidP="001E671B">
      <w:pPr>
        <w:spacing w:line="480" w:lineRule="auto"/>
        <w:ind w:firstLine="720"/>
        <w:contextualSpacing/>
      </w:pPr>
    </w:p>
    <w:p w14:paraId="4419A1AA" w14:textId="77777777" w:rsidR="001E671B" w:rsidRPr="00701495" w:rsidRDefault="001E671B" w:rsidP="001E671B">
      <w:pPr>
        <w:spacing w:line="480" w:lineRule="auto"/>
        <w:ind w:firstLine="720"/>
        <w:contextualSpacing/>
      </w:pPr>
      <w:r>
        <w:rPr>
          <w:b/>
        </w:rPr>
        <w:t xml:space="preserve">Macroscopic </w:t>
      </w:r>
      <w:r w:rsidRPr="00877E69">
        <w:rPr>
          <w:b/>
        </w:rPr>
        <w:t xml:space="preserve">Bone </w:t>
      </w:r>
      <w:r>
        <w:rPr>
          <w:b/>
        </w:rPr>
        <w:t>Structure</w:t>
      </w:r>
      <w:r>
        <w:t xml:space="preserve">. </w:t>
      </w:r>
      <w:r w:rsidRPr="00701495">
        <w:t>Clinical studies have been fundamental in establishing surface-specific modifications to the cortical structure of long bone diaphyses, and how they differ in immature individuals compared to adults. These studies, moreover, establish macroscopic changes in bone in response to loading that BMD s</w:t>
      </w:r>
      <w:r>
        <w:t>tudies, as reviewed above, are unable</w:t>
      </w:r>
      <w:r w:rsidRPr="00701495">
        <w:t xml:space="preserve"> to </w:t>
      </w:r>
      <w:r>
        <w:t xml:space="preserve">accurately </w:t>
      </w:r>
      <w:r w:rsidRPr="00701495">
        <w:t xml:space="preserve">reveal due to confounding factors. While some studies have shown increases in cross-sectional </w:t>
      </w:r>
      <w:r>
        <w:t>strength properties</w:t>
      </w:r>
      <w:r w:rsidRPr="00701495">
        <w:t xml:space="preserve"> in concert with increases in BMD, most have focused instead on establishing the manner in which cortical bone is modified in relation to the age at which individuals engage in activities, the intensity of those activities, and how their effect on bone changes over time.</w:t>
      </w:r>
    </w:p>
    <w:p w14:paraId="265BC596" w14:textId="77777777" w:rsidR="001E671B" w:rsidRPr="00701495" w:rsidRDefault="001E671B" w:rsidP="001E671B">
      <w:pPr>
        <w:spacing w:line="480" w:lineRule="auto"/>
        <w:ind w:firstLine="720"/>
        <w:contextualSpacing/>
      </w:pPr>
      <w:r w:rsidRPr="00701495">
        <w:t>As explored in the previous subsection, studies of BMD have established a basic understanding about the relationship of activity levels and bone response</w:t>
      </w:r>
      <w:r>
        <w:t xml:space="preserve">. </w:t>
      </w:r>
      <w:r w:rsidRPr="00701495">
        <w:t xml:space="preserve">Yet, as established, augmented levels of BMD do not necessitate changes in macroscopic shape, or vice versa, and the relationship between the two is not often clear. Bass et al. (1998), for example, detected greater BMD in the lumbar spine and femoral midshaft of pre-pubertal female gymnasts relative </w:t>
      </w:r>
      <w:r w:rsidRPr="00701495">
        <w:lastRenderedPageBreak/>
        <w:t>to controls, which the authors inferred as being caused by changes at the endosteal rather than the periosteal surface, though this hypothesis could not be confirmed with BMD data alone. Other studies have found potential relationships between increased cortical area and greater BMD. Dyson et al. (1997) established that cross-sectional area in the distal radii of 7 to 11 year-old female gymnasts were 11% greater compared with controls, and argued that higher trabecular and cortical BMD in gymnasts indicated exercise-induced mass increases through either thicker trabeculae, endosteal deposition, and/or inhibited endosteal resorption. In contrast, cortical BMD at the radial midshaft in pre-pubertal male and female gymnasts was not different from controls in a different study, despite significantly greater total and cortical areas in the gymnasts (Ward et al., 2005). This emphasizes the potential incongruity of cortical bone macroscopic structural variation and bone mineral density.</w:t>
      </w:r>
    </w:p>
    <w:p w14:paraId="29B7C244" w14:textId="77777777" w:rsidR="001E671B" w:rsidRPr="00701495" w:rsidRDefault="001E671B" w:rsidP="001E671B">
      <w:pPr>
        <w:spacing w:line="480" w:lineRule="auto"/>
        <w:ind w:firstLine="720"/>
        <w:contextualSpacing/>
      </w:pPr>
      <w:r w:rsidRPr="00701495">
        <w:t>Given this ambiguity, emphasis has been placed on the examination of cross-sectional geometry instead of BMD to understand the effects of activity on bone, especially ontogenetically. Heinonen et al. (2002), for instance, discovered increased cortical area in the radial diaphyses of adult female weightlifters relative to controls, a difference associated in other studies with increased BMD. Similarly, Daly and Bass (2006) found a significant correlation between time engaged in weight-bearing physical activity and femoral cross-sectional areas and polar moment of area. Studies like these in adult populations are helpful for understanding lifetime activity effects on bone structure; however, because bone is more responsive to activity in subadults, the relationship between loading and macroscopic structure are more strongly illustrated by growth studies.</w:t>
      </w:r>
    </w:p>
    <w:p w14:paraId="09A47C14" w14:textId="77777777" w:rsidR="001E671B" w:rsidRDefault="001E671B" w:rsidP="001E671B">
      <w:pPr>
        <w:spacing w:line="480" w:lineRule="auto"/>
        <w:ind w:firstLine="720"/>
        <w:contextualSpacing/>
      </w:pPr>
      <w:r w:rsidRPr="00701495">
        <w:t xml:space="preserve">A major finding of growth studies, which has already been noted in the discussion of cross-sectional properties, is that activity has a disproportionate effect on younger individuals, </w:t>
      </w:r>
      <w:r w:rsidRPr="00701495">
        <w:lastRenderedPageBreak/>
        <w:t>and these effects are retained into adulthood. In a longitudinal study of non-athletic boy</w:t>
      </w:r>
      <w:r w:rsidR="00A752A1">
        <w:t>s and girls, highly active</w:t>
      </w:r>
      <w:r w:rsidRPr="00701495">
        <w:t xml:space="preserve"> children maintained 5-10% greater femoral and radial bone mass in adolescence than children </w:t>
      </w:r>
      <w:r w:rsidR="00A752A1">
        <w:t xml:space="preserve">who </w:t>
      </w:r>
      <w:r w:rsidRPr="00701495">
        <w:t xml:space="preserve">had experienced lower activity levels before puberty (Slemenda et al., 1991, 1994). Tennis training during </w:t>
      </w:r>
      <w:r w:rsidR="00A752A1">
        <w:t>growth</w:t>
      </w:r>
      <w:r w:rsidRPr="00701495">
        <w:t xml:space="preserve"> has been associated with increased adult total and medullary bone areas in the proximal humerus and radial midshaft (Haapasalo et al., 2000; Kontulainen et al., 2003). Similarly, Forwood et al. (2006) presented strong evidence for the benefici</w:t>
      </w:r>
      <w:r w:rsidR="00A752A1">
        <w:t xml:space="preserve">al effects of daily exercise during growth </w:t>
      </w:r>
      <w:r w:rsidRPr="00701495">
        <w:t>when they found that physical activity was a significant predictor of peak cross-sectional area and section modulus in the femoral neck into adulthood</w:t>
      </w:r>
      <w:r w:rsidRPr="00685D3B">
        <w:rPr>
          <w:i/>
        </w:rPr>
        <w:t>.</w:t>
      </w:r>
      <w:r>
        <w:rPr>
          <w:i/>
        </w:rPr>
        <w:t xml:space="preserve"> </w:t>
      </w:r>
    </w:p>
    <w:p w14:paraId="0638C8C9" w14:textId="77777777" w:rsidR="001E671B" w:rsidRDefault="001E671B" w:rsidP="001E671B">
      <w:pPr>
        <w:spacing w:line="480" w:lineRule="auto"/>
        <w:ind w:firstLine="720"/>
        <w:contextualSpacing/>
      </w:pPr>
      <w:r>
        <w:t xml:space="preserve">Researchers have also shown that cortical bone strength varies over the course of ontogeny with rates of growth and, thus, age and body size. In their 1996 paper, van der Meulen et al.’s study on immature cross-sectional strength properties indicated a strong relationship between femoral midshaft diaphyseal strength properties and body mass throughout ontogeny, leading the authors to conclude that mechanical loading was the main determinant of long bone cross-sectional (i.e., appositional) growth. During development, long bone strength must continually meet mechanical demands as they fluctuate with changes in body mass, bone length, and muscular strength, with bone strength typically lagging behind adjustments in these three factors (Rauch and </w:t>
      </w:r>
      <w:r w:rsidRPr="00F33CCD">
        <w:t>Sch</w:t>
      </w:r>
      <w:r w:rsidRPr="00F33CCD">
        <w:rPr>
          <w:color w:val="000000"/>
        </w:rPr>
        <w:t>önau</w:t>
      </w:r>
      <w:r>
        <w:t xml:space="preserve">, 2001; Ruff, 2003b; Cowgill et al., 2010). This relationship is clearly visible during the pubertal growth spurt, when rates of growth in bone length far exceed those in mass and strength, raising the risk of fracture to the highest levels that occur in subadults (Bailey et al., 1996; Bonjour and Rizzoli, 1996; Bass et al., 1999). </w:t>
      </w:r>
    </w:p>
    <w:p w14:paraId="4B7B7F5E" w14:textId="77777777" w:rsidR="001E671B" w:rsidRDefault="001E671B" w:rsidP="001E671B">
      <w:pPr>
        <w:spacing w:line="480" w:lineRule="auto"/>
        <w:ind w:firstLine="720"/>
        <w:contextualSpacing/>
      </w:pPr>
      <w:r>
        <w:t xml:space="preserve">Furthermore, the osteogenic response of diaphyseal surfaces, and thus structural geometric changes, will also vary during ontogeny. The ratio of periosteal and endosteal border </w:t>
      </w:r>
      <w:r>
        <w:lastRenderedPageBreak/>
        <w:t>expansion is similar between the sexes up until puberty; as explained previously, bone is added periosteally and resorbed endosteally. During puberty, rising estrogen levels in females inhibits periosteal deposition while simultaneously stimulating endosteal deposition (Ruff et al., 1994; Seeman, 2001). This phenomenon has been confirmed in young female tennis players who demonstrate more activity-related periosteal deposition and resistance in bending prior to puberty, but endocortical deposition and minimal improvements to bending strength during and after puberty (Haapasalo et al., 1996; Bass et al., 2002). Except for this small window of time during puberty b</w:t>
      </w:r>
      <w:r w:rsidRPr="00F33CCD">
        <w:t>one deposition typically occurs at the periosteal surface</w:t>
      </w:r>
      <w:r>
        <w:t xml:space="preserve"> in </w:t>
      </w:r>
      <w:r w:rsidR="00A752A1">
        <w:t>subadults</w:t>
      </w:r>
      <w:r>
        <w:t xml:space="preserve"> and young adults, </w:t>
      </w:r>
      <w:r w:rsidRPr="00F33CCD">
        <w:t>because a small volume of bone can be added periosteally and provide the same improvement in mechanical strength that would occur with considerable endosteal deposition (Jones et al., 1977; Lazenby, 1990</w:t>
      </w:r>
      <w:r>
        <w:t>b</w:t>
      </w:r>
      <w:r w:rsidRPr="00F33CCD">
        <w:t>; Bertram and Swartz, 1991;</w:t>
      </w:r>
      <w:r w:rsidRPr="00F33CCD">
        <w:rPr>
          <w:color w:val="000000"/>
        </w:rPr>
        <w:t xml:space="preserve"> Ruff et al., 1994; Bass et al., 1998</w:t>
      </w:r>
      <w:r w:rsidRPr="00F33CCD">
        <w:t>).</w:t>
      </w:r>
      <w:r>
        <w:t xml:space="preserve"> This mechanically inefficient deposition in pubertal females, then, may serve as calcium reservoir for pregnancy and lactation (</w:t>
      </w:r>
      <w:r w:rsidRPr="00F33CCD">
        <w:t>Sch</w:t>
      </w:r>
      <w:r w:rsidRPr="00F33CCD">
        <w:rPr>
          <w:color w:val="000000"/>
        </w:rPr>
        <w:t>önau</w:t>
      </w:r>
      <w:r>
        <w:t xml:space="preserve"> et al., 2001). Thus, hormonal effects, in addition to activity variation and the age of onset for loading (not to mention stress and diet; see Chapter 3), are important in shaping ontogenetic changes in diaphyseal cross-sectional properties.</w:t>
      </w:r>
    </w:p>
    <w:p w14:paraId="5BD20367" w14:textId="77777777" w:rsidR="001E671B" w:rsidRDefault="001E671B" w:rsidP="001E671B">
      <w:pPr>
        <w:spacing w:line="480" w:lineRule="auto"/>
        <w:ind w:firstLine="720"/>
        <w:contextualSpacing/>
      </w:pPr>
      <w:r>
        <w:t xml:space="preserve"> After skeletal maturity and with advancing age, bone remodeling becomes “uncoupled”: periosteal deposition is limited to a few millimeters and endosteal resorption continues to cause net cortical bone loss (Balena et al., 1992). This uncoupling in adults is known to occur in both appendicular elements (Ruff and Hayes, 1982) and ribs (Sedlin et al., 1963; Takahashi and Frost, 1966). In older adults, mechanical loading cannot reverse bone loss but may maintain it, mainly through inhibition of endosteal resorption rather than periosteal deposition (Szulc et al., 2006). Net bone loss is higher in women due to an increased propensity for periosteal apposition in males (Russo et al., 2003). Bone strength in healthy adults, however, is not as reduced as one </w:t>
      </w:r>
      <w:r>
        <w:lastRenderedPageBreak/>
        <w:t>might think based on evidence of reduction in cortical area alone; minimal periosteal deposition may compensate for endosteal resorption, resulting in increased second and polar moments of area and potentially compensating for net losses in cortical area (Lazenby, 1990b; Seeman, 2003b), although the capacity for compensation is dependent on the rate and extent of bone loss (Szulc et al., 2006).</w:t>
      </w:r>
    </w:p>
    <w:p w14:paraId="22D9607C" w14:textId="77777777" w:rsidR="001E671B" w:rsidRPr="002876D1" w:rsidRDefault="001E671B" w:rsidP="001E671B">
      <w:pPr>
        <w:spacing w:line="480" w:lineRule="auto"/>
        <w:contextualSpacing/>
      </w:pPr>
      <w:r>
        <w:tab/>
      </w:r>
    </w:p>
    <w:p w14:paraId="08573544" w14:textId="77777777" w:rsidR="001E671B" w:rsidRPr="0052393E" w:rsidRDefault="001E671B" w:rsidP="0052393E">
      <w:pPr>
        <w:pStyle w:val="Style1"/>
      </w:pPr>
      <w:bookmarkStart w:id="21" w:name="_Toc233171634"/>
      <w:r w:rsidRPr="0052393E">
        <w:t>Application to Anthropology</w:t>
      </w:r>
      <w:bookmarkEnd w:id="21"/>
    </w:p>
    <w:p w14:paraId="14A3185E" w14:textId="77777777" w:rsidR="001E671B" w:rsidRDefault="001E671B" w:rsidP="001E671B">
      <w:pPr>
        <w:spacing w:line="480" w:lineRule="auto"/>
        <w:ind w:firstLine="720"/>
        <w:contextualSpacing/>
      </w:pPr>
      <w:r>
        <w:rPr>
          <w:b/>
        </w:rPr>
        <w:t>Adult Research</w:t>
      </w:r>
      <w:r w:rsidRPr="00960CF6">
        <w:rPr>
          <w:b/>
        </w:rPr>
        <w:t>.</w:t>
      </w:r>
      <w:r>
        <w:t xml:space="preserve"> The examination of cross-sectional geometry in skeletal remains has been an indispensable tool for reconstructing behavior among past human populations. S</w:t>
      </w:r>
      <w:r w:rsidRPr="00F33CCD">
        <w:t xml:space="preserve">tudies typically examine </w:t>
      </w:r>
      <w:r>
        <w:t>cross-sectional properties o</w:t>
      </w:r>
      <w:r w:rsidRPr="00F33CCD">
        <w:t xml:space="preserve">f long bone diaphyses </w:t>
      </w:r>
      <w:r>
        <w:t>t</w:t>
      </w:r>
      <w:r w:rsidRPr="00F33CCD">
        <w:t>o develop inferences about terrestrial mobility, body mass, habitual loading behaviors, an</w:t>
      </w:r>
      <w:r>
        <w:t>d subsistence strategy</w:t>
      </w:r>
      <w:r w:rsidRPr="00F33CCD">
        <w:t xml:space="preserve"> </w:t>
      </w:r>
      <w:r>
        <w:t xml:space="preserve">in both archaeological </w:t>
      </w:r>
      <w:r w:rsidRPr="00F33CCD">
        <w:t>(Ruff et al., 1984, 1999; Bridges et al.,</w:t>
      </w:r>
      <w:r>
        <w:t xml:space="preserve"> 2000; Stock and Pfeiffer, 2001,</w:t>
      </w:r>
      <w:r w:rsidRPr="00F33CCD">
        <w:t xml:space="preserve"> </w:t>
      </w:r>
      <w:r>
        <w:t xml:space="preserve">2004; Weiss, 2003; Stock, 2006; </w:t>
      </w:r>
      <w:r w:rsidRPr="00F33CCD">
        <w:t>Wescott, 2006)</w:t>
      </w:r>
      <w:r>
        <w:t xml:space="preserve"> and paleoanthropological contexts (Ruff et al., 1993; Ruff et al., 1999; Trinkaus et al., 1999; Pearson, 2000; Sladek et al, 2006; Shackelford, 2007; Ruff, 2008; Ruff, 2009)</w:t>
      </w:r>
      <w:r w:rsidRPr="00F33CCD">
        <w:t>.</w:t>
      </w:r>
      <w:r>
        <w:t xml:space="preserve"> Special attention has been given to the shift in activity from foraging to agricultural subsistence strategies (Ruff and Hayes, 1983a, 1983b; Ruff, 1988; Bridges, 1989, 1991; Ruff and Larsen, 1990; Larsen and Ruff, 1991; Ruff, 1994, 1987, 1999; Bridges et al., 2000). The current study has potential implications for this area of research, because interpretations of subsistence-related activities from skeletal remains are complicated by the inability to address the interaction between mechanics and metabolism. </w:t>
      </w:r>
    </w:p>
    <w:p w14:paraId="4FEA9D7F" w14:textId="77777777" w:rsidR="001E671B" w:rsidRPr="00696596" w:rsidRDefault="001E671B" w:rsidP="001E671B">
      <w:pPr>
        <w:spacing w:line="480" w:lineRule="auto"/>
        <w:ind w:firstLine="720"/>
        <w:contextualSpacing/>
      </w:pPr>
      <w:r>
        <w:t xml:space="preserve">Several studies have documented a decrease in diaphyseal strength properties after the transition to agriculture (Ruff et al., 1984; Larsen et al., 1990, 1995; Ruff and Larsen, 1990; </w:t>
      </w:r>
      <w:r>
        <w:lastRenderedPageBreak/>
        <w:t>Larsen and Ruff, 1991). Ruff et al., (1984) found a reduction in almost all femoral cross-sectional properties in agricultural groups of the Georgia Coast, which lead these authors to conclude that reduced loading on the lower limb (likely caused by increased sedentary behavior) was causing alterations in the size and shape of cortical bone. However, not all evidence confirms a reduction in activity level with agricultural subsistence. Bridges (1989, 1991) inferred a rise in activity level and work load with the intensification of maize agriculture in Northwestern Alabama. Mississippian groups in this region exhibited stronger femora relative to their Archaic hunter-gatherer predecessors and reduced bilateral asymmetry in their humeri. Bridges interpreted these results as being caused by a shift from mostly unimodal to bimodal tasks in the upper limb, mainly through the extended use of the bow and arrow over the atlatl in males and corn processing in female.</w:t>
      </w:r>
      <w:r w:rsidR="006A3BEE">
        <w:t xml:space="preserve"> </w:t>
      </w:r>
      <w:r>
        <w:t>Unlike early studies by Ruff and colleagues, these comparisons were made without size-standardization, and discrepancies across these studies could potentially have been driven by size differences. In a more recent comparison of size-standardized diaphyseal properties, slightly different and more complex patterns emerge in west-central Illinois that are unlike those of either the Georgia Coast or Northwestern Alabama (Bridges et al., 2000). In this region, only females demonstrated both femoral and humeral strength increases over time with the introduction of maize between the Middle and Late Woodland, and male right humeral strength declined. The most significant changes occurred in the Mississippian period, when maize became a predominant component of the diet (Bridges et al., 2000).</w:t>
      </w:r>
      <w:r w:rsidRPr="00FC758E">
        <w:rPr>
          <w:highlight w:val="yellow"/>
        </w:rPr>
        <w:t xml:space="preserve"> </w:t>
      </w:r>
    </w:p>
    <w:p w14:paraId="76A8F8AF" w14:textId="77777777" w:rsidR="001E671B" w:rsidRDefault="001E671B" w:rsidP="001E671B">
      <w:pPr>
        <w:autoSpaceDE w:val="0"/>
        <w:autoSpaceDN w:val="0"/>
        <w:adjustRightInd w:val="0"/>
        <w:spacing w:line="480" w:lineRule="auto"/>
        <w:ind w:firstLine="720"/>
      </w:pPr>
      <w:r>
        <w:t xml:space="preserve">Multiple variables likely contribute to these and other inconsistencies between observed long bone diaphyseal strength and expected activity patterns in archaeological skeletal samples, as cortical bone morphology is a complex phenomenon resulting from multiple causal factors. </w:t>
      </w:r>
      <w:r>
        <w:lastRenderedPageBreak/>
        <w:t xml:space="preserve">When interpreting habitual loading activity from diaphyseal cross-sections, the investigator is in fact documenting an aggregation of continuous modifications to cortical structure that occur over the course of an individual’s lifetime. Complicated patterns across skeletal elements and among individuals may arise if they are engaged in highly variable activities throughout their life, especially if there are differences in activity during childhood, adolescence, and young adulthood (Pearson and Lieberman, 2004). Additionally, an inadequate knowledge of a human population’s behavioral activities makes it difficult to construe meaning and ultimate causation from structural shifts in morphology without providing </w:t>
      </w:r>
      <w:r w:rsidRPr="002D0A01">
        <w:rPr>
          <w:i/>
        </w:rPr>
        <w:t>ad hoc</w:t>
      </w:r>
      <w:r>
        <w:t xml:space="preserve"> explanations to support </w:t>
      </w:r>
      <w:r w:rsidRPr="002D0A01">
        <w:rPr>
          <w:i/>
        </w:rPr>
        <w:t xml:space="preserve">a priori </w:t>
      </w:r>
      <w:r>
        <w:t xml:space="preserve">hypotheses. </w:t>
      </w:r>
    </w:p>
    <w:p w14:paraId="4B5952D3" w14:textId="77777777" w:rsidR="001E671B" w:rsidRDefault="001E671B" w:rsidP="001E671B">
      <w:pPr>
        <w:autoSpaceDE w:val="0"/>
        <w:autoSpaceDN w:val="0"/>
        <w:adjustRightInd w:val="0"/>
        <w:spacing w:line="480" w:lineRule="auto"/>
        <w:ind w:firstLine="720"/>
      </w:pPr>
      <w:r>
        <w:t xml:space="preserve">Moreover, other mechanically driven factors may be causing variation in long bone diaphyses that are not necessarily readily apparent. For example, when considering multiple skeletal samples in different regions within North America, Ruff (1999, 2008) found that terrain could be driving the differences present in lower limb cortical area and torsional strength between agricultural and pre-agricultural groups. Stronger femora in populations occupying more mountainous regions could account for the patterns previously attributed to subsistence. Moreover, non-mechanical factors are known to influence cross-sectional geometric properties (e.g., nutrition, metabolic status, and genetics), and these may have significant effects on mechanical interpretations from human skeletal samples (see </w:t>
      </w:r>
      <w:r w:rsidRPr="0082789B">
        <w:t>Chapter 3</w:t>
      </w:r>
      <w:r w:rsidRPr="00C51565">
        <w:t>)</w:t>
      </w:r>
      <w:r>
        <w:t>. And finally, with increasing bone loss associated with aging, adult morphological patterns may not reflect recent mechanical effects as accurately as immature bone.</w:t>
      </w:r>
    </w:p>
    <w:p w14:paraId="3CCB4F3B" w14:textId="77777777" w:rsidR="001E671B" w:rsidRPr="00F33CCD" w:rsidRDefault="001E671B" w:rsidP="001E671B">
      <w:pPr>
        <w:autoSpaceDE w:val="0"/>
        <w:autoSpaceDN w:val="0"/>
        <w:adjustRightInd w:val="0"/>
        <w:spacing w:line="480" w:lineRule="auto"/>
        <w:ind w:firstLine="720"/>
      </w:pPr>
    </w:p>
    <w:p w14:paraId="5EAB5775" w14:textId="77777777" w:rsidR="001E671B" w:rsidRDefault="001E671B" w:rsidP="001E671B">
      <w:pPr>
        <w:spacing w:line="480" w:lineRule="auto"/>
        <w:contextualSpacing/>
      </w:pPr>
      <w:r>
        <w:tab/>
      </w:r>
      <w:r>
        <w:rPr>
          <w:b/>
        </w:rPr>
        <w:t xml:space="preserve">Ontogenetic Research. </w:t>
      </w:r>
      <w:r>
        <w:t xml:space="preserve">Even though far fewer assessments have been made of mechanical adaptations in immature populations, a growing body of research into developmental processes underlying adult long bone strength has provided a foundation from which to expand </w:t>
      </w:r>
      <w:r>
        <w:lastRenderedPageBreak/>
        <w:t xml:space="preserve">investigations. The majority of these studies involve the acquisition of adult femoral to humeral strength proportions, yet recent work on shape changes in long bone elements points to unique loading patterns in subadult populations relative to adults. </w:t>
      </w:r>
    </w:p>
    <w:p w14:paraId="6E471937" w14:textId="77777777" w:rsidR="001E671B" w:rsidRDefault="001E671B" w:rsidP="001E671B">
      <w:pPr>
        <w:spacing w:line="480" w:lineRule="auto"/>
        <w:ind w:firstLine="720"/>
        <w:contextualSpacing/>
      </w:pPr>
      <w:r>
        <w:t xml:space="preserve">Sumner and Andriacchi (1996), in one of the first studies, compared humeral and femoral strength proportions across ontogeny in a skeletal sample from Grasshopper Pueblo. They found that early in ontogeny the two limb bones possessed similar strength proportions relative to bone length but that higher rates of increase in diaphyseal robusticity in the femur prior to the age of ten were responsible for creating the divergent adult strength ratios between these two elements. Ruff (2003a, 2003b) refined their study and detected ontogenetic shifts in relative limb bone strength that establish the association between development of diaphyseal cross-sectional properties and mechanical loading both with and without the influence of body mass. Ruff (2003a) found stronger correlations between immature human growth velocity in femoral strength and that of body weight times bone length compared to growth velocity in stature and muscle size. In the humerus, however, growth velocity in strength has a lower correlation with body weight times humeral length than the femur but a clear association with forearm muscle area in males. </w:t>
      </w:r>
    </w:p>
    <w:p w14:paraId="389F3A88" w14:textId="77777777" w:rsidR="001E671B" w:rsidRDefault="001E671B" w:rsidP="001E671B">
      <w:pPr>
        <w:spacing w:line="480" w:lineRule="auto"/>
        <w:ind w:firstLine="720"/>
        <w:contextualSpacing/>
      </w:pPr>
      <w:r>
        <w:t xml:space="preserve">In immature baboons and humans, Ruff (2003b) observed the appearance of human-like femoral to humeral strength proportions only after the transition to bipedal walking (around roughly 1 year of age), with femoral strength increasing gradually during growth and humeral strength declining after cessation of crawling. Peaks in strength properties in both the humerus and femur during infancy are associated with the initiation of walking and mark the divergence between femoral and humeral growth trajectories (Ruff, 2003a). Prior to the acquisition of bipedal locomotion, human infant morphology was similar to baboons and other quadrupedal </w:t>
      </w:r>
      <w:r>
        <w:lastRenderedPageBreak/>
        <w:t>animals. While adult femoral to humeral strength proportions did not develop until late adolescence, adult length proportions were present at birth. Likewise, femoral to humeral length proportions increased slightly during growth, however, initiation of walking appeared to have no effect on bone length growth trajectories (Ruff, 2003b).</w:t>
      </w:r>
    </w:p>
    <w:p w14:paraId="4F954E72" w14:textId="77777777" w:rsidR="001E671B" w:rsidRDefault="001E671B" w:rsidP="001E671B">
      <w:pPr>
        <w:spacing w:line="480" w:lineRule="auto"/>
        <w:ind w:firstLine="720"/>
        <w:contextualSpacing/>
      </w:pPr>
      <w:r>
        <w:t xml:space="preserve">Cowgill (2008; 2010) conducted the first thorough analysis of immature strength properties in more than one human sample. Her analyses in both Holocene and Late Pleistocene populations confirmed the diaphyseal strength proportion patterns outlined by Ruff (2003a, 2003b) associated with the transition to bipedal walking, as well as the disparities in growth velocity between long bone strength, body mass, and bone length that cause cross-sectional geometric properties to lag behind changes in body size (Ruff et al., 1994). In addition, results suggested that population differences in limb strength properties appear by the skeletal age of six, supporting ethnographic research of young children engaging in adult-like behavior and activities by this developmental stage across many human groups. Humeral asymmetry developed slowly in these populations, with adult values being obtained after 12 years of age, a pattern indicative of increased unilateral limb use with age in populations with high adult asymmetries. </w:t>
      </w:r>
    </w:p>
    <w:p w14:paraId="2DEF397E" w14:textId="77777777" w:rsidR="001E671B" w:rsidRDefault="001E671B" w:rsidP="001E671B">
      <w:pPr>
        <w:spacing w:line="480" w:lineRule="auto"/>
        <w:ind w:firstLine="720"/>
        <w:contextualSpacing/>
      </w:pPr>
      <w:r>
        <w:t xml:space="preserve">The findings most relevant to the current study were the slow emergence of adult femoral and tibial shape during growth (Cowgill, 2008). The femur, for example, is medio-laterally reinforced (i.e., Imax tends to fall near Ix) until adolescence, when a femoral pilaster forms and bone mass is shifted in the anterio-posterior direction. Cowgill (2008) attributed disparities in lower limb diaphyseal shape between younger and older subadults to the relatively late attainment of the bicondylar angle (around 6 years of age), prior to which bending moments about the hip are mostly mediolaterally oriented. This hypothesis was validated in a kinematic </w:t>
      </w:r>
      <w:r>
        <w:lastRenderedPageBreak/>
        <w:t>study of immature gait that showed significantly higher mediolateral ground reaction forces in toddlers relative to adults, which were due to a wider stance and waddling gait (Cowgill et al., 2010). These results impact the current study, which assesses geometric and microstructural properties along femoral and humeral axes of bending rigidity.</w:t>
      </w:r>
    </w:p>
    <w:p w14:paraId="4D7D5497" w14:textId="77777777" w:rsidR="001E671B" w:rsidRPr="00EA1A74" w:rsidRDefault="001E671B" w:rsidP="001E671B">
      <w:pPr>
        <w:spacing w:line="480" w:lineRule="auto"/>
        <w:contextualSpacing/>
      </w:pPr>
    </w:p>
    <w:p w14:paraId="5C22F913" w14:textId="77777777" w:rsidR="001E671B" w:rsidRPr="0052393E" w:rsidRDefault="001E671B" w:rsidP="0052393E">
      <w:pPr>
        <w:pStyle w:val="Heading3"/>
        <w:spacing w:line="480" w:lineRule="auto"/>
      </w:pPr>
      <w:bookmarkStart w:id="22" w:name="_Toc233171635"/>
      <w:r w:rsidRPr="0052393E">
        <w:t>Micromorphology</w:t>
      </w:r>
      <w:bookmarkEnd w:id="22"/>
    </w:p>
    <w:p w14:paraId="44BA2E09" w14:textId="77777777" w:rsidR="001E671B" w:rsidRPr="0039069C" w:rsidRDefault="001E671B" w:rsidP="0052393E">
      <w:pPr>
        <w:autoSpaceDE w:val="0"/>
        <w:autoSpaceDN w:val="0"/>
        <w:adjustRightInd w:val="0"/>
        <w:spacing w:line="480" w:lineRule="auto"/>
        <w:ind w:firstLine="720"/>
        <w:rPr>
          <w:rFonts w:eastAsia="NewCenturySchlbk-Roman"/>
        </w:rPr>
      </w:pPr>
      <w:r>
        <w:t xml:space="preserve">The proper mechanical function of a bone depends not only on its arrangement (e.g., size and shape) </w:t>
      </w:r>
      <w:r w:rsidR="008114F5">
        <w:t>but also</w:t>
      </w:r>
      <w:r>
        <w:t xml:space="preserve"> on the properties of the bone tissue material itself. Some of this is reviewed above in the discussion on bone mineral density (BMD) responses to activity. Although macroscopic cortical bone structure is arguably the principal determinant of bone strength, adjustments in microarchitecture can significantly influence resistance to mechanical forces as </w:t>
      </w:r>
      <w:r w:rsidRPr="0039069C">
        <w:t xml:space="preserve">well (Parfitt, 1984; </w:t>
      </w:r>
      <w:r>
        <w:t xml:space="preserve">Currey, 1988; Schaffler and Burr, 1988; Martin and Ishida, 1989; McCalden et al., 1993; </w:t>
      </w:r>
      <w:r w:rsidRPr="0039069C">
        <w:t xml:space="preserve">Martin et al., 1998; </w:t>
      </w:r>
      <w:r>
        <w:t xml:space="preserve">Yeni and Norman, 2000; </w:t>
      </w:r>
      <w:r w:rsidRPr="0039069C">
        <w:t>Seeman, 2003).</w:t>
      </w:r>
      <w:r>
        <w:t xml:space="preserve"> </w:t>
      </w:r>
      <w:r w:rsidRPr="0039069C">
        <w:t xml:space="preserve">Microstructural variation appears to affect the distribution of strains within bone on the local level, which </w:t>
      </w:r>
      <w:r>
        <w:t>accumulate to create effects at the organ level</w:t>
      </w:r>
      <w:r w:rsidRPr="0039069C">
        <w:t xml:space="preserve"> that cannot be explained by </w:t>
      </w:r>
      <w:r>
        <w:t xml:space="preserve">total </w:t>
      </w:r>
      <w:r w:rsidRPr="0039069C">
        <w:t xml:space="preserve">bone mineral content </w:t>
      </w:r>
      <w:r>
        <w:t xml:space="preserve">and density </w:t>
      </w:r>
      <w:r w:rsidRPr="0039069C">
        <w:t>alone (</w:t>
      </w:r>
      <w:r>
        <w:t xml:space="preserve">Currey, 2003; </w:t>
      </w:r>
      <w:r w:rsidRPr="0039069C">
        <w:t>Hoc et al., 2006).</w:t>
      </w:r>
      <w:r>
        <w:t xml:space="preserve"> </w:t>
      </w:r>
      <w:r w:rsidRPr="0039069C">
        <w:t>Along with evidence of mechanical alterations to macroscopic properties, this histological response demonstrates that bone adapts to mechanical inputs at multiple biological levels.</w:t>
      </w:r>
      <w:r>
        <w:t xml:space="preserve"> </w:t>
      </w:r>
      <w:r w:rsidRPr="0039069C">
        <w:t>In other words, bone’s hierarchical organization ultimately dictates</w:t>
      </w:r>
      <w:r>
        <w:t xml:space="preserve"> its mechanical properties (Katz, 1980; Cowin, 2001). Therefore, v</w:t>
      </w:r>
      <w:r w:rsidRPr="0039069C">
        <w:t xml:space="preserve">ariation in bone tissue organization is correlated with mechanical loading regime both among skeletal elements and within specific regions </w:t>
      </w:r>
      <w:r>
        <w:t>of</w:t>
      </w:r>
      <w:r w:rsidRPr="0039069C">
        <w:t xml:space="preserve"> elements</w:t>
      </w:r>
      <w:r w:rsidRPr="001E671B">
        <w:rPr>
          <w:rFonts w:eastAsia="Cambria"/>
        </w:rPr>
        <w:t xml:space="preserve"> (</w:t>
      </w:r>
      <w:r w:rsidRPr="0039069C">
        <w:rPr>
          <w:rFonts w:eastAsia="NewCenturySchlbk-Roman"/>
        </w:rPr>
        <w:t>Lanyon and Baggott, 1976;</w:t>
      </w:r>
      <w:r>
        <w:rPr>
          <w:rFonts w:eastAsia="NewCenturySchlbk-Roman"/>
        </w:rPr>
        <w:t xml:space="preserve"> </w:t>
      </w:r>
      <w:r w:rsidRPr="0039069C">
        <w:rPr>
          <w:rFonts w:eastAsia="NewCenturySchlbk-Roman"/>
        </w:rPr>
        <w:t xml:space="preserve">Carter et al., 1980; </w:t>
      </w:r>
      <w:r>
        <w:rPr>
          <w:rFonts w:eastAsia="NewCenturySchlbk-Roman"/>
        </w:rPr>
        <w:lastRenderedPageBreak/>
        <w:t xml:space="preserve">Carter, 1984, 1987; Burr, 1992; </w:t>
      </w:r>
      <w:r w:rsidRPr="0039069C">
        <w:rPr>
          <w:rFonts w:eastAsia="NewCenturySchlbk-Roman"/>
        </w:rPr>
        <w:t>van der Meul</w:t>
      </w:r>
      <w:r>
        <w:rPr>
          <w:rFonts w:eastAsia="NewCenturySchlbk-Roman"/>
        </w:rPr>
        <w:t xml:space="preserve">en et al., 1996; Reilly et al., </w:t>
      </w:r>
      <w:r w:rsidRPr="0039069C">
        <w:rPr>
          <w:rFonts w:eastAsia="NewCenturySchlbk-Roman"/>
        </w:rPr>
        <w:t xml:space="preserve">1997; </w:t>
      </w:r>
      <w:r>
        <w:rPr>
          <w:rFonts w:eastAsia="NewCenturySchlbk-Roman"/>
        </w:rPr>
        <w:t>Skedros et al., 1994a, 1994b, 1996, 1997</w:t>
      </w:r>
      <w:r w:rsidRPr="0039069C">
        <w:rPr>
          <w:rFonts w:eastAsia="NewCenturySchlbk-Roman"/>
        </w:rPr>
        <w:t xml:space="preserve">, </w:t>
      </w:r>
      <w:r>
        <w:rPr>
          <w:rFonts w:eastAsia="NewCenturySchlbk-Roman"/>
        </w:rPr>
        <w:t xml:space="preserve">2000, </w:t>
      </w:r>
      <w:r w:rsidRPr="0039069C">
        <w:rPr>
          <w:rFonts w:eastAsia="NewCenturySchlbk-Roman"/>
        </w:rPr>
        <w:t>2001a,</w:t>
      </w:r>
      <w:r>
        <w:rPr>
          <w:rFonts w:eastAsia="NewCenturySchlbk-Roman"/>
        </w:rPr>
        <w:t xml:space="preserve"> 2001</w:t>
      </w:r>
      <w:r w:rsidRPr="0039069C">
        <w:rPr>
          <w:rFonts w:eastAsia="NewCenturySchlbk-Roman"/>
        </w:rPr>
        <w:t>b</w:t>
      </w:r>
      <w:r w:rsidRPr="001E671B">
        <w:rPr>
          <w:rFonts w:eastAsia="Cambria"/>
        </w:rPr>
        <w:t>)</w:t>
      </w:r>
      <w:r w:rsidRPr="0039069C">
        <w:t>.</w:t>
      </w:r>
      <w:r>
        <w:t xml:space="preserve"> </w:t>
      </w:r>
    </w:p>
    <w:p w14:paraId="3584EAD5" w14:textId="77777777" w:rsidR="001E671B" w:rsidRDefault="001E671B" w:rsidP="001E671B">
      <w:pPr>
        <w:spacing w:line="480" w:lineRule="auto"/>
        <w:ind w:firstLine="720"/>
        <w:contextualSpacing/>
      </w:pPr>
      <w:r>
        <w:t>Historically, investigations of mechanical effects on microscopic structure have been limited when compared to macroscopic bone density and cross-sectional properties as investigated across multiple disciplines. Generally speaking, histological methods are more common in anthropological analyses of skeletal samples than in clinical settings; primary focus in the clinical literature has remained on large changes in cortical size and shape and their mechanical consequences (e.g., DXA), with the expectation that further research will clarify the relationship between organ and tissue level structure (Cooper et al., 2006, 2007; Davison et al., 2006). Until recently, with the advent of high-resolution imaging (i.e., microCT), it has not been possible to assess tissue-level properties without resorting to destructive methods (Cooper et al., 2007). Clinical studies were initially restricted to experimental research on non-human animals or minimally invasive biopsies (e.g., iliac crest biopsy) from living human subjects. Therefore, regions predominantly comprised of cortical bone (e.g., long bone diaphyses, ribs), which are typically analyzed in skeletal samples, are not frequently used in living humans to assess microstructure, though experimental studies on animals have shed some light on this area of research (Lanyon et al., 1979; Lieberman and Crompton, 1998; Skedros et al., 2001).</w:t>
      </w:r>
    </w:p>
    <w:p w14:paraId="4731C5DE" w14:textId="77777777" w:rsidR="001E671B" w:rsidRPr="003A6EA2" w:rsidRDefault="001E671B" w:rsidP="001E671B">
      <w:pPr>
        <w:spacing w:line="480" w:lineRule="auto"/>
        <w:ind w:firstLine="720"/>
        <w:contextualSpacing/>
      </w:pPr>
      <w:r>
        <w:t xml:space="preserve">Histological methods for investigating bone tissue organization (e.g., light microscopy, microradiography, back-scattered electron microscopy, and nanoindentation testing), despite largely being destructive, provide advantages over microCT in being able to clearly isolate histological structures other than porosity (i.e., osteon size, osteon cortical area) and assist with calculations of intracortical remodeling rate (Cooper et al., 2007). On the other hand, these methods are often more time-consuming relative to high-resolution imaging, and, more </w:t>
      </w:r>
      <w:r>
        <w:lastRenderedPageBreak/>
        <w:t>importantly, are greatly restricted due to their destructive nature. Their utility for understanding whole bone strength, however, cannot be understated. The calculations associated</w:t>
      </w:r>
      <w:r w:rsidRPr="00F33CCD">
        <w:t xml:space="preserve"> </w:t>
      </w:r>
      <w:r>
        <w:t xml:space="preserve">with </w:t>
      </w:r>
      <w:r w:rsidRPr="00F33CCD">
        <w:t xml:space="preserve">cross-sectional </w:t>
      </w:r>
      <w:r>
        <w:t xml:space="preserve">geometric </w:t>
      </w:r>
      <w:r w:rsidRPr="00F33CCD">
        <w:t>properties</w:t>
      </w:r>
      <w:r>
        <w:t>, for example,</w:t>
      </w:r>
      <w:r w:rsidRPr="00F33CCD">
        <w:t xml:space="preserve"> </w:t>
      </w:r>
      <w:r>
        <w:t>assume</w:t>
      </w:r>
      <w:r w:rsidRPr="00F33CCD">
        <w:t xml:space="preserve"> </w:t>
      </w:r>
      <w:r>
        <w:t>homogenous microstructure</w:t>
      </w:r>
      <w:r w:rsidRPr="00F33CCD">
        <w:t xml:space="preserve"> </w:t>
      </w:r>
      <w:r>
        <w:t xml:space="preserve">(i.e., isotropy) </w:t>
      </w:r>
      <w:r w:rsidRPr="00F33CCD">
        <w:t xml:space="preserve">throughout the </w:t>
      </w:r>
      <w:r>
        <w:t>cortical area (Ruff, 1999), though long bone tissue is known to be anisotropic (Turner et al., 1999</w:t>
      </w:r>
      <w:r w:rsidRPr="00F33CCD">
        <w:t>).</w:t>
      </w:r>
      <w:r>
        <w:t xml:space="preserve"> Diaphyses that appear to have strong cortical structure using macroscopic analyses may be mechanically weaker if the cortical bone is comprised of inferiorly organized or structurally compromised bone tissue (Keller et al., 1990; Martin and Boardman, 1993). While this fact certainly does not negate the importance of geometric properties for understanding bone strength, further research into covariation of bone structure at both scales is necessary to fully understand how their relationship shapes bone strength.</w:t>
      </w:r>
      <w:r>
        <w:rPr>
          <w:b/>
        </w:rPr>
        <w:t xml:space="preserve"> </w:t>
      </w:r>
    </w:p>
    <w:p w14:paraId="5B80C358" w14:textId="77777777" w:rsidR="001E671B" w:rsidRPr="00F33CCD" w:rsidRDefault="001E671B" w:rsidP="001E671B">
      <w:pPr>
        <w:spacing w:line="480" w:lineRule="auto"/>
        <w:ind w:firstLine="720"/>
        <w:contextualSpacing/>
      </w:pPr>
    </w:p>
    <w:p w14:paraId="75D2DDCF" w14:textId="77777777" w:rsidR="001E671B" w:rsidRPr="0052393E" w:rsidRDefault="001E671B" w:rsidP="0052393E">
      <w:pPr>
        <w:pStyle w:val="Style1"/>
      </w:pPr>
      <w:bookmarkStart w:id="23" w:name="_Toc233171636"/>
      <w:r w:rsidRPr="0052393E">
        <w:t>Osteonal Remodeling Rates and Loading Behavior</w:t>
      </w:r>
      <w:bookmarkEnd w:id="23"/>
    </w:p>
    <w:p w14:paraId="35943C0C" w14:textId="77777777" w:rsidR="001E671B" w:rsidRDefault="001E671B" w:rsidP="001E671B">
      <w:pPr>
        <w:spacing w:line="480" w:lineRule="auto"/>
        <w:ind w:firstLine="720"/>
      </w:pPr>
      <w:r>
        <w:t xml:space="preserve">Within the past few decades, a rise in bone microstructure research has generated a new appreciation for its influence on cortical bone properties. As stated previously, although intracortical remodeling is not a completely understood phenomenon, it is clearly connected with replacing fatigue-damaged bone (Mori and Burr, 1993; </w:t>
      </w:r>
      <w:r w:rsidRPr="00F33CCD">
        <w:t>Burr, 2002</w:t>
      </w:r>
      <w:r>
        <w:t xml:space="preserve">; Parfitt, 2002; Martin; 2007) and possibly preventing the propagation of additional microcracks (Martin and Burr, 1982; </w:t>
      </w:r>
      <w:r>
        <w:rPr>
          <w:color w:val="000000"/>
        </w:rPr>
        <w:t>Schaffler et al., 1995</w:t>
      </w:r>
      <w:r>
        <w:t xml:space="preserve">). This skeletal response seems to be mediated by mechanotransduction, the load-induced cellular responses associated with formation and resorption. Though the exact mechanisms of mechanotransduction are still elusive, osteocytes appear to </w:t>
      </w:r>
      <w:r w:rsidRPr="0020201C">
        <w:t xml:space="preserve">“sense” </w:t>
      </w:r>
      <w:r>
        <w:t xml:space="preserve">mechanical signals through their fluid-filled canalicular networks, leading to secondary cytogenic signals sent to osteoblasts and osteoclasts via cytokines </w:t>
      </w:r>
      <w:r w:rsidRPr="0020201C">
        <w:t xml:space="preserve">(Frost, 1973; </w:t>
      </w:r>
      <w:r>
        <w:t xml:space="preserve">Burger and Klein Nulend, 1999; </w:t>
      </w:r>
      <w:r>
        <w:lastRenderedPageBreak/>
        <w:t>Cowin et al., 1991; Martin, 2000</w:t>
      </w:r>
      <w:r w:rsidRPr="0020201C">
        <w:t>).</w:t>
      </w:r>
      <w:r>
        <w:t xml:space="preserve"> Microdamage has been associated with reduced fluid flow and osteocytic cell death, which in turn are linked to the initiation of osteoclastic activation and remodeling (Noble et al., 1997; Verborgt et al., 2000).</w:t>
      </w:r>
    </w:p>
    <w:p w14:paraId="12D056ED" w14:textId="77777777" w:rsidR="001E671B" w:rsidRPr="000F439C" w:rsidRDefault="001E671B" w:rsidP="001E671B">
      <w:pPr>
        <w:autoSpaceDE w:val="0"/>
        <w:autoSpaceDN w:val="0"/>
        <w:adjustRightInd w:val="0"/>
        <w:spacing w:line="480" w:lineRule="auto"/>
        <w:ind w:firstLine="720"/>
        <w:rPr>
          <w:rFonts w:eastAsia="NewCenturySchlbk-Roman"/>
          <w:color w:val="231F20"/>
        </w:rPr>
      </w:pPr>
      <w:r>
        <w:t>Contrarily, some authors have proposed</w:t>
      </w:r>
      <w:r w:rsidRPr="0020201C">
        <w:t xml:space="preserve"> that osteonal remodeling weakens cortical bone.</w:t>
      </w:r>
      <w:r>
        <w:t xml:space="preserve"> </w:t>
      </w:r>
      <w:r w:rsidRPr="0020201C">
        <w:t>Skeletal elements with high rates of remodeling were shown to be weaker in tension, compression, bending, and shear than primary bone, due to the temporary increase in porosity and generally less mineralized bone being deposited in newly-created Haversian syst</w:t>
      </w:r>
      <w:r>
        <w:t>ems (Reilly and Burstein, 1974,</w:t>
      </w:r>
      <w:r w:rsidRPr="0020201C">
        <w:t xml:space="preserve"> 1975; Carter et al., 1976</w:t>
      </w:r>
      <w:r>
        <w:t>; Carter and Hayes, 1977</w:t>
      </w:r>
      <w:r w:rsidRPr="0020201C">
        <w:t>).</w:t>
      </w:r>
      <w:r>
        <w:t xml:space="preserve"> However, </w:t>
      </w:r>
      <w:r w:rsidRPr="00F12223">
        <w:rPr>
          <w:i/>
        </w:rPr>
        <w:t>fully mineralized</w:t>
      </w:r>
      <w:r>
        <w:t xml:space="preserve"> osteonal bone is actually stronger in compression than non-remodeled bone (</w:t>
      </w:r>
      <w:r w:rsidRPr="0020201C">
        <w:t>Hert et al</w:t>
      </w:r>
      <w:r w:rsidRPr="000F439C">
        <w:t xml:space="preserve">., 1965), is </w:t>
      </w:r>
      <w:r w:rsidRPr="000F439C">
        <w:rPr>
          <w:rFonts w:eastAsia="NewCenturySchlbk-Roman"/>
          <w:color w:val="231F20"/>
        </w:rPr>
        <w:t>stronger than older, damaged primary bone</w:t>
      </w:r>
      <w:r>
        <w:rPr>
          <w:rFonts w:eastAsia="NewCenturySchlbk-Roman"/>
          <w:color w:val="231F20"/>
        </w:rPr>
        <w:t xml:space="preserve"> </w:t>
      </w:r>
      <w:r w:rsidRPr="000F439C">
        <w:rPr>
          <w:rFonts w:eastAsia="NewCenturySchlbk-Roman"/>
          <w:color w:val="231F20"/>
        </w:rPr>
        <w:t xml:space="preserve">(Schaffler et al., 1989, 1990), </w:t>
      </w:r>
      <w:r>
        <w:rPr>
          <w:rFonts w:eastAsia="NewCenturySchlbk-Roman"/>
          <w:color w:val="231F20"/>
        </w:rPr>
        <w:t>and contains collagen fibers</w:t>
      </w:r>
      <w:r w:rsidRPr="000F439C">
        <w:rPr>
          <w:rFonts w:eastAsia="NewCenturySchlbk-Roman"/>
          <w:color w:val="231F20"/>
        </w:rPr>
        <w:t xml:space="preserve"> </w:t>
      </w:r>
      <w:r>
        <w:rPr>
          <w:rFonts w:eastAsia="NewCenturySchlbk-Roman"/>
          <w:color w:val="231F20"/>
        </w:rPr>
        <w:t>reoriented</w:t>
      </w:r>
      <w:r w:rsidRPr="000F439C">
        <w:rPr>
          <w:rFonts w:eastAsia="NewCenturySchlbk-Roman"/>
          <w:color w:val="231F20"/>
        </w:rPr>
        <w:t xml:space="preserve"> along axes of tension</w:t>
      </w:r>
      <w:r>
        <w:rPr>
          <w:rFonts w:eastAsia="NewCenturySchlbk-Roman"/>
          <w:color w:val="231F20"/>
        </w:rPr>
        <w:t xml:space="preserve"> where bone is the weakest </w:t>
      </w:r>
      <w:r w:rsidRPr="000F439C">
        <w:rPr>
          <w:rFonts w:eastAsia="NewCenturySchlbk-Roman"/>
          <w:color w:val="231F20"/>
        </w:rPr>
        <w:t>(Martin and B</w:t>
      </w:r>
      <w:r>
        <w:rPr>
          <w:rFonts w:eastAsia="NewCenturySchlbk-Roman"/>
          <w:color w:val="231F20"/>
        </w:rPr>
        <w:t>urr, 1982; Riggs et al., 1993</w:t>
      </w:r>
      <w:r w:rsidRPr="000F439C">
        <w:rPr>
          <w:rFonts w:eastAsia="NewCenturySchlbk-Roman"/>
          <w:color w:val="231F20"/>
        </w:rPr>
        <w:t>).</w:t>
      </w:r>
      <w:r>
        <w:rPr>
          <w:rFonts w:eastAsia="NewCenturySchlbk-Roman"/>
          <w:color w:val="231F20"/>
        </w:rPr>
        <w:t xml:space="preserve"> </w:t>
      </w:r>
      <w:r w:rsidRPr="000F439C">
        <w:t xml:space="preserve">Furthermore, based on </w:t>
      </w:r>
      <w:r>
        <w:t>mounting evidence</w:t>
      </w:r>
      <w:r w:rsidRPr="000F439C">
        <w:t xml:space="preserve"> of </w:t>
      </w:r>
      <w:r>
        <w:t xml:space="preserve">a strong association between </w:t>
      </w:r>
      <w:r w:rsidRPr="000F439C">
        <w:t>higher stain stimuli</w:t>
      </w:r>
      <w:r>
        <w:t xml:space="preserve"> and increased remodeling rates</w:t>
      </w:r>
      <w:r w:rsidRPr="000F439C">
        <w:t xml:space="preserve">, researchers now agree that targeted remodeling is a necessary </w:t>
      </w:r>
      <w:r>
        <w:t xml:space="preserve">bony </w:t>
      </w:r>
      <w:r w:rsidRPr="000F439C">
        <w:t>response that improves mechanical properties.</w:t>
      </w:r>
      <w:r>
        <w:t xml:space="preserve"> </w:t>
      </w:r>
    </w:p>
    <w:p w14:paraId="5DA38F46" w14:textId="77777777" w:rsidR="001E671B" w:rsidRDefault="001E671B" w:rsidP="001E671B">
      <w:pPr>
        <w:autoSpaceDE w:val="0"/>
        <w:autoSpaceDN w:val="0"/>
        <w:adjustRightInd w:val="0"/>
        <w:spacing w:line="480" w:lineRule="auto"/>
        <w:ind w:firstLine="720"/>
      </w:pPr>
      <w:r w:rsidRPr="000F439C">
        <w:t xml:space="preserve">Higher rates of </w:t>
      </w:r>
      <w:r>
        <w:t xml:space="preserve">osteonal </w:t>
      </w:r>
      <w:r w:rsidRPr="000F439C">
        <w:t xml:space="preserve">remodeling occur in </w:t>
      </w:r>
      <w:r>
        <w:t xml:space="preserve">conditions of increased loading and in </w:t>
      </w:r>
      <w:r w:rsidRPr="000F439C">
        <w:t xml:space="preserve">skeletal elements and bone regions under higher mechanical strains (Bouvier and Hylander, 1981; </w:t>
      </w:r>
      <w:r>
        <w:t xml:space="preserve">Rubin and Lanyon, 1984, 1985; </w:t>
      </w:r>
      <w:r w:rsidRPr="00EE4276">
        <w:rPr>
          <w:rFonts w:eastAsia="NewCenturySchlbk-Roman"/>
          <w:color w:val="231F20"/>
        </w:rPr>
        <w:t>Schaff</w:t>
      </w:r>
      <w:r>
        <w:rPr>
          <w:rFonts w:eastAsia="NewCenturySchlbk-Roman"/>
          <w:color w:val="231F20"/>
        </w:rPr>
        <w:t xml:space="preserve">ler and Burr, 1988; Burr et al., </w:t>
      </w:r>
      <w:r w:rsidRPr="00EE4276">
        <w:rPr>
          <w:rFonts w:eastAsia="NewCenturySchlbk-Roman"/>
          <w:color w:val="231F20"/>
        </w:rPr>
        <w:t>1985; Mori and Burr,</w:t>
      </w:r>
      <w:r>
        <w:rPr>
          <w:rFonts w:eastAsia="NewCenturySchlbk-Roman"/>
          <w:color w:val="231F20"/>
        </w:rPr>
        <w:t xml:space="preserve"> 1993; Goodship and Cunningham, </w:t>
      </w:r>
      <w:r w:rsidRPr="00EE4276">
        <w:rPr>
          <w:rFonts w:eastAsia="NewCenturySchlbk-Roman"/>
          <w:color w:val="231F20"/>
        </w:rPr>
        <w:t>2</w:t>
      </w:r>
      <w:r>
        <w:rPr>
          <w:rFonts w:eastAsia="NewCenturySchlbk-Roman"/>
          <w:color w:val="231F20"/>
        </w:rPr>
        <w:t xml:space="preserve">001; Lieberman and Pearson, 2001; </w:t>
      </w:r>
      <w:r w:rsidRPr="00EE4276">
        <w:rPr>
          <w:rFonts w:eastAsia="NewCenturySchlbk-Roman"/>
          <w:color w:val="231F20"/>
        </w:rPr>
        <w:t>Lieberman et al., 2003</w:t>
      </w:r>
      <w:r w:rsidRPr="00EE4276">
        <w:t>)</w:t>
      </w:r>
      <w:r>
        <w:t xml:space="preserve">. In an </w:t>
      </w:r>
      <w:r>
        <w:rPr>
          <w:i/>
        </w:rPr>
        <w:t>in vivo</w:t>
      </w:r>
      <w:r>
        <w:t xml:space="preserve"> avian model, Rubin and Lanyon (1984, 1985) found that cessation of loading resulted in substantial bone loss through increased resorption both endosteally and intracortically; however only minor exposure to strain stimulus above the “lazy zone” was required to cause increased remodeling and restore bone balance. Lieberman and Crompton (1998) proposed that remodeling responses to strain would optimize strength over mass; </w:t>
      </w:r>
      <w:r>
        <w:lastRenderedPageBreak/>
        <w:t xml:space="preserve">specifically, intracortical remodeling would increase along the proximo-distal limb axis in cursorial mammals (i.e., sheep). Distal limb elements are more energetically costly to move and therefore more slender than proximal segments; the distal elements demonstrate higher strain levels due to this slenderness and consequently increased remodeling. These results further support the optimization model for bone at both the macroscopic and microscopic levels; however, humans are non-cursorial animals, and so may not demonstrate this same pattern in the lower limb. The human tibia does not appear to have reduced bending and torsional strength or higher rates of osteonal remodeling relative to the femur (Drapeau and Streeter, 2006). </w:t>
      </w:r>
    </w:p>
    <w:p w14:paraId="66BC4DB7" w14:textId="77777777" w:rsidR="001E671B" w:rsidRDefault="001E671B" w:rsidP="001E671B">
      <w:pPr>
        <w:autoSpaceDE w:val="0"/>
        <w:autoSpaceDN w:val="0"/>
        <w:adjustRightInd w:val="0"/>
        <w:spacing w:line="480" w:lineRule="auto"/>
        <w:ind w:firstLine="720"/>
        <w:rPr>
          <w:rFonts w:eastAsia="NewCenturySchlbk-Roman"/>
          <w:color w:val="231F20"/>
        </w:rPr>
      </w:pPr>
      <w:r>
        <w:t xml:space="preserve">Nevertheless, experimental studies indicate that </w:t>
      </w:r>
      <w:r>
        <w:rPr>
          <w:rFonts w:eastAsia="NewCenturySchlbk-Roman"/>
          <w:color w:val="231F20"/>
        </w:rPr>
        <w:t>remodeling occurs preferentially along axes under the greatest loads to bolster these areas from potential microdamage and mechanical failure.</w:t>
      </w:r>
      <w:r>
        <w:t xml:space="preserve"> Lanyon et al. (1979) compared </w:t>
      </w:r>
      <w:r w:rsidRPr="009E6C05">
        <w:rPr>
          <w:i/>
        </w:rPr>
        <w:t>in vivo</w:t>
      </w:r>
      <w:r>
        <w:t xml:space="preserve"> strain gauge data with mechanical testing of immature and mature sheep radii and recorded higher rates of osteonal remodeling in the more highly strained and compressed caudal cortex of the midshaft diaphysis relative to the cranial cortex</w:t>
      </w:r>
      <w:r>
        <w:rPr>
          <w:rFonts w:eastAsia="NewCenturySchlbk-Roman"/>
          <w:color w:val="231F20"/>
        </w:rPr>
        <w:t xml:space="preserve">. Skedros et al. (2001) has also reported variation in both geometric and material properties within diaphyseal cross-sections of immature mule deer calcanei (a compression-tension bone) that supports expectations according to the mechanostat model. Relative to the compression cortex (i.e., cranial), the tension cortex (i.e., caudal) contained evidence of increased remodeling: high porosity, greater percentages of osteonal bone per area, larger numbers of incompletely formed osteons, and larger osteons, all of which would be expected given that bone is weaker in tension than compression. Higher rates of remodeling in this cortex suggest mechanical adaptation to higher strains. Additionally, compared with the medial and lateral cortices (closer to the neutral axis—where strains are lowest circumferentially), the compression and tension </w:t>
      </w:r>
      <w:r>
        <w:rPr>
          <w:rFonts w:eastAsia="NewCenturySchlbk-Roman"/>
          <w:color w:val="231F20"/>
        </w:rPr>
        <w:lastRenderedPageBreak/>
        <w:t xml:space="preserve">cortices exhibited greater numbers of osteons and newly formed osteons, increased percentage of osteonal bone per area, and increased porosity. </w:t>
      </w:r>
    </w:p>
    <w:p w14:paraId="60FE44CA" w14:textId="77777777" w:rsidR="001E671B" w:rsidRDefault="001E671B" w:rsidP="001E671B">
      <w:pPr>
        <w:autoSpaceDE w:val="0"/>
        <w:autoSpaceDN w:val="0"/>
        <w:adjustRightInd w:val="0"/>
        <w:spacing w:line="480" w:lineRule="auto"/>
        <w:ind w:firstLine="720"/>
      </w:pPr>
      <w:r>
        <w:rPr>
          <w:rFonts w:eastAsia="NewCenturySchlbk-Roman"/>
          <w:color w:val="231F20"/>
        </w:rPr>
        <w:t xml:space="preserve">Comparisons of microstructure within human long bone cortices have been limited to a few studies in adult femoral diaphyseal midshafts and have focused on porosity distributions due to their association with age-related osteoporosis; only a handful have compared porosity along axes of bending rigidity. However, these studies, along with that of Skedros et al. (2001), help inform hypotheses regarding the distribution of targeted remodeling versus stochastic remodeling within long bone cortices in relation to mechanical and metabolic demands. Multiple studies confirmed nonuniform porosity distributions with increased porosity present in the more highly strained periosteal region relative to the endosteal region (Jowsey, 1960; Martin et al., 1980; Martin and Burr, 1984; Bousson et al., 2001). In one of the only assessments of circumferential differences in porosity distribution within femoral cortices, </w:t>
      </w:r>
      <w:r>
        <w:t>Thomas et al. (</w:t>
      </w:r>
      <w:r w:rsidRPr="0020201C">
        <w:t>2005</w:t>
      </w:r>
      <w:r>
        <w:t xml:space="preserve">) documented the highest levels of porosity in the posterior cortical section followed by the anteriolateral section and the lowest levels of porosity in the medial and lateral portions. These results are similar to those of Skedros et al. (2001), except that the posterior cortex in humans is under mostly compression in bending, not tension. Differences between the sections became more pronounced with advancing age, as porosity levels increased, presumably due to unbalanced remodeling. However, increased porosity can result from increased balanced remodeling, disrupted osteon filling, and/or increased resorption spaces; therefore, the relationship between porosity and remodeling rates is tenuous. Individuals in the sample were not osteoporotic, and the question remains whether this same pattern would persist under conditions of metabolic disturbance and potential microscopic bone loss (see </w:t>
      </w:r>
      <w:r w:rsidRPr="0082789B">
        <w:t>Chapter 3</w:t>
      </w:r>
      <w:r>
        <w:t xml:space="preserve">). </w:t>
      </w:r>
    </w:p>
    <w:p w14:paraId="15A1D506" w14:textId="77777777" w:rsidR="001E671B" w:rsidRDefault="001E671B" w:rsidP="001E671B">
      <w:pPr>
        <w:autoSpaceDE w:val="0"/>
        <w:autoSpaceDN w:val="0"/>
        <w:adjustRightInd w:val="0"/>
        <w:spacing w:line="480" w:lineRule="auto"/>
        <w:ind w:firstLine="720"/>
      </w:pPr>
      <w:r>
        <w:lastRenderedPageBreak/>
        <w:t xml:space="preserve">There is some evidence of regional variation </w:t>
      </w:r>
      <w:r w:rsidRPr="0020201C">
        <w:t xml:space="preserve">in </w:t>
      </w:r>
      <w:r>
        <w:t>osteonal remodeling</w:t>
      </w:r>
      <w:r w:rsidRPr="0020201C">
        <w:t xml:space="preserve"> </w:t>
      </w:r>
      <w:r>
        <w:t xml:space="preserve">in the human femoral diaphysis; however no work has evaluated these variables thoroughly in relation to mechanical axes. In a study on the effects of sampling location within the femoral cortex on histological age estimates, regions of interest within the anterior cortex tended to possess the lowest rates of percent osteonal bone and were the most variable in amounts of osteonal bone compared to other subsections (Pfeiffer et al., 1995). In general, anatomical axes (e.g., anterior, posterior, medial, and lateral) possessed more variability in percent osteonal bone than mechanical axes (Imax and Imin), but the authors did not assess differences between Imax and Imin. When all eight regions of interest from each cortex section are considered together rather than separately, percentages of remodeled bone mimic the results of Thomas et al. (2005) and suggest higher rates of remodeling in highly strained portions (see Table 1 in Pfeiffer et al., 1995). Additionally, unlike evidence for porosity distribution, more osteonal bone was present in endosteal sections compared to periosteal sections (Pfeiffer et al., 1995). </w:t>
      </w:r>
    </w:p>
    <w:p w14:paraId="7C760046" w14:textId="77777777" w:rsidR="001E671B" w:rsidRPr="000F439C" w:rsidRDefault="001E671B" w:rsidP="001E671B">
      <w:pPr>
        <w:autoSpaceDE w:val="0"/>
        <w:autoSpaceDN w:val="0"/>
        <w:adjustRightInd w:val="0"/>
        <w:spacing w:line="480" w:lineRule="auto"/>
        <w:ind w:firstLine="720"/>
        <w:rPr>
          <w:rFonts w:eastAsia="NewCenturySchlbk-Roman"/>
          <w:color w:val="231F20"/>
        </w:rPr>
      </w:pPr>
      <w:r>
        <w:t xml:space="preserve">Previous research on microstructural variation within the human femur provides a basis from which to test hypotheses concerning the distribution of targeted remodeling within immature long bone diaphyses. In this study, this distribution will be contrasted with that expected for metabolic bone loss in relation to mechanical axes (Hypothesis 2c in </w:t>
      </w:r>
      <w:r w:rsidRPr="0082789B">
        <w:t>Chapter 1</w:t>
      </w:r>
      <w:r>
        <w:t xml:space="preserve">). “Stochastic” osteonal remodeling also occurs to maintain mineral homeostasis, and the structural results of this process take place simultaneously with targeted remodeling (see </w:t>
      </w:r>
      <w:r w:rsidRPr="0082789B">
        <w:t>Chapter 3</w:t>
      </w:r>
      <w:r>
        <w:t xml:space="preserve"> for a full discussion).</w:t>
      </w:r>
    </w:p>
    <w:p w14:paraId="55F56701" w14:textId="77777777" w:rsidR="001E671B" w:rsidRPr="0020201C" w:rsidRDefault="001E671B" w:rsidP="001E671B">
      <w:pPr>
        <w:spacing w:line="480" w:lineRule="auto"/>
      </w:pPr>
    </w:p>
    <w:p w14:paraId="427D68A8" w14:textId="77777777" w:rsidR="001E671B" w:rsidRPr="0052393E" w:rsidRDefault="001E671B" w:rsidP="0052393E">
      <w:pPr>
        <w:pStyle w:val="Style1"/>
      </w:pPr>
      <w:bookmarkStart w:id="24" w:name="_Toc233171637"/>
      <w:r w:rsidRPr="0052393E">
        <w:lastRenderedPageBreak/>
        <w:t>Remodeling Rates and Age</w:t>
      </w:r>
      <w:bookmarkEnd w:id="24"/>
    </w:p>
    <w:p w14:paraId="6024BFF5" w14:textId="77777777" w:rsidR="001E671B" w:rsidRDefault="001E671B" w:rsidP="001E671B">
      <w:pPr>
        <w:spacing w:line="480" w:lineRule="auto"/>
        <w:ind w:firstLine="720"/>
      </w:pPr>
      <w:r>
        <w:t xml:space="preserve">Intracortical remodeling is a predictable biological process subject to quantitative analysis, chiefly because it involves coordinated removal and replacement of units of bone tissue. Rates of remodeling can be modeled mathematically and hypotheses tested based on expectations, providing a means of identifying inaccuracies in our assumptions and assist with improving future research (Frost, 1964, 1969). This procedure forms the basis for estimating age-at-death in skeletal remains through calculation of osteon population density or percentage of the cortical bone containing secondary osteons (Kerley, 1965; Ahlqvist and Damsten, 1969; Thompson, 1979; Stout and Paine, 1992). Because structural modifications to adult cortical bone occur mainly through remodeling rather than modeling, as an individual ages the number of osteons and percentage of remodeled bone (e.g., percent osteonal bone, osteon population density) increases. </w:t>
      </w:r>
      <w:r w:rsidR="008114F5">
        <w:t xml:space="preserve">Eventually, as bone tissue age rises and remodeling continues osteons may begin to overlap one another and partially or entirely obliterate older osteons. </w:t>
      </w:r>
      <w:r>
        <w:t xml:space="preserve">This process creates fragmented osteons, which have been shown to positively correlate with age in adults (Stout and Paine, 1992; Chan et al., 2007). Though osteonal overlap may erase evidence of previous remodeling events, correction factors can be applied to assist with age estimations in skeletal remains and to improve estimates of bone turnover rates (Frost, 1987). </w:t>
      </w:r>
    </w:p>
    <w:p w14:paraId="7CE50C6A" w14:textId="6AD7A73A" w:rsidR="001E671B" w:rsidRDefault="001E671B" w:rsidP="001E671B">
      <w:pPr>
        <w:spacing w:line="480" w:lineRule="auto"/>
        <w:ind w:firstLine="720"/>
        <w:rPr>
          <w:i/>
          <w:highlight w:val="yellow"/>
        </w:rPr>
      </w:pPr>
      <w:r>
        <w:t xml:space="preserve">Very little is known about osteonal remodeling rates during growth in relation to adults other than they are higher (Jowsey, 1968; Currey, 1984). One confounding factor in comparing remodeling rates in </w:t>
      </w:r>
      <w:r w:rsidR="00A752A1">
        <w:t>subadults</w:t>
      </w:r>
      <w:r>
        <w:t xml:space="preserve"> is that, due to rapid modeling and cortical drift, at any given point during ontogeny cortical bone is comprised of multiple bone layers of varying tissue age. The average tissue age of a bone can be considerably younger than the individual’s age-at-death, depending on rates of modeling and macroscopic remodeling. Although young adults retain </w:t>
      </w:r>
      <w:r>
        <w:lastRenderedPageBreak/>
        <w:t xml:space="preserve">some cortical tissue that was deposited during development, adult variation in mean tissue age is lower due to diminished modeling rates (Goldman et al., 2009; Maggiano, 2012). During growth, modeling causes bone shape to “drift” in the direction dictated by the mechanical environment, directing the distribution of tissue layers within the cortex (Enlow, 1963; Wu et al., 1970; Maggiano, 2012). Further complicating matters, modeling processes in </w:t>
      </w:r>
      <w:r w:rsidR="00F02A94">
        <w:t>subadult</w:t>
      </w:r>
      <w:r>
        <w:t xml:space="preserve">s preferentially remove the oldest bone tissue that is most likely to contain osteons. During expansion of periosteal and endosteal borders, the oldest bone is removed endosteally; therefore, modeling will result in the removal of the most highly remodeled portion of the cortex and the addition of primary bone (i.e., circumferential lamellae) periosteally. This primary bone will subsequently become remodeled as it becomes incorporated into the midcortical region and then, in turn, the endosteal region where </w:t>
      </w:r>
      <w:r w:rsidR="00C05913">
        <w:t>it is eventually subject to res</w:t>
      </w:r>
      <w:r>
        <w:t xml:space="preserve">orption. In human </w:t>
      </w:r>
      <w:r w:rsidR="00F02A94">
        <w:t>subadult</w:t>
      </w:r>
      <w:r>
        <w:t>s, the relationship between cortical modeling and remodeling has not been thoroughly explored, and any effect that cross-sectional shape changes across ontogeny would have on remodeling rates is unknown. Nevertheless, taking this potential variation into account, one can ask how such circumstances could enhance or mitigate the ability of bone to structurally adapt to mechanical and metabolic demands.</w:t>
      </w:r>
      <w:r w:rsidRPr="0020201C">
        <w:br/>
      </w:r>
    </w:p>
    <w:p w14:paraId="7A1A4CB8" w14:textId="77777777" w:rsidR="001E671B" w:rsidRPr="0052393E" w:rsidRDefault="001E671B" w:rsidP="0052393E">
      <w:pPr>
        <w:pStyle w:val="Style1"/>
      </w:pPr>
      <w:bookmarkStart w:id="25" w:name="_Toc233171638"/>
      <w:r w:rsidRPr="0052393E">
        <w:t>Application to Anthropology</w:t>
      </w:r>
      <w:bookmarkEnd w:id="25"/>
    </w:p>
    <w:p w14:paraId="5DFE25C1" w14:textId="77777777" w:rsidR="001E671B" w:rsidRDefault="001E671B" w:rsidP="001E671B">
      <w:pPr>
        <w:autoSpaceDE w:val="0"/>
        <w:autoSpaceDN w:val="0"/>
        <w:adjustRightInd w:val="0"/>
        <w:spacing w:line="480" w:lineRule="auto"/>
        <w:ind w:firstLine="720"/>
      </w:pPr>
      <w:r>
        <w:rPr>
          <w:b/>
        </w:rPr>
        <w:t xml:space="preserve">Adult Research. </w:t>
      </w:r>
      <w:r>
        <w:t xml:space="preserve">Examination of cortical bone microstructure in anthropological contexts primarily involves documenting metabolic disturbances (see </w:t>
      </w:r>
      <w:r w:rsidRPr="0082789B">
        <w:t>Chapter 3</w:t>
      </w:r>
      <w:r>
        <w:t xml:space="preserve">) and estimating age-at-death, though the distribution and size of osteons have previously been used to infer behavioral factors from human skeletal samples. Abbott et al. (1996) proposed that high macroscopic </w:t>
      </w:r>
      <w:r>
        <w:lastRenderedPageBreak/>
        <w:t>skeletal robusticity in the lower limb of Pleistocene populations relative to late Holocene populations could be explained by their lower osteonal turnover, which would increase strains and thus induce periosteal apposition; however, recalculation of the data has shown that Pleistocene and Holocene groups have very similar remodeling rates in the lower limb (Streeter et al., 2010). Comparing Pecos Pueblo Native Americans to 20</w:t>
      </w:r>
      <w:r w:rsidRPr="00253981">
        <w:rPr>
          <w:vertAlign w:val="superscript"/>
        </w:rPr>
        <w:t>th</w:t>
      </w:r>
      <w:r>
        <w:t>-century Europeans and Americans, Burr et al. (1990) found smaller Haversian canals in Pecos females and higher osteon population densities in Pecos males than modern populations. The authors interpreted these results as evidence that higher activity in Native American groups led to greater bone mass maintenance, supporting similar results on geometric properties of the femur in the Pecos group (Ruff, 1991; Ruff and Hayes 1983a, 1983b). Using samples of Late Stone Age foragers from South Africa and historic 18</w:t>
      </w:r>
      <w:r w:rsidRPr="002C667A">
        <w:rPr>
          <w:vertAlign w:val="superscript"/>
        </w:rPr>
        <w:t>th</w:t>
      </w:r>
      <w:r>
        <w:t xml:space="preserve"> and 19</w:t>
      </w:r>
      <w:r w:rsidRPr="002C667A">
        <w:rPr>
          <w:vertAlign w:val="superscript"/>
        </w:rPr>
        <w:t>th</w:t>
      </w:r>
      <w:r>
        <w:t xml:space="preserve"> century Europeans and British Canadians, Pfeiffer et al. (2006) expected to find greater variation in femoral osteon size relative to ribs (due to its more variable loading regime) and more variable Haversian canal areas in ribs (argued to be higher in remodeling activity due to greater turnover). However, rib osteon size was smaller than femoral osteon size, and variation in osteon size was similar in the two skeletal elements within samples. These results lead Pfeiffer and colleagues (2006) to conclude that osteon size was a poor indicator of behavioral activity in past human populations, though they did call for more focused experimental and theoretical approaches to understanding variation in cortical remodeling and the factors that control its variability. Since this publication, few investigations of remodeling have been conducted to infer behavior from anthropological skeletal samples.</w:t>
      </w:r>
    </w:p>
    <w:p w14:paraId="79FB4124" w14:textId="77777777" w:rsidR="001E671B" w:rsidRDefault="001E671B" w:rsidP="001E671B">
      <w:pPr>
        <w:autoSpaceDE w:val="0"/>
        <w:autoSpaceDN w:val="0"/>
        <w:adjustRightInd w:val="0"/>
        <w:spacing w:line="480" w:lineRule="auto"/>
        <w:ind w:firstLine="720"/>
      </w:pPr>
      <w:r>
        <w:t xml:space="preserve">What these research studies did not take into account was the potential variation in microstructure caused by differences in metabolic status and nutrition. It is possible that some mechanical comparisons could be confounded by variation in metabolic activity among or within </w:t>
      </w:r>
      <w:r>
        <w:lastRenderedPageBreak/>
        <w:t>groups, as well as different age distributions among samples. A more complete understanding of what effect inferior metabolic status has on osteonal remodeling is needed to validate the utility of histological analyses on archaeological bone.</w:t>
      </w:r>
    </w:p>
    <w:p w14:paraId="36FEEEBA" w14:textId="77777777" w:rsidR="001E671B" w:rsidRDefault="001E671B" w:rsidP="001E671B">
      <w:pPr>
        <w:autoSpaceDE w:val="0"/>
        <w:autoSpaceDN w:val="0"/>
        <w:adjustRightInd w:val="0"/>
        <w:spacing w:line="480" w:lineRule="auto"/>
        <w:ind w:firstLine="720"/>
      </w:pPr>
    </w:p>
    <w:p w14:paraId="6D1917BB" w14:textId="77777777" w:rsidR="001E671B" w:rsidRDefault="001E671B" w:rsidP="001E671B">
      <w:pPr>
        <w:autoSpaceDE w:val="0"/>
        <w:autoSpaceDN w:val="0"/>
        <w:adjustRightInd w:val="0"/>
        <w:spacing w:line="480" w:lineRule="auto"/>
      </w:pPr>
      <w:r>
        <w:tab/>
      </w:r>
      <w:r>
        <w:rPr>
          <w:b/>
        </w:rPr>
        <w:t>Ontogenetic Research.</w:t>
      </w:r>
      <w:r>
        <w:t xml:space="preserve"> Histomorphometric analyses of immature human remains are extremely rare, especially in anthropological disciplines. The vast majority of these anthropological studies have explored subadult rib histological features to describe the normal growth processes that determine adult rib morphology. This dissertation represents the first anthropological examination of immature human bone histology to include a biomechanical component.</w:t>
      </w:r>
    </w:p>
    <w:p w14:paraId="76B049AE" w14:textId="77777777" w:rsidR="001E671B" w:rsidRPr="006808CE" w:rsidRDefault="001E671B" w:rsidP="001E671B">
      <w:pPr>
        <w:autoSpaceDE w:val="0"/>
        <w:autoSpaceDN w:val="0"/>
        <w:adjustRightInd w:val="0"/>
        <w:spacing w:line="480" w:lineRule="auto"/>
        <w:ind w:firstLine="720"/>
      </w:pPr>
      <w:r>
        <w:t xml:space="preserve">Pfeiffer (2006) examined rib sections from Spitafields subadult remains of known age and sex, noting the shift in bone types (e.g., woven, primary, secondary) with age as well as measuring Haversian canal and osteon areas. She found that the number of secondary osteons relative to cortical area increased with age, and secondary osteons in the ribs appeared around the same age (as early as 1 year) as in the femur. In addition, subadult osteon dimensions were indistinguishable from their adult Spitafields counterparts. These findings were important for future studies, especially because they overturned ideas previously thought by researchers, namely that </w:t>
      </w:r>
      <w:r w:rsidR="00F02A94">
        <w:t>subadult</w:t>
      </w:r>
      <w:r>
        <w:t xml:space="preserve"> bone did not remodel frequently enough, or similarly to adults, to warrant histological examination (Martin, 1983). Furthermore, from Pfeiffer’s study it is clear that rapid modeling in subadult rib elements does not lead to a loss of evidence of intracortical remodeling that precludes quantitative assessment, opening up new potential avenues of inquiry into osteonal remodeling during growth.</w:t>
      </w:r>
    </w:p>
    <w:p w14:paraId="64079603" w14:textId="77777777" w:rsidR="001E671B" w:rsidRDefault="001E671B" w:rsidP="001E671B">
      <w:pPr>
        <w:autoSpaceDE w:val="0"/>
        <w:autoSpaceDN w:val="0"/>
        <w:adjustRightInd w:val="0"/>
        <w:spacing w:line="480" w:lineRule="auto"/>
        <w:rPr>
          <w:rFonts w:eastAsia="Cambria"/>
        </w:rPr>
      </w:pPr>
      <w:r w:rsidRPr="001E671B">
        <w:rPr>
          <w:rFonts w:ascii="AdvP66FA" w:eastAsia="Cambria" w:hAnsi="AdvP66FA" w:cs="AdvP66FA"/>
          <w:sz w:val="18"/>
          <w:szCs w:val="18"/>
        </w:rPr>
        <w:lastRenderedPageBreak/>
        <w:tab/>
      </w:r>
      <w:r w:rsidRPr="001E671B">
        <w:rPr>
          <w:rFonts w:eastAsia="Cambria"/>
        </w:rPr>
        <w:t>Streeter (2005) supplied the first systematic evaluation of developing rib cortical bone. She assessed autopsied rib sections from metabolically normal subadults and found significant relationships between macroscopic and microscopic measures and age. Total area, medullary area, cortical area, and osteon population density were each highly positively correlated with age, while percent cortical area was negatively correlated with age. She also found that the percentage of drifting osteons decreased with age, while the average size of secondary osteons did not change during ontogeny. These results demonstrate that rib modeling and remodeling during development is similar to that of long bones. Additionally, the high percentage of drifting osteons in subadult ribs supports the hypothesis that resorption of larger bone packets by BMUs is associated with higher metabolic requirements of young individuals. The implications of these findings are considered further in the next chapter.</w:t>
      </w:r>
    </w:p>
    <w:p w14:paraId="1212F065" w14:textId="77777777" w:rsidR="00355AF5" w:rsidRDefault="00355AF5" w:rsidP="001E671B">
      <w:pPr>
        <w:autoSpaceDE w:val="0"/>
        <w:autoSpaceDN w:val="0"/>
        <w:adjustRightInd w:val="0"/>
        <w:spacing w:line="480" w:lineRule="auto"/>
        <w:rPr>
          <w:rFonts w:eastAsia="Cambria"/>
        </w:rPr>
      </w:pPr>
    </w:p>
    <w:p w14:paraId="7B9D1D77" w14:textId="77777777" w:rsidR="00355AF5" w:rsidRDefault="00355AF5" w:rsidP="001E671B">
      <w:pPr>
        <w:autoSpaceDE w:val="0"/>
        <w:autoSpaceDN w:val="0"/>
        <w:adjustRightInd w:val="0"/>
        <w:spacing w:line="480" w:lineRule="auto"/>
        <w:rPr>
          <w:rFonts w:eastAsia="Cambria"/>
        </w:rPr>
      </w:pPr>
    </w:p>
    <w:p w14:paraId="55806912" w14:textId="77777777" w:rsidR="00241365" w:rsidRPr="001E671B" w:rsidRDefault="00241365" w:rsidP="001E671B">
      <w:pPr>
        <w:autoSpaceDE w:val="0"/>
        <w:autoSpaceDN w:val="0"/>
        <w:adjustRightInd w:val="0"/>
        <w:spacing w:line="480" w:lineRule="auto"/>
        <w:rPr>
          <w:rFonts w:eastAsia="Cambria"/>
        </w:rPr>
      </w:pPr>
    </w:p>
    <w:p w14:paraId="3A4BC7B5" w14:textId="77777777" w:rsidR="001E671B" w:rsidRPr="001E671B" w:rsidRDefault="001E671B" w:rsidP="0070252E">
      <w:pPr>
        <w:pStyle w:val="Heading1"/>
      </w:pPr>
      <w:r>
        <w:br w:type="page"/>
      </w:r>
      <w:bookmarkStart w:id="26" w:name="_Toc233171639"/>
      <w:r w:rsidRPr="001E671B">
        <w:lastRenderedPageBreak/>
        <w:t>CHAPTER 3: METABOLIC INFLUENCES ON BONE</w:t>
      </w:r>
      <w:bookmarkEnd w:id="26"/>
    </w:p>
    <w:p w14:paraId="08394160" w14:textId="77777777" w:rsidR="001E671B" w:rsidRPr="00694B60" w:rsidRDefault="001E671B" w:rsidP="001E671B">
      <w:pPr>
        <w:spacing w:line="480" w:lineRule="auto"/>
      </w:pPr>
    </w:p>
    <w:p w14:paraId="178DB274" w14:textId="77777777" w:rsidR="001E671B" w:rsidRPr="00694B60" w:rsidRDefault="001E671B" w:rsidP="001E671B">
      <w:pPr>
        <w:spacing w:line="480" w:lineRule="auto"/>
        <w:ind w:firstLine="720"/>
        <w:contextualSpacing/>
      </w:pPr>
      <w:r w:rsidRPr="00694B60">
        <w:t xml:space="preserve">The homeostasis of organismal metabolism is of central importance to maintaining good overall health. Perturbations </w:t>
      </w:r>
      <w:r>
        <w:t>in homeostatic maintenance</w:t>
      </w:r>
      <w:r w:rsidRPr="00694B60">
        <w:t xml:space="preserve"> are indicative of deviations in the mechanisms that regulate metabolism, whether they are caused by hormonal, enzymatic, dietary, or other causes. These shifts are a natural component in the reaction of an organism to both intrinsic and extrinsic demands, especially in relation to changing environments or abnormal physiology (i.e., disease processes) (Brand, 1997). It is when these deviations result in a steady state unfavorable to these demands, or when a steady regulatory state cannot be achieved, that conditions detrimental to the organism occur and result in pathological </w:t>
      </w:r>
      <w:r>
        <w:t>consequences</w:t>
      </w:r>
      <w:r w:rsidRPr="00694B60">
        <w:t xml:space="preserve">. Some of these may take the form </w:t>
      </w:r>
      <w:r>
        <w:t xml:space="preserve">of </w:t>
      </w:r>
      <w:r w:rsidRPr="00694B60">
        <w:t>changes in rates of growth, while others result in abnormal shifts in hormonal or other chemical levels, which, in turn, may have long-term consequences on health and longevity (</w:t>
      </w:r>
      <w:r>
        <w:t>Brand, 1997</w:t>
      </w:r>
      <w:r w:rsidRPr="00694B60">
        <w:t xml:space="preserve">). As bone serves a dual function—resistance to and </w:t>
      </w:r>
      <w:r>
        <w:t xml:space="preserve">conduction of mechanical loads </w:t>
      </w:r>
      <w:r w:rsidRPr="00694B60">
        <w:t xml:space="preserve">and a reservoir for both minerals and some cell types—it is a </w:t>
      </w:r>
      <w:r>
        <w:t>fundamental</w:t>
      </w:r>
      <w:r w:rsidRPr="00694B60">
        <w:t xml:space="preserve"> part of an organism’s metabolism and metabolic regulation.</w:t>
      </w:r>
    </w:p>
    <w:p w14:paraId="3203D6EC" w14:textId="77777777" w:rsidR="001E671B" w:rsidRPr="00694B60" w:rsidRDefault="001E671B" w:rsidP="001E671B">
      <w:pPr>
        <w:spacing w:line="480" w:lineRule="auto"/>
        <w:ind w:firstLine="720"/>
        <w:contextualSpacing/>
      </w:pPr>
      <w:r w:rsidRPr="00694B60">
        <w:t>Biological anthropologists utilize skeletal evidence of metabolic disturbance to provide vital insight into dietary practices and health status among past human populations. These analyses have traditionally relied on the assessment of skeletal stress lesions to make inferences about the prevalence of particular diseases in skeletal samples, yet quantification of bone mass is also used as a general indicator of metabolic status in individuals. This chapter reviews the literature on health interpretation from bone pathology in the skeletons of past peoples and living humans with specific emphasis placed on metabolic disorders and their influence on cortical bone mass and structure. Results of previous research are considered separately by scale—</w:t>
      </w:r>
      <w:r w:rsidRPr="00694B60">
        <w:lastRenderedPageBreak/>
        <w:t xml:space="preserve">macroscopic and microscopic analyses. The chapter also focuses on metabolic effects among immature populations, </w:t>
      </w:r>
      <w:r>
        <w:t xml:space="preserve">with emphasis on </w:t>
      </w:r>
      <w:r w:rsidRPr="00694B60">
        <w:t xml:space="preserve">how responses to metabolic disturbances are more pronounced in subadults than in adults. The contents build upon basic concepts outlined previously in </w:t>
      </w:r>
      <w:r w:rsidRPr="00226B37">
        <w:t>Chapter 2</w:t>
      </w:r>
      <w:r w:rsidRPr="00694B60">
        <w:t xml:space="preserve"> concerning the relationships among bone mass, structure, and strength under non-pathological conditions, calling attention to the mechanisms by which metabolic disorders modify these relationships. </w:t>
      </w:r>
    </w:p>
    <w:p w14:paraId="5858D9D9" w14:textId="77777777" w:rsidR="001E671B" w:rsidRPr="00694B60" w:rsidRDefault="001E671B" w:rsidP="001E671B">
      <w:pPr>
        <w:spacing w:line="480" w:lineRule="auto"/>
        <w:ind w:firstLine="720"/>
      </w:pPr>
    </w:p>
    <w:p w14:paraId="63AA49EC" w14:textId="77777777" w:rsidR="001E671B" w:rsidRPr="0052393E" w:rsidRDefault="001E671B" w:rsidP="0052393E">
      <w:pPr>
        <w:pStyle w:val="Heading3"/>
        <w:spacing w:line="480" w:lineRule="auto"/>
      </w:pPr>
      <w:bookmarkStart w:id="27" w:name="_Toc233171640"/>
      <w:r w:rsidRPr="0052393E">
        <w:t>Metabolic Stress</w:t>
      </w:r>
      <w:bookmarkEnd w:id="27"/>
    </w:p>
    <w:p w14:paraId="16E2D8C0" w14:textId="77777777" w:rsidR="001E671B" w:rsidRDefault="001E671B" w:rsidP="0052393E">
      <w:pPr>
        <w:spacing w:line="480" w:lineRule="auto"/>
        <w:ind w:firstLine="720"/>
      </w:pPr>
      <w:r w:rsidRPr="00694B60">
        <w:t>Metabolic stress involves a complex array of physiological responses to biological, cultural, and environmental factors that govern the processes underlying metabolic regulation. Biological factors, such as disease and nutritional deprivation (whether due to deficient diet or malabsorption of nutrients), are mediated by cultural factors (e.g., subsistence strategy, socioeconomic status, access to resources, cultural norms on health care, population size</w:t>
      </w:r>
      <w:r>
        <w:t xml:space="preserve">, </w:t>
      </w:r>
      <w:r w:rsidRPr="00694B60">
        <w:t xml:space="preserve">sanitation) and environmental factors (e.g., climate, exposure to pathogens and infectious disease) in a complex web of interactions that impact on the overall health status of a community (Figure </w:t>
      </w:r>
      <w:r w:rsidR="001442BB">
        <w:t>4</w:t>
      </w:r>
      <w:r w:rsidRPr="00694B60">
        <w:t xml:space="preserve">; Goodman et al., 1984, 1988; Goodman and Armelagos, 1989; Goodman, 1991). Models of health stress are improved by the acknowledgement of these interactions between cultural and biological stressors. According to the biocultural perspective of Goodman et al. (1984, 1988), environmental stressors and cultural stressors are filtered through a cultural buffering system that may or may not buffer an individual from stress. If the cultural buffering system is unable to buffer against the stress, the stressor will then be filtered through the physiological status of the individual. Depending on the severity of the stress, an otherwise </w:t>
      </w:r>
      <w:r w:rsidRPr="00694B60">
        <w:lastRenderedPageBreak/>
        <w:t xml:space="preserve">healthy person may be able to fight off the affliction without any physiological distress (i.e., the stressor does not shift an individual outside a metabolic steady state). However, if the individual is already immune-compromised, for example, or the stress is </w:t>
      </w:r>
      <w:r>
        <w:t>too intense</w:t>
      </w:r>
      <w:r w:rsidRPr="00694B60">
        <w:t xml:space="preserve"> (or perhaps even of a long duration that exceeds a particular threshold), the homeostatic steady state </w:t>
      </w:r>
      <w:r>
        <w:t xml:space="preserve">will be compromised and </w:t>
      </w:r>
      <w:r w:rsidRPr="00694B60">
        <w:t>an osteological response may occur</w:t>
      </w:r>
      <w:r>
        <w:t>.</w:t>
      </w:r>
    </w:p>
    <w:p w14:paraId="17A1F473" w14:textId="77777777" w:rsidR="00AF5A4A" w:rsidRDefault="00AF5A4A" w:rsidP="0052393E">
      <w:pPr>
        <w:spacing w:line="480" w:lineRule="auto"/>
        <w:ind w:firstLine="720"/>
      </w:pPr>
    </w:p>
    <w:p w14:paraId="3B2BAA2F" w14:textId="77777777" w:rsidR="00AF5A4A" w:rsidRDefault="00AF5A4A" w:rsidP="00AF5A4A">
      <w:pPr>
        <w:keepNext/>
        <w:autoSpaceDE w:val="0"/>
        <w:autoSpaceDN w:val="0"/>
        <w:adjustRightInd w:val="0"/>
        <w:spacing w:line="480" w:lineRule="auto"/>
      </w:pPr>
      <w:r w:rsidRPr="00241365">
        <w:rPr>
          <w:rFonts w:eastAsia="Cambria"/>
          <w:noProof/>
        </w:rPr>
        <w:drawing>
          <wp:inline distT="0" distB="0" distL="0" distR="0" wp14:anchorId="01EE3964" wp14:editId="2B1C5765">
            <wp:extent cx="5572230" cy="2733675"/>
            <wp:effectExtent l="19050" t="0" r="942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4553" cy="2734815"/>
                    </a:xfrm>
                    <a:prstGeom prst="rect">
                      <a:avLst/>
                    </a:prstGeom>
                    <a:noFill/>
                    <a:ln>
                      <a:noFill/>
                    </a:ln>
                  </pic:spPr>
                </pic:pic>
              </a:graphicData>
            </a:graphic>
          </wp:inline>
        </w:drawing>
      </w:r>
    </w:p>
    <w:p w14:paraId="152C8EB7" w14:textId="77777777" w:rsidR="00AF5A4A" w:rsidRDefault="00AF5A4A" w:rsidP="00AF5A4A">
      <w:pPr>
        <w:pStyle w:val="Caption"/>
        <w:rPr>
          <w:rFonts w:eastAsia="Cambria"/>
        </w:rPr>
      </w:pPr>
      <w:bookmarkStart w:id="28" w:name="_Toc233257065"/>
      <w:r>
        <w:t xml:space="preserve">Figure </w:t>
      </w:r>
      <w:fldSimple w:instr=" SEQ Figure \* ARABIC ">
        <w:r>
          <w:rPr>
            <w:noProof/>
          </w:rPr>
          <w:t>4</w:t>
        </w:r>
      </w:fldSimple>
      <w:r>
        <w:t xml:space="preserve">. </w:t>
      </w:r>
      <w:r w:rsidRPr="001917B1">
        <w:t>Diagram of the complex relationships among factors influencing metabolic status.</w:t>
      </w:r>
      <w:bookmarkEnd w:id="28"/>
    </w:p>
    <w:p w14:paraId="696BBA73" w14:textId="77777777" w:rsidR="00AF5A4A" w:rsidRPr="00694B60" w:rsidRDefault="00AF5A4A" w:rsidP="0052393E">
      <w:pPr>
        <w:spacing w:line="480" w:lineRule="auto"/>
        <w:ind w:firstLine="720"/>
      </w:pPr>
    </w:p>
    <w:p w14:paraId="64DCC1EA" w14:textId="77777777" w:rsidR="001E671B" w:rsidRPr="001E671B" w:rsidRDefault="001E671B" w:rsidP="001E671B">
      <w:pPr>
        <w:spacing w:line="480" w:lineRule="auto"/>
        <w:ind w:firstLine="720"/>
        <w:rPr>
          <w:rFonts w:eastAsia="Cambria"/>
        </w:rPr>
      </w:pPr>
      <w:r w:rsidRPr="001E671B">
        <w:rPr>
          <w:rFonts w:eastAsia="Cambria"/>
        </w:rPr>
        <w:t xml:space="preserve">Models like those developed by Goodman and colleagues have highlighted intricate relationships among stressors, such as the synergistic effect between nutrition and infectious disease. Inadequate nutrition inhibits the ability to fight off infections and, conversely, infections may reduce the ability of the digestive system to absorb nutrients (Huss-Ashmore et al., 1982; Bennike et al., 2005). Therefore, nutritional insufficiency would be due to either poor dietary intake or an inability to properly absorb dietary nutrients due to pathogenic infection, two </w:t>
      </w:r>
      <w:r w:rsidRPr="001E671B">
        <w:rPr>
          <w:rFonts w:eastAsia="Cambria"/>
        </w:rPr>
        <w:lastRenderedPageBreak/>
        <w:t>circumstances that are governed by cultural factors (</w:t>
      </w:r>
      <w:r w:rsidRPr="00694B60">
        <w:t xml:space="preserve">Holland and O'Brien, 1997; </w:t>
      </w:r>
      <w:r w:rsidRPr="001E671B">
        <w:rPr>
          <w:rFonts w:eastAsia="Cambria"/>
        </w:rPr>
        <w:t xml:space="preserve">Blom et al., 2005; Walker et al., 2009). This synergistic effect is discussed further with respect to immature individuals below. </w:t>
      </w:r>
    </w:p>
    <w:p w14:paraId="04081CAE" w14:textId="77777777" w:rsidR="001E671B" w:rsidRPr="00694B60" w:rsidRDefault="001E671B" w:rsidP="001E671B">
      <w:pPr>
        <w:spacing w:line="480" w:lineRule="auto"/>
        <w:ind w:firstLine="720"/>
      </w:pPr>
    </w:p>
    <w:p w14:paraId="4640FD8D" w14:textId="77777777" w:rsidR="001E671B" w:rsidRPr="0052393E" w:rsidRDefault="001E671B" w:rsidP="0052393E">
      <w:pPr>
        <w:pStyle w:val="Heading3"/>
        <w:spacing w:line="480" w:lineRule="auto"/>
      </w:pPr>
      <w:bookmarkStart w:id="29" w:name="_Toc233171641"/>
      <w:r w:rsidRPr="0052393E">
        <w:t>The Osteological Paradox and Paleopathology</w:t>
      </w:r>
      <w:bookmarkEnd w:id="29"/>
    </w:p>
    <w:p w14:paraId="464BE8DB" w14:textId="77777777" w:rsidR="001E671B" w:rsidRPr="00694B60" w:rsidRDefault="001E671B" w:rsidP="0052393E">
      <w:pPr>
        <w:spacing w:line="480" w:lineRule="auto"/>
        <w:ind w:firstLine="720"/>
      </w:pPr>
      <w:r w:rsidRPr="00694B60">
        <w:t xml:space="preserve">Before discussing the combinatory effects of stressors on </w:t>
      </w:r>
      <w:r>
        <w:t>subadult skeletons</w:t>
      </w:r>
      <w:r w:rsidRPr="00694B60">
        <w:t xml:space="preserve">, consideration should be given to the contradictory nature </w:t>
      </w:r>
      <w:r>
        <w:t xml:space="preserve">of </w:t>
      </w:r>
      <w:r w:rsidRPr="00694B60">
        <w:t xml:space="preserve">paleopathological study </w:t>
      </w:r>
      <w:r>
        <w:t xml:space="preserve">and </w:t>
      </w:r>
      <w:r w:rsidRPr="00694B60">
        <w:t xml:space="preserve">metabolic disturbance effects on </w:t>
      </w:r>
      <w:r>
        <w:t>skeletal remains</w:t>
      </w:r>
      <w:r w:rsidRPr="00694B60">
        <w:t xml:space="preserve">, an inconsistency termed “the osteological paradox” (Wood et al., 1992). Wood and colleagues cautioned researchers against reconstructing health from cemetery samples and questioned the common assumptions made in paleopathological analysis. The authors pointed out a paradox in the composition of skeletal assemblages: they only contain information regarding the health status of non-survivors and cannot reliably represent the full range of morbidity and mortality experienced by the living population. Selective mortality biases the archaeological record toward the frailest individuals, creating a distorted view of the prevalence of disease in past populations (Saunders and Hoppa, 1993). Additionally, an intrinsic property of archaeological cemetery samples is their hidden heterogeneity in risk of illness and death (Ortner, 1991; Wood et al., 1992). Individual frailty and mortality risks vary. The inability to account for this variation limits meaningful interpretations of population health, as populations are composed of numerous groups with inherently different frailty and mortality rates that will not all be captured in skeletal assemblages. </w:t>
      </w:r>
    </w:p>
    <w:p w14:paraId="69310335" w14:textId="77777777" w:rsidR="001E671B" w:rsidRPr="00694B60" w:rsidRDefault="001E671B" w:rsidP="001E671B">
      <w:pPr>
        <w:spacing w:line="480" w:lineRule="auto"/>
        <w:ind w:firstLine="720"/>
      </w:pPr>
      <w:r w:rsidRPr="00694B60">
        <w:t xml:space="preserve">Inferences about health are also constrained by our ability to identify and effectively interpret the etiology of skeletal pathologies. Non-specific indicators of metabolic stress (e.g., </w:t>
      </w:r>
      <w:r w:rsidRPr="00694B60">
        <w:lastRenderedPageBreak/>
        <w:t>dental enamel hypoplasia, cribra orbitalia, porotic hyperostosis) have traditionally been used as a general indication of poor health in archaeological samples and are not without their own caveats (Larsen, 1997; Lewis and Roberts, 1997). With the exception of dental enamel hypoplasias (cf. Ritzman et al., 2008), the temporal proximity of these indicators to the metabolically insulting event is ambiguous. More practically important, depending on the degree of preservation, much information useful to paleopathological assessments can be lost in archaeological bone; lesions and the elements exhibiting them might be obliterated due to taphonomic alteration. In addition, the majority of skeletal stress lesions are of unknown etiology; there are multiple physiological pathways that lead to their presence and severity within the skeleton (Wapler et al., 2004</w:t>
      </w:r>
      <w:r w:rsidR="001969CC">
        <w:t>; Walker et al., 2009</w:t>
      </w:r>
      <w:r w:rsidRPr="00694B60">
        <w:t xml:space="preserve">). Therefore, they cannot be used to make particular medical diagnoses, although in some cases their unique distributions and patterns alongside historical and contextual information may allow proper attribution to a particular disease process (Huss-Ashmore et al., 1982; Ortner, 2003; Lewis, 2007). </w:t>
      </w:r>
    </w:p>
    <w:p w14:paraId="1854E671" w14:textId="77777777" w:rsidR="001E671B" w:rsidRPr="00694B60" w:rsidRDefault="001E671B" w:rsidP="001E671B">
      <w:pPr>
        <w:spacing w:line="480" w:lineRule="auto"/>
        <w:ind w:firstLine="720"/>
      </w:pPr>
      <w:r w:rsidRPr="00694B60">
        <w:t>Furthermore, whether individuals with skeletal stress lesions are “healthy” or “unhealthy” has been rigorously debated. Both Wood et al. (1992) and Ortner (1999) argued that, contrary to previous interpretations, a stress response indicates adaptive ability; individuals who live long enough to develop a skeletal response represent those who were healthy enough to adjust to the insulting factor (e.g., form an immune response to infectious disease). It is widely recognized that in order for a skeletal lesion</w:t>
      </w:r>
      <w:r>
        <w:t xml:space="preserve"> </w:t>
      </w:r>
      <w:r w:rsidRPr="00694B60">
        <w:t>to develop</w:t>
      </w:r>
      <w:r>
        <w:t xml:space="preserve">, </w:t>
      </w:r>
      <w:r w:rsidRPr="00694B60">
        <w:t xml:space="preserve">an individual must first recover from a stressful event, meaning that skeletal remains exhibiting stress lesions may actually represent the healthier individuals within a population. Even if an individual does not recover from the insulting event, she or he would have needed to survive long enough to present a skeletal indicator. Those without stress lesions, then, are likely to have succumbed to a stressful event quickly, before </w:t>
      </w:r>
      <w:r w:rsidRPr="00694B60">
        <w:lastRenderedPageBreak/>
        <w:t xml:space="preserve">initiation of a skeletal response or have died from other causes (e.g., accidental or violent death). However, Goodman and Martin (2002) maintained that a skeletal response indicates increased morbidity or frailty within a population (the presumed scale of interest) and not necessarily individuals, further highlighting a need for clarity in interpretive approaches and assumptions to documenting health from skeletal remains. </w:t>
      </w:r>
    </w:p>
    <w:p w14:paraId="0C193CE5" w14:textId="77777777" w:rsidR="001E671B" w:rsidRPr="00694B60" w:rsidRDefault="001E671B" w:rsidP="001E671B">
      <w:pPr>
        <w:spacing w:line="480" w:lineRule="auto"/>
        <w:ind w:firstLine="720"/>
      </w:pPr>
      <w:r w:rsidRPr="00694B60">
        <w:t xml:space="preserve"> An additional consideration for paleopathological analyses is the unpredictability of disease processes themselves. Many diseases do not affect the skeleton. We know from modern clinical settings that the degree of disease expression is inconsistent among individuals, and some diseases only variably leave traces on the skeleton in the form of observable lesions or gross osteological pathologies. For example, infection with </w:t>
      </w:r>
      <w:r w:rsidRPr="00694B60">
        <w:rPr>
          <w:i/>
        </w:rPr>
        <w:t>Mycobacterium tuberculosis</w:t>
      </w:r>
      <w:r w:rsidRPr="00694B60">
        <w:t xml:space="preserve"> has a long incubation period, but may kill an individual within weeks of the onset of symptoms (Lincoln and Sewell, 1963), especially if the disease manifests as extrapulmonary (e.g., resulting in meningitis) (Feja and Saiman, 2005). The incubation period, rate of infection, and mortality of the disease varies. Moreover, in the small percentage of tuberculosis infections that spread to the parietal pleura or outside the pl</w:t>
      </w:r>
      <w:r>
        <w:t>e</w:t>
      </w:r>
      <w:r w:rsidRPr="00694B60">
        <w:t xml:space="preserve">ural cavity and become chronic, it takes </w:t>
      </w:r>
      <w:r w:rsidRPr="00694B60">
        <w:rPr>
          <w:i/>
        </w:rPr>
        <w:t>years</w:t>
      </w:r>
      <w:r w:rsidRPr="00694B60">
        <w:t xml:space="preserve"> for the infection to manifest in the skeleton enough to produce an abscess</w:t>
      </w:r>
      <w:r>
        <w:t xml:space="preserve"> </w:t>
      </w:r>
      <w:r w:rsidRPr="00694B60">
        <w:t>and ultimately the skeletal lesions that paleopathological analysis associates with the infection (Dabernat and Crubézy, 2010)</w:t>
      </w:r>
      <w:r>
        <w:t>.</w:t>
      </w:r>
      <w:r w:rsidR="006A3BEE">
        <w:t xml:space="preserve"> </w:t>
      </w:r>
      <w:r>
        <w:t xml:space="preserve">It is </w:t>
      </w:r>
      <w:r w:rsidRPr="00694B60">
        <w:t>possible for an individual to succumb to the infection (or another infection due to compromised immunity) long before a skeletal abscess forms.</w:t>
      </w:r>
    </w:p>
    <w:p w14:paraId="3F41C760" w14:textId="77777777" w:rsidR="001E671B" w:rsidRPr="00694B60" w:rsidRDefault="001E671B" w:rsidP="001E671B">
      <w:pPr>
        <w:spacing w:line="480" w:lineRule="auto"/>
        <w:ind w:firstLine="720"/>
      </w:pPr>
      <w:r w:rsidRPr="00694B60">
        <w:t>Thus, metabolic stress does not induce a local or systemic skeletal response until a threshold of severity is reached (Goodman et al., 1988), and this typically occurs after other organ systems have been exhausted (</w:t>
      </w:r>
      <w:r>
        <w:t>Lewis, 2007; Brickley and Ives, 2008</w:t>
      </w:r>
      <w:r w:rsidRPr="00694B60">
        <w:t xml:space="preserve">). This threshold is inconstant and depends on multiple biological factors discussed above, including the individual’s </w:t>
      </w:r>
      <w:r w:rsidRPr="00694B60">
        <w:lastRenderedPageBreak/>
        <w:t xml:space="preserve">prior health status, sex, age, ethnicity, and nutrition, as well as cultural factors. Therefore, drawing a dividing line between groups with skeletal lesions and those without lesions, as biological anthropologists must often do, will not encapsulate the full range of morbidity and mortality experienced by a population. </w:t>
      </w:r>
    </w:p>
    <w:p w14:paraId="598A91D4" w14:textId="77777777" w:rsidR="001E671B" w:rsidRPr="00694B60" w:rsidRDefault="001E671B" w:rsidP="001E671B">
      <w:pPr>
        <w:spacing w:line="480" w:lineRule="auto"/>
        <w:ind w:firstLine="720"/>
      </w:pPr>
      <w:r w:rsidRPr="00694B60">
        <w:t xml:space="preserve">Nevertheless, these limitations do not invalidate the exploration of health in past human populations as long as realistic interpretations are made within the bounds and limits governed by the nature of the data (Goodman, 1993; Cohen et al., 1994; Konigsberg and Frankenburg, 1994; Wright and Yoder, 2003). The osteological paradox described by Wood et al. (1992), though framed as a severe critique of paleopathological and paleodemographic examinations, has actually assisted the anthropological discipline in improving the scientific rigor of interpretations made about skeletal pathologies. Emphasizing multiple indicators of stress rather than attempting to make specific diagnoses of individual skeletal pathological conditions has contributed to improved inferences of population health and adaptability (Goodman and Armelagos, 1989; Goodman, 1993; Armelagos, 2003). Focus on population level morbidity and mortality in lieu of specific and extreme pathological cases has advanced our understanding of health stressors in past populations (Goodman and Martin, 2002). Moreover, adjustments in the perceptions of “stressed” and “non-stressed” groups, an approach taken in this research project, enhances and clarifies comparisons within a population, especially with regard to expectations of skeletal response to metabolic stress (Goodman et al., 1993; see the </w:t>
      </w:r>
      <w:r w:rsidRPr="00694B60">
        <w:rPr>
          <w:i/>
        </w:rPr>
        <w:t>Methods</w:t>
      </w:r>
      <w:r w:rsidRPr="00034051">
        <w:rPr>
          <w:i/>
        </w:rPr>
        <w:t xml:space="preserve"> </w:t>
      </w:r>
      <w:r w:rsidRPr="00694B60">
        <w:t>section in Chapter 4 for a full discussion).</w:t>
      </w:r>
    </w:p>
    <w:p w14:paraId="340957B2" w14:textId="77777777" w:rsidR="001E671B" w:rsidRPr="00694B60" w:rsidRDefault="001E671B" w:rsidP="001E671B">
      <w:pPr>
        <w:spacing w:line="480" w:lineRule="auto"/>
      </w:pPr>
    </w:p>
    <w:p w14:paraId="65760DCC" w14:textId="77777777" w:rsidR="001E671B" w:rsidRPr="0052393E" w:rsidRDefault="001E671B" w:rsidP="0052393E">
      <w:pPr>
        <w:pStyle w:val="Heading3"/>
        <w:spacing w:line="480" w:lineRule="auto"/>
      </w:pPr>
      <w:bookmarkStart w:id="30" w:name="_Toc233171642"/>
      <w:r w:rsidRPr="0052393E">
        <w:lastRenderedPageBreak/>
        <w:t>Metabolic Influences on Immature Populations</w:t>
      </w:r>
      <w:bookmarkEnd w:id="30"/>
    </w:p>
    <w:p w14:paraId="7CFC258B" w14:textId="77777777" w:rsidR="001E671B" w:rsidRPr="00694B60" w:rsidRDefault="001E671B" w:rsidP="0052393E">
      <w:pPr>
        <w:spacing w:line="480" w:lineRule="auto"/>
        <w:ind w:firstLine="720"/>
      </w:pPr>
      <w:r w:rsidRPr="001E671B">
        <w:rPr>
          <w:rFonts w:eastAsia="Cambria"/>
        </w:rPr>
        <w:t xml:space="preserve">Due to the increased metabolic demands required for healthy growth and mediated by undeveloped immune systems, the skeletal effects of metabolic stress are much more pronounced in </w:t>
      </w:r>
      <w:r w:rsidR="00F02A94">
        <w:rPr>
          <w:rFonts w:eastAsia="Cambria"/>
        </w:rPr>
        <w:t>subadult</w:t>
      </w:r>
      <w:r w:rsidRPr="001E671B">
        <w:rPr>
          <w:rFonts w:eastAsia="Cambria"/>
        </w:rPr>
        <w:t>s compared to adults. These conditions make the immature individuals within a population, especially infants and young children, most susceptible to environmental pathogens and infectious agents and, thus, nutritional insufficiency (Lewis, 2007). Skeletal responses</w:t>
      </w:r>
      <w:r w:rsidRPr="00694B60">
        <w:t xml:space="preserve"> to these stressors include a reduction in stature due to retarded bone growth (Hummert and Van Gerven, 1983; Jantz and Owsley, 1984; Mensforth, 1985; Eveleth and Tanner, 1990; Humphrey, 2000), development of stress lesions (Huss-Ashmore et al., 1982; Goodman and Armelagos, 1988, 1989) and bone loss (Armelagos et al. 1972; Hummert, 1983; Van Gerven et al., 1985). </w:t>
      </w:r>
      <w:r w:rsidRPr="001E671B">
        <w:rPr>
          <w:rFonts w:eastAsia="Cambria"/>
        </w:rPr>
        <w:t>For these reasons, subadults</w:t>
      </w:r>
      <w:r w:rsidRPr="00694B60">
        <w:t xml:space="preserve"> are considered sensitive indicators of biocultural change in archaeological populations (Blakely and Armelagos, 1985; Goodman et al., 1998; Lewis, 2007). </w:t>
      </w:r>
    </w:p>
    <w:p w14:paraId="70394EE9" w14:textId="77777777" w:rsidR="001E671B" w:rsidRPr="001E671B" w:rsidRDefault="001E671B" w:rsidP="001E671B">
      <w:pPr>
        <w:spacing w:line="480" w:lineRule="auto"/>
        <w:ind w:firstLine="720"/>
        <w:rPr>
          <w:rFonts w:eastAsia="Cambria"/>
        </w:rPr>
      </w:pPr>
      <w:r w:rsidRPr="00694B60">
        <w:t xml:space="preserve">The synergistic relationship between nutrition and infectious disease is a main contributor to metabolic stress in </w:t>
      </w:r>
      <w:r w:rsidR="00A752A1">
        <w:t>subadults</w:t>
      </w:r>
      <w:r w:rsidRPr="00694B60">
        <w:t>, especially in various past societies. This is particularly evident in the weaning of infants. A number of factors influence this synergistic effect</w:t>
      </w:r>
      <w:r w:rsidRPr="001E671B">
        <w:rPr>
          <w:rFonts w:eastAsia="Cambria"/>
        </w:rPr>
        <w:t xml:space="preserve">, in particular: early weaning practices, the introduction of environmental pathogens (especially with the introduction of food), and the tendency for ancient weaning foods to contain inadequate nutrients (Katzenberg et al., 1996; Herring et al., 1998). Weaning an infant too early (prior to complete immune system development) potentially exposes the infant prematurely to harmful bacterial and parasitic infections (e.g., microbes, helminth) present in food. These infections lead to chronic diarrhea followed by the inhibition of nutrient absorption and an increased risk of anemia (Foote and Marriott, 2003; Blom et al., 2005). After six months of age, infants require some solid foods in their diet, leading to the situation known as the “weanling’s dilemma” (King and Ulijaszek, </w:t>
      </w:r>
      <w:r w:rsidRPr="001E671B">
        <w:rPr>
          <w:rFonts w:eastAsia="Cambria"/>
        </w:rPr>
        <w:lastRenderedPageBreak/>
        <w:t xml:space="preserve">2000). Delaying the onset of weaning will deprive the infant of a proper diet, yet introducing weaning foods will increase risk of infection. Likewise, historically common traditional weaning foods (e.g., unpasteurized cow and goat milk), in addition to containing infectious pathogens, place significant restrictions on growth because they lack essential nutrients and antibodies present in human breastmilk (Sazawal et al., 1995). In agricultural societies, the addition of cereals to animal milk to form a soft, weaning gruel creates additional depletions in nutrients due to cereal phytates blocking calcium absorption in the gut (Dunnigan and Henderson, 1997; Binns, 1998). </w:t>
      </w:r>
    </w:p>
    <w:p w14:paraId="619545F1" w14:textId="77777777" w:rsidR="001E671B" w:rsidRPr="001E671B" w:rsidRDefault="001E671B" w:rsidP="001E671B">
      <w:pPr>
        <w:spacing w:line="480" w:lineRule="auto"/>
        <w:ind w:firstLine="720"/>
        <w:rPr>
          <w:rFonts w:eastAsia="Cambria"/>
        </w:rPr>
      </w:pPr>
      <w:r w:rsidRPr="001E671B">
        <w:rPr>
          <w:rFonts w:eastAsia="Cambria"/>
        </w:rPr>
        <w:t xml:space="preserve">Although metabolic stressors have the most significant impact on health during infancy and early childhood, early stress-inducing events increase susceptibility to additional stressors well into late childhood and adolescence (Goodman and Armelagos, 1989; Lewis, 2007). Perturbations to metabolic homeostasis continue throughout ontogeny, and are caused by multiple factors, including nutrition, disease, and psychosocial stress (Stratakis CA et al., 1995). These are known to induce growth retardation, although catch-up growth is likely to erase these effects in early and late adolescence (Prader et al., 1963; Bogin, 1999). But, as evidenced by cemetery demographics, </w:t>
      </w:r>
      <w:r w:rsidR="00FF21E7">
        <w:rPr>
          <w:rFonts w:eastAsia="Cambria"/>
        </w:rPr>
        <w:t>subadults</w:t>
      </w:r>
      <w:r w:rsidRPr="001E671B">
        <w:rPr>
          <w:rFonts w:eastAsia="Cambria"/>
        </w:rPr>
        <w:t xml:space="preserve"> often do not survive long enough to recover from stress events. </w:t>
      </w:r>
    </w:p>
    <w:p w14:paraId="36A90DC9" w14:textId="77777777" w:rsidR="001E671B" w:rsidRPr="001E671B" w:rsidRDefault="001E671B" w:rsidP="001E671B">
      <w:pPr>
        <w:spacing w:line="480" w:lineRule="auto"/>
        <w:ind w:firstLine="720"/>
        <w:rPr>
          <w:rFonts w:eastAsia="Cambria"/>
        </w:rPr>
      </w:pPr>
      <w:r w:rsidRPr="001E671B">
        <w:rPr>
          <w:rFonts w:eastAsia="Cambria"/>
        </w:rPr>
        <w:t xml:space="preserve">There is a general perception among historians and archaeologists that </w:t>
      </w:r>
      <w:r w:rsidR="00A752A1">
        <w:rPr>
          <w:rFonts w:eastAsia="Cambria"/>
        </w:rPr>
        <w:t>subadults</w:t>
      </w:r>
      <w:r w:rsidRPr="001E671B">
        <w:rPr>
          <w:rFonts w:eastAsia="Cambria"/>
        </w:rPr>
        <w:t xml:space="preserve"> were viewed and treated differently in the past, and this disparity entails decreased access to nutritious foods and healthcare compared with modern-day practices (Pollock, 1983). The site sampled for the research conducted herein is located in Eastern Europe, and so understanding the past treatment of </w:t>
      </w:r>
      <w:r w:rsidR="00B97118">
        <w:rPr>
          <w:rFonts w:eastAsia="Cambria"/>
        </w:rPr>
        <w:t>subadults</w:t>
      </w:r>
      <w:r w:rsidRPr="001E671B">
        <w:rPr>
          <w:rFonts w:eastAsia="Cambria"/>
        </w:rPr>
        <w:t xml:space="preserve"> in Europe provides an appropriate context. For instance, there were often few, if any, laws or social customs preventing physical child abuse (Glencross and Stuart-</w:t>
      </w:r>
      <w:r w:rsidRPr="001E671B">
        <w:rPr>
          <w:rFonts w:eastAsia="Cambria"/>
        </w:rPr>
        <w:lastRenderedPageBreak/>
        <w:t xml:space="preserve">Macadam, 2000). In his pioneering work on the history of medieval European childhood, Ariès (1962) proposed that modern conceptions of childhood arose during the Industrial age, whereas beforehand parents treated their children unsympathetically, expecting them to behave no differently than adults. This apparent coping mechanism for the high rates of child mortality is purported to have led to mistreatment and neglect. Though this hypothesis has been extensively debated and shown to be a spurious generalization (cf. Pollock, 1983; </w:t>
      </w:r>
      <w:r w:rsidR="00FF21E7">
        <w:rPr>
          <w:rFonts w:eastAsia="Cambria"/>
        </w:rPr>
        <w:t xml:space="preserve">Sofaer </w:t>
      </w:r>
      <w:r w:rsidRPr="001E671B">
        <w:rPr>
          <w:rFonts w:eastAsia="Cambria"/>
        </w:rPr>
        <w:t>Deverenski, 2000), continued research on childhood in archaeological contexts has shown that life was often difficult for immature individuals. By late childhood and adolescence cultural expectations for self-sufficiency and independence were common, and such expectancies could be accompanied by high physiological stress, as young individuals coped with increased risks of poor health and occupational hazards (Bogin, 1999). The accumulated effects of these metabolic insults, arising from social practices and environmental conditions, may be evidenced by the examination of metabolic bone disorders in past populations.</w:t>
      </w:r>
    </w:p>
    <w:p w14:paraId="0E82ACB1" w14:textId="77777777" w:rsidR="001E671B" w:rsidRPr="001E671B" w:rsidRDefault="001E671B" w:rsidP="001E671B">
      <w:pPr>
        <w:spacing w:line="480" w:lineRule="auto"/>
        <w:ind w:firstLine="720"/>
        <w:rPr>
          <w:rFonts w:eastAsia="Cambria"/>
        </w:rPr>
      </w:pPr>
    </w:p>
    <w:p w14:paraId="4627BF84" w14:textId="77777777" w:rsidR="001E671B" w:rsidRPr="0052393E" w:rsidRDefault="001E671B" w:rsidP="0052393E">
      <w:pPr>
        <w:pStyle w:val="Heading3"/>
        <w:spacing w:line="480" w:lineRule="auto"/>
      </w:pPr>
      <w:bookmarkStart w:id="31" w:name="_Toc233171643"/>
      <w:r w:rsidRPr="0052393E">
        <w:t>Metabolic Bone Disorders and Bone Loss</w:t>
      </w:r>
      <w:bookmarkEnd w:id="31"/>
    </w:p>
    <w:p w14:paraId="7DEB1426" w14:textId="77777777" w:rsidR="001E671B" w:rsidRPr="00694B60" w:rsidRDefault="001E671B" w:rsidP="0052393E">
      <w:pPr>
        <w:spacing w:line="480" w:lineRule="auto"/>
        <w:ind w:firstLine="720"/>
      </w:pPr>
      <w:r w:rsidRPr="00694B60">
        <w:t>Despite the caveats introduced by the osteological paradox, bone mass is frequently employed as an overall indicator of health in skeletal assemblages, based on correlations between numerous metabolic diseases and systemic bone l</w:t>
      </w:r>
      <w:r>
        <w:t>oss (Brickley and Agarwal, 2003</w:t>
      </w:r>
      <w:r w:rsidRPr="00694B60">
        <w:t>).</w:t>
      </w:r>
      <w:r w:rsidRPr="00694B60">
        <w:rPr>
          <w:i/>
        </w:rPr>
        <w:t xml:space="preserve"> </w:t>
      </w:r>
      <w:r w:rsidRPr="00694B60">
        <w:t xml:space="preserve">Metabolic bone disorder is defined here as any condition that disrupts bone modeling and/or remodeling processes. These disorders upset bone balance by interrupting mineral homeostasis pathways and, thus, tipping the scales in favor of bone resorption; however, they may additionally manifest as decreases in bone </w:t>
      </w:r>
      <w:r w:rsidRPr="00694B60">
        <w:rPr>
          <w:i/>
        </w:rPr>
        <w:t>quality</w:t>
      </w:r>
      <w:r w:rsidRPr="00694B60">
        <w:t xml:space="preserve"> (i.e., mineralization or material properties) (Marie et al., 1982; </w:t>
      </w:r>
      <w:r w:rsidRPr="00694B60">
        <w:lastRenderedPageBreak/>
        <w:t>Grynpas and Holmyard, 1988; Parfitt, 1998), which are quite difficult to evaluate in archaeological bone due to diagenesis (Stout, 1978; Grynpas, 2003). (Diagenesis is the combined effect of environmental factors on changes to the chemical and structural properties of bone in a burial context.) Metabolic bone loss, referred to as s</w:t>
      </w:r>
      <w:r w:rsidRPr="001E671B">
        <w:rPr>
          <w:rFonts w:eastAsia="Cambria"/>
        </w:rPr>
        <w:t xml:space="preserve">econdary osteopenia (in contrast to the primary osteopenia caused by advanced age), is correlated with increased bone fragility and risk of fracture (Turner, 2002; Brickley and Ives, 2008). </w:t>
      </w:r>
      <w:r w:rsidRPr="00694B60">
        <w:t>When incurred during growth, metabolic bone disorders might affect long-term health and survival later in life (Cameron and Demerath, 2002) and may increase the risk of developing adult osteopenia and osteoporosis (Grech et al., 1985).</w:t>
      </w:r>
    </w:p>
    <w:p w14:paraId="3E70F6E8" w14:textId="77777777" w:rsidR="001E671B" w:rsidRPr="001E671B" w:rsidRDefault="001E671B" w:rsidP="001E671B">
      <w:pPr>
        <w:spacing w:line="480" w:lineRule="auto"/>
        <w:ind w:firstLine="720"/>
        <w:rPr>
          <w:rFonts w:eastAsia="Cambria"/>
        </w:rPr>
      </w:pPr>
      <w:r w:rsidRPr="00694B60">
        <w:t>One of the main functions of the skeleton is to act as a calcium reservoir; any condition that lowers serum calcium or inhibits calcium absorption will stimulate bone resorption to release these stored nutrients into the bloodstream (Rizzoli and Bonjour, 1999; Parfitt, 2003; Shapiro and Heaney, 2003). The complex interactions between numerous essential nutrients and hormones create multiple pathways by which calcium metabolism is influenced (Figure</w:t>
      </w:r>
      <w:r w:rsidR="00DB5ED3">
        <w:t xml:space="preserve"> 5</w:t>
      </w:r>
      <w:r w:rsidRPr="00694B60">
        <w:t xml:space="preserve">). Deficiencies in essential nutrients (e.g., protein, phosphorous, vitamin C, vitamin D, potassium, and magnesium) disrupt calcium metabolism. However, metabolic disorders are best understood as caused by disturbances in the normal balance of ratios between nutrients rather than simply deficiencies in them (Huss-Ashmore et al., 1982; Mailhot et al., 2007). For example, having </w:t>
      </w:r>
      <w:r>
        <w:t>adequate or</w:t>
      </w:r>
      <w:r w:rsidRPr="00694B60">
        <w:t xml:space="preserve"> extremely high levels of calcium in the diet is less osteogenic than an optimal balance of calcium and phosphorus (Shapiro and Heaney, 2003). Additionally, several hormones (e.g., estrogen, parathyroid hormone, calcitonin, glucocorticoids) influence bone resorption and formation, and circumstances affecting their synthesis or concentrations within the body, including factors arising from diet, also influence mineral homeostasis (Raisz, 1999, 2005). </w:t>
      </w:r>
    </w:p>
    <w:p w14:paraId="0EBCFAED" w14:textId="77777777" w:rsidR="001E671B" w:rsidRDefault="001E671B" w:rsidP="001E671B">
      <w:pPr>
        <w:spacing w:line="480" w:lineRule="auto"/>
      </w:pPr>
      <w:r w:rsidRPr="00694B60">
        <w:lastRenderedPageBreak/>
        <w:tab/>
        <w:t xml:space="preserve">Multiple metabolic diseases are responsible for bone loss, although not all of them are easily identified in human skeletal samples. The complex etiology, cellular pathways, and skeletal consequences of these disorders are beyond the scope of this project; however, the most relevant ones that affect subadults are explained briefly below with an account of their effects on bone mass. This information is presented to demonstrate how prevalent bone loss can be in the archaeological record at the macroscopic and microscopic level, especially in subadults, and serves as an argument for comparing bone mass among stress groups within the study sample (see </w:t>
      </w:r>
      <w:r w:rsidRPr="00694B60">
        <w:rPr>
          <w:i/>
        </w:rPr>
        <w:t>Methods</w:t>
      </w:r>
      <w:r w:rsidRPr="00694B60">
        <w:t xml:space="preserve"> in Chapter 4 for specific descriptions of metabolic stressors in the study sample).</w:t>
      </w:r>
    </w:p>
    <w:p w14:paraId="02F30502" w14:textId="77777777" w:rsidR="00AF5A4A" w:rsidRPr="00694B60" w:rsidRDefault="00AF5A4A" w:rsidP="001E671B">
      <w:pPr>
        <w:spacing w:line="480" w:lineRule="auto"/>
      </w:pPr>
    </w:p>
    <w:p w14:paraId="4013C5F7" w14:textId="77777777" w:rsidR="00AF5A4A" w:rsidRDefault="00AF5A4A" w:rsidP="00AF5A4A">
      <w:pPr>
        <w:keepNext/>
        <w:spacing w:after="200" w:line="480" w:lineRule="auto"/>
        <w:jc w:val="center"/>
      </w:pPr>
      <w:r w:rsidRPr="00241365">
        <w:rPr>
          <w:noProof/>
        </w:rPr>
        <w:drawing>
          <wp:inline distT="0" distB="0" distL="0" distR="0" wp14:anchorId="79517BA8" wp14:editId="4601D531">
            <wp:extent cx="4389120" cy="297405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 r="2239"/>
                    <a:stretch/>
                  </pic:blipFill>
                  <pic:spPr bwMode="auto">
                    <a:xfrm>
                      <a:off x="0" y="0"/>
                      <a:ext cx="4414285" cy="2991106"/>
                    </a:xfrm>
                    <a:prstGeom prst="rect">
                      <a:avLst/>
                    </a:prstGeom>
                    <a:noFill/>
                    <a:ln>
                      <a:noFill/>
                    </a:ln>
                    <a:extLst>
                      <a:ext uri="{53640926-AAD7-44d8-BBD7-CCE9431645EC}">
                        <a14:shadowObscured xmlns:a14="http://schemas.microsoft.com/office/drawing/2010/main"/>
                      </a:ext>
                    </a:extLst>
                  </pic:spPr>
                </pic:pic>
              </a:graphicData>
            </a:graphic>
          </wp:inline>
        </w:drawing>
      </w:r>
    </w:p>
    <w:p w14:paraId="519E5CF7" w14:textId="77777777" w:rsidR="00AF5A4A" w:rsidRDefault="00AF5A4A" w:rsidP="00AF5A4A">
      <w:pPr>
        <w:pStyle w:val="Caption"/>
        <w:jc w:val="center"/>
      </w:pPr>
      <w:bookmarkStart w:id="32" w:name="_Toc233257066"/>
      <w:r>
        <w:t xml:space="preserve">Figure </w:t>
      </w:r>
      <w:fldSimple w:instr=" SEQ Figure \* ARABIC ">
        <w:r>
          <w:rPr>
            <w:noProof/>
          </w:rPr>
          <w:t>4</w:t>
        </w:r>
      </w:fldSimple>
      <w:r>
        <w:t xml:space="preserve">. </w:t>
      </w:r>
      <w:r w:rsidRPr="00596939">
        <w:t>Diagram of the complex mechanisms regulating calcium metabolism.</w:t>
      </w:r>
      <w:bookmarkEnd w:id="32"/>
    </w:p>
    <w:p w14:paraId="43613E1B" w14:textId="77777777" w:rsidR="001E671B" w:rsidRPr="00694B60" w:rsidRDefault="001E671B" w:rsidP="001E671B">
      <w:pPr>
        <w:spacing w:line="480" w:lineRule="auto"/>
      </w:pPr>
    </w:p>
    <w:p w14:paraId="04986B80" w14:textId="77777777" w:rsidR="001E671B" w:rsidRPr="0052393E" w:rsidRDefault="001E671B" w:rsidP="0052393E">
      <w:pPr>
        <w:pStyle w:val="Style1"/>
      </w:pPr>
      <w:bookmarkStart w:id="33" w:name="_Toc233171644"/>
      <w:r w:rsidRPr="0052393E">
        <w:lastRenderedPageBreak/>
        <w:t>Scurvy</w:t>
      </w:r>
      <w:bookmarkEnd w:id="33"/>
    </w:p>
    <w:p w14:paraId="6660D13C" w14:textId="77777777" w:rsidR="001E671B" w:rsidRPr="00694B60" w:rsidRDefault="001E671B" w:rsidP="001E671B">
      <w:pPr>
        <w:spacing w:line="480" w:lineRule="auto"/>
        <w:ind w:firstLine="720"/>
      </w:pPr>
      <w:r w:rsidRPr="00694B60">
        <w:t xml:space="preserve">Deficiency in vitamin C, referred to as scurvy, is a common affliction in </w:t>
      </w:r>
      <w:r w:rsidR="00FF21E7">
        <w:t>subadults.</w:t>
      </w:r>
      <w:r w:rsidRPr="00694B60">
        <w:t xml:space="preserve"> Vitamin C is necessary for collagen formation and proper immune function, and individuals lacking this nutrient are prone to hemorrhage and commonly develop anemia (Clark et al., 1992; Ortner, 2003). Scurvy is common in early-weaned infants, as vitamin C is present in high levels in the breastmilk of healthy women and relatively low in cow’s milk (Grewar, 1965; Severs et al., 1961; Fain, 2005) and cereals (Brickley and Ives, 2008). Individuals suffering from scurvy exhibit decreased osteoblastic activity and restricted osteoid deposition (Ortner et al., 2001; Fain, 2005; Brickley and Ives, 2006). </w:t>
      </w:r>
      <w:r w:rsidR="00F02A94">
        <w:t>Subadult</w:t>
      </w:r>
      <w:r w:rsidRPr="00694B60">
        <w:t xml:space="preserve"> scurvy is associated with radiologically detected osteopenia across the skeleton, but osteopenia manifests especially in elements containing mostly trabecular bone (e.g., vertebrae and pelvis) and rib elements (McCann, 1962). In severe cases, cortical thinning occurs in long bone diaphyses (Grewar, 1965). Histological studies have found generalized cortical osteopenia in adults (Bourne, 1942), but no studies have assessed histological features of scurvy in </w:t>
      </w:r>
      <w:r w:rsidR="00B97118">
        <w:t>subadults.</w:t>
      </w:r>
      <w:r w:rsidRPr="00694B60">
        <w:t xml:space="preserve"> </w:t>
      </w:r>
    </w:p>
    <w:p w14:paraId="2B47CC6E" w14:textId="77777777" w:rsidR="001E671B" w:rsidRPr="00694B60" w:rsidRDefault="001E671B" w:rsidP="001E671B">
      <w:pPr>
        <w:spacing w:line="480" w:lineRule="auto"/>
        <w:ind w:firstLine="720"/>
      </w:pPr>
    </w:p>
    <w:p w14:paraId="7C7A656F" w14:textId="77777777" w:rsidR="001E671B" w:rsidRPr="0052393E" w:rsidRDefault="00637CB2" w:rsidP="0052393E">
      <w:pPr>
        <w:pStyle w:val="Style1"/>
        <w:rPr>
          <w:rFonts w:eastAsia="Cambria"/>
        </w:rPr>
      </w:pPr>
      <w:bookmarkStart w:id="34" w:name="_Toc233171645"/>
      <w:r>
        <w:rPr>
          <w:rFonts w:eastAsia="Cambria"/>
        </w:rPr>
        <w:t>Rickets and Vitamin D D</w:t>
      </w:r>
      <w:r w:rsidR="001E671B" w:rsidRPr="0052393E">
        <w:rPr>
          <w:rFonts w:eastAsia="Cambria"/>
        </w:rPr>
        <w:t>eficiency</w:t>
      </w:r>
      <w:bookmarkEnd w:id="34"/>
    </w:p>
    <w:p w14:paraId="7E924C7B" w14:textId="77777777" w:rsidR="001E671B" w:rsidRPr="001E671B" w:rsidRDefault="001E671B" w:rsidP="001E671B">
      <w:pPr>
        <w:spacing w:line="480" w:lineRule="auto"/>
        <w:ind w:firstLine="720"/>
        <w:rPr>
          <w:rFonts w:eastAsia="Cambria"/>
        </w:rPr>
      </w:pPr>
      <w:r w:rsidRPr="001E671B">
        <w:rPr>
          <w:rFonts w:eastAsia="Cambria"/>
        </w:rPr>
        <w:t xml:space="preserve">Vitamin D plays a significant role in mineral metabolism and immune response and, furthermore, is crucial for the proper mineralization of freshly deposited osteoid (Cowin, 2001). Vitamin D regulates calcium homeostasis by promoting intestinal absorption of minerals and governing renal absorption and excretion to maintain adequate serum levels of calcium and phosphorous (Heaney, 1997). Synthesis of vitamin D is reliant on skin exposure to the sun as well as dietary intake (Pettifor, 2003); therefore, cultural practices (e.g., clothing, occupation), </w:t>
      </w:r>
      <w:r w:rsidRPr="001E671B">
        <w:rPr>
          <w:rFonts w:eastAsia="Cambria"/>
        </w:rPr>
        <w:lastRenderedPageBreak/>
        <w:t xml:space="preserve">climate, and seasonality affect the prevalence and severity of vitamin D deficiency and were likely the chief factors in the etiology of this disease in past populations (Mays et al., 2006). </w:t>
      </w:r>
    </w:p>
    <w:p w14:paraId="4D8CFFF2" w14:textId="77777777" w:rsidR="001E671B" w:rsidRPr="001E671B" w:rsidRDefault="001E671B" w:rsidP="001E671B">
      <w:pPr>
        <w:spacing w:line="480" w:lineRule="auto"/>
        <w:ind w:firstLine="720"/>
        <w:rPr>
          <w:rFonts w:eastAsia="Cambria"/>
        </w:rPr>
      </w:pPr>
      <w:r w:rsidRPr="001E671B">
        <w:rPr>
          <w:rFonts w:eastAsia="Cambria"/>
        </w:rPr>
        <w:t>Vitamin D deficiency in children leads to rickets, a pathological condition characterized by decreased bone mineralization and increased bone loss (Hollick, 2006). Infantile rickets is more prevalent in malnourished mothers and within societies with inadequate weaning foods (Jelliffe, 1955; Pettifor, 2004). High amounts of cereals in the diet also cause calcium imbalance and vitamin D deficiency when phytates bind to calcium molecules, preventing their absorption (Dunnigan and Henderson, 1997). Rickets is associated with radiological appearance of generalized osteopenia; in the long bones high porosity, as well as trabecular and cortical bone loss, are noted (Pettifor and Daniels, 1997). In histological sections, rachitic cortical bone exhibits diminished bone formation, poorly organized bone, increased resorption spaces (especially converging ones), and mineralization defects (Mankin, 1974; Pitt, 1988).</w:t>
      </w:r>
    </w:p>
    <w:p w14:paraId="3543CB18" w14:textId="77777777" w:rsidR="001E671B" w:rsidRPr="001E671B" w:rsidRDefault="001E671B" w:rsidP="001E671B">
      <w:pPr>
        <w:spacing w:line="480" w:lineRule="auto"/>
        <w:ind w:firstLine="720"/>
        <w:rPr>
          <w:rFonts w:eastAsia="Cambria"/>
        </w:rPr>
      </w:pPr>
    </w:p>
    <w:p w14:paraId="04D32BF1" w14:textId="77777777" w:rsidR="001E671B" w:rsidRPr="0052393E" w:rsidRDefault="001E671B" w:rsidP="0052393E">
      <w:pPr>
        <w:pStyle w:val="Style1"/>
        <w:rPr>
          <w:rFonts w:eastAsia="Cambria"/>
        </w:rPr>
      </w:pPr>
      <w:bookmarkStart w:id="35" w:name="_Toc233171646"/>
      <w:r w:rsidRPr="0052393E">
        <w:rPr>
          <w:rFonts w:eastAsia="Cambria"/>
        </w:rPr>
        <w:t>Non-specific Metabolic Diseases</w:t>
      </w:r>
      <w:bookmarkEnd w:id="35"/>
    </w:p>
    <w:p w14:paraId="34497652" w14:textId="77777777" w:rsidR="001E671B" w:rsidRPr="001E671B" w:rsidRDefault="001E671B" w:rsidP="001E671B">
      <w:pPr>
        <w:spacing w:line="480" w:lineRule="auto"/>
        <w:ind w:firstLine="720"/>
        <w:rPr>
          <w:rFonts w:eastAsia="Cambria"/>
        </w:rPr>
      </w:pPr>
      <w:r w:rsidRPr="001E671B">
        <w:rPr>
          <w:rFonts w:eastAsia="Cambria"/>
        </w:rPr>
        <w:t xml:space="preserve">Other generalized metabolic disorders (e.g., pellagra, protein-calorie malnutrition, hyperparathyroidism, anemia) are linked to bone loss but do not present as diagnostic diseases in archaeological samples. All of these conditions result in secondary osteopenia at both the macroscopic and microscopic levels and are often exacerbated by the biological, cultural, and environmental factors outlined above (Ross, 1998; Christiansen, 2001; Mays et al., 2001; Paine and Brenton, 2006; Putnam et al., 2007). As stated previously, subadults are highly susceptible to these types of disorders, especially in communities that experience high rates of infectious disease and wherein sanitation conditions promote factors contributing to high prevalence of </w:t>
      </w:r>
      <w:r w:rsidRPr="001E671B">
        <w:rPr>
          <w:rFonts w:eastAsia="Cambria"/>
        </w:rPr>
        <w:lastRenderedPageBreak/>
        <w:t xml:space="preserve">chronic diarrhea. Macroscopically, secondary osteopenia manifests as cortical thinning and reduced bone formation rates, while histologically it is defined by increased resorption spaces, incomplete osteon filling, and greater osteon size (Martin and Armelagos, 1979; Burr et al., 1997; Zink et al., 2005; Peck and Stout; 2007). </w:t>
      </w:r>
    </w:p>
    <w:p w14:paraId="014D035B" w14:textId="77777777" w:rsidR="001E671B" w:rsidRPr="001E671B" w:rsidRDefault="001E671B" w:rsidP="001E671B">
      <w:pPr>
        <w:spacing w:line="480" w:lineRule="auto"/>
        <w:rPr>
          <w:rFonts w:eastAsia="Cambria"/>
        </w:rPr>
      </w:pPr>
    </w:p>
    <w:p w14:paraId="02866C31" w14:textId="77777777" w:rsidR="001E671B" w:rsidRPr="0052393E" w:rsidRDefault="001E671B" w:rsidP="0052393E">
      <w:pPr>
        <w:pStyle w:val="Heading3"/>
        <w:spacing w:line="480" w:lineRule="auto"/>
      </w:pPr>
      <w:bookmarkStart w:id="36" w:name="_Toc233171647"/>
      <w:r w:rsidRPr="0052393E">
        <w:t>Metabolic Bone Loss and Bone Strength</w:t>
      </w:r>
      <w:bookmarkEnd w:id="36"/>
    </w:p>
    <w:p w14:paraId="79F134C4" w14:textId="6E37414C" w:rsidR="001E671B" w:rsidRPr="00694B60" w:rsidRDefault="001E671B" w:rsidP="0052393E">
      <w:pPr>
        <w:spacing w:line="480" w:lineRule="auto"/>
        <w:ind w:firstLine="720"/>
      </w:pPr>
      <w:r w:rsidRPr="00694B60">
        <w:t xml:space="preserve">As discussed in Chapter 2, bone mass and bone strength are strongly interrelated, although in long bone diaphyses the relationship between bone mass and strength is less straightforward. Otherwise, depending on the strain stimulus, amount of resorption, and location of deficits, bone loss (i.e., reductions in bone mass) potentially will result in reductions to bone strength (Lambert et al., 2005; Seeman and Delmas, 2006). Reduced bone mass leads to greater strains within the bone under a given magnitude of force and stimulates bone deposition to return strains to the customary level and avoid fracture (Frost, 1987, 1990a, 1990b). However, this negative feedback loop within the mechanostat model applies only in non-pathological cases; the ability to respond to bone loss with bone deposition is highly dependent on the individual’s metabolic status, as well as age, sex, and ethnicity (Parfitt, 2003). In other words, bone loss leads to bone fragility in situations of failed adaptation. In addition to reduced bone mass, metabolic deficiencies in bone </w:t>
      </w:r>
      <w:r w:rsidRPr="00694B60">
        <w:rPr>
          <w:i/>
        </w:rPr>
        <w:t>quality</w:t>
      </w:r>
      <w:r w:rsidRPr="00694B60">
        <w:t xml:space="preserve"> (i.e., microarchitecture, mineralization, and mechanical properties) also affect strength (Grynpas, 2003). Accretion of under-mineralized bone tissue, for instance, leads to weakened areas and increased strains (Parfitt, 1986; </w:t>
      </w:r>
      <w:r>
        <w:t>Martin and Ishida, 1989; Fratzl-Zelman et al., 2011</w:t>
      </w:r>
      <w:r w:rsidRPr="00694B60">
        <w:t>). However, as mineralization cannot be adequately assessed in archaeological populations (due to diagen</w:t>
      </w:r>
      <w:r w:rsidR="00C05913">
        <w:t>e</w:t>
      </w:r>
      <w:r w:rsidRPr="00694B60">
        <w:t xml:space="preserve">sis, among other factors), the remainder of the chapter </w:t>
      </w:r>
      <w:r w:rsidRPr="00694B60">
        <w:lastRenderedPageBreak/>
        <w:t>will focus on bone mass structural changes, specifically which surfaces experience loss and how strength is subsequently affected.</w:t>
      </w:r>
    </w:p>
    <w:p w14:paraId="35824BE9" w14:textId="77777777" w:rsidR="001E671B" w:rsidRPr="00694B60" w:rsidRDefault="001E671B" w:rsidP="001E671B">
      <w:pPr>
        <w:spacing w:line="480" w:lineRule="auto"/>
        <w:ind w:firstLine="720"/>
        <w:rPr>
          <w:color w:val="000000"/>
        </w:rPr>
      </w:pPr>
      <w:r w:rsidRPr="00694B60">
        <w:t xml:space="preserve">Morphologically, declines in cortical bone strength </w:t>
      </w:r>
      <w:r>
        <w:t>are</w:t>
      </w:r>
      <w:r w:rsidRPr="00694B60">
        <w:t xml:space="preserve"> </w:t>
      </w:r>
      <w:r>
        <w:t xml:space="preserve">attained </w:t>
      </w:r>
      <w:r w:rsidRPr="00694B60">
        <w:t>in three ways: 1)</w:t>
      </w:r>
      <w:r w:rsidRPr="00694B60">
        <w:rPr>
          <w:color w:val="000000"/>
        </w:rPr>
        <w:t xml:space="preserve"> reductions of macroscopic bone mass through endosteal resorption; 2) more generalized reductions of cross-sectional geometric strength properties through bone loss or changes in shape; and 3) disruptions to the osteonal remodeling processes (Martin et al., 1998; Currey, 2003). Each of these structural alterations has been connected with metabolic bone disorders. The following section, </w:t>
      </w:r>
      <w:r w:rsidRPr="00694B60">
        <w:rPr>
          <w:i/>
          <w:color w:val="000000"/>
        </w:rPr>
        <w:t>Macromorphology</w:t>
      </w:r>
      <w:r w:rsidRPr="00694B60">
        <w:rPr>
          <w:color w:val="000000"/>
        </w:rPr>
        <w:t xml:space="preserve">, focuses on macroscopic reductions in cortical bone mass and their effect on bone structure. The </w:t>
      </w:r>
      <w:r w:rsidRPr="00694B60">
        <w:rPr>
          <w:i/>
          <w:color w:val="000000"/>
        </w:rPr>
        <w:t>Micromorphology</w:t>
      </w:r>
      <w:r w:rsidRPr="00694B60">
        <w:rPr>
          <w:color w:val="000000"/>
        </w:rPr>
        <w:t xml:space="preserve"> section discusses pathological modifications to microscopic structure with implications for whole bone strength. </w:t>
      </w:r>
    </w:p>
    <w:p w14:paraId="62A6E8CF" w14:textId="77777777" w:rsidR="001E671B" w:rsidRPr="00694B60" w:rsidRDefault="001E671B" w:rsidP="001E671B">
      <w:pPr>
        <w:spacing w:line="480" w:lineRule="auto"/>
        <w:ind w:firstLine="720"/>
      </w:pPr>
      <w:r w:rsidRPr="00694B60">
        <w:t xml:space="preserve">Extensive clinical research has been the foundation </w:t>
      </w:r>
      <w:r>
        <w:t>up</w:t>
      </w:r>
      <w:r w:rsidRPr="00694B60">
        <w:t xml:space="preserve">on which researchers have achieved an understanding the etiology of these cortical bone reductions. Age-related osteoporosis has been </w:t>
      </w:r>
      <w:r>
        <w:t xml:space="preserve">especially </w:t>
      </w:r>
      <w:r w:rsidRPr="00694B60">
        <w:t xml:space="preserve">valuable in underscoring the structural consequences and mechanisms underlying metabolic bone loss. Osteoporosis is referenced here even though it does not directly apply to metabolic disturbances in subadults, as osteoporosis is itself a metabolic bone disorder and the mechanisms underlying bone loss are similar to processes in subadults. In fact, most clinical studies have focused on osteoporosis, as it has become an increasing health concern in the past few decades, and less research has been performed on nutritional deficiencies and their effects on bone strength. </w:t>
      </w:r>
      <w:r w:rsidRPr="00694B60">
        <w:rPr>
          <w:color w:val="000000"/>
        </w:rPr>
        <w:t>Anthropological research exploring bone loss in human skeletal samples is also presented in light of these clinical findings. These studies help shape the hypotheses set forth by the current analysis by establishing the morphological shifts in cortical bone caused by metabolic stress.</w:t>
      </w:r>
    </w:p>
    <w:p w14:paraId="383E2BC2" w14:textId="77777777" w:rsidR="001E671B" w:rsidRPr="00694B60" w:rsidRDefault="001E671B" w:rsidP="001E671B">
      <w:pPr>
        <w:spacing w:line="480" w:lineRule="auto"/>
      </w:pPr>
    </w:p>
    <w:p w14:paraId="44219428" w14:textId="77777777" w:rsidR="001E671B" w:rsidRPr="0052393E" w:rsidRDefault="001E671B" w:rsidP="0052393E">
      <w:pPr>
        <w:pStyle w:val="Heading3"/>
        <w:spacing w:line="480" w:lineRule="auto"/>
      </w:pPr>
      <w:bookmarkStart w:id="37" w:name="_Toc233171648"/>
      <w:r w:rsidRPr="0052393E">
        <w:lastRenderedPageBreak/>
        <w:t>Macromorphology</w:t>
      </w:r>
      <w:bookmarkEnd w:id="37"/>
    </w:p>
    <w:p w14:paraId="573DA4D6" w14:textId="77777777" w:rsidR="001E671B" w:rsidRPr="0052393E" w:rsidRDefault="001E671B" w:rsidP="0052393E">
      <w:pPr>
        <w:pStyle w:val="Style1"/>
      </w:pPr>
      <w:bookmarkStart w:id="38" w:name="_Toc233171649"/>
      <w:r w:rsidRPr="0052393E">
        <w:t>Basic Structure</w:t>
      </w:r>
      <w:bookmarkEnd w:id="38"/>
    </w:p>
    <w:p w14:paraId="72E98B91" w14:textId="77777777" w:rsidR="001E671B" w:rsidRPr="00694B60" w:rsidRDefault="001E671B" w:rsidP="001E671B">
      <w:pPr>
        <w:spacing w:line="480" w:lineRule="auto"/>
        <w:ind w:firstLine="720"/>
      </w:pPr>
      <w:r w:rsidRPr="00694B60">
        <w:t>Metabolic bone loss at the macroscopic level typically occurs from excessive cortical resorption at the endosteal surface (i.e., near the neutral axis), where strains are lowest, resulting in an expanded medullary cavity and reduced cortical area. This process occurs in both ribs (Paine and Brenton, 2006; Agnew and Stout, 2012) and long bone diaphyses (Garn et al., 1964, 1969; Frost, 1966; Lazenby, 1990a, 19</w:t>
      </w:r>
      <w:r>
        <w:t>90b</w:t>
      </w:r>
      <w:r w:rsidRPr="00694B60">
        <w:t>). Under compression and bending loads, long bones experience increased strain due to endosteal bone loss, generating bone deposition at the periosteal surface—where strains are the highest—to restore customary strain levels (Lazenby, 1990b). As discussed in Chapter 2, this adaptive compensation results in the redistribution of a smaller amount of cortical bone further from the centroid of the cross-section and, therefore, increased strength in bending and torsion. Such restructuring is advantageous in terms of tissue economy; given reduced cortical thickness, a small amount of bone added periosteally produces significant improvements in resistance to loading. However, in cases of metabolic stress, physiological resources may not be available to allow for periosteal dep</w:t>
      </w:r>
      <w:r>
        <w:t>osition (Szulc et al., 2006; DeVista et al., 2007</w:t>
      </w:r>
      <w:r w:rsidRPr="00694B60">
        <w:t xml:space="preserve">), though the conditions required to cause such disturbance in normal bone balance processes are variable and unclear. </w:t>
      </w:r>
    </w:p>
    <w:p w14:paraId="049C341D" w14:textId="77777777" w:rsidR="001E671B" w:rsidRPr="00694B60" w:rsidRDefault="001E671B" w:rsidP="001E671B">
      <w:pPr>
        <w:spacing w:line="480" w:lineRule="auto"/>
        <w:ind w:firstLine="720"/>
      </w:pPr>
      <w:r w:rsidRPr="00694B60">
        <w:t>Periosteal compensation disrupts the direct correlation between bone mass and bone strength, making the investigation of metabolic effects on strength more complex. Lack of consideration for structural compensation has limited analyses of metabolic bone disease</w:t>
      </w:r>
      <w:r>
        <w:t>; reductions in cortical area do not necessarily indicate reduced strength</w:t>
      </w:r>
      <w:r w:rsidRPr="00694B60">
        <w:t xml:space="preserve">. Yet, a recent appreciation of the complexity of bone functional adaptation </w:t>
      </w:r>
      <w:r>
        <w:t xml:space="preserve">in response to both mechanical and metabolic </w:t>
      </w:r>
      <w:r>
        <w:lastRenderedPageBreak/>
        <w:t xml:space="preserve">inputs </w:t>
      </w:r>
      <w:r w:rsidRPr="00694B60">
        <w:t xml:space="preserve">has improved </w:t>
      </w:r>
      <w:r>
        <w:t>understanding of morphological shifts in cortical structure and informed analyses of bone in archaeological contexts.</w:t>
      </w:r>
    </w:p>
    <w:p w14:paraId="7787E884" w14:textId="77777777" w:rsidR="001E671B" w:rsidRPr="00694B60" w:rsidRDefault="001E671B" w:rsidP="001E671B">
      <w:pPr>
        <w:spacing w:line="480" w:lineRule="auto"/>
        <w:ind w:firstLine="720"/>
      </w:pPr>
    </w:p>
    <w:p w14:paraId="33F001B2" w14:textId="77777777" w:rsidR="001E671B" w:rsidRPr="0052393E" w:rsidRDefault="001E671B" w:rsidP="0052393E">
      <w:pPr>
        <w:pStyle w:val="Style1"/>
      </w:pPr>
      <w:bookmarkStart w:id="39" w:name="_Toc233171650"/>
      <w:r w:rsidRPr="0052393E">
        <w:t>Experimental Non-Human Animal Studies</w:t>
      </w:r>
      <w:bookmarkEnd w:id="39"/>
    </w:p>
    <w:p w14:paraId="197DD951" w14:textId="77777777" w:rsidR="001E671B" w:rsidRPr="00694B60" w:rsidRDefault="001E671B" w:rsidP="001E671B">
      <w:pPr>
        <w:spacing w:line="480" w:lineRule="auto"/>
        <w:ind w:firstLine="720"/>
      </w:pPr>
      <w:r w:rsidRPr="00694B60">
        <w:t xml:space="preserve">Experimental studies utilizing non-human animals have been key to understanding metabolic effects on cortical bone, because studies using humans are limited </w:t>
      </w:r>
      <w:r>
        <w:t xml:space="preserve">in </w:t>
      </w:r>
      <w:r w:rsidRPr="00694B60">
        <w:t>experimental control</w:t>
      </w:r>
      <w:r>
        <w:t xml:space="preserve"> </w:t>
      </w:r>
      <w:r w:rsidRPr="00694B60">
        <w:t xml:space="preserve">and </w:t>
      </w:r>
      <w:r>
        <w:t xml:space="preserve">involve </w:t>
      </w:r>
      <w:r w:rsidRPr="00694B60">
        <w:t xml:space="preserve">the application </w:t>
      </w:r>
      <w:r>
        <w:t xml:space="preserve">of </w:t>
      </w:r>
      <w:r w:rsidRPr="00694B60">
        <w:t>invasive techniques. Researchers control and account for factors</w:t>
      </w:r>
      <w:r>
        <w:t xml:space="preserve"> </w:t>
      </w:r>
      <w:r w:rsidRPr="00694B60">
        <w:t>such as dietary intake, exercise, hormone levels, and the type and se</w:t>
      </w:r>
      <w:r>
        <w:t>verity of metabolic disturbance</w:t>
      </w:r>
      <w:r w:rsidRPr="00694B60">
        <w:t xml:space="preserve"> in experimental studies. Animal subjects can also be sacrificed to investigate bone properties through destructive methods, such as mechanical testing and histomorphometry. As reviewed in Chapter 2 and above, non-invasive imaging methods are inadequate in revealing many of these properties. Early studies on malnourished pigs and cockerels were among the first to demonstrate expanding medullary areas in long bone cross-sections coincident with reduced periosteal apposition (Dickerson and McCance, 1961; Pratt and McCance, 1961; McCance et al., 1962); these studies showed that severe calorie restriction increases bone resorption and inhibits bone formation. However, these experiments were conducted with small sample sizes and did not calculate the cross-sectional geometrical properties that account for bone mass distribution (e.g., second moments of area and section moduli). Therefore, while foundationally informative, their conclusions were somewhat limited in scope.</w:t>
      </w:r>
    </w:p>
    <w:p w14:paraId="0C06AF20" w14:textId="77777777" w:rsidR="001E671B" w:rsidRPr="00694B60" w:rsidRDefault="001E671B" w:rsidP="001E671B">
      <w:pPr>
        <w:spacing w:line="480" w:lineRule="auto"/>
        <w:ind w:firstLine="720"/>
      </w:pPr>
      <w:r w:rsidRPr="00694B60">
        <w:t xml:space="preserve">Recent, focused animal studies have revealed more about the location-specific and time-dependent skeletal effects of malnourishment-induced metabolic stress. Guinea pigs are good model organisms for human diseases, as human disorders (especially scurvy) may be induced in </w:t>
      </w:r>
      <w:r w:rsidRPr="00694B60">
        <w:lastRenderedPageBreak/>
        <w:t xml:space="preserve">them that other model organisms will not </w:t>
      </w:r>
      <w:r>
        <w:t>develop</w:t>
      </w:r>
      <w:r w:rsidRPr="00694B60">
        <w:t>. Induction of scurvy in developing guinea pigs caused decreased body weight, shorter femoral length, reductions in BMD at the distal and midshaft of the femur, and reduced trabecular number and thickness at the proximal tibia than occurred in control animals (Kipp et al., 1996). Most importantly, calculations of bending strength showed no significant differences between the experimental and control groups for the femur, indicating that, despite systemic effects of vitamin C deficiency on bone mass, femoral strength was not reduced. However, scorbic animals did exhibit lower vertebral body strength relative to controls (Kipp et al., 1996). Skeletal site-specific differences in responses to metabolic stress, then, occurred, with more adaptive compensation in appendicular long bones than in axial elements, wherein the amount of cortical bone is reduced relative to trabecular bone.</w:t>
      </w:r>
    </w:p>
    <w:p w14:paraId="77792907" w14:textId="77777777" w:rsidR="001E671B" w:rsidRPr="001E671B" w:rsidRDefault="001E671B" w:rsidP="001E671B">
      <w:pPr>
        <w:spacing w:line="480" w:lineRule="auto"/>
        <w:ind w:firstLine="720"/>
        <w:rPr>
          <w:rFonts w:eastAsia="Cambria"/>
        </w:rPr>
      </w:pPr>
      <w:r w:rsidRPr="00694B60">
        <w:t>Rats and mice, which are frequent models for malnutrition and osteoporosis research, have offered crucial insight into mechanisms of bone loss and potential treatment options. Ammann et al. (2000, 2002) demonstrated depressed periosteal apposition and enhanced endosteal resorption in the midshaft tibiae of</w:t>
      </w:r>
      <w:r w:rsidRPr="00694B60" w:rsidDel="00502429">
        <w:t xml:space="preserve"> </w:t>
      </w:r>
      <w:r w:rsidRPr="00694B60">
        <w:t xml:space="preserve">ovariectomized and protein-deficient adult rats. This supports early findings in pigs </w:t>
      </w:r>
      <w:r>
        <w:t xml:space="preserve">and </w:t>
      </w:r>
      <w:r w:rsidRPr="00694B60">
        <w:t xml:space="preserve">cockerels, though these effects were not present until 16 weeks following a protein-deficient diet. After 8 weeks of a low-protein diet, the only detectable deficits were low BMD at sites containing high proportions of trabecular bone (i.e., </w:t>
      </w:r>
      <w:r w:rsidRPr="001E671B">
        <w:rPr>
          <w:rFonts w:eastAsia="Cambria"/>
        </w:rPr>
        <w:t>proximal tibia, lumbar spine, proximal and distal femur) (Ammann et al., 2000). The authors proposed that metabolic stress might have an earlier effect on trabecular bone because of its relatively higher turnover rate, though continued malnutrition would eventually lead to cortical reductions. These conclusions were further supported by reversal of protein-deficiency in these rats, whereby the tibial midshaft was delayed in its osteogenic response to the restoration of a normalized diet in comparison with skeletal elements comprised of more cancellous bone (Ammann et al., 2002).</w:t>
      </w:r>
    </w:p>
    <w:p w14:paraId="0E70073D" w14:textId="77777777" w:rsidR="008438D8" w:rsidRDefault="001E671B" w:rsidP="008438D8">
      <w:pPr>
        <w:spacing w:line="480" w:lineRule="auto"/>
        <w:ind w:firstLine="720"/>
        <w:rPr>
          <w:rFonts w:eastAsia="Cambria"/>
        </w:rPr>
      </w:pPr>
      <w:r w:rsidRPr="001E671B">
        <w:rPr>
          <w:rFonts w:eastAsia="Cambria"/>
        </w:rPr>
        <w:lastRenderedPageBreak/>
        <w:t xml:space="preserve">Devlin et al. (2010) found similar reductions in body mass, bone length, and trabecular and cortical BMD at the midshaft and distal femur and the lumbar spine in calorie restricted, immature mice. After adjusting for differences in body mass, reductions in femoral cortical area and cross-sectional strength properties were not significantly different between experimental and control groups after 3 weeks of dietary restriction, but these were significantly lower in the experimental group after 9 weeks. However, after 12 weeks, alterations to material properties (inferred from three-point mechanical testing) suggested that malnourished mice were compensating for inferior macrostructure by altering local elastic modulus. </w:t>
      </w:r>
    </w:p>
    <w:p w14:paraId="75DF44B5" w14:textId="77777777" w:rsidR="008438D8" w:rsidRDefault="001E671B" w:rsidP="008438D8">
      <w:pPr>
        <w:spacing w:line="480" w:lineRule="auto"/>
        <w:ind w:firstLine="720"/>
      </w:pPr>
      <w:r w:rsidRPr="001E671B">
        <w:rPr>
          <w:rFonts w:eastAsia="Cambria"/>
        </w:rPr>
        <w:t>These results underscore the need for investigations of microarchitecture and quality in addition to macroscopic analyses. Furthermore, despite reduced total body fat, malnourished mice possessed higher femoral bone marrow adiposity than controls. Marrow adipocytes have an antagonizing effect on osteoblasts and osteoclasts and, thus, have been linked to reduced osteogenesis</w:t>
      </w:r>
      <w:r w:rsidRPr="00694B60">
        <w:t xml:space="preserve">. This relationship may be responsible for expanded medullary areas and enhanced endosteal resorption in human adolescents and young adults (Iorgi et al., 2008; Bredella et al., 2009; Casazza et al., 2012). </w:t>
      </w:r>
      <w:r w:rsidRPr="001E671B">
        <w:rPr>
          <w:rFonts w:eastAsia="Cambria"/>
        </w:rPr>
        <w:t>Additionally, although bone reductions were present in the vertebrae, the effect was less than what was observed in the femur (Devlin et al., 2010)</w:t>
      </w:r>
      <w:r w:rsidRPr="00694B60">
        <w:t xml:space="preserve">. The authors hypothesized that calorie restriction may cause greater deficits in cortical and trabecular bone in the appendicular skeleton relative to the axial skeleton during primary growth, perhaps as an adaptation to preserve hematopoietic stem cells. </w:t>
      </w:r>
    </w:p>
    <w:p w14:paraId="59D187D4" w14:textId="08C56F71" w:rsidR="001E671B" w:rsidRPr="008438D8" w:rsidRDefault="008438D8" w:rsidP="008438D8">
      <w:pPr>
        <w:spacing w:line="480" w:lineRule="auto"/>
        <w:ind w:firstLine="720"/>
        <w:rPr>
          <w:rFonts w:eastAsia="Cambria"/>
        </w:rPr>
      </w:pPr>
      <w:r w:rsidRPr="001E671B">
        <w:rPr>
          <w:rFonts w:eastAsia="Cambria"/>
        </w:rPr>
        <w:t>These studies have important implicat</w:t>
      </w:r>
      <w:r>
        <w:rPr>
          <w:rFonts w:eastAsia="Cambria"/>
        </w:rPr>
        <w:t xml:space="preserve">ions for the research presented in the </w:t>
      </w:r>
      <w:r w:rsidRPr="001E671B">
        <w:rPr>
          <w:rFonts w:eastAsia="Cambria"/>
        </w:rPr>
        <w:t>following chapters.</w:t>
      </w:r>
      <w:r>
        <w:rPr>
          <w:rFonts w:eastAsia="Cambria"/>
        </w:rPr>
        <w:t xml:space="preserve"> Like the formation of skeletal stress lesions, metabolic bone loss is varia</w:t>
      </w:r>
      <w:r w:rsidR="00D35FED">
        <w:rPr>
          <w:rFonts w:eastAsia="Cambria"/>
        </w:rPr>
        <w:t xml:space="preserve">ble in its degree of expression, </w:t>
      </w:r>
      <w:r>
        <w:rPr>
          <w:rFonts w:eastAsia="Cambria"/>
        </w:rPr>
        <w:t>timing of response</w:t>
      </w:r>
      <w:r w:rsidR="00D35FED">
        <w:rPr>
          <w:rFonts w:eastAsia="Cambria"/>
        </w:rPr>
        <w:t>, and distribution within the skeleton</w:t>
      </w:r>
      <w:r>
        <w:rPr>
          <w:rFonts w:eastAsia="Cambria"/>
        </w:rPr>
        <w:t xml:space="preserve">. </w:t>
      </w:r>
      <w:r w:rsidR="00D35FED">
        <w:rPr>
          <w:rFonts w:eastAsia="Cambria"/>
        </w:rPr>
        <w:t xml:space="preserve">The physiological stressor must be of a certain duration and magnitude to affect cortical bone; and, therefore, is </w:t>
      </w:r>
      <w:r w:rsidR="00D35FED">
        <w:rPr>
          <w:rFonts w:eastAsia="Cambria"/>
        </w:rPr>
        <w:lastRenderedPageBreak/>
        <w:t xml:space="preserve">more likely to be present in individuals from cemetery samples who experience and recover from chronic stress and not in those who succumb to a stressor quickly. </w:t>
      </w:r>
      <w:r w:rsidR="001E671B" w:rsidRPr="00694B60">
        <w:t>Whether predisposition to metabolic bone loss in appendicular elements holds true for immature humans remains to be seen; however, its existence would refute the mechanostat model. Higher rates of bone loss in the human femur relative to axial regions suggests heightened importance of metabolic over mechanical demands, in terms of ultimate effects on bone strength. Studies such as these highlight the complex relationships among environmental factors and caution against wholesale acceptance of bone optimization theory.</w:t>
      </w:r>
    </w:p>
    <w:p w14:paraId="0CF8DAB6" w14:textId="77777777" w:rsidR="001E671B" w:rsidRPr="001E671B" w:rsidRDefault="001E671B" w:rsidP="001E671B">
      <w:pPr>
        <w:spacing w:line="480" w:lineRule="auto"/>
        <w:ind w:firstLine="720"/>
        <w:rPr>
          <w:rFonts w:eastAsia="Cambria"/>
        </w:rPr>
      </w:pPr>
    </w:p>
    <w:p w14:paraId="41EB3256" w14:textId="77777777" w:rsidR="001E671B" w:rsidRPr="0052393E" w:rsidRDefault="001E671B" w:rsidP="0052393E">
      <w:pPr>
        <w:pStyle w:val="Style1"/>
      </w:pPr>
      <w:bookmarkStart w:id="40" w:name="_Toc233171651"/>
      <w:r w:rsidRPr="0052393E">
        <w:t>Human Clinical Studies</w:t>
      </w:r>
      <w:bookmarkEnd w:id="40"/>
    </w:p>
    <w:p w14:paraId="76F6EC40" w14:textId="61A3A524" w:rsidR="001E671B" w:rsidRPr="00694B60" w:rsidRDefault="001E671B" w:rsidP="001E671B">
      <w:pPr>
        <w:spacing w:line="480" w:lineRule="auto"/>
        <w:ind w:firstLine="720"/>
      </w:pPr>
      <w:r w:rsidRPr="00694B60">
        <w:t>The bone-specific and surface-specific effects of metabolic disorders demonstrated in experimental animal studies are generally supported by research of human responses to metabolic stressors. Most human clinical studies can be categorized into two groups: those that correlate BMD and/or strength properties with dietary intake deduced from questionnaires</w:t>
      </w:r>
      <w:r>
        <w:t xml:space="preserve"> </w:t>
      </w:r>
      <w:r w:rsidRPr="00694B60">
        <w:t xml:space="preserve">and those that monitor bone properties under specific levels of vitamin supplementation. These analyses have documented strong positive relationships between adequate dietary mineral levels (especially calcium) and BMD, as well as peak bone mass, across multiple skeletal locations in both adults (Chiu et al., 1997; </w:t>
      </w:r>
      <w:r>
        <w:t xml:space="preserve">Riggs et al., 1998; </w:t>
      </w:r>
      <w:r w:rsidRPr="00694B60">
        <w:t xml:space="preserve">Heaney, 2000; Kumar et al., 2010) and immature individuals (Matkovic et al., 1990; </w:t>
      </w:r>
      <w:r>
        <w:t xml:space="preserve">Specker and Binkley, 2003; </w:t>
      </w:r>
      <w:r w:rsidRPr="00694B60">
        <w:t>Vatanparast et al., 2007</w:t>
      </w:r>
      <w:r>
        <w:t>; Prais et al., 2008</w:t>
      </w:r>
      <w:r w:rsidRPr="00694B60">
        <w:t xml:space="preserve">). These relationships underscore the systemic response of bone to metabolic demands. Most research outcomes have influenced clinical methods for reducing or preventing osteoporosis; however the subjects are typically healthy individuals without </w:t>
      </w:r>
      <w:r w:rsidRPr="00694B60">
        <w:lastRenderedPageBreak/>
        <w:t>significant nutritional deficiencies. Thus, research using human subjects exp</w:t>
      </w:r>
      <w:r>
        <w:t xml:space="preserve">eriencing chronic malnutrition </w:t>
      </w:r>
      <w:r w:rsidR="00C05913">
        <w:t>is</w:t>
      </w:r>
      <w:r w:rsidRPr="00694B60">
        <w:t xml:space="preserve"> more relevant to this study.</w:t>
      </w:r>
      <w:r w:rsidRPr="00694B60" w:rsidDel="00C55797">
        <w:t xml:space="preserve"> </w:t>
      </w:r>
      <w:r w:rsidRPr="00694B60">
        <w:t>For this reason, discussion of human subjects research focuses on conclusions drawn from studies of individuals suffering from anorexia nervosa.</w:t>
      </w:r>
    </w:p>
    <w:p w14:paraId="79D23960" w14:textId="77777777" w:rsidR="001E671B" w:rsidRPr="00694B60" w:rsidRDefault="001E671B" w:rsidP="001E671B">
      <w:pPr>
        <w:spacing w:line="480" w:lineRule="auto"/>
        <w:ind w:firstLine="720"/>
      </w:pPr>
      <w:r w:rsidRPr="00694B60">
        <w:t>Anorexia nervosa (AN) is a psychopathological eating disorder that disproportionately affects female adolescents and young adults, and is associated with reductions in body weight, lean body mass, and percent body fat, as well as diminished trabecular and cortical BMD. Researchers have estimated that roughly 90% of adult and adolescent women with AN have osteopenia and about 40-50% have osteoporosis, suggesting that bone loss is almost a universal trait of this disorder (Legroux-Gerot et al., 2007). This bone loss is commonly permanent, despite full recovery from the disorder</w:t>
      </w:r>
      <w:r>
        <w:t xml:space="preserve"> (Kooh et al., 1996</w:t>
      </w:r>
      <w:r w:rsidRPr="00694B60">
        <w:t xml:space="preserve">). Although evidence points to uncoupled mineral metabolism in AN, the exact mechanisms of bone loss are poorly understood, mainly due to over-reliance on evaluating BMD through imaging methods (e.g., DXA) that are incapable of calculating true bone material losses (see </w:t>
      </w:r>
      <w:r w:rsidRPr="00BF7A5B">
        <w:t>Chapter 2</w:t>
      </w:r>
      <w:r w:rsidRPr="00694B60">
        <w:rPr>
          <w:i/>
        </w:rPr>
        <w:t xml:space="preserve"> </w:t>
      </w:r>
      <w:r w:rsidRPr="00694B60">
        <w:t xml:space="preserve">for a full discussion). As reviewed above, multiple hormonal and nutritional factors contribute to metabolic deprivation leading to bone loss; the chronic undernutrition in AN patients is linked to low levels of estrogen, insulin-like growth factor I (IGF-I), vitamin D, leptin, and testosterone (Fernandez-Garcia et al., 2009). Amenorrhea is common in females with AN, and the associated estrogen deficiency is likely responsible for significant bone mass reductions in many cases (Klibanski et al., 1995; Munoz et al., 2002), though it is certainly not the only factor contributing to low bone mass (Bachrach et al., 1990; Valla et al., 2000; Roberto et al., 2008), and males with AN also suffer significant bone loss (Castro et al., 2002; Misra et al., 2008). </w:t>
      </w:r>
    </w:p>
    <w:p w14:paraId="10F007E5" w14:textId="77777777" w:rsidR="001E671B" w:rsidRPr="00694B60" w:rsidRDefault="001E671B" w:rsidP="001E671B">
      <w:pPr>
        <w:spacing w:line="480" w:lineRule="auto"/>
        <w:ind w:firstLine="720"/>
      </w:pPr>
      <w:r>
        <w:t xml:space="preserve">Studies of AN </w:t>
      </w:r>
      <w:r w:rsidRPr="00694B60">
        <w:t xml:space="preserve">are relevant to the present study especially because of their capacity to compare effects of body mass (i.e., mechanical effects) with those that arise from undernutrition </w:t>
      </w:r>
      <w:r w:rsidRPr="00694B60">
        <w:lastRenderedPageBreak/>
        <w:t xml:space="preserve">(i.e., metabolic effects). Galusca et al. (2008), for example, compared constitutionally thin (non-anorexic) women with low body mass to anorexics and controls. Results of their study indicate that low bone mass and strength in anorexics and other chronically undernourished individuals may be more closely associated with the relationship between nutrition and body mass rather than simply nutritional factors themselves. Despite constitutionally thin women having significantly higher fat mass and no indication of abnormal bone turnover (i.e., normal urinary bone markers), both constitutionally thin women and anorexics possessed decreased BMD at the femoral neck and lumbar spine and reduced bending strength at the radius and tibia (with effects greater at the tibia than the radius). However, significantly reduced cross-sectional geometry at the femoral neck and shaft in adolescent anorexics relative to controls persisted even after adjusting for lean mass, suggesting that metabolic </w:t>
      </w:r>
      <w:r w:rsidRPr="00694B60">
        <w:rPr>
          <w:i/>
        </w:rPr>
        <w:t>and</w:t>
      </w:r>
      <w:r w:rsidRPr="00694B60">
        <w:t xml:space="preserve"> loading factors may both affect the lower limb (DeVista et al., 2007). There did not appear to be periosteal compensation for expanded endosteal borders in these individuals, providing support for the possible influence of metabolic disturbance on even strongly loaded skeletal elements (DeVista et al., 2007).</w:t>
      </w:r>
    </w:p>
    <w:p w14:paraId="636BA4F2" w14:textId="77777777" w:rsidR="001E671B" w:rsidRPr="00694B60" w:rsidRDefault="001E671B" w:rsidP="001E671B">
      <w:pPr>
        <w:spacing w:line="480" w:lineRule="auto"/>
        <w:ind w:firstLine="720"/>
      </w:pPr>
      <w:r w:rsidRPr="00694B60">
        <w:t xml:space="preserve">Moreover, analyses of reductions in BMD that occur with AN reveal differential responses to systemic metabolic stress throughout the skeleton, particularly during growth, though </w:t>
      </w:r>
      <w:r>
        <w:t xml:space="preserve">the </w:t>
      </w:r>
      <w:r w:rsidRPr="00694B60">
        <w:t xml:space="preserve">variation </w:t>
      </w:r>
      <w:r>
        <w:t xml:space="preserve">in </w:t>
      </w:r>
      <w:r w:rsidRPr="00694B60">
        <w:t xml:space="preserve">specific skeletal location effects remain unclear. Positive relationships have been found between BMD deficits and weight loss (Baker et al., 2000; Wong et al., 2004) and with longer durations at lower weight (Hotta et al., 1998). The most drastic effects on BMD take place prior to peak bone mass—that is, during primary growth—and the affected skeletal locations appear to vary depending on the age of metabolic disturbance and the magnitude of mechanical influence. Seeman and colleagues (2001) discovered that adult AN onset resulted in modest reductions in bone mass mostly in the spine, whereas onset prior to puberty, and </w:t>
      </w:r>
      <w:r w:rsidRPr="00694B60">
        <w:lastRenderedPageBreak/>
        <w:t xml:space="preserve">especially during early puberty, caused considerable deficits in </w:t>
      </w:r>
      <w:r>
        <w:t xml:space="preserve">both </w:t>
      </w:r>
      <w:r w:rsidRPr="00694B60">
        <w:t xml:space="preserve">lumbar vertebrae </w:t>
      </w:r>
      <w:r w:rsidRPr="007322CE">
        <w:rPr>
          <w:i/>
        </w:rPr>
        <w:t xml:space="preserve">and </w:t>
      </w:r>
      <w:r w:rsidRPr="00694B60">
        <w:t>femora. They concluded that rapid appendicular growth during early ontogeny was responsible for the differences in axial and appendicular skeletal responses to undernutrition. Similarly, in adult women who developed AN as adolescents</w:t>
      </w:r>
      <w:r>
        <w:t>,</w:t>
      </w:r>
      <w:r w:rsidRPr="00694B60">
        <w:t xml:space="preserve"> reduced adult cortical BMD was most pronounced in the radius relative to the hip and spine (Milos et al., 2005). Seeman et al. (1992) documented hormonal effects on the lumbar vertebrae but not femora in anorexic women taking oral contraceptives, but anorexic women who exercised possessed higher BMD at the femoral neck than sedentary controls and sedentary anorexics. From these results, the authors inferred that axial regions may be more sensitive to hormonal inputs, while appendicular areas may respond better to weight-bearing exercise. These studies suggest skeletal site-specific differences in relative responses to local mechanical and systemic metabolic inputs.</w:t>
      </w:r>
    </w:p>
    <w:p w14:paraId="33A3C011" w14:textId="77777777" w:rsidR="001E671B" w:rsidRPr="00694B60" w:rsidRDefault="001E671B" w:rsidP="001E671B">
      <w:pPr>
        <w:spacing w:line="480" w:lineRule="auto"/>
        <w:ind w:firstLine="720"/>
      </w:pPr>
      <w:r w:rsidRPr="00694B60">
        <w:t xml:space="preserve">While AN reductions in BMD are well-documented, researchers have scrutinized them, as these studies are not able to directly measure </w:t>
      </w:r>
      <w:r w:rsidRPr="00694B60">
        <w:rPr>
          <w:i/>
        </w:rPr>
        <w:t xml:space="preserve">actual </w:t>
      </w:r>
      <w:r w:rsidRPr="00694B60">
        <w:t xml:space="preserve">bone loss in malnourished individuals. The critiques raise an important caveat in using the results summarized above uncritically to inform expectations for the present study. In a recent article, Bolotin (2011) gives a strong argument for questioning results from AN studies utilizing DXA and other such imaging techniques, as it is widely-known that that this imaging method will misestimate differences in bone mass under conditions of altered extra-skeletal fat and intraosseus marrow conditions. Therefore, BMD studies on malnourished individuals are particularly prone to inaccuracy. Errors would be especially predominant in skeletal locations with high trabecular bone, such as the lumbar spine and femoral neck, the only sites which have shown consistent evidence of bone loss with AN across numerous studies. A combination of cross-sectional geometric and histomorphometric analyses at the same skeletal sites would be beneficial in confirming or </w:t>
      </w:r>
      <w:r w:rsidRPr="00694B60">
        <w:lastRenderedPageBreak/>
        <w:t xml:space="preserve">denying the existence and location of possible metabolic bone loss; such studies are rare in the clinical literature, and when histomorphometric analyses are incorporated, they frequently involve trabecular architecture, rather than cortical histology, in conjunction with trabecular or cortical BMD as supplementary evidence of bone loss (see </w:t>
      </w:r>
      <w:r w:rsidRPr="00694B60">
        <w:rPr>
          <w:i/>
        </w:rPr>
        <w:t xml:space="preserve">Micromorphology </w:t>
      </w:r>
      <w:r w:rsidRPr="00694B60">
        <w:t xml:space="preserve">below). Without such methodologies, it is difficult to deduce the exact effects of bone loss on cortical strength. For example, decreased trabecular microarchitecture at the distal radius in AN patients without a concomitant reduction in BMD at this site (Lawson et al., 2010; Bredella et al., 2008) is difficult to interpret, as DXA cannot distinguish between cortical and trabecular bone. Furthermore, few AN studies take into account loading differences between skeletal sites or variation in activity levels between individuals, which could have a significant influence on how metabolic bone deficits are distributed within the body. </w:t>
      </w:r>
    </w:p>
    <w:p w14:paraId="2C0C1216" w14:textId="77777777" w:rsidR="001E671B" w:rsidRPr="001E671B" w:rsidRDefault="001E671B" w:rsidP="001E671B">
      <w:pPr>
        <w:spacing w:line="480" w:lineRule="auto"/>
        <w:ind w:firstLine="720"/>
        <w:rPr>
          <w:rFonts w:ascii="AdvTT5235d5a9" w:eastAsia="Cambria" w:hAnsi="AdvTT5235d5a9" w:cs="AdvTT5235d5a9"/>
          <w:color w:val="231F20"/>
        </w:rPr>
      </w:pPr>
    </w:p>
    <w:p w14:paraId="661E9B86" w14:textId="77777777" w:rsidR="001E671B" w:rsidRPr="0052393E" w:rsidRDefault="001E671B" w:rsidP="0052393E">
      <w:pPr>
        <w:pStyle w:val="Style1"/>
      </w:pPr>
      <w:bookmarkStart w:id="41" w:name="_Toc233171652"/>
      <w:r w:rsidRPr="0052393E">
        <w:t>Application to Anthropology</w:t>
      </w:r>
      <w:bookmarkEnd w:id="41"/>
    </w:p>
    <w:p w14:paraId="3F415319" w14:textId="77777777" w:rsidR="001E671B" w:rsidRPr="00694B60" w:rsidRDefault="001E671B" w:rsidP="001E671B">
      <w:pPr>
        <w:spacing w:line="480" w:lineRule="auto"/>
        <w:ind w:firstLine="720"/>
      </w:pPr>
      <w:r w:rsidRPr="00694B60">
        <w:t>The advantage of clinical and experimental studies is that the etiologies of conditions, as well as the pathological conditions, are documented with respect to osteological effects. Yet, anthropological perspectives contribute unique insight into skeletal mass and health through the appreciation of individual variation and capacity for human biocultural adaptation to stressful events. The nature of skeletal samples from past populations also permits exact evaluation of cortical bone macrostructure through methods (e.g., cross-sectional geometry) more conducive to understanding the effects of metabolic shifts on bone strength than is possible in clinical studies.</w:t>
      </w:r>
    </w:p>
    <w:p w14:paraId="481DC3BE" w14:textId="77777777" w:rsidR="001E671B" w:rsidRPr="00694B60" w:rsidRDefault="001E671B" w:rsidP="001E671B">
      <w:pPr>
        <w:spacing w:line="480" w:lineRule="auto"/>
        <w:ind w:firstLine="720"/>
      </w:pPr>
    </w:p>
    <w:p w14:paraId="38EB2BD0" w14:textId="77777777" w:rsidR="001E671B" w:rsidRPr="00694B60" w:rsidRDefault="001E671B" w:rsidP="001E671B">
      <w:pPr>
        <w:spacing w:line="480" w:lineRule="auto"/>
        <w:ind w:firstLine="720"/>
      </w:pPr>
      <w:r w:rsidRPr="00694B60">
        <w:rPr>
          <w:b/>
        </w:rPr>
        <w:lastRenderedPageBreak/>
        <w:t xml:space="preserve">Adult Research. </w:t>
      </w:r>
      <w:r w:rsidRPr="00694B60">
        <w:t>In biological anthropology studies, reduced cortical area in various skeletal elements has been used to infer health status in adult skeletal samples. For example, reduced macroscopic bone mass in ribs was found in association with pellagra in 20</w:t>
      </w:r>
      <w:r w:rsidRPr="00694B60">
        <w:rPr>
          <w:vertAlign w:val="superscript"/>
        </w:rPr>
        <w:t>th</w:t>
      </w:r>
      <w:r w:rsidRPr="00694B60">
        <w:t>-century black South Africans from the Raymond Dart skeletal collection (Paine and Brenton, 2006; Brenton and Paine, 2007). In this sample, reduced rib mass was correlated with pathological indicators of non-specific metabolic stress associated with malnutrition, including dental caries, cribra orbitalia, enamel hypoplasia, periostitis, and osteomyelitis (Paine and Brenton, 2006). Likewise, long bone cortical loss has previously been used to indicate metabolic stress (Garn et al., 1964, 1969; Martin and Armelagos, 1979; Martin et al., 1985; Mays et al., 2009) and track dietary shifts in past populations (Garn, 1970; Pfei</w:t>
      </w:r>
      <w:r>
        <w:t>ffer and King, 1983; Cook, 1984; Bridges, 1989; Larsen, 1995</w:t>
      </w:r>
      <w:r w:rsidRPr="00694B60">
        <w:t xml:space="preserve">). Periosteal compensation for increased medullary area in the metacarpals of malnourished, living Guatemalan boys demonstrated the influence of metabolic bone loss on long bone cortices (Garn et al., 1964, 1969). Many other studies have </w:t>
      </w:r>
      <w:r>
        <w:t>shown</w:t>
      </w:r>
      <w:r w:rsidRPr="00694B60">
        <w:t xml:space="preserve"> a global trend towards increased osteopenia in agricultural groups relative to foraging societies (Cohen, 1989; Martin et al., 1984; Ulijaszek, 1991; Larsen, 2003)</w:t>
      </w:r>
      <w:r>
        <w:t xml:space="preserve">. </w:t>
      </w:r>
      <w:r w:rsidRPr="00694B60">
        <w:t>This tendency for inferior skeletal health to accompany agricultural subsistence may be due to intensifying reliance on cereals, which are poor sources of vitamins C, A, and D, as well as having low levels of iron, calcium, and sodium (Brickley and Ives, 2008).</w:t>
      </w:r>
    </w:p>
    <w:p w14:paraId="30FC9199" w14:textId="77777777" w:rsidR="001E671B" w:rsidRPr="00694B60" w:rsidRDefault="001E671B" w:rsidP="001E671B">
      <w:pPr>
        <w:spacing w:line="480" w:lineRule="auto"/>
        <w:ind w:firstLine="720"/>
      </w:pPr>
      <w:r w:rsidRPr="00694B60">
        <w:t xml:space="preserve">Complex and unexpected patterns in diaphyseal robusticity within and between human populations have also shed light on potential nutritional effects. Most of these insights emerge from comparisons between human populations with dietary differences, dissimilar subsistence strategies, or varying activity levels. For instance, foraging adults from groups that lived in the Western Great Basin had extremely low femoral CA relative to other foraging groups but high </w:t>
      </w:r>
      <w:r w:rsidRPr="00694B60">
        <w:lastRenderedPageBreak/>
        <w:t xml:space="preserve">femoral TA and J, as well as greatly reduced humeral CA and J (Larsen et al., 1995). The presence of high strength in the femur in spite of reductions to bone mass indicates higher mechanical loading in the lower limb, and thus greater mobility or movement in a more rugged environment; however, the low CA in both the femur and humerus was argued to be indicative of some type of systemic metabolic influence (Larsen et al., 1995; Larsen, 1997). </w:t>
      </w:r>
    </w:p>
    <w:p w14:paraId="646A558C" w14:textId="77777777" w:rsidR="001E671B" w:rsidRPr="00694B60" w:rsidRDefault="001E671B" w:rsidP="001E671B">
      <w:pPr>
        <w:spacing w:line="480" w:lineRule="auto"/>
        <w:ind w:firstLine="720"/>
      </w:pPr>
      <w:r w:rsidRPr="00694B60">
        <w:t>Fewer studies have made comparisons of cross-sectional geometrical properties among subgroups</w:t>
      </w:r>
      <w:r w:rsidRPr="00694B60" w:rsidDel="00527C98">
        <w:t xml:space="preserve"> </w:t>
      </w:r>
      <w:r w:rsidRPr="00694B60">
        <w:t xml:space="preserve">within populations </w:t>
      </w:r>
      <w:r>
        <w:t>to</w:t>
      </w:r>
      <w:r w:rsidRPr="00694B60">
        <w:t xml:space="preserve"> </w:t>
      </w:r>
      <w:r>
        <w:t xml:space="preserve">assess dietary </w:t>
      </w:r>
      <w:r w:rsidRPr="00694B60">
        <w:t>differences (e.g., due to socioeconomic status or social hierarchy). Based on burial location in mounds versus villages at the Dallas Site in East Tennessee, Hatch et al. (1983) found smaller CA in the femoral midshafts of high status adults relative to low status adults. Though high status individuals frequently engage in less physical activity than low status individuals (Maggiano et al., 2008)—which in turn could have accounted for decreased cortical bone in mound burials (Hatch et al., 1983)—this trend could also be due to nutritional differences. Improved nutrition is not a universal characteristic of high status individuals</w:t>
      </w:r>
      <w:r>
        <w:t xml:space="preserve"> (Danforth, 1999</w:t>
      </w:r>
      <w:r w:rsidR="00CC3669">
        <w:t>; Buzon, 2006</w:t>
      </w:r>
      <w:r w:rsidRPr="00694B60">
        <w:t>). Evaluation of cross-sectional strength properties in addition to cortical area in this population and the comparison of both highly loaded and relatively less loaded skeletal elements could possibly have improved the ability to effectively ascertain the cause of reduced macroscopic bone mass among status groups. Studies of bilateral directional asymmetry in the upper limbs, similarly, would also shine light on possible causes (e.g., Stock and Pfeiffer, 2004).</w:t>
      </w:r>
    </w:p>
    <w:p w14:paraId="5E60DA30" w14:textId="77777777" w:rsidR="001E671B" w:rsidRPr="00694B60" w:rsidRDefault="001E671B" w:rsidP="001E671B">
      <w:pPr>
        <w:spacing w:line="480" w:lineRule="auto"/>
        <w:ind w:firstLine="720"/>
      </w:pPr>
      <w:r w:rsidRPr="00694B60">
        <w:t>Like many clinical studies, anthropological examinations of metabolic status tend to draw exact associations between diet and macroscopic bone mass without attempting to account for the influence of mechanical loading. Comparisons are frequently made within the same element across populations with potentially different a</w:t>
      </w:r>
      <w:r>
        <w:t>nd unknown behavioral activity</w:t>
      </w:r>
      <w:r w:rsidRPr="00694B60">
        <w:t xml:space="preserve">. As discussed </w:t>
      </w:r>
      <w:r w:rsidRPr="00694B60">
        <w:lastRenderedPageBreak/>
        <w:t xml:space="preserve">previously, measures of cortical area may relay incomplete information on bone health due to mechanical adaptations (Ruff and Larsen, 1990; Ruff, 1992; Pfeiffer and Lazenby, 1994). Accounting for mechanical effects is especially important when the skeletal location of interest is under strong loading demands (i.e., long bones), and recent appreciation of this fact has led to increased reliance on regions that experience less mechanical loading (e.g., rib cage) for metabolic assessments (Robling and Stout, 2003; Agnew and Stout, 2012). On the other hand, and crucial to the present study, although this approach is certainly the more suitable one for metabolic studies, overreliance of analyses on a particular skeletal region of interest and a single environmental factor of interest has restricted the ability to shed light on interaction effects between mechanics and metabolism within the body. Furthermore, due to this restriction in research the systemic manifestation of macroscopic bone loss due to metabolic stress has not been thoroughly demonstrated in an archaeological sample, though systemic effects are frequently presumed (see Hypothesis 1a in </w:t>
      </w:r>
      <w:r w:rsidRPr="0052294C">
        <w:t>Chapter 1</w:t>
      </w:r>
      <w:r w:rsidRPr="00694B60">
        <w:t>). Only if systemic bone loss is evident among all skeletal elements, regardless of the magnitude of mechanical loading, would the strong metabolic influences warrant examination of any single skeletal location for health status.</w:t>
      </w:r>
    </w:p>
    <w:p w14:paraId="449F46B8" w14:textId="77777777" w:rsidR="001E671B" w:rsidRPr="00694B60" w:rsidRDefault="001E671B" w:rsidP="001E671B">
      <w:pPr>
        <w:spacing w:line="480" w:lineRule="auto"/>
        <w:ind w:firstLine="720"/>
      </w:pPr>
    </w:p>
    <w:p w14:paraId="2D68CE2C" w14:textId="77777777" w:rsidR="001E671B" w:rsidRPr="00694B60" w:rsidRDefault="001E671B" w:rsidP="001E671B">
      <w:pPr>
        <w:spacing w:line="480" w:lineRule="auto"/>
        <w:ind w:firstLine="720"/>
      </w:pPr>
      <w:r w:rsidRPr="00694B60">
        <w:rPr>
          <w:b/>
        </w:rPr>
        <w:t>Ontogenetic Research.</w:t>
      </w:r>
      <w:r w:rsidRPr="00694B60">
        <w:t xml:space="preserve"> Subadult skeletal remains </w:t>
      </w:r>
      <w:r>
        <w:t>present additional methods to those available in adult skeletons for examining the effects of metabolic stress macroscopically.</w:t>
      </w:r>
      <w:r w:rsidRPr="00694B60">
        <w:t xml:space="preserve"> </w:t>
      </w:r>
      <w:r>
        <w:t>L</w:t>
      </w:r>
      <w:r w:rsidRPr="00694B60">
        <w:t>ong bone growth (both linear and appositional) is considered a sensitive indicator of metabolic status in modern and past populations (Hoppa, 1992; Saunders et al., 1993b; Mays, 1999; Stinson, 2000; Lewis, 2002; Pinhasi et al., 2005, 2006). Rib</w:t>
      </w:r>
      <w:r>
        <w:t>s</w:t>
      </w:r>
      <w:r w:rsidRPr="00694B60">
        <w:t xml:space="preserve">, however, have not been systematically analyzed in </w:t>
      </w:r>
      <w:r w:rsidR="00FF21E7">
        <w:t>subadults</w:t>
      </w:r>
      <w:r w:rsidRPr="00694B60">
        <w:t xml:space="preserve"> to infer health. In one of the first analyses of health effects on </w:t>
      </w:r>
      <w:r w:rsidR="00FF21E7">
        <w:t xml:space="preserve">subadult </w:t>
      </w:r>
      <w:r w:rsidRPr="00694B60">
        <w:t xml:space="preserve">cortical bone, Cook (1979) interpreted a decline in early childhood long bone cortical thickness </w:t>
      </w:r>
      <w:r w:rsidRPr="00694B60">
        <w:lastRenderedPageBreak/>
        <w:t>as an indication of weaning stress.</w:t>
      </w:r>
      <w:r>
        <w:t xml:space="preserve"> This conclusion carried over into other analyses, which refined Cook’s findings.</w:t>
      </w:r>
      <w:r w:rsidRPr="00694B60">
        <w:t xml:space="preserve"> </w:t>
      </w:r>
      <w:r>
        <w:t>For example, i</w:t>
      </w:r>
      <w:r w:rsidRPr="00694B60">
        <w:t>n an exceptionally malnourished population in Sudanese Nubia (Kulubnarti), premature osteoporosis was potentially induced through lifelong nutritional inadequacy due to over-reliance on agricultural crops (Martin et al., 1985; Hummert, 1983). Tibial bone length appeared to be maintained throughout growth</w:t>
      </w:r>
      <w:r>
        <w:t xml:space="preserve"> among the Kulubnarti</w:t>
      </w:r>
      <w:r w:rsidRPr="00694B60">
        <w:t>, but deficits in percent</w:t>
      </w:r>
      <w:r w:rsidRPr="00694B60">
        <w:rPr>
          <w:i/>
        </w:rPr>
        <w:t xml:space="preserve"> </w:t>
      </w:r>
      <w:r w:rsidRPr="00694B60">
        <w:t xml:space="preserve">cortical area and second moments of area indicated greater endosteal resorption immediately after weaning and following age </w:t>
      </w:r>
      <w:r>
        <w:t>twelve</w:t>
      </w:r>
      <w:r w:rsidRPr="00694B60">
        <w:t xml:space="preserve"> (Hummert, 1983; Van Gerven et al., 1985). Rapid increases in second moments of area tended to follow periods of enhanced bone loss, so that subadults were mimicking adaptive responses documented in postmenopausal women at Pecos Pueblo, described by Ruff and Hayes (1983) (Van Gerven et al., 1985). However, once </w:t>
      </w:r>
      <w:r>
        <w:t xml:space="preserve">subadult </w:t>
      </w:r>
      <w:r w:rsidRPr="00694B60">
        <w:t>samples were examined</w:t>
      </w:r>
      <w:r>
        <w:t xml:space="preserve"> from a variety of sites representing different subsistence practices and health statuses</w:t>
      </w:r>
      <w:r w:rsidRPr="00694B60">
        <w:t xml:space="preserve">, </w:t>
      </w:r>
      <w:r>
        <w:t xml:space="preserve">Cowgill (2008) demonstrated that </w:t>
      </w:r>
      <w:r w:rsidRPr="00694B60">
        <w:t>this pattern was evidently a consequence of normal growth patterns</w:t>
      </w:r>
      <w:r w:rsidR="00FF21E7">
        <w:t xml:space="preserve"> </w:t>
      </w:r>
      <w:r w:rsidRPr="00694B60">
        <w:t xml:space="preserve">and not a convincing indicator of metabolic stress. The patterns appear to occur due to cortical area lagging behind growth in bone length and body mass, especially in individuals who </w:t>
      </w:r>
      <w:r>
        <w:t>have low mass for their statures</w:t>
      </w:r>
      <w:r w:rsidRPr="00694B60">
        <w:t xml:space="preserve"> (Ruff et al., 1994; Ruff, 2003a; Cowgill, 2008).</w:t>
      </w:r>
    </w:p>
    <w:p w14:paraId="28BA32D8" w14:textId="77777777" w:rsidR="001E671B" w:rsidRPr="00694B60" w:rsidRDefault="001E671B" w:rsidP="001E671B">
      <w:pPr>
        <w:spacing w:line="480" w:lineRule="auto"/>
      </w:pPr>
      <w:r w:rsidRPr="00694B60">
        <w:tab/>
        <w:t>A</w:t>
      </w:r>
      <w:r>
        <w:t xml:space="preserve"> recent a</w:t>
      </w:r>
      <w:r w:rsidRPr="00694B60">
        <w:t xml:space="preserve">nalysis of subadult cross-sectional geometry has returned results that conflict with those connecting dietary insufficiency and low bone mass in adults. Garafalo (2012) compared high and low status subadults from the Barton-upon-Humber cemetery and found no statistically significant differences in body size, bone length, growth trajectories, and articular dimensions, </w:t>
      </w:r>
      <w:r>
        <w:t>though these differences would be expected</w:t>
      </w:r>
      <w:r w:rsidRPr="00694B60">
        <w:t>. However, high status individuals tend</w:t>
      </w:r>
      <w:r>
        <w:t>ed</w:t>
      </w:r>
      <w:r w:rsidRPr="00694B60">
        <w:t xml:space="preserve"> to have greater diaphyseal cross-sectional properties for size in the humerus, femur and tibia, although results do not reach significance until the age of 14 and only in the femur. This </w:t>
      </w:r>
      <w:r w:rsidRPr="00694B60">
        <w:lastRenderedPageBreak/>
        <w:t xml:space="preserve">pattern does not support the hypothesis that high status children and adolescents were engaged in less manual labor than those of low socioeconomic status. Also contrary to expectations, high status subadults under the age of four possessed </w:t>
      </w:r>
      <w:r w:rsidRPr="00694B60">
        <w:rPr>
          <w:i/>
        </w:rPr>
        <w:t>lower</w:t>
      </w:r>
      <w:r w:rsidRPr="00694B60">
        <w:t xml:space="preserve"> percent cortical areas and higher medullary areas compared to low status individuals of the same age, though this difference was not statistically significant due to </w:t>
      </w:r>
      <w:r>
        <w:t>small</w:t>
      </w:r>
      <w:r w:rsidRPr="00694B60">
        <w:t xml:space="preserve"> sample sizes. These results point to inadequate nutrition (e.g., improper feeding practices among higher classes) and more vigorous mechanical loading before mid-adolescence in higher status individuals. </w:t>
      </w:r>
    </w:p>
    <w:p w14:paraId="0A3D5F8A" w14:textId="77777777" w:rsidR="001E671B" w:rsidRPr="00694B60" w:rsidRDefault="001E671B" w:rsidP="001E671B">
      <w:pPr>
        <w:spacing w:line="480" w:lineRule="auto"/>
        <w:ind w:firstLine="720"/>
      </w:pPr>
      <w:r w:rsidRPr="00694B60">
        <w:t xml:space="preserve">Garafalo (2012) proposed that such unexpected patterns could be caused by selective mortality. High status infants and children may have had better access to medical care, and therefore, unhealthy individuals were more likely to survive long enough to develop reduced cortical area. Similarly, low status </w:t>
      </w:r>
      <w:r w:rsidR="00A752A1">
        <w:t>individuals</w:t>
      </w:r>
      <w:r w:rsidRPr="00694B60">
        <w:t xml:space="preserve"> with limited healthcare would have succumbed to acute illnesses quickly, entering the mortuary sample prior to skeletal response and appearing healthier based on cortical morphology. Though she eliminated subadults with systemic skeletal lesions from her sample, Garafalo did note that high status </w:t>
      </w:r>
      <w:r w:rsidR="00A752A1">
        <w:t>individuals</w:t>
      </w:r>
      <w:r w:rsidRPr="00694B60">
        <w:t xml:space="preserve"> were more prone to advanced and long-standing lesions (e.g., bone deformation). This research has been significant in documenting </w:t>
      </w:r>
      <w:r>
        <w:t xml:space="preserve">key points to be addressed in the present study; namely, the effects that </w:t>
      </w:r>
      <w:r w:rsidRPr="00694B60">
        <w:t xml:space="preserve">selective mortality and hidden heterogeneity </w:t>
      </w:r>
      <w:r>
        <w:t>have on</w:t>
      </w:r>
      <w:r w:rsidRPr="00694B60">
        <w:t xml:space="preserve"> bone mass and strength </w:t>
      </w:r>
      <w:r>
        <w:t>properties,</w:t>
      </w:r>
      <w:r w:rsidRPr="00694B60">
        <w:t xml:space="preserve"> in addition to traditional paleopathological evaluations, </w:t>
      </w:r>
      <w:r>
        <w:t>should be further investigated in</w:t>
      </w:r>
      <w:r w:rsidRPr="00694B60">
        <w:t xml:space="preserve"> subadult skeletal samples. In </w:t>
      </w:r>
      <w:r>
        <w:t>the present</w:t>
      </w:r>
      <w:r w:rsidRPr="00694B60">
        <w:t xml:space="preserve"> study, it is conceivable that individuals with non-specific stress lesions represent high status or “healthier” individuals; however the presence of such lesions is likely to correlate with propensity for metabolic bone loss given the extended duration of stress, regardless of whether the individuals are considered “healthy” or “unhealthy” (see </w:t>
      </w:r>
      <w:r>
        <w:t xml:space="preserve">Chapter 4, </w:t>
      </w:r>
      <w:r>
        <w:rPr>
          <w:i/>
        </w:rPr>
        <w:t>Methods</w:t>
      </w:r>
      <w:r w:rsidRPr="00694B60">
        <w:t>).</w:t>
      </w:r>
    </w:p>
    <w:p w14:paraId="6F86E727" w14:textId="77777777" w:rsidR="001E671B" w:rsidRPr="00694B60" w:rsidRDefault="001E671B" w:rsidP="001E671B">
      <w:pPr>
        <w:spacing w:line="480" w:lineRule="auto"/>
      </w:pPr>
    </w:p>
    <w:p w14:paraId="255EC1F3" w14:textId="77777777" w:rsidR="001E671B" w:rsidRPr="0052393E" w:rsidRDefault="001E671B" w:rsidP="0052393E">
      <w:pPr>
        <w:pStyle w:val="Heading3"/>
        <w:spacing w:line="480" w:lineRule="auto"/>
      </w:pPr>
      <w:bookmarkStart w:id="42" w:name="_Toc233171653"/>
      <w:r w:rsidRPr="0052393E">
        <w:t>Micromorphology</w:t>
      </w:r>
      <w:bookmarkEnd w:id="42"/>
    </w:p>
    <w:p w14:paraId="3F4347A4" w14:textId="77777777" w:rsidR="001E671B" w:rsidRPr="0052393E" w:rsidRDefault="001E671B" w:rsidP="0052393E">
      <w:pPr>
        <w:pStyle w:val="Style1"/>
      </w:pPr>
      <w:bookmarkStart w:id="43" w:name="_Toc233171654"/>
      <w:r w:rsidRPr="0052393E">
        <w:t>Basic Structure</w:t>
      </w:r>
      <w:bookmarkEnd w:id="43"/>
    </w:p>
    <w:p w14:paraId="1320398B" w14:textId="77777777" w:rsidR="001E671B" w:rsidRPr="001E671B" w:rsidRDefault="001E671B" w:rsidP="001E671B">
      <w:pPr>
        <w:spacing w:line="480" w:lineRule="auto"/>
        <w:ind w:firstLine="720"/>
        <w:rPr>
          <w:rFonts w:eastAsia="Cambria"/>
        </w:rPr>
      </w:pPr>
      <w:r w:rsidRPr="00694B60">
        <w:t xml:space="preserve">Microscopically, metabolic bone loss reduces bone strength mainly through increased porosity (higher numbers of resorption spaces, larger resorption spaces, and/or </w:t>
      </w:r>
      <w:r w:rsidRPr="001E671B">
        <w:rPr>
          <w:rFonts w:eastAsia="Cambria"/>
        </w:rPr>
        <w:t xml:space="preserve">incomplete osteon filling) (Martin and Armelagos, 1979; </w:t>
      </w:r>
      <w:r w:rsidRPr="00694B60">
        <w:t xml:space="preserve">Marie et al., 1982; Burr and Martin, 1989; </w:t>
      </w:r>
      <w:r w:rsidRPr="001E671B">
        <w:rPr>
          <w:rFonts w:eastAsia="Cambria"/>
        </w:rPr>
        <w:t xml:space="preserve">Burr et al., 1997; </w:t>
      </w:r>
      <w:r w:rsidRPr="00694B60">
        <w:t xml:space="preserve">Wachter et al., 2001; </w:t>
      </w:r>
      <w:r w:rsidRPr="001E671B">
        <w:rPr>
          <w:rFonts w:eastAsia="Cambria"/>
        </w:rPr>
        <w:t xml:space="preserve">Zink et al., 2005; Peck and Stout; 2007). </w:t>
      </w:r>
      <w:r w:rsidRPr="00694B60">
        <w:t xml:space="preserve">This microscopic bone loss appears to allow for increased nutrient transport within the bone (Metz et al., 2003) but also simultaneously reduces tissue mass, leading to increased local strain (Stout and Simmons, 1979; Pettifor et al., 1984). </w:t>
      </w:r>
      <w:r w:rsidRPr="001E671B">
        <w:rPr>
          <w:rFonts w:eastAsia="Cambria"/>
        </w:rPr>
        <w:t>Even if the individual is eventually able to recover from the metabolic disturbance and fill in these pores with bone matrix to form secondary osteons, bone strength will remain temporarily reduced for some period of time by a rise in unmineralized osteoid matrix (</w:t>
      </w:r>
      <w:r w:rsidRPr="00694B60">
        <w:t>Carter and Hayes, 1977; Boivin et al., 2000; Grynpas, 2003</w:t>
      </w:r>
      <w:r w:rsidRPr="001E671B">
        <w:rPr>
          <w:rFonts w:eastAsia="Cambria"/>
        </w:rPr>
        <w:t xml:space="preserve">). Such conditions result in reduced material stiffness, resulting in excessive flexibility and deformation under loading and a predisposition to fracture (Seeman and Delmas, 2006). </w:t>
      </w:r>
    </w:p>
    <w:p w14:paraId="564C509A" w14:textId="77777777" w:rsidR="001E671B" w:rsidRPr="00694B60" w:rsidRDefault="001E671B" w:rsidP="001E671B">
      <w:pPr>
        <w:spacing w:line="480" w:lineRule="auto"/>
        <w:ind w:firstLine="720"/>
        <w:rPr>
          <w:i/>
        </w:rPr>
      </w:pPr>
      <w:r w:rsidRPr="001E671B">
        <w:rPr>
          <w:rFonts w:eastAsia="Cambria"/>
        </w:rPr>
        <w:t xml:space="preserve"> It has been proposed that occurrence of these deficits would be random (i.e., stochastic) with respect to strain levels within the bone </w:t>
      </w:r>
      <w:r w:rsidRPr="00694B60">
        <w:t>(Martin and Burr, 1982; Burr, 2002; Parfitt, 2002; Martin, 2004). Increased stochastic remodeling would theoretically be distinguished from loading-induced porosity by its widespread location within the cross-section</w:t>
      </w:r>
      <w:r>
        <w:t xml:space="preserve">; that is, stochastic porosity would </w:t>
      </w:r>
      <w:r w:rsidRPr="00694B60">
        <w:t xml:space="preserve">not </w:t>
      </w:r>
      <w:r>
        <w:t xml:space="preserve">be </w:t>
      </w:r>
      <w:r w:rsidRPr="00694B60">
        <w:t xml:space="preserve">restricted to regions with the highest strains. However, it has also been argued that, were porosity to occur without regard to existing bone geometry, weak geometry could potentially be coupled with weak tissue properties and cause especially maladaptive </w:t>
      </w:r>
      <w:r w:rsidRPr="00694B60">
        <w:lastRenderedPageBreak/>
        <w:t>consequences to a bone’s failure resistance (Lazenby, 1986; Rosenbaum Chou et al., 2008).</w:t>
      </w:r>
      <w:r w:rsidRPr="00694B60">
        <w:rPr>
          <w:i/>
        </w:rPr>
        <w:t xml:space="preserve"> </w:t>
      </w:r>
      <w:r w:rsidRPr="00694B60">
        <w:t xml:space="preserve">Little work has been done on the distribution of remodeling and porosity within cortical bone cross-sections, and it remains possible that BMUs respond to metabolic needs advantageously by removing bone from regions where reductions to bone strength are minimized (i.e., endosteal surfaces and along Imin). This certainly appears to be the case with respect to targeted remodeling, as discussed in </w:t>
      </w:r>
      <w:r w:rsidRPr="00805484">
        <w:t>Chapter 2</w:t>
      </w:r>
      <w:r w:rsidRPr="00694B60">
        <w:t>. It is also unknown to what extent structural alterations to geometric properties are able to offset microscopic bone loss, though even small increases in cortical porosity are able to degrade bone strength regardless of geometry (see below). There is some indication that metabolic stress causes microscopic changes that eventually culminate in macroscopic deficits; therefore, histological studies may be more sensitive to detecting metabolic disturbances</w:t>
      </w:r>
      <w:r>
        <w:t xml:space="preserve"> on cortical bone than macroscopic analyses.</w:t>
      </w:r>
    </w:p>
    <w:p w14:paraId="48BD0C3F" w14:textId="77777777" w:rsidR="001E671B" w:rsidRPr="00694B60" w:rsidRDefault="001E671B" w:rsidP="001E671B">
      <w:pPr>
        <w:spacing w:line="480" w:lineRule="auto"/>
        <w:ind w:firstLine="720"/>
      </w:pPr>
    </w:p>
    <w:p w14:paraId="178BA0BC" w14:textId="77777777" w:rsidR="001E671B" w:rsidRPr="0052393E" w:rsidRDefault="001E671B" w:rsidP="0052393E">
      <w:pPr>
        <w:pStyle w:val="Style1"/>
      </w:pPr>
      <w:bookmarkStart w:id="44" w:name="_Toc233171655"/>
      <w:r w:rsidRPr="0052393E">
        <w:t>Porosity and Bone Strength</w:t>
      </w:r>
      <w:bookmarkEnd w:id="44"/>
    </w:p>
    <w:p w14:paraId="62A20996" w14:textId="77777777" w:rsidR="001E671B" w:rsidRPr="00694B60" w:rsidRDefault="001E671B" w:rsidP="001E671B">
      <w:pPr>
        <w:autoSpaceDE w:val="0"/>
        <w:autoSpaceDN w:val="0"/>
        <w:adjustRightInd w:val="0"/>
        <w:spacing w:line="480" w:lineRule="auto"/>
        <w:ind w:firstLine="720"/>
      </w:pPr>
      <w:r w:rsidRPr="001E671B">
        <w:rPr>
          <w:rFonts w:eastAsia="Cambria"/>
        </w:rPr>
        <w:t xml:space="preserve">Many studies have shown that mechanical properties of bone depend on microscopic bone mass, especially the amount of microscopic porosity (Currey, 1988; Schaffler and Burr, 1988; Martin, 1993; Wachter et al., 2002). In fact, even </w:t>
      </w:r>
      <w:r w:rsidRPr="00694B60">
        <w:t xml:space="preserve">small increases in porosity of a few percentage points have disproportionally large consequences on bone strength (Davison et al., 2006; Turner, 2002; Dong and Guo, 2004). Few studies have investigated metabolic effects on rib intracortical porosity, and those that have commonly focused on osteoporosis and rib strength. Ribs are proposed to lose more bone mass with age than any other skeletal element (Epker and Frost, 1965); </w:t>
      </w:r>
      <w:r>
        <w:t>few studies</w:t>
      </w:r>
      <w:r w:rsidRPr="00694B60">
        <w:t xml:space="preserve"> ha</w:t>
      </w:r>
      <w:r>
        <w:t>ve</w:t>
      </w:r>
      <w:r w:rsidRPr="00694B60">
        <w:t xml:space="preserve"> been conducted to confirm this assertion with respect to metabolic bone disorders. Early research documented a rise in rib endosteal resorption with </w:t>
      </w:r>
      <w:r w:rsidRPr="00694B60">
        <w:lastRenderedPageBreak/>
        <w:t xml:space="preserve">advancing age but few changes in intracortical porosity (Epker et al., 1965). Yet, recently, Agnew and Stout (2012) refuted this hypothesis. They found that </w:t>
      </w:r>
      <w:r w:rsidRPr="00694B60">
        <w:rPr>
          <w:i/>
        </w:rPr>
        <w:t>absolute</w:t>
      </w:r>
      <w:r w:rsidRPr="00694B60">
        <w:t xml:space="preserve"> percent cortical area (defined as percent cortical area minus percent total intracortical porosity) was a more accurate measure of bone loss in aging ribs than percent cortical area alone. This occurred due to exceptionally high levels of intracortical porosity in elderly rib sections that could not be accounted for by measures of </w:t>
      </w:r>
      <w:r>
        <w:t xml:space="preserve">total </w:t>
      </w:r>
      <w:r w:rsidRPr="00694B60">
        <w:t>cortical area</w:t>
      </w:r>
      <w:r>
        <w:t xml:space="preserve"> (which fails to include microporosity)</w:t>
      </w:r>
      <w:r w:rsidRPr="00694B60">
        <w:t xml:space="preserve">. Based on their results, the authors proposed that the role intracortical porosity plays in raising the incidence of rib fractures may be underestimated; </w:t>
      </w:r>
      <w:r>
        <w:t>t</w:t>
      </w:r>
      <w:r w:rsidRPr="00694B60">
        <w:t xml:space="preserve">herefore, conclusions about </w:t>
      </w:r>
      <w:r>
        <w:t>the</w:t>
      </w:r>
      <w:r w:rsidRPr="00694B60">
        <w:t xml:space="preserve"> resistance </w:t>
      </w:r>
      <w:r>
        <w:t xml:space="preserve">of bone </w:t>
      </w:r>
      <w:r w:rsidRPr="00694B60">
        <w:t xml:space="preserve">to loading drawn from cortical area alone may be erroneous (Agnew and Stout, 2012). </w:t>
      </w:r>
    </w:p>
    <w:p w14:paraId="7D56AFA8" w14:textId="77777777" w:rsidR="001E671B" w:rsidRPr="00694B60" w:rsidRDefault="001E671B" w:rsidP="001E671B">
      <w:pPr>
        <w:autoSpaceDE w:val="0"/>
        <w:autoSpaceDN w:val="0"/>
        <w:adjustRightInd w:val="0"/>
        <w:spacing w:line="480" w:lineRule="auto"/>
        <w:ind w:firstLine="720"/>
      </w:pPr>
      <w:r>
        <w:t>M</w:t>
      </w:r>
      <w:r w:rsidRPr="00694B60">
        <w:t xml:space="preserve">ost studies </w:t>
      </w:r>
      <w:r>
        <w:t xml:space="preserve">of long bone diaphyseal cortical bone </w:t>
      </w:r>
      <w:r w:rsidRPr="00694B60">
        <w:t xml:space="preserve">have focused on osteoporotic changes in the adult femur and offer essential information concerning the morphological consequences of metabolic bone disorders. For instance, age-related increases in cortical bone porosity at the femoral neck have been linked to elevated risk of fracture (Bell et al., 1999a, 1999b; </w:t>
      </w:r>
      <w:r>
        <w:t>Yeni and Norman, 2000</w:t>
      </w:r>
      <w:r w:rsidRPr="00694B60">
        <w:t>). In the adult femoral midshaft, porosity increases with age in non-pathological cases (Currey, 1964; Jowsey, 1966; McCalden et al., 1993; Bertelsen et al., 1995; Feik et al., 1997; Stein et al., 1999; Bousson et al., 2000, 2001; Thomas et al., 2005)</w:t>
      </w:r>
      <w:r>
        <w:t>,</w:t>
      </w:r>
      <w:r w:rsidRPr="00694B60">
        <w:t xml:space="preserve"> and these increases are more enhanc</w:t>
      </w:r>
      <w:r>
        <w:t>ed in osteoporotic individuals</w:t>
      </w:r>
      <w:r w:rsidRPr="00694B60">
        <w:t xml:space="preserve">. Additionally, results of mechanical testing show that Young’s modulus and shear modulus are significantly negatively correlated with porosity in femoral cortical bone (Dong and Guo, 2004), as well as radial and tibial cortical bone (Burghardt et al., 2010). Other metabolic bone disorders, such as malnutrition, may also cause extensive intracortical bone loss in both rib and long bone elements (see below); however, whether these deficits are evenly distributed within the skeleton or vary depending on the biomechanical </w:t>
      </w:r>
      <w:r w:rsidRPr="00694B60">
        <w:lastRenderedPageBreak/>
        <w:t xml:space="preserve">demands placed on skeletal elements has not been explored thoroughly or in a subadult sample (see Hypothesis 1b and 2b in </w:t>
      </w:r>
      <w:r w:rsidRPr="00F246F5">
        <w:t>Chapter 1</w:t>
      </w:r>
      <w:r w:rsidRPr="00694B60">
        <w:t>).</w:t>
      </w:r>
    </w:p>
    <w:p w14:paraId="019DBD04" w14:textId="77777777" w:rsidR="001E671B" w:rsidRPr="00694B60" w:rsidRDefault="001E671B" w:rsidP="001E671B">
      <w:pPr>
        <w:spacing w:line="480" w:lineRule="auto"/>
        <w:ind w:firstLine="720"/>
        <w:contextualSpacing/>
      </w:pPr>
      <w:r w:rsidRPr="00694B60">
        <w:t>The exact etiology and manifestation of metabolic increases in cortical porosity still remains uncertain. For instance, highly porous bone may not result from merely an increase in the number of pores but the size of pores. Stein et al. (1999) reported that elderly humans did not possess greater numbers of pores their femoral diaphyses relative to younger adults</w:t>
      </w:r>
      <w:r>
        <w:t>,</w:t>
      </w:r>
      <w:r w:rsidRPr="00694B60">
        <w:t xml:space="preserve"> but rather a greater proportion of large pores. Likewise, Bousson et al. (2001) found increased pore size and number with age in the femoral midshaft of individuals under the age of 60, whereas elderly subjects exhibited decreased pore number and increased pore size. This phenomenon was also detected at the femoral neck (Bell et al., 1999). It is unclear, however, whether this trend is caused by increased osteoclastic activity </w:t>
      </w:r>
      <w:r w:rsidRPr="00694B60">
        <w:rPr>
          <w:i/>
        </w:rPr>
        <w:t>within</w:t>
      </w:r>
      <w:r w:rsidRPr="00694B60">
        <w:t xml:space="preserve"> BMUs (resulting in larger resorption spaces), higher numbers of active BMUs overlapping to form larger pores, lags in osteon filling stemming from inhibited osteoblastic activity, or some combination of all these processes (Srinivasan et al., 2000). There are multiple pathways that could cause similar morphological results, and these conditions may vary with factors such as the type and duration of metabolic stress or the skeletal location.</w:t>
      </w:r>
    </w:p>
    <w:p w14:paraId="1B68F508" w14:textId="77777777" w:rsidR="001E671B" w:rsidRPr="00694B60" w:rsidRDefault="001E671B" w:rsidP="001E671B">
      <w:pPr>
        <w:spacing w:line="480" w:lineRule="auto"/>
        <w:ind w:firstLine="720"/>
      </w:pPr>
      <w:r w:rsidRPr="00694B60">
        <w:t xml:space="preserve">Additionally, metabolic bone loss appears to occur simultaneously with macroscopic alterations, yet also independently of them. Several studies have documented elevated levels of cortical porosity in addition to thinning cortices in the femoral neck of patients with fractures relative to age-matched controls (Barth et al., 1992; Bell et al., 1999). However, Squillante and Williams (1993) found no differences between fracture and non-fracture groups in total femoral neck cortical area, though cortical porosity was higher in individuals with fractures, indicating that tissue-level modifications may influence bone strength regardless of macroscopic mass </w:t>
      </w:r>
      <w:r w:rsidRPr="00694B60">
        <w:lastRenderedPageBreak/>
        <w:t>(macroscopic distribution was not taken into account). These results support findings by Yeni and colleagues (1997, 1998)</w:t>
      </w:r>
      <w:r>
        <w:t xml:space="preserve">, who </w:t>
      </w:r>
      <w:r w:rsidRPr="00694B60">
        <w:t>demonstrat</w:t>
      </w:r>
      <w:r>
        <w:t>ed</w:t>
      </w:r>
      <w:r w:rsidRPr="00694B60">
        <w:t xml:space="preserve"> a negative relationship between cortical porosity and bone toughness in human femora and tibiae that occurred independently of bone mineral density. Furthermore, </w:t>
      </w:r>
      <w:r>
        <w:t>Yeni et al.</w:t>
      </w:r>
      <w:r w:rsidRPr="00694B60">
        <w:t xml:space="preserve"> found that an increase in cortical porosity of as little as 5% caused a 50% decline in toughness.</w:t>
      </w:r>
    </w:p>
    <w:p w14:paraId="248CFEB0" w14:textId="77777777" w:rsidR="001E671B" w:rsidRPr="00694B60" w:rsidRDefault="001E671B" w:rsidP="001E671B">
      <w:pPr>
        <w:spacing w:line="480" w:lineRule="auto"/>
        <w:ind w:firstLine="720"/>
      </w:pPr>
      <w:r w:rsidRPr="00694B60">
        <w:t>Microscopic bone loss has surface-specific effects on cortical bone, which vary with factors such as age and sex, but generally supports the theory that bone mediates metabolic needs in an attempt to maintain bone strength. Microscopic variation within cortical cross-sections has been documented both radially (between periosteal and endosteal envelopes) and circumferentially (between anatomical axes and cortical sections)</w:t>
      </w:r>
      <w:r>
        <w:t xml:space="preserve"> (e.g., Thomas et al., 2005)</w:t>
      </w:r>
      <w:r w:rsidRPr="00694B60">
        <w:t>. Very little is known about the distribution of metabolic bone loss within cortical bone in children and adolescents, but effects in adult long bones point to strength conservation in bones and bone regions with high loading demands. Bousson et al. (2001) found that the distribution of intracortical porosity in the femoral midshaft was uniform in adult males but occurred predominantly on the endosteal surface in females, resulting in cortical thinning. In this case, bone was removed from the area of the cross-section under the least loading. However, the authors did not evaluate cross-sectional geometry to determine if periosteal compensation occurred in these women</w:t>
      </w:r>
      <w:r>
        <w:t>. T</w:t>
      </w:r>
      <w:r w:rsidRPr="00694B60">
        <w:t xml:space="preserve">herefore, it is not clear whether females maintained femoral strength (despite the appearance of macroscopic net bone less) relative to males who displayed normal, yet porous, cortices. </w:t>
      </w:r>
    </w:p>
    <w:p w14:paraId="50136F8E" w14:textId="77777777" w:rsidR="001E671B" w:rsidRPr="00694B60" w:rsidRDefault="001E671B" w:rsidP="001E671B">
      <w:pPr>
        <w:spacing w:line="480" w:lineRule="auto"/>
        <w:ind w:firstLine="720"/>
      </w:pPr>
      <w:r w:rsidRPr="00694B60">
        <w:t xml:space="preserve">In a similar study on adult males, Martin et al. (1980) found comparable patterns but, moreover, showed potential biomechanical mediation of systemic age-related porosity in the femur, humerus, and metacarpal. Microscopic losses with age were greatest in the humerus and </w:t>
      </w:r>
      <w:r w:rsidRPr="00694B60">
        <w:lastRenderedPageBreak/>
        <w:t>least in the metacarpal, while the femur exhibited intermediate deficits. Martin and colleagues postulated that this pattern may reflect the relative degree of biomechanical influence in these elements, assuming that even sedentary, elderly men would continue to use their hands. In addition, while increased geometric properties in all three elements appeared to compensate for microscopic losses, these properties declined in the most elderly individuals (Martin et al., 1980), which may indicate adaptive failure under extended metabolic disturbance. As geometric response to metabolic disturbance will vary depending on the physiol</w:t>
      </w:r>
      <w:r>
        <w:t>ogical status of the individual</w:t>
      </w:r>
      <w:r w:rsidRPr="00694B60">
        <w:t>, microscopic losses may be even more detrimental to bone strength under conditions of malnutrition if macroscopic compensation does not take place.</w:t>
      </w:r>
    </w:p>
    <w:p w14:paraId="14AB72F8" w14:textId="77777777" w:rsidR="001E671B" w:rsidRPr="00694B60" w:rsidRDefault="001E671B" w:rsidP="001E671B">
      <w:pPr>
        <w:spacing w:line="480" w:lineRule="auto"/>
        <w:ind w:firstLine="720"/>
      </w:pPr>
      <w:r w:rsidRPr="00694B60">
        <w:t xml:space="preserve">A notable study on porosity distributions along mechanical axes found increased porosity along Imin relative to Imax in a small sample of healthy adult femoral midshafts (Lazenby, 1986). In a human femur, bending about the axis of maximum bending rigidity will generally cause tension and compression forces in the two cortical sections bisected by Imin; and, thus, increased porosity along Imin represents a mechanical advantage relative to other scenarios, because it reduces bending rigidity about Imax (where the bone is most resistant to bending). This scenario would make Imax and Imin values within a cross-section more similar to one another. Conversely, if porosity were to increase along Imax, Imin bending rigidity would be diminished significantly relative to Imax and cause great disparity between Imax and Imin values (Rosenbaum Chou et al., 2008). From these results, Lazenby concluded that net bone loss will occur in regions of long bone diaphyses where strength will not be compromised; in other words, adaptive bone balance involves coupling of weak microscopic properties (i.e.., increased porosity) with strong geometric properties (i.e., along the axis of minimum bending rigidity). </w:t>
      </w:r>
      <w:r w:rsidRPr="00694B60">
        <w:lastRenderedPageBreak/>
        <w:t xml:space="preserve">This hypothesis is tested with regard to metabolic bone disorders and the distribution of bone loss within long bone cross-sections (see Hypothesis 2c in </w:t>
      </w:r>
      <w:r w:rsidRPr="006A04B7">
        <w:t>Chapter 1</w:t>
      </w:r>
      <w:r w:rsidRPr="00694B60">
        <w:t>).</w:t>
      </w:r>
    </w:p>
    <w:p w14:paraId="10663DC2" w14:textId="77777777" w:rsidR="001E671B" w:rsidRPr="00694B60" w:rsidRDefault="001E671B" w:rsidP="001E671B">
      <w:pPr>
        <w:spacing w:line="480" w:lineRule="auto"/>
        <w:ind w:firstLine="720"/>
      </w:pPr>
    </w:p>
    <w:p w14:paraId="3D5BEEA7" w14:textId="77777777" w:rsidR="001E671B" w:rsidRPr="0052393E" w:rsidRDefault="001E671B" w:rsidP="0052393E">
      <w:pPr>
        <w:pStyle w:val="Style1"/>
      </w:pPr>
      <w:bookmarkStart w:id="45" w:name="_Toc233171656"/>
      <w:r w:rsidRPr="0052393E">
        <w:t>Application to Anthropology</w:t>
      </w:r>
      <w:bookmarkEnd w:id="45"/>
    </w:p>
    <w:p w14:paraId="0ADF58D5" w14:textId="77777777" w:rsidR="001E671B" w:rsidRPr="00694B60" w:rsidRDefault="001E671B" w:rsidP="001E671B">
      <w:pPr>
        <w:spacing w:line="480" w:lineRule="auto"/>
        <w:ind w:firstLine="720"/>
      </w:pPr>
      <w:r w:rsidRPr="00694B60">
        <w:rPr>
          <w:b/>
        </w:rPr>
        <w:t xml:space="preserve">Adult Research. </w:t>
      </w:r>
      <w:r w:rsidRPr="006A04B7">
        <w:t xml:space="preserve">As </w:t>
      </w:r>
      <w:r>
        <w:t>reviewed above, researchers have thought that</w:t>
      </w:r>
      <w:r w:rsidRPr="00694B60">
        <w:t xml:space="preserve"> metabolic disturbances cause extensive, systemic shifts in microarchitecture that reduce bone strength</w:t>
      </w:r>
      <w:r>
        <w:t>.</w:t>
      </w:r>
      <w:r w:rsidRPr="00694B60">
        <w:t xml:space="preserve"> </w:t>
      </w:r>
      <w:r>
        <w:t>H</w:t>
      </w:r>
      <w:r w:rsidRPr="00694B60">
        <w:t xml:space="preserve">owever, </w:t>
      </w:r>
      <w:r>
        <w:t>the research</w:t>
      </w:r>
      <w:r w:rsidRPr="00694B60">
        <w:t xml:space="preserve"> methodologies </w:t>
      </w:r>
      <w:r>
        <w:t xml:space="preserve">applied </w:t>
      </w:r>
      <w:r w:rsidRPr="00694B60">
        <w:t>(i.e., DXA</w:t>
      </w:r>
      <w:r>
        <w:t xml:space="preserve"> and </w:t>
      </w:r>
      <w:r w:rsidRPr="00694B60">
        <w:t xml:space="preserve">mechanical testing) have precluded visualization of these alterations and their interaction with macrostructure. Anthropological analyses, in relying mostly on skeletal samples rather than living humans, have been able to provide critical insight into metabolic effects on osteonal remodeling by utilizing histomorphometric methods. </w:t>
      </w:r>
    </w:p>
    <w:p w14:paraId="355FA6E4" w14:textId="77777777" w:rsidR="001E671B" w:rsidRPr="00694B60" w:rsidRDefault="001E671B" w:rsidP="001E671B">
      <w:pPr>
        <w:spacing w:line="480" w:lineRule="auto"/>
        <w:ind w:firstLine="720"/>
      </w:pPr>
      <w:r w:rsidRPr="00694B60">
        <w:t xml:space="preserve">Histomorphological analyses are relatively rare in anthropology due to their destructive nature, despite the fact that they can provide critical knowledge on metabolic diseases and processes (Schultz, 2001). Osteonal remodeling rates are used to infer metabolic status differences among populations with varying subsistence strategies. For example, the low calcium and high phosphorous content of maize may explain the early findings of higher remodeling rates in rib cortical bone among maize agriculturalists compared to hunter-gatherers (Stout and Teitelbaum, 1976; Stout, 1989; Stout and Lueck, 1995). Contrarily, </w:t>
      </w:r>
      <w:r w:rsidRPr="00694B60">
        <w:rPr>
          <w:i/>
        </w:rPr>
        <w:t>reduced</w:t>
      </w:r>
      <w:r w:rsidRPr="00694B60">
        <w:t xml:space="preserve"> rib osteon population densities were found in cases of pellagra and non-specific malnourishment</w:t>
      </w:r>
      <w:r>
        <w:t xml:space="preserve"> in South African skeletons</w:t>
      </w:r>
      <w:r w:rsidRPr="00694B60">
        <w:t xml:space="preserve">, and this lowered remodeling correlates with skeletal indicators of metabolic stress (Paine and Brenton, 2006; Brenton and Paine, 2007). Though these results refute expectations for increased </w:t>
      </w:r>
      <w:r>
        <w:t xml:space="preserve">stochastic </w:t>
      </w:r>
      <w:r w:rsidRPr="00694B60">
        <w:t>turnover with metabolic stress</w:t>
      </w:r>
      <w:r w:rsidRPr="001E671B">
        <w:rPr>
          <w:rFonts w:eastAsia="Cambria"/>
        </w:rPr>
        <w:t xml:space="preserve">, </w:t>
      </w:r>
      <w:r>
        <w:t>high</w:t>
      </w:r>
      <w:r w:rsidRPr="00694B60">
        <w:t xml:space="preserve"> endocortical resorption </w:t>
      </w:r>
      <w:r w:rsidRPr="00694B60">
        <w:lastRenderedPageBreak/>
        <w:t xml:space="preserve">in </w:t>
      </w:r>
      <w:r>
        <w:t>the South African</w:t>
      </w:r>
      <w:r w:rsidRPr="00694B60">
        <w:t xml:space="preserve"> sample could be responsible for the lowered osteon counts</w:t>
      </w:r>
      <w:r>
        <w:t xml:space="preserve"> by eliminating remodeling events</w:t>
      </w:r>
      <w:r w:rsidRPr="00694B60">
        <w:t xml:space="preserve">. </w:t>
      </w:r>
      <w:r>
        <w:t>Thus, w</w:t>
      </w:r>
      <w:r w:rsidRPr="00694B60">
        <w:t>hen comparing intracortical remodeling</w:t>
      </w:r>
      <w:r>
        <w:t xml:space="preserve"> rates</w:t>
      </w:r>
      <w:r w:rsidRPr="00694B60">
        <w:t xml:space="preserve">, it is important to be aware of potential interactions between macroscopic and microscopic properties </w:t>
      </w:r>
      <w:r>
        <w:t>that</w:t>
      </w:r>
      <w:r w:rsidRPr="00694B60">
        <w:t xml:space="preserve"> may affect nutritional and behavioral interpretations.</w:t>
      </w:r>
    </w:p>
    <w:p w14:paraId="3192458E" w14:textId="77777777" w:rsidR="001E671B" w:rsidRPr="00694B60" w:rsidRDefault="001E671B" w:rsidP="001E671B">
      <w:pPr>
        <w:spacing w:line="480" w:lineRule="auto"/>
        <w:ind w:firstLine="720"/>
      </w:pPr>
      <w:r>
        <w:t>In addition to osteon remodeling rates, c</w:t>
      </w:r>
      <w:r w:rsidRPr="00694B60">
        <w:t>omparisons across human populations in the rate of osteon filling and mineralization have provided evidence of stress and unique methods for documenting metabolic bone disorders. Unlike remodeling rates or porosity, histological features of disrupted remodeling (i.e., Type II osteons, zonal osteons, incompletely formed osteons) are more directly characteristic of metabolic stress and have been documented in maize-dependent populations, as well as agriculturalists with protein-calorie malnourishment (Richman et al., 1979; Martin and Armelagos, 1979, 1985; Erikson, 1980). Type II osteons form by intra-osteonal remodeling of a pre-existing osteon to release nutrient reserves in bone, and their presence is correlated with skeletal stress lesions (Richman et al., 1979; Eriksen, 1980). Zonal osteons represent slowed osteon formation; they contain a hypermineralized growth arrest line, which forms after a stressful event has passed and normal bone deposition resumes (Pankovich et al., 1974; Stout and Simmons, 1979; Parfitt, 1983). Higher proportions of incompletely formed osteons suggest arrested osteon development and lead to increased porosity and high rates of un</w:t>
      </w:r>
      <w:r>
        <w:t>der-mineralized tissue (Mosekilde, 2008)</w:t>
      </w:r>
      <w:r w:rsidRPr="00694B60">
        <w:t>. For incompletely formed osteons to be attributed to metabolic stress, they must occur at a higher rate than normal targeted remodeling. These histological properties are utilized in an attempt to help distinguish metabolic bone disorders from normal remodeling effects.</w:t>
      </w:r>
    </w:p>
    <w:p w14:paraId="5383326D" w14:textId="77777777" w:rsidR="001E671B" w:rsidRPr="00694B60" w:rsidRDefault="001E671B" w:rsidP="001E671B">
      <w:pPr>
        <w:spacing w:line="480" w:lineRule="auto"/>
        <w:ind w:firstLine="720"/>
      </w:pPr>
      <w:r w:rsidRPr="00694B60">
        <w:t xml:space="preserve">One of the first paleopathological analyses to use histological properties unique to metabolic stress was conducted on femora from adult Nubian agriculturalists (Martin and </w:t>
      </w:r>
      <w:r w:rsidRPr="00694B60">
        <w:lastRenderedPageBreak/>
        <w:t xml:space="preserve">Armelagos, 1979, 1985). Combined with high rates of skeletal lesions, these individuals had low percent CA, large resorption spaces, and higher numbers of incompletely formed osteons. Females who died between the ages of 20 and 29 were more at-risk for skeletal deficits than males, and no periosteal compensation was documented that could have possibly offset this disrupted remodeling. Nutritional stress in this population combined with childbearing metabolic demands (i.e., pregnancy, lactation) could explain the sexual differences in this age cohort (Martin and Armelagos, 1979). In addition, males possessed higher frequencies of zonal osteons, perhaps because females did not have enough calcium resources to continue mineralization after growth arrest, which would also explain the higher number of forming osteons in females (Martin and Armelagos, 1985). </w:t>
      </w:r>
    </w:p>
    <w:p w14:paraId="6B325144" w14:textId="77777777" w:rsidR="001E671B" w:rsidRPr="00694B60" w:rsidRDefault="001E671B" w:rsidP="001E671B">
      <w:pPr>
        <w:spacing w:line="480" w:lineRule="auto"/>
        <w:ind w:firstLine="720"/>
      </w:pPr>
      <w:r w:rsidRPr="00694B60">
        <w:t xml:space="preserve"> In comparisons of overworked and undernourished African Americans from the post-Reconstruction South (Cedar Grove) to prehistoric and healthy modern populations, Cedar Grove exhibited decreased femoral cortical thickness and cortical areas, as well as increased resorption spaces and a higher proportion of incompletely formed osteons (Martin et al., 1987). These differences were most obvious near the endosteal surface in both sexes and all age cohorts. Most interestingly, lower percent CA was correlated with higher numbers of resorption spaces and incompletely formed osteons, indicating that bone loss was occurring simultaneously at both macroscopic and microscopic scales at Cedar Grove (Martin et al., 1987). While this study suggests that metabolic bone loss can occur at both scales in a heavy loaded long bone such as the femur despite extensive physical activity, it is difficult to attribute these morphological differences to either mechanics or metabolism without including elements under relatively larger metabolic influence as a baseline comparison (cf. Robling and Stout, 2003). </w:t>
      </w:r>
    </w:p>
    <w:p w14:paraId="04649D76" w14:textId="77777777" w:rsidR="001E671B" w:rsidRPr="00694B60" w:rsidRDefault="001E671B" w:rsidP="001E671B">
      <w:pPr>
        <w:spacing w:line="480" w:lineRule="auto"/>
        <w:ind w:firstLine="720"/>
      </w:pPr>
      <w:r w:rsidRPr="00694B60">
        <w:lastRenderedPageBreak/>
        <w:t xml:space="preserve">Very few studies have compared microscopic structure in rib and long bone elements from the same individuals. Quite recently, Skedros and colleagues (2013) assessed osteon dimensions in ribs and long bones from a wide range of human and non-human species to evaluate hypotheses regarding their different roles in metabolic and mechanical activities. As ribs are highly sensitive to metabolic factors, the authors hypothesized that </w:t>
      </w:r>
      <w:r>
        <w:t>rib</w:t>
      </w:r>
      <w:r w:rsidRPr="00694B60">
        <w:t xml:space="preserve"> Haversian canals and osteon walls would demonstrate positive allometry; larger Haversian canals relative to osteon size has previously been suggested as a mechanism for increasing surface area for calcium exchange. Likewise, long bones ought to possess negative allometry in these dimensions, because slight increases in porosity are detrimental to skeletal elements under high loading demands, and smaller Haversian canals relative to osteon size would limit pore size. However, the existence of both positive and negative allometric relationships </w:t>
      </w:r>
      <w:r>
        <w:t>among the various</w:t>
      </w:r>
      <w:r w:rsidRPr="00694B60">
        <w:t xml:space="preserve"> samples </w:t>
      </w:r>
      <w:r>
        <w:t xml:space="preserve">Skedros et al. tested </w:t>
      </w:r>
      <w:r w:rsidRPr="00694B60">
        <w:t xml:space="preserve">led to rejection of these hypotheses. </w:t>
      </w:r>
      <w:r>
        <w:t>A major conclusion of the study was that, a</w:t>
      </w:r>
      <w:r w:rsidRPr="00694B60">
        <w:t>lthough rib osteons tend to be larger and more variable in size than long bone osteons in modern humans, Haversian canals are not significantly different between ribs and long bones</w:t>
      </w:r>
      <w:r>
        <w:t xml:space="preserve">. This </w:t>
      </w:r>
      <w:r w:rsidRPr="00694B60">
        <w:t>point</w:t>
      </w:r>
      <w:r>
        <w:t>s</w:t>
      </w:r>
      <w:r w:rsidRPr="00694B60">
        <w:t xml:space="preserve"> to consistent conservation of bone tissue mass regardless of </w:t>
      </w:r>
      <w:r>
        <w:t xml:space="preserve">the </w:t>
      </w:r>
      <w:r w:rsidRPr="00694B60">
        <w:t xml:space="preserve">skeletal element and further supporting the notion that limits to porosity are essential to maintain mechanical advantage in bone. However, this study included only one metabolically stressed sample (rib elements from Kulubnarti Sudanese Nubians), and, quite interestingly, their rib osteons were negatively allometric. </w:t>
      </w:r>
    </w:p>
    <w:p w14:paraId="22F95FCE" w14:textId="77777777" w:rsidR="001E671B" w:rsidRPr="00694B60" w:rsidRDefault="001E671B" w:rsidP="001E671B">
      <w:pPr>
        <w:spacing w:line="480" w:lineRule="auto"/>
        <w:ind w:firstLine="720"/>
      </w:pPr>
      <w:r w:rsidRPr="00694B60">
        <w:t xml:space="preserve">Not having the corresponding long bone elements from the Kulubnarti sample, Skedros et al. (2013) stated that either increased physical activity or poor health could have contributed to this pattern, although it is hard to imagine that loading could be responsible given that increased activity does not induce rib remodeling (Tommerup et al., 1993). The authors interpreted the </w:t>
      </w:r>
      <w:r w:rsidRPr="00694B60">
        <w:lastRenderedPageBreak/>
        <w:t xml:space="preserve">overall findings to mean that calcium exchange is sufficient across Haversian canal surfaces to maintain mineral homeostasis in the short-term (e.g., between meals), without need for rib cortical remodeling. Yet, long-term metabolic demands (e.g., pregnancy, lactation, and metabolic deficiency) may be necessary to induce cortical bone turnover. By incorporating metabolically stressed subadults, this dissertation builds on these findings and tests the relationship between Haversian canal size and osteon size across ribs and long bones within the same skeletal sample (see Hypothesis 2b in </w:t>
      </w:r>
      <w:r w:rsidRPr="006B53EC">
        <w:t>Chapter 1</w:t>
      </w:r>
      <w:r w:rsidRPr="00694B60">
        <w:t>).</w:t>
      </w:r>
    </w:p>
    <w:p w14:paraId="53DD348E" w14:textId="77777777" w:rsidR="001E671B" w:rsidRPr="00694B60" w:rsidRDefault="001E671B" w:rsidP="001E671B">
      <w:pPr>
        <w:spacing w:line="480" w:lineRule="auto"/>
        <w:ind w:firstLine="720"/>
      </w:pPr>
    </w:p>
    <w:p w14:paraId="683619CE" w14:textId="77777777" w:rsidR="001E671B" w:rsidRPr="00694B60" w:rsidRDefault="001E671B" w:rsidP="001E671B">
      <w:pPr>
        <w:spacing w:line="480" w:lineRule="auto"/>
        <w:ind w:firstLine="720"/>
        <w:rPr>
          <w:b/>
        </w:rPr>
      </w:pPr>
      <w:r w:rsidRPr="00694B60">
        <w:rPr>
          <w:b/>
        </w:rPr>
        <w:t xml:space="preserve">Ontogenetic Research. </w:t>
      </w:r>
      <w:r w:rsidRPr="00694B60">
        <w:t xml:space="preserve">Histological studies on </w:t>
      </w:r>
      <w:r w:rsidR="00F02A94">
        <w:t>subadult</w:t>
      </w:r>
      <w:r w:rsidRPr="00694B60">
        <w:t xml:space="preserve"> cortical bone in archaeological samples are exceptionally scarce. As previously discussed, this research has described cortical microstructural development and how </w:t>
      </w:r>
      <w:r>
        <w:t xml:space="preserve">healthy </w:t>
      </w:r>
      <w:r w:rsidRPr="00694B60">
        <w:t xml:space="preserve">adult cortical morphology is attained (especially in rib elements). Such research provides a baseline with which to compare and identify </w:t>
      </w:r>
      <w:r w:rsidR="00F02A94">
        <w:t>subadult</w:t>
      </w:r>
      <w:r w:rsidRPr="00694B60">
        <w:t xml:space="preserve"> metabolic bone disorders and microscopic bone loss. This dissertation is the first </w:t>
      </w:r>
      <w:r>
        <w:t xml:space="preserve">systematic </w:t>
      </w:r>
      <w:r w:rsidRPr="00694B60">
        <w:t xml:space="preserve">anthropological examination of metabolic stress effects on human cortical bone microstructure during growth. </w:t>
      </w:r>
      <w:r w:rsidRPr="001E671B">
        <w:rPr>
          <w:rFonts w:eastAsia="Cambria"/>
        </w:rPr>
        <w:t xml:space="preserve">Streeter (2005) identified greater percentages of drifting osteons in subadult ribs relative to adult ribs, indicating greater metabolic demands during growth. Based on her findings, there may be greater percentages of large osteons (perhaps also more incomplete osteons) in </w:t>
      </w:r>
      <w:r w:rsidR="00F02A94">
        <w:rPr>
          <w:rFonts w:eastAsia="Cambria"/>
        </w:rPr>
        <w:t>subadult</w:t>
      </w:r>
      <w:r w:rsidRPr="001E671B">
        <w:rPr>
          <w:rFonts w:eastAsia="Cambria"/>
        </w:rPr>
        <w:t xml:space="preserve">s experiencing chronic metabolic stress relative to </w:t>
      </w:r>
      <w:r w:rsidR="00F02A94">
        <w:rPr>
          <w:rFonts w:eastAsia="Cambria"/>
        </w:rPr>
        <w:t>subadult</w:t>
      </w:r>
      <w:r w:rsidRPr="001E671B">
        <w:rPr>
          <w:rFonts w:eastAsia="Cambria"/>
        </w:rPr>
        <w:t>s experiencing brief or no metabolic stress (see Hypotheses 1b and 2b in Chapter 1).</w:t>
      </w:r>
    </w:p>
    <w:p w14:paraId="7E88D517" w14:textId="77777777" w:rsidR="001E671B" w:rsidRPr="00694B60" w:rsidRDefault="001E671B" w:rsidP="001E671B">
      <w:pPr>
        <w:spacing w:line="480" w:lineRule="auto"/>
        <w:ind w:firstLine="720"/>
      </w:pPr>
      <w:r w:rsidRPr="00694B60">
        <w:t xml:space="preserve"> In one of the few anthropological explorations of subadult long bone histology, Doppler et al. (2006) qualitatively assessed femoral cortical cross-sections from the anterior diaphyses of 63 </w:t>
      </w:r>
      <w:r w:rsidR="00A752A1">
        <w:t>subadults</w:t>
      </w:r>
      <w:r w:rsidRPr="00694B60">
        <w:t xml:space="preserve"> from an early medieval Bavarian cemetery. Some individuals had large resorption spaces and low rates of remodeling for age, which the authors interpreted as indicative of </w:t>
      </w:r>
      <w:r w:rsidRPr="00694B60">
        <w:lastRenderedPageBreak/>
        <w:t xml:space="preserve">pathological disruption. They inferred that metabolic bone loss could potentially exist in individuals despite the absence of gross morphological lesions. However, the exclusion of individuals from their sample with skeletal stress lesions and, more importantly, the lack of quantitative assessment and statistical comparison both within the site and with reference populations make these results potentially spurious. Nevertheless, this study did find (qualitatively) advanced remodeling rates during the mid-childhood growth spurt and increased numbers of forming osteons in adolescence (Doppler et al., 2006), which may demonstrate physiological responses at the tissue level that accompany alterations in body mass and height. Overall, this study illustrates </w:t>
      </w:r>
      <w:r>
        <w:t xml:space="preserve">that quantification of </w:t>
      </w:r>
      <w:r w:rsidRPr="00694B60">
        <w:t>histological variation in subadult cortical bone potentially provide</w:t>
      </w:r>
      <w:r>
        <w:t>s</w:t>
      </w:r>
      <w:r w:rsidRPr="00694B60">
        <w:t xml:space="preserve"> a wealth of information </w:t>
      </w:r>
      <w:r>
        <w:t>to be gleaned from</w:t>
      </w:r>
      <w:r w:rsidRPr="00694B60">
        <w:t xml:space="preserve"> compar</w:t>
      </w:r>
      <w:r>
        <w:t>isons</w:t>
      </w:r>
      <w:r w:rsidRPr="00694B60">
        <w:t xml:space="preserve"> between paleopathological groups.</w:t>
      </w:r>
    </w:p>
    <w:p w14:paraId="6263CAB7" w14:textId="77777777" w:rsidR="001E671B" w:rsidRPr="00694B60" w:rsidRDefault="001E671B" w:rsidP="001E671B"/>
    <w:p w14:paraId="2964B5F5" w14:textId="77777777" w:rsidR="00F83658" w:rsidRDefault="00F83658" w:rsidP="00DD00DE">
      <w:pPr>
        <w:numPr>
          <w:ilvl w:val="12"/>
          <w:numId w:val="0"/>
        </w:numPr>
        <w:ind w:firstLine="720"/>
      </w:pPr>
    </w:p>
    <w:p w14:paraId="17A54BED" w14:textId="77777777" w:rsidR="00F83658" w:rsidRDefault="00F83658" w:rsidP="00DD00DE">
      <w:pPr>
        <w:numPr>
          <w:ilvl w:val="12"/>
          <w:numId w:val="0"/>
        </w:numPr>
        <w:ind w:firstLine="720"/>
      </w:pPr>
    </w:p>
    <w:p w14:paraId="3B5E875C" w14:textId="77777777" w:rsidR="00F83658" w:rsidRDefault="00F83658" w:rsidP="00DD00DE">
      <w:pPr>
        <w:numPr>
          <w:ilvl w:val="12"/>
          <w:numId w:val="0"/>
        </w:numPr>
        <w:ind w:firstLine="720"/>
      </w:pPr>
    </w:p>
    <w:p w14:paraId="347B9A1B" w14:textId="77777777" w:rsidR="00F83658" w:rsidRDefault="00F83658" w:rsidP="00DD00DE">
      <w:pPr>
        <w:numPr>
          <w:ilvl w:val="12"/>
          <w:numId w:val="0"/>
        </w:numPr>
        <w:ind w:firstLine="720"/>
      </w:pPr>
    </w:p>
    <w:p w14:paraId="04D3D4CE" w14:textId="77777777" w:rsidR="00FF195C" w:rsidRPr="00B61308"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D9791E4" w14:textId="77777777" w:rsidR="00236E6D" w:rsidRPr="00637CB2" w:rsidRDefault="00236E6D" w:rsidP="00637CB2">
      <w:pPr>
        <w:pStyle w:val="Heading1"/>
      </w:pPr>
      <w:r w:rsidRPr="00B61308">
        <w:br w:type="page"/>
      </w:r>
      <w:bookmarkStart w:id="46" w:name="_Toc233171657"/>
      <w:r w:rsidR="00637CB2" w:rsidRPr="00637CB2">
        <w:lastRenderedPageBreak/>
        <w:t>Chapter 4: Materials and Methods</w:t>
      </w:r>
      <w:bookmarkEnd w:id="46"/>
    </w:p>
    <w:p w14:paraId="4AC4B45D"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7483A22" w14:textId="77777777" w:rsidR="00246BC3" w:rsidRDefault="00246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8EB2F33" w14:textId="77777777" w:rsidR="00246BC3" w:rsidRDefault="00246BC3" w:rsidP="005C0C2E">
      <w:pPr>
        <w:spacing w:line="480" w:lineRule="auto"/>
        <w:ind w:firstLine="720"/>
        <w:contextualSpacing/>
      </w:pPr>
      <w:r w:rsidRPr="00246BC3">
        <w:t xml:space="preserve">This chapter discusses the human skeletal sample analyzed in this study and analytical methods used to address the research questions and hypotheses presented in </w:t>
      </w:r>
      <w:r w:rsidRPr="002876BE">
        <w:t>Chapter 1.</w:t>
      </w:r>
      <w:r w:rsidR="006A3BEE">
        <w:t xml:space="preserve"> </w:t>
      </w:r>
      <w:r w:rsidRPr="00246BC3">
        <w:t xml:space="preserve">Details about the archaeological sample and its context, along with sampling strategies and techniques, are provided in the </w:t>
      </w:r>
      <w:r w:rsidRPr="00246BC3">
        <w:rPr>
          <w:i/>
        </w:rPr>
        <w:t xml:space="preserve">Materials </w:t>
      </w:r>
      <w:r w:rsidRPr="00246BC3">
        <w:t>section below.</w:t>
      </w:r>
      <w:r w:rsidR="006A3BEE">
        <w:t xml:space="preserve"> </w:t>
      </w:r>
      <w:r w:rsidRPr="00246BC3">
        <w:t xml:space="preserve">In the </w:t>
      </w:r>
      <w:r w:rsidRPr="00246BC3">
        <w:rPr>
          <w:i/>
        </w:rPr>
        <w:t xml:space="preserve">Methods </w:t>
      </w:r>
      <w:r w:rsidRPr="00246BC3">
        <w:t xml:space="preserve">section, specific aging methods, assessment of metabolic stress, measurements taken from the skeletal remains for analyses, and statistical techniques are described. </w:t>
      </w:r>
    </w:p>
    <w:p w14:paraId="617E9350" w14:textId="77777777" w:rsidR="005C0C2E" w:rsidRPr="00246BC3" w:rsidRDefault="005C0C2E" w:rsidP="005C0C2E">
      <w:pPr>
        <w:spacing w:line="480" w:lineRule="auto"/>
        <w:ind w:firstLine="720"/>
        <w:contextualSpacing/>
      </w:pPr>
    </w:p>
    <w:p w14:paraId="4FE65175" w14:textId="77777777" w:rsidR="003B443C" w:rsidRDefault="00246BC3" w:rsidP="003B443C">
      <w:pPr>
        <w:pStyle w:val="Heading2"/>
        <w:spacing w:line="480" w:lineRule="auto"/>
        <w:contextualSpacing/>
        <w:jc w:val="left"/>
      </w:pPr>
      <w:bookmarkStart w:id="47" w:name="_Toc358976790"/>
      <w:bookmarkStart w:id="48" w:name="_Toc358978603"/>
      <w:bookmarkStart w:id="49" w:name="_Toc233171658"/>
      <w:r w:rsidRPr="003F3501">
        <w:t>M</w:t>
      </w:r>
      <w:r w:rsidR="003F3501">
        <w:t>ATERIALS</w:t>
      </w:r>
      <w:bookmarkEnd w:id="47"/>
      <w:bookmarkEnd w:id="48"/>
      <w:bookmarkEnd w:id="49"/>
    </w:p>
    <w:p w14:paraId="51CFD6D6" w14:textId="77777777" w:rsidR="00E21B99" w:rsidRPr="00E21B99" w:rsidRDefault="00246BC3" w:rsidP="005C0C2E">
      <w:pPr>
        <w:spacing w:line="480" w:lineRule="auto"/>
        <w:ind w:firstLine="720"/>
        <w:contextualSpacing/>
      </w:pPr>
      <w:r w:rsidRPr="00246BC3">
        <w:t>For this study, a single cemetery sample was investigated, rather than several samples.</w:t>
      </w:r>
      <w:r w:rsidR="006A3BEE">
        <w:t xml:space="preserve"> </w:t>
      </w:r>
      <w:r w:rsidRPr="00246BC3">
        <w:t>This strategy was used to reduce potential variation in activity levels and stress factors that could exist among individuals or groups buried in different cemeteries, and which would, in turn, complicate analyses into interaction effects between mechanical and metabolic factors.</w:t>
      </w:r>
      <w:r w:rsidR="006A3BEE">
        <w:t xml:space="preserve"> </w:t>
      </w:r>
      <w:r w:rsidRPr="00246BC3">
        <w:t>Of course, it is not established that activity levels among individuals buried in the sampled cemetery were uniform, but use of a single cemetery minimizes considerable activity and dietary differences that might have existed among geographically or temporally dispersed samples.</w:t>
      </w:r>
      <w:r w:rsidR="006A3BEE">
        <w:t xml:space="preserve"> </w:t>
      </w:r>
      <w:r w:rsidRPr="00246BC3">
        <w:t>The skeletal sample appropriately meets the requirements se</w:t>
      </w:r>
      <w:r w:rsidR="002876BE">
        <w:t>t out in the research objectives</w:t>
      </w:r>
      <w:r w:rsidRPr="00246BC3">
        <w:t xml:space="preserve">: it has a significant number of well-preserved </w:t>
      </w:r>
      <w:r w:rsidR="00F02A94">
        <w:t>subadult</w:t>
      </w:r>
      <w:r w:rsidRPr="00246BC3">
        <w:t xml:space="preserve"> burials representing a wide age range; skeletons are from associated, primary burials; a rib, humerus, and femur bone can be sampled from each individual; bone microstructure is exceptionally intact (diagenesis is limited for an archaeological sample); and historical documentation of the population buried at the cemetery confirms the presence of significant health stressors (including malnutrition) at the site. </w:t>
      </w:r>
    </w:p>
    <w:p w14:paraId="2D71A7B6" w14:textId="77777777" w:rsidR="00246BC3" w:rsidRPr="00E21B99" w:rsidRDefault="00246BC3" w:rsidP="00E21B99">
      <w:pPr>
        <w:pStyle w:val="Heading3"/>
      </w:pPr>
      <w:bookmarkStart w:id="50" w:name="_Toc233171659"/>
      <w:bookmarkStart w:id="51" w:name="_Toc358976791"/>
      <w:bookmarkStart w:id="52" w:name="_Toc358978604"/>
      <w:r w:rsidRPr="003F3501">
        <w:rPr>
          <w:rStyle w:val="Strong"/>
          <w:b/>
          <w:bCs/>
        </w:rPr>
        <w:lastRenderedPageBreak/>
        <w:t>The Alytus Archaeological Site</w:t>
      </w:r>
      <w:bookmarkEnd w:id="50"/>
      <w:r w:rsidRPr="003F3501">
        <w:rPr>
          <w:rStyle w:val="Strong"/>
          <w:b/>
          <w:bCs/>
        </w:rPr>
        <w:t xml:space="preserve"> </w:t>
      </w:r>
      <w:bookmarkEnd w:id="51"/>
      <w:bookmarkEnd w:id="52"/>
    </w:p>
    <w:p w14:paraId="7C3BAE08" w14:textId="77777777" w:rsidR="003F3501" w:rsidRPr="003F3501" w:rsidRDefault="00246BC3" w:rsidP="001C587B">
      <w:pPr>
        <w:pStyle w:val="Style1"/>
        <w:rPr>
          <w:rStyle w:val="Emphasis"/>
          <w:i/>
          <w:iCs w:val="0"/>
        </w:rPr>
      </w:pPr>
      <w:bookmarkStart w:id="53" w:name="_Toc358976792"/>
      <w:bookmarkStart w:id="54" w:name="_Toc233171660"/>
      <w:r w:rsidRPr="00E21B99">
        <w:rPr>
          <w:rStyle w:val="Emphasis"/>
          <w:i/>
          <w:iCs w:val="0"/>
        </w:rPr>
        <w:t>History</w:t>
      </w:r>
      <w:bookmarkEnd w:id="53"/>
      <w:bookmarkEnd w:id="54"/>
    </w:p>
    <w:p w14:paraId="18905C99" w14:textId="77777777" w:rsidR="00246BC3" w:rsidRDefault="00246BC3" w:rsidP="00246BC3">
      <w:pPr>
        <w:spacing w:line="480" w:lineRule="auto"/>
        <w:ind w:firstLine="720"/>
        <w:rPr>
          <w:lang w:val="en-GB"/>
        </w:rPr>
      </w:pPr>
      <w:r w:rsidRPr="00246BC3">
        <w:rPr>
          <w:lang w:val="en-GB"/>
        </w:rPr>
        <w:t>The sample chosen for this study’s analyses was obtained from an archae</w:t>
      </w:r>
      <w:r w:rsidR="001442BB">
        <w:rPr>
          <w:lang w:val="en-GB"/>
        </w:rPr>
        <w:t xml:space="preserve">ological cemetery site </w:t>
      </w:r>
      <w:r w:rsidRPr="00246BC3">
        <w:rPr>
          <w:lang w:val="en-GB"/>
        </w:rPr>
        <w:t xml:space="preserve">in the medieval town of Alytus, Lithuania (Figure </w:t>
      </w:r>
      <w:r w:rsidR="001442BB">
        <w:rPr>
          <w:lang w:val="en-GB"/>
        </w:rPr>
        <w:t>6</w:t>
      </w:r>
      <w:r w:rsidRPr="00246BC3">
        <w:rPr>
          <w:lang w:val="en-GB"/>
        </w:rPr>
        <w:t>).</w:t>
      </w:r>
      <w:r w:rsidR="006A3BEE">
        <w:rPr>
          <w:lang w:val="en-GB"/>
        </w:rPr>
        <w:t xml:space="preserve"> </w:t>
      </w:r>
      <w:r w:rsidRPr="00246BC3">
        <w:rPr>
          <w:lang w:val="en-GB"/>
        </w:rPr>
        <w:t>This urban center was occupied during the late 14</w:t>
      </w:r>
      <w:r w:rsidRPr="00246BC3">
        <w:rPr>
          <w:vertAlign w:val="superscript"/>
          <w:lang w:val="en-GB"/>
        </w:rPr>
        <w:t>th</w:t>
      </w:r>
      <w:r w:rsidRPr="00246BC3">
        <w:rPr>
          <w:lang w:val="en-GB"/>
        </w:rPr>
        <w:t xml:space="preserve"> to early 18</w:t>
      </w:r>
      <w:r w:rsidRPr="00246BC3">
        <w:rPr>
          <w:vertAlign w:val="superscript"/>
          <w:lang w:val="en-GB"/>
        </w:rPr>
        <w:t>th</w:t>
      </w:r>
      <w:r w:rsidRPr="00246BC3">
        <w:rPr>
          <w:lang w:val="en-GB"/>
        </w:rPr>
        <w:t xml:space="preserve"> centuries A.D., during the period in which modern-day Lithuania was the Grand Duchy of Lithuania (GDL).</w:t>
      </w:r>
      <w:r w:rsidR="006A3BEE">
        <w:rPr>
          <w:lang w:val="en-GB"/>
        </w:rPr>
        <w:t xml:space="preserve"> </w:t>
      </w:r>
      <w:r w:rsidRPr="00246BC3">
        <w:rPr>
          <w:lang w:val="en-GB"/>
        </w:rPr>
        <w:t xml:space="preserve">The site is the largest archaeological cemetery that has been excavated in Lithuania, and is located roughly 500 meters northwest of the Alytus hill-fort on the western bank of the Nemunuas River </w:t>
      </w:r>
      <w:r w:rsidRPr="00D91E87">
        <w:rPr>
          <w:lang w:val="en-GB"/>
        </w:rPr>
        <w:t xml:space="preserve">(Figure </w:t>
      </w:r>
      <w:r w:rsidR="001442BB" w:rsidRPr="00D91E87">
        <w:rPr>
          <w:lang w:val="en-GB"/>
        </w:rPr>
        <w:t>7</w:t>
      </w:r>
      <w:r w:rsidRPr="00D91E87">
        <w:rPr>
          <w:lang w:val="en-GB"/>
        </w:rPr>
        <w:t>).</w:t>
      </w:r>
      <w:r w:rsidR="006A3BEE">
        <w:rPr>
          <w:lang w:val="en-GB"/>
        </w:rPr>
        <w:t xml:space="preserve"> </w:t>
      </w:r>
      <w:r w:rsidRPr="00D91E87">
        <w:rPr>
          <w:lang w:val="en-GB"/>
        </w:rPr>
        <w:t>Excavation</w:t>
      </w:r>
      <w:r w:rsidRPr="00246BC3">
        <w:rPr>
          <w:lang w:val="en-GB"/>
        </w:rPr>
        <w:t xml:space="preserve"> of the cemetery was performed between 1984 and 1986, uncovering 1152 intact and 300 disturbed graves (Svetikas, 2003).</w:t>
      </w:r>
      <w:r w:rsidR="006A3BEE">
        <w:rPr>
          <w:lang w:val="en-GB"/>
        </w:rPr>
        <w:t xml:space="preserve"> </w:t>
      </w:r>
      <w:r w:rsidRPr="00246BC3">
        <w:rPr>
          <w:lang w:val="en-GB"/>
        </w:rPr>
        <w:t>Although written sources on Alytus are scarce and there is no historical documentation of social stratification in Alytus specifically, like most late medieval duchies, GDL society was based on feudalism (Dubonis, 1996).</w:t>
      </w:r>
      <w:r w:rsidR="006A3BEE">
        <w:rPr>
          <w:lang w:val="en-GB"/>
        </w:rPr>
        <w:t xml:space="preserve"> </w:t>
      </w:r>
      <w:r w:rsidRPr="00246BC3">
        <w:rPr>
          <w:lang w:val="en-GB"/>
        </w:rPr>
        <w:t>A full range of social classes, from noblemen to peasants, would have populated Alytus.</w:t>
      </w:r>
      <w:r w:rsidR="006A3BEE">
        <w:rPr>
          <w:lang w:val="en-GB"/>
        </w:rPr>
        <w:t xml:space="preserve"> </w:t>
      </w:r>
      <w:r w:rsidRPr="00246BC3">
        <w:rPr>
          <w:lang w:val="en-GB"/>
        </w:rPr>
        <w:t>Compared to most medieval villages in the GDL, Alytus is considered a small urban center, experiencing modest economic development and a large population size (with a peak population size estimated to be 2,500) (Miškinis, 1989).</w:t>
      </w:r>
    </w:p>
    <w:p w14:paraId="753D1E70" w14:textId="77777777" w:rsidR="00E21B99" w:rsidRDefault="00E21B99" w:rsidP="00246BC3">
      <w:pPr>
        <w:spacing w:line="480" w:lineRule="auto"/>
        <w:ind w:firstLine="720"/>
        <w:rPr>
          <w:lang w:val="en-GB"/>
        </w:rPr>
      </w:pPr>
    </w:p>
    <w:p w14:paraId="23A6F654" w14:textId="77777777" w:rsidR="0051526C" w:rsidRDefault="0051526C" w:rsidP="00246BC3">
      <w:pPr>
        <w:spacing w:line="480" w:lineRule="auto"/>
        <w:ind w:firstLine="720"/>
        <w:rPr>
          <w:lang w:val="en-GB"/>
        </w:rPr>
      </w:pPr>
    </w:p>
    <w:p w14:paraId="5744AD9C" w14:textId="77777777" w:rsidR="0051526C" w:rsidRDefault="0051526C" w:rsidP="00246BC3">
      <w:pPr>
        <w:spacing w:line="480" w:lineRule="auto"/>
        <w:ind w:firstLine="720"/>
        <w:rPr>
          <w:lang w:val="en-GB"/>
        </w:rPr>
      </w:pPr>
    </w:p>
    <w:p w14:paraId="00C52340" w14:textId="77777777" w:rsidR="0051526C" w:rsidRDefault="0051526C" w:rsidP="00246BC3">
      <w:pPr>
        <w:spacing w:line="480" w:lineRule="auto"/>
        <w:ind w:firstLine="720"/>
        <w:rPr>
          <w:lang w:val="en-GB"/>
        </w:rPr>
      </w:pPr>
    </w:p>
    <w:p w14:paraId="25E5FF1B" w14:textId="77777777" w:rsidR="0051526C" w:rsidRDefault="0051526C" w:rsidP="00246BC3">
      <w:pPr>
        <w:spacing w:line="480" w:lineRule="auto"/>
        <w:ind w:firstLine="720"/>
        <w:rPr>
          <w:lang w:val="en-GB"/>
        </w:rPr>
      </w:pPr>
    </w:p>
    <w:p w14:paraId="037872C6" w14:textId="77777777" w:rsidR="0051526C" w:rsidRDefault="0051526C" w:rsidP="00246BC3">
      <w:pPr>
        <w:spacing w:line="480" w:lineRule="auto"/>
        <w:ind w:firstLine="720"/>
        <w:rPr>
          <w:lang w:val="en-GB"/>
        </w:rPr>
      </w:pPr>
    </w:p>
    <w:p w14:paraId="3ED7CB3E" w14:textId="77777777" w:rsidR="0051526C" w:rsidRDefault="0051526C" w:rsidP="00246BC3">
      <w:pPr>
        <w:spacing w:line="480" w:lineRule="auto"/>
        <w:ind w:firstLine="720"/>
        <w:rPr>
          <w:lang w:val="en-GB"/>
        </w:rPr>
      </w:pPr>
    </w:p>
    <w:p w14:paraId="779CD948" w14:textId="77777777" w:rsidR="0051526C" w:rsidRDefault="0051526C" w:rsidP="00246BC3">
      <w:pPr>
        <w:spacing w:line="480" w:lineRule="auto"/>
        <w:ind w:firstLine="720"/>
        <w:rPr>
          <w:lang w:val="en-GB"/>
        </w:rPr>
      </w:pPr>
    </w:p>
    <w:p w14:paraId="574899E3" w14:textId="77777777" w:rsidR="0051526C" w:rsidRDefault="0051526C" w:rsidP="00246BC3">
      <w:pPr>
        <w:spacing w:line="480" w:lineRule="auto"/>
        <w:ind w:firstLine="720"/>
        <w:rPr>
          <w:lang w:val="en-GB"/>
        </w:rPr>
      </w:pPr>
    </w:p>
    <w:p w14:paraId="174487B0" w14:textId="77777777" w:rsidR="0051526C" w:rsidRDefault="0051526C" w:rsidP="00246BC3">
      <w:pPr>
        <w:spacing w:line="480" w:lineRule="auto"/>
        <w:ind w:firstLine="720"/>
        <w:rPr>
          <w:lang w:val="en-GB"/>
        </w:rPr>
      </w:pPr>
    </w:p>
    <w:p w14:paraId="3B1625D5" w14:textId="77777777" w:rsidR="0051526C" w:rsidRDefault="0051526C" w:rsidP="00246BC3">
      <w:pPr>
        <w:spacing w:line="480" w:lineRule="auto"/>
        <w:ind w:firstLine="720"/>
        <w:rPr>
          <w:lang w:val="en-GB"/>
        </w:rPr>
      </w:pPr>
    </w:p>
    <w:p w14:paraId="5BB62D60" w14:textId="77777777" w:rsidR="0051526C" w:rsidRDefault="0051526C" w:rsidP="00246BC3">
      <w:pPr>
        <w:spacing w:line="480" w:lineRule="auto"/>
        <w:ind w:firstLine="720"/>
        <w:rPr>
          <w:lang w:val="en-GB"/>
        </w:rPr>
      </w:pPr>
    </w:p>
    <w:p w14:paraId="76F7A346" w14:textId="77777777" w:rsidR="0051526C" w:rsidRDefault="0051526C" w:rsidP="00246BC3">
      <w:pPr>
        <w:spacing w:line="480" w:lineRule="auto"/>
        <w:ind w:firstLine="720"/>
        <w:rPr>
          <w:lang w:val="en-GB"/>
        </w:rPr>
      </w:pPr>
    </w:p>
    <w:p w14:paraId="153FA7BF" w14:textId="77777777" w:rsidR="0051526C" w:rsidRPr="00246BC3" w:rsidRDefault="0051526C" w:rsidP="00246BC3">
      <w:pPr>
        <w:spacing w:line="480" w:lineRule="auto"/>
        <w:ind w:firstLine="720"/>
        <w:rPr>
          <w:lang w:val="en-GB"/>
        </w:rPr>
      </w:pPr>
    </w:p>
    <w:p w14:paraId="44C5AC1E" w14:textId="77777777" w:rsidR="008B1A64" w:rsidRDefault="003B32D9" w:rsidP="008B1A64">
      <w:pPr>
        <w:keepNext/>
        <w:jc w:val="center"/>
      </w:pPr>
      <w:r>
        <w:rPr>
          <w:noProof/>
        </w:rPr>
        <w:drawing>
          <wp:inline distT="0" distB="0" distL="0" distR="0" wp14:anchorId="4F5C87B3" wp14:editId="2BCEC222">
            <wp:extent cx="4445000" cy="3429000"/>
            <wp:effectExtent l="25400" t="25400" r="25400" b="25400"/>
            <wp:docPr id="33" name="Picture 33" descr="AlytasMap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ytasMap_Final cop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5000" cy="3429000"/>
                    </a:xfrm>
                    <a:prstGeom prst="rect">
                      <a:avLst/>
                    </a:prstGeom>
                    <a:noFill/>
                    <a:ln w="6350" cmpd="sng">
                      <a:solidFill>
                        <a:srgbClr val="000000"/>
                      </a:solidFill>
                      <a:miter lim="800000"/>
                      <a:headEnd/>
                      <a:tailEnd/>
                    </a:ln>
                    <a:effectLst/>
                  </pic:spPr>
                </pic:pic>
              </a:graphicData>
            </a:graphic>
          </wp:inline>
        </w:drawing>
      </w:r>
    </w:p>
    <w:p w14:paraId="6E68D76F" w14:textId="77777777" w:rsidR="008B1A64" w:rsidRDefault="008B1A64" w:rsidP="008B1A64">
      <w:pPr>
        <w:pStyle w:val="Caption"/>
        <w:jc w:val="center"/>
      </w:pPr>
      <w:r>
        <w:t xml:space="preserve">Figure </w:t>
      </w:r>
      <w:r w:rsidR="00D91E87">
        <w:t>6</w:t>
      </w:r>
      <w:r>
        <w:t>. Schem</w:t>
      </w:r>
      <w:r w:rsidR="003B443C">
        <w:t>atic representation of the Alytu</w:t>
      </w:r>
      <w:r>
        <w:t>s ce</w:t>
      </w:r>
      <w:r w:rsidR="003B443C">
        <w:t>metery and location of the Alytu</w:t>
      </w:r>
      <w:r>
        <w:t>s town</w:t>
      </w:r>
      <w:r w:rsidRPr="0058176C">
        <w:t xml:space="preserve"> (Adapted from Kozakaite</w:t>
      </w:r>
      <w:r w:rsidR="003B443C">
        <w:t>,</w:t>
      </w:r>
      <w:r w:rsidRPr="0058176C">
        <w:t xml:space="preserve"> 2011)</w:t>
      </w:r>
      <w:r w:rsidR="00D91E87">
        <w:t>.</w:t>
      </w:r>
    </w:p>
    <w:p w14:paraId="471DA3AD" w14:textId="77777777" w:rsidR="008B1A64" w:rsidRDefault="008B1A64" w:rsidP="008B1A64">
      <w:pPr>
        <w:spacing w:line="480" w:lineRule="auto"/>
        <w:rPr>
          <w:lang w:val="en-GB"/>
        </w:rPr>
      </w:pPr>
    </w:p>
    <w:p w14:paraId="461312D8" w14:textId="77777777" w:rsidR="0051526C" w:rsidRDefault="0051526C" w:rsidP="008B1A64">
      <w:pPr>
        <w:spacing w:line="480" w:lineRule="auto"/>
        <w:rPr>
          <w:lang w:val="en-GB"/>
        </w:rPr>
      </w:pPr>
    </w:p>
    <w:p w14:paraId="64C6B4BE" w14:textId="77777777" w:rsidR="0051526C" w:rsidRDefault="0051526C" w:rsidP="008B1A64">
      <w:pPr>
        <w:spacing w:line="480" w:lineRule="auto"/>
        <w:rPr>
          <w:lang w:val="en-GB"/>
        </w:rPr>
      </w:pPr>
    </w:p>
    <w:p w14:paraId="3610D9C8" w14:textId="77777777" w:rsidR="0051526C" w:rsidRDefault="0051526C" w:rsidP="008B1A64">
      <w:pPr>
        <w:spacing w:line="480" w:lineRule="auto"/>
        <w:rPr>
          <w:lang w:val="en-GB"/>
        </w:rPr>
      </w:pPr>
    </w:p>
    <w:p w14:paraId="3F7F91B1" w14:textId="77777777" w:rsidR="0051526C" w:rsidRDefault="0051526C" w:rsidP="008B1A64">
      <w:pPr>
        <w:spacing w:line="480" w:lineRule="auto"/>
        <w:rPr>
          <w:lang w:val="en-GB"/>
        </w:rPr>
      </w:pPr>
    </w:p>
    <w:p w14:paraId="1C050A72" w14:textId="77777777" w:rsidR="0051526C" w:rsidRDefault="0051526C" w:rsidP="008B1A64">
      <w:pPr>
        <w:spacing w:line="480" w:lineRule="auto"/>
        <w:rPr>
          <w:lang w:val="en-GB"/>
        </w:rPr>
      </w:pPr>
    </w:p>
    <w:p w14:paraId="571D027B" w14:textId="77777777" w:rsidR="008B1A64" w:rsidRDefault="003B32D9" w:rsidP="008B1A64">
      <w:pPr>
        <w:keepNext/>
      </w:pPr>
      <w:r>
        <w:rPr>
          <w:noProof/>
        </w:rPr>
        <w:drawing>
          <wp:inline distT="0" distB="0" distL="0" distR="0" wp14:anchorId="35FA5F9B" wp14:editId="61327B33">
            <wp:extent cx="5308600" cy="6057900"/>
            <wp:effectExtent l="0" t="0" r="0" b="12700"/>
            <wp:docPr id="81" name="Picture 81" descr="BurialMapAly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urialMapAly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8600" cy="6057900"/>
                    </a:xfrm>
                    <a:prstGeom prst="rect">
                      <a:avLst/>
                    </a:prstGeom>
                    <a:noFill/>
                    <a:ln w="6350" cmpd="sng">
                      <a:noFill/>
                      <a:miter lim="800000"/>
                      <a:headEnd/>
                      <a:tailEnd/>
                    </a:ln>
                    <a:effectLst/>
                  </pic:spPr>
                </pic:pic>
              </a:graphicData>
            </a:graphic>
          </wp:inline>
        </w:drawing>
      </w:r>
    </w:p>
    <w:p w14:paraId="0EF51256" w14:textId="77777777" w:rsidR="008B1A64" w:rsidRDefault="008B1A64" w:rsidP="008B1A64">
      <w:pPr>
        <w:pStyle w:val="Caption"/>
      </w:pPr>
      <w:r>
        <w:t xml:space="preserve">Figure </w:t>
      </w:r>
      <w:r w:rsidR="00D91E87">
        <w:t>7</w:t>
      </w:r>
      <w:r>
        <w:t xml:space="preserve">. </w:t>
      </w:r>
      <w:r w:rsidRPr="003F4561">
        <w:t>Planview map of Alytus cemetery and excavated adult and subadult burials</w:t>
      </w:r>
    </w:p>
    <w:p w14:paraId="6ACD2510" w14:textId="77777777" w:rsidR="008B1A64" w:rsidRDefault="008B1A64" w:rsidP="008B1A64">
      <w:pPr>
        <w:spacing w:line="480" w:lineRule="auto"/>
        <w:rPr>
          <w:lang w:val="en-GB"/>
        </w:rPr>
      </w:pPr>
    </w:p>
    <w:p w14:paraId="5B13BD03" w14:textId="77777777" w:rsidR="008B1A64" w:rsidRDefault="008B1A64" w:rsidP="008B1A64">
      <w:pPr>
        <w:spacing w:line="480" w:lineRule="auto"/>
        <w:rPr>
          <w:lang w:val="en-GB"/>
        </w:rPr>
      </w:pPr>
    </w:p>
    <w:p w14:paraId="1F471301" w14:textId="77777777" w:rsidR="00246BC3" w:rsidRPr="00246BC3" w:rsidRDefault="00246BC3" w:rsidP="00246BC3">
      <w:pPr>
        <w:spacing w:line="480" w:lineRule="auto"/>
        <w:ind w:firstLine="720"/>
        <w:rPr>
          <w:lang w:val="en-GB"/>
        </w:rPr>
      </w:pPr>
      <w:r w:rsidRPr="00246BC3">
        <w:rPr>
          <w:lang w:val="en-GB"/>
        </w:rPr>
        <w:lastRenderedPageBreak/>
        <w:t>The first record of Alytus as an official town center was associated with the construction of the hill-fort fortification circa 1365 A.D. with a village forming soon thereafter in 1370 A.D. (Navickas, 1988).</w:t>
      </w:r>
      <w:r w:rsidR="006A3BEE">
        <w:rPr>
          <w:lang w:val="en-GB"/>
        </w:rPr>
        <w:t xml:space="preserve"> </w:t>
      </w:r>
      <w:r w:rsidRPr="00246BC3">
        <w:rPr>
          <w:lang w:val="en-GB"/>
        </w:rPr>
        <w:t>Multiple invasions during the Teutonic Wars devastated the Alytus population; however, the adoption of Roman Christianity within the GDL in 1387 A.D. prevented further attacks (Gudavičius, 1989).</w:t>
      </w:r>
      <w:r w:rsidR="006A3BEE">
        <w:rPr>
          <w:lang w:val="en-GB"/>
        </w:rPr>
        <w:t xml:space="preserve"> </w:t>
      </w:r>
      <w:r w:rsidRPr="00246BC3">
        <w:rPr>
          <w:lang w:val="en-GB"/>
        </w:rPr>
        <w:t>Though noblemen in the large urban centers quickly adopted the conversion to European Catholicism, other, traditional religious lifestyles in the countryside were maintained for nearly 130 years (Rowell, 2001; Beresnevičius, 2008).</w:t>
      </w:r>
      <w:r w:rsidR="006A3BEE">
        <w:rPr>
          <w:lang w:val="en-GB"/>
        </w:rPr>
        <w:t xml:space="preserve"> </w:t>
      </w:r>
      <w:r w:rsidRPr="00246BC3">
        <w:rPr>
          <w:lang w:val="en-GB"/>
        </w:rPr>
        <w:t>Illustrating this point, the first Catholic church was not constructed in Alytus until 1507 A.D. (Tyla, 1989; Navickas, 1988; Žepkaitė, 2001).</w:t>
      </w:r>
      <w:r w:rsidR="006A3BEE">
        <w:rPr>
          <w:lang w:val="en-GB"/>
        </w:rPr>
        <w:t xml:space="preserve"> </w:t>
      </w:r>
      <w:r w:rsidRPr="00246BC3">
        <w:rPr>
          <w:lang w:val="en-GB"/>
        </w:rPr>
        <w:t>This social history resulted in a complex mixture of burial traditions at the Alytus cemetery that involve the inclusion of pagan grave goods as well as Christian elements, including orientation in a particular direction (Paknys, 2001).</w:t>
      </w:r>
      <w:r w:rsidR="006A3BEE">
        <w:rPr>
          <w:lang w:val="en-GB"/>
        </w:rPr>
        <w:t xml:space="preserve"> </w:t>
      </w:r>
      <w:r w:rsidRPr="00246BC3">
        <w:rPr>
          <w:lang w:val="en-GB"/>
        </w:rPr>
        <w:t>This complexity makes it difficult to define social groups among the burials at Alytus; it is unclear whether grave goods are associated with the retention of Pagan traditions or reflect social status differences (Paknys, 2001).</w:t>
      </w:r>
      <w:r w:rsidRPr="00246BC3">
        <w:rPr>
          <w:lang w:val="en-GB"/>
        </w:rPr>
        <w:tab/>
      </w:r>
    </w:p>
    <w:p w14:paraId="04B0CAF5" w14:textId="77777777" w:rsidR="00246BC3" w:rsidRPr="00246BC3" w:rsidRDefault="00246BC3" w:rsidP="00246BC3">
      <w:pPr>
        <w:spacing w:line="480" w:lineRule="auto"/>
        <w:ind w:firstLine="720"/>
        <w:rPr>
          <w:lang w:val="en-GB"/>
        </w:rPr>
      </w:pPr>
      <w:r w:rsidRPr="00246BC3">
        <w:rPr>
          <w:lang w:val="en-GB"/>
        </w:rPr>
        <w:t>The few historical documents about Alytus that remain describe a series of catastrophic events spanning centuries, which would have caused significant health stressors for the Alytus population.</w:t>
      </w:r>
      <w:r w:rsidR="006A3BEE">
        <w:rPr>
          <w:lang w:val="en-GB"/>
        </w:rPr>
        <w:t xml:space="preserve"> </w:t>
      </w:r>
      <w:r w:rsidRPr="00246BC3">
        <w:rPr>
          <w:lang w:val="en-GB"/>
        </w:rPr>
        <w:t>The first were the Teutonic Wars, mentioned above, and the Lithuanian Civil War, both of which occurred during the late fourteenth century A.D.</w:t>
      </w:r>
      <w:r w:rsidR="006A3BEE">
        <w:rPr>
          <w:lang w:val="en-GB"/>
        </w:rPr>
        <w:t xml:space="preserve"> </w:t>
      </w:r>
      <w:r w:rsidRPr="00246BC3">
        <w:rPr>
          <w:lang w:val="en-GB"/>
        </w:rPr>
        <w:t>Additionally, extensive population movements within the GDL occurred with Agrarian Reform in 1557 A.D., involving the elimination of older villages and isolated farmlands and subsequent migration into towns and villages.</w:t>
      </w:r>
      <w:r w:rsidR="006A3BEE">
        <w:rPr>
          <w:lang w:val="en-GB"/>
        </w:rPr>
        <w:t xml:space="preserve"> </w:t>
      </w:r>
      <w:r w:rsidRPr="00246BC3">
        <w:rPr>
          <w:lang w:val="en-GB"/>
        </w:rPr>
        <w:t>This reform resulted in increased population growth at Alytus by the 1581 census (1,150-1,200 people), but it also brought about diseases associated with increased population size, crowding, and poor sanitation (Jankauskas, 1998; Jankauskas and Schultz, 1999).</w:t>
      </w:r>
      <w:r w:rsidR="006A3BEE">
        <w:rPr>
          <w:lang w:val="en-GB"/>
        </w:rPr>
        <w:t xml:space="preserve"> </w:t>
      </w:r>
      <w:r w:rsidRPr="00246BC3">
        <w:rPr>
          <w:lang w:val="en-GB"/>
        </w:rPr>
        <w:lastRenderedPageBreak/>
        <w:t>Population size peaked during the early 17</w:t>
      </w:r>
      <w:r w:rsidRPr="00246BC3">
        <w:rPr>
          <w:vertAlign w:val="superscript"/>
          <w:lang w:val="en-GB"/>
        </w:rPr>
        <w:t>th</w:t>
      </w:r>
      <w:r w:rsidRPr="00246BC3">
        <w:rPr>
          <w:lang w:val="en-GB"/>
        </w:rPr>
        <w:t xml:space="preserve"> century with 2,500 people occupying the town.</w:t>
      </w:r>
      <w:r w:rsidR="006A3BEE">
        <w:rPr>
          <w:lang w:val="en-GB"/>
        </w:rPr>
        <w:t xml:space="preserve"> </w:t>
      </w:r>
      <w:r w:rsidRPr="00246BC3">
        <w:rPr>
          <w:lang w:val="en-GB"/>
        </w:rPr>
        <w:t>By 1667 A.D., however, a series of fires, epidemics, and wars rapidly reduced the Alytus population to 450-700 (Kiaupa, 1989; Miškinis, 1989).</w:t>
      </w:r>
      <w:r w:rsidR="006A3BEE">
        <w:rPr>
          <w:lang w:val="en-GB"/>
        </w:rPr>
        <w:t xml:space="preserve"> </w:t>
      </w:r>
      <w:r w:rsidRPr="00246BC3">
        <w:rPr>
          <w:lang w:val="en-GB"/>
        </w:rPr>
        <w:t>By the early 18</w:t>
      </w:r>
      <w:r w:rsidRPr="00246BC3">
        <w:rPr>
          <w:vertAlign w:val="superscript"/>
          <w:lang w:val="en-GB"/>
        </w:rPr>
        <w:t>th</w:t>
      </w:r>
      <w:r w:rsidRPr="00246BC3">
        <w:rPr>
          <w:lang w:val="en-GB"/>
        </w:rPr>
        <w:t xml:space="preserve"> century, the pressures of additional wars, plagues, and famine devastated Alytus. </w:t>
      </w:r>
    </w:p>
    <w:p w14:paraId="0D66D852" w14:textId="77777777" w:rsidR="00246BC3" w:rsidRPr="00246BC3" w:rsidRDefault="00246BC3" w:rsidP="00246BC3">
      <w:pPr>
        <w:spacing w:line="480" w:lineRule="auto"/>
        <w:ind w:firstLine="720"/>
        <w:rPr>
          <w:lang w:val="en-GB"/>
        </w:rPr>
      </w:pPr>
      <w:r w:rsidRPr="00246BC3">
        <w:rPr>
          <w:lang w:val="en-GB"/>
        </w:rPr>
        <w:t>In fact, during the existence of the GDL, there were at least 54 famine years (roughly every seventh year on average) due to multiple causes, including freezing weather conditions and crop failure (Grickevič, 1973).</w:t>
      </w:r>
      <w:r w:rsidR="006A3BEE">
        <w:rPr>
          <w:lang w:val="en-GB"/>
        </w:rPr>
        <w:t xml:space="preserve"> </w:t>
      </w:r>
      <w:r w:rsidRPr="00246BC3">
        <w:rPr>
          <w:lang w:val="en-GB"/>
        </w:rPr>
        <w:t>Famine years were especially harsh after the 16</w:t>
      </w:r>
      <w:r w:rsidRPr="00246BC3">
        <w:rPr>
          <w:vertAlign w:val="superscript"/>
          <w:lang w:val="en-GB"/>
        </w:rPr>
        <w:t>th</w:t>
      </w:r>
      <w:r w:rsidRPr="00246BC3">
        <w:rPr>
          <w:lang w:val="en-GB"/>
        </w:rPr>
        <w:t xml:space="preserve"> century with the advent of the Little Ice Age, a period of climatic cooling that had significant effects on European agriculture (Baronas et al., 2011).</w:t>
      </w:r>
      <w:r w:rsidR="006A3BEE">
        <w:rPr>
          <w:lang w:val="en-GB"/>
        </w:rPr>
        <w:t xml:space="preserve"> </w:t>
      </w:r>
      <w:r w:rsidRPr="00246BC3">
        <w:rPr>
          <w:lang w:val="en-GB"/>
        </w:rPr>
        <w:t xml:space="preserve">The majority of the general populace, especially those of low socioeconomic status, was routinely on the verge of starvation (Jankauskas and Urbanavičius, 1998). </w:t>
      </w:r>
    </w:p>
    <w:p w14:paraId="3D8587EC" w14:textId="77777777" w:rsidR="00246BC3" w:rsidRPr="00246BC3" w:rsidRDefault="00246BC3" w:rsidP="001C587B">
      <w:pPr>
        <w:spacing w:line="480" w:lineRule="auto"/>
        <w:ind w:firstLine="720"/>
        <w:rPr>
          <w:lang w:val="en-GB"/>
        </w:rPr>
      </w:pPr>
      <w:r w:rsidRPr="00246BC3">
        <w:rPr>
          <w:lang w:val="en-GB"/>
        </w:rPr>
        <w:t>Following the depopulating events of the late 17</w:t>
      </w:r>
      <w:r w:rsidRPr="00246BC3">
        <w:rPr>
          <w:vertAlign w:val="superscript"/>
          <w:lang w:val="en-GB"/>
        </w:rPr>
        <w:t>th</w:t>
      </w:r>
      <w:r w:rsidRPr="00246BC3">
        <w:rPr>
          <w:lang w:val="en-GB"/>
        </w:rPr>
        <w:t xml:space="preserve"> century, Alytus ceased to be a population settlement in the early 18</w:t>
      </w:r>
      <w:r w:rsidRPr="00246BC3">
        <w:rPr>
          <w:vertAlign w:val="superscript"/>
          <w:lang w:val="en-GB"/>
        </w:rPr>
        <w:t>th</w:t>
      </w:r>
      <w:r w:rsidRPr="00246BC3">
        <w:rPr>
          <w:lang w:val="en-GB"/>
        </w:rPr>
        <w:t xml:space="preserve"> century.</w:t>
      </w:r>
      <w:r w:rsidR="006A3BEE">
        <w:rPr>
          <w:lang w:val="en-GB"/>
        </w:rPr>
        <w:t xml:space="preserve"> </w:t>
      </w:r>
      <w:r w:rsidRPr="00246BC3">
        <w:rPr>
          <w:lang w:val="en-GB"/>
        </w:rPr>
        <w:t>In 1706 A.D., the GDL was invaded by Sweden, and Alytus was attacked.</w:t>
      </w:r>
      <w:r w:rsidR="006A3BEE">
        <w:rPr>
          <w:lang w:val="en-GB"/>
        </w:rPr>
        <w:t xml:space="preserve"> </w:t>
      </w:r>
      <w:r w:rsidRPr="00246BC3">
        <w:rPr>
          <w:lang w:val="en-GB"/>
        </w:rPr>
        <w:t>This invasion was followed closely thereafter by an especially harsh, countrywide famine in 1708 A.D. (Navickas, 1988).</w:t>
      </w:r>
      <w:r w:rsidR="006A3BEE">
        <w:rPr>
          <w:lang w:val="en-GB"/>
        </w:rPr>
        <w:t xml:space="preserve"> </w:t>
      </w:r>
      <w:r w:rsidRPr="00246BC3">
        <w:rPr>
          <w:lang w:val="en-GB"/>
        </w:rPr>
        <w:t>The Big Plague (1709-1711), which devastated Lithuania, Poland, and Prussia, caused record high death tolls in the GDL.</w:t>
      </w:r>
      <w:r w:rsidR="006A3BEE">
        <w:rPr>
          <w:lang w:val="en-GB"/>
        </w:rPr>
        <w:t xml:space="preserve"> </w:t>
      </w:r>
      <w:r w:rsidRPr="00246BC3">
        <w:rPr>
          <w:lang w:val="en-GB"/>
        </w:rPr>
        <w:t xml:space="preserve">Under the burden of these conditions, by 1712 A.D. the town of Alytus was completely abandoned (Tyla, 1989). </w:t>
      </w:r>
    </w:p>
    <w:p w14:paraId="46BC432C" w14:textId="77777777" w:rsidR="00E21B99" w:rsidRPr="001C587B" w:rsidRDefault="00246BC3" w:rsidP="00E21B99">
      <w:pPr>
        <w:pStyle w:val="Style1"/>
        <w:rPr>
          <w:rStyle w:val="Emphasis"/>
          <w:i/>
          <w:iCs w:val="0"/>
        </w:rPr>
      </w:pPr>
      <w:bookmarkStart w:id="55" w:name="_Toc233171661"/>
      <w:r w:rsidRPr="00E21B99">
        <w:rPr>
          <w:rStyle w:val="Emphasis"/>
          <w:i/>
          <w:iCs w:val="0"/>
        </w:rPr>
        <w:t>Living Conditions and Sources of Health Stress</w:t>
      </w:r>
      <w:bookmarkEnd w:id="55"/>
    </w:p>
    <w:p w14:paraId="3F69D20A" w14:textId="77777777" w:rsidR="00246BC3" w:rsidRPr="00246BC3" w:rsidRDefault="00246BC3" w:rsidP="00246BC3">
      <w:pPr>
        <w:spacing w:line="480" w:lineRule="auto"/>
        <w:ind w:firstLine="720"/>
        <w:rPr>
          <w:lang w:val="en-GB"/>
        </w:rPr>
      </w:pPr>
      <w:r w:rsidRPr="00246BC3">
        <w:rPr>
          <w:lang w:val="en-GB"/>
        </w:rPr>
        <w:t>Living conditions in the GDL, and within Medieval Europe in general, presented nutritional challenges and were replete with substantial health stressors, including infection and other sources of disease.</w:t>
      </w:r>
      <w:r w:rsidR="006A3BEE">
        <w:rPr>
          <w:lang w:val="en-GB"/>
        </w:rPr>
        <w:t xml:space="preserve"> </w:t>
      </w:r>
      <w:r w:rsidRPr="00246BC3">
        <w:rPr>
          <w:lang w:val="en-GB"/>
        </w:rPr>
        <w:t xml:space="preserve">Based on historical records of the nearby GDL capital of </w:t>
      </w:r>
      <w:r w:rsidRPr="00246BC3">
        <w:t xml:space="preserve">Kernavė—an </w:t>
      </w:r>
      <w:r w:rsidRPr="00246BC3">
        <w:lastRenderedPageBreak/>
        <w:t>urban town with a similar population size to Alytus</w:t>
      </w:r>
      <w:r w:rsidRPr="00246BC3">
        <w:rPr>
          <w:lang w:val="en-GB"/>
        </w:rPr>
        <w:t xml:space="preserve">—the average life expectancy was significantly reduced relative to modern life expectancies in Lithuania [eχ=21 years during the GDL; eχ=69.6 years, averaged for both sexes in 1996, based on data in Kalediene and Petrauskiene (2000), though these values are biased on account of the high rates of </w:t>
      </w:r>
      <w:r w:rsidR="00F02A94">
        <w:rPr>
          <w:lang w:val="en-GB"/>
        </w:rPr>
        <w:t>subadult</w:t>
      </w:r>
      <w:r w:rsidRPr="00246BC3">
        <w:rPr>
          <w:lang w:val="en-GB"/>
        </w:rPr>
        <w:t xml:space="preserve"> mortality that occurred during the time of the Grand Dutchy]; over 30% of </w:t>
      </w:r>
      <w:r w:rsidR="00A752A1">
        <w:rPr>
          <w:lang w:val="en-GB"/>
        </w:rPr>
        <w:t xml:space="preserve">immature individuals </w:t>
      </w:r>
      <w:r w:rsidRPr="00246BC3">
        <w:rPr>
          <w:lang w:val="en-GB"/>
        </w:rPr>
        <w:t>died before the age of five during the time of the GDL (Vėlius, 2003, 2005).</w:t>
      </w:r>
      <w:r w:rsidR="006A3BEE">
        <w:rPr>
          <w:lang w:val="en-GB"/>
        </w:rPr>
        <w:t xml:space="preserve"> </w:t>
      </w:r>
      <w:r w:rsidRPr="00246BC3">
        <w:rPr>
          <w:lang w:val="en-GB"/>
        </w:rPr>
        <w:t>A reduction in stature has also been demonstrated for Lithuanian populations during the Late Middle Ages, which indicates that there was a reduced growth rate in children between two to five years of age, as well as a delay in the adolescent growth spurt (Šereikienė and Jankauskas, 2002, 2004).</w:t>
      </w:r>
      <w:r w:rsidR="006A3BEE">
        <w:rPr>
          <w:lang w:val="en-GB"/>
        </w:rPr>
        <w:t xml:space="preserve"> </w:t>
      </w:r>
      <w:r w:rsidRPr="00246BC3">
        <w:rPr>
          <w:lang w:val="en-GB"/>
        </w:rPr>
        <w:t>Due to improvements in diet and health, modern Lithuanian adults are now ten to fifteen centimeters taller on average than medieval populations (Šereikienė and Jankauskas, 2004).</w:t>
      </w:r>
    </w:p>
    <w:p w14:paraId="59ABA86A" w14:textId="77777777" w:rsidR="00246BC3" w:rsidRPr="00246BC3" w:rsidRDefault="00246BC3" w:rsidP="00246BC3">
      <w:pPr>
        <w:spacing w:line="480" w:lineRule="auto"/>
        <w:ind w:firstLine="720"/>
        <w:rPr>
          <w:lang w:val="en-GB"/>
        </w:rPr>
      </w:pPr>
      <w:r w:rsidRPr="00246BC3">
        <w:rPr>
          <w:lang w:val="en-GB"/>
        </w:rPr>
        <w:t>Highly disproportionate social hierarchy was a fundamental component of life in feudal societies like the GDL.</w:t>
      </w:r>
      <w:r w:rsidR="006A3BEE">
        <w:rPr>
          <w:lang w:val="en-GB"/>
        </w:rPr>
        <w:t xml:space="preserve"> </w:t>
      </w:r>
      <w:r w:rsidRPr="00246BC3">
        <w:rPr>
          <w:lang w:val="en-GB"/>
        </w:rPr>
        <w:t>Historical documents, for example, point to inequality in access to</w:t>
      </w:r>
      <w:r w:rsidR="00F937D6">
        <w:rPr>
          <w:lang w:val="en-GB"/>
        </w:rPr>
        <w:t xml:space="preserve"> medical care</w:t>
      </w:r>
      <w:r w:rsidRPr="00246BC3">
        <w:rPr>
          <w:lang w:val="en-GB"/>
        </w:rPr>
        <w:t>.</w:t>
      </w:r>
      <w:r w:rsidR="006A3BEE">
        <w:rPr>
          <w:lang w:val="en-GB"/>
        </w:rPr>
        <w:t xml:space="preserve"> </w:t>
      </w:r>
      <w:r w:rsidRPr="00246BC3">
        <w:rPr>
          <w:lang w:val="en-GB"/>
        </w:rPr>
        <w:t>In the early 15</w:t>
      </w:r>
      <w:r w:rsidRPr="00246BC3">
        <w:rPr>
          <w:vertAlign w:val="superscript"/>
          <w:lang w:val="en-GB"/>
        </w:rPr>
        <w:t>th</w:t>
      </w:r>
      <w:r w:rsidRPr="00246BC3">
        <w:rPr>
          <w:lang w:val="en-GB"/>
        </w:rPr>
        <w:t xml:space="preserve"> century, the first professional doctors entered the GDL from Western Europe; however, access to professional medical care was restricted to individuals of great political power, mostly noblemen, loyalty, and their families (Baronas, 2001; Andriušis, 2006).</w:t>
      </w:r>
      <w:r w:rsidR="006A3BEE">
        <w:rPr>
          <w:lang w:val="en-GB"/>
        </w:rPr>
        <w:t xml:space="preserve"> </w:t>
      </w:r>
      <w:r w:rsidRPr="00246BC3">
        <w:rPr>
          <w:lang w:val="en-GB"/>
        </w:rPr>
        <w:t>Peasants, villagers, and poor city dwellers resorted to magic and rudimentary forms of medicine to cure ailments, injuries, and illnesses (Siraisi, 1990; Baronas, 2001).</w:t>
      </w:r>
      <w:r w:rsidR="006A3BEE">
        <w:rPr>
          <w:lang w:val="en-GB"/>
        </w:rPr>
        <w:t xml:space="preserve"> </w:t>
      </w:r>
      <w:r w:rsidRPr="00246BC3">
        <w:rPr>
          <w:lang w:val="en-GB"/>
        </w:rPr>
        <w:t>Several GDL occupations (e.g., bath workers, barbers) provided medical services to townspeople in addition to their regular services.</w:t>
      </w:r>
      <w:r w:rsidR="006A3BEE">
        <w:rPr>
          <w:lang w:val="en-GB"/>
        </w:rPr>
        <w:t xml:space="preserve"> </w:t>
      </w:r>
      <w:r w:rsidRPr="00246BC3">
        <w:rPr>
          <w:lang w:val="en-GB"/>
        </w:rPr>
        <w:t>There were also self-taught folk doctors, herbalists, sorcerers, and healers who attempted to alleviate ailments of town dwellers on a daily basis.</w:t>
      </w:r>
      <w:r w:rsidR="006A3BEE">
        <w:rPr>
          <w:lang w:val="en-GB"/>
        </w:rPr>
        <w:t xml:space="preserve"> </w:t>
      </w:r>
      <w:r w:rsidRPr="00246BC3">
        <w:rPr>
          <w:lang w:val="en-GB"/>
        </w:rPr>
        <w:t xml:space="preserve">The majority of the Alytus population would have had limited access to the most advanced professional medical services </w:t>
      </w:r>
      <w:r w:rsidRPr="00246BC3">
        <w:rPr>
          <w:lang w:val="en-GB"/>
        </w:rPr>
        <w:lastRenderedPageBreak/>
        <w:t>available at the time, and were commonly the subjects of increased morbidity and mortality, in part due to infections, as well as reduced access to adequate nutrition.</w:t>
      </w:r>
    </w:p>
    <w:p w14:paraId="2968E218" w14:textId="77777777" w:rsidR="00246BC3" w:rsidRPr="00246BC3" w:rsidRDefault="00246BC3" w:rsidP="00246BC3">
      <w:pPr>
        <w:spacing w:line="480" w:lineRule="auto"/>
        <w:ind w:firstLine="720"/>
        <w:rPr>
          <w:lang w:val="en-GB"/>
        </w:rPr>
      </w:pPr>
      <w:r w:rsidRPr="00246BC3">
        <w:rPr>
          <w:lang w:val="en-GB"/>
        </w:rPr>
        <w:t>Health stressors at Alytus were typical of those commonly present in other European towns during the Late Middle Ages.</w:t>
      </w:r>
      <w:r w:rsidR="006A3BEE">
        <w:rPr>
          <w:lang w:val="en-GB"/>
        </w:rPr>
        <w:t xml:space="preserve"> </w:t>
      </w:r>
      <w:r w:rsidRPr="00246BC3">
        <w:rPr>
          <w:lang w:val="en-GB"/>
        </w:rPr>
        <w:t>Some of these pathologies would be readily visible in cemetery samples, while others would not necessarily result in a skeletal response.</w:t>
      </w:r>
      <w:r w:rsidR="006A3BEE">
        <w:rPr>
          <w:lang w:val="en-GB"/>
        </w:rPr>
        <w:t xml:space="preserve"> </w:t>
      </w:r>
      <w:r w:rsidRPr="00246BC3">
        <w:rPr>
          <w:lang w:val="en-GB"/>
        </w:rPr>
        <w:t>Infectious disease was the most common cause of death (Jankauskas and Urbanavičius, 1998).</w:t>
      </w:r>
      <w:r w:rsidR="006A3BEE">
        <w:rPr>
          <w:lang w:val="en-GB"/>
        </w:rPr>
        <w:t xml:space="preserve"> </w:t>
      </w:r>
      <w:r w:rsidRPr="00246BC3">
        <w:rPr>
          <w:lang w:val="en-GB"/>
        </w:rPr>
        <w:t xml:space="preserve">Although infectious disease does not necessarily result in metabolic disturbance, when present among subadults in conjunction with other nutritional health stressors, a synergistic relationship is created which often leads to malabsorption of nutrients (Lewis, 2007; </w:t>
      </w:r>
      <w:r w:rsidRPr="00246BC3">
        <w:rPr>
          <w:rFonts w:eastAsia="Calibri"/>
        </w:rPr>
        <w:t>Huss-Ashmore et al., 1982; Bennike et al., 2005</w:t>
      </w:r>
      <w:r w:rsidRPr="00246BC3">
        <w:rPr>
          <w:lang w:val="en-GB"/>
        </w:rPr>
        <w:t>).</w:t>
      </w:r>
      <w:r w:rsidR="006A3BEE">
        <w:rPr>
          <w:lang w:val="en-GB"/>
        </w:rPr>
        <w:t xml:space="preserve"> </w:t>
      </w:r>
      <w:r w:rsidRPr="00246BC3">
        <w:rPr>
          <w:lang w:val="en-GB"/>
        </w:rPr>
        <w:t>Tuberculosis, one of the main contributors to mortality in urban medieval Europe, was present in especially high frequency among the Alytus population (Jankauskas, 1998, 1999; Jankauskas and Urbanavičius, 1998).</w:t>
      </w:r>
      <w:r w:rsidR="006A3BEE">
        <w:rPr>
          <w:lang w:val="en-GB"/>
        </w:rPr>
        <w:t xml:space="preserve"> </w:t>
      </w:r>
      <w:r w:rsidRPr="00246BC3">
        <w:rPr>
          <w:lang w:val="en-GB"/>
        </w:rPr>
        <w:t xml:space="preserve">In addition to skeletal lesions indicative of tuberculosis infection at Alytus, Faerman et al. (1999) confirmed the presence of </w:t>
      </w:r>
      <w:r w:rsidRPr="00246BC3">
        <w:rPr>
          <w:i/>
          <w:lang w:val="en-GB"/>
        </w:rPr>
        <w:t xml:space="preserve">Mycobacterium tuberculosis </w:t>
      </w:r>
      <w:r w:rsidRPr="00246BC3">
        <w:rPr>
          <w:lang w:val="en-GB"/>
        </w:rPr>
        <w:t>by the DNA analysis of Alytus skeletal remains.</w:t>
      </w:r>
      <w:r w:rsidR="006A3BEE">
        <w:rPr>
          <w:lang w:val="en-GB"/>
        </w:rPr>
        <w:t xml:space="preserve"> </w:t>
      </w:r>
      <w:r w:rsidRPr="00246BC3">
        <w:rPr>
          <w:i/>
          <w:lang w:val="en-GB"/>
        </w:rPr>
        <w:t xml:space="preserve">M. tuberculosis </w:t>
      </w:r>
      <w:r w:rsidRPr="00246BC3">
        <w:rPr>
          <w:lang w:val="en-GB"/>
        </w:rPr>
        <w:t>was found in individuals who both did and did not present with specific skeletal lesions.</w:t>
      </w:r>
      <w:r w:rsidR="006A3BEE">
        <w:rPr>
          <w:lang w:val="en-GB"/>
        </w:rPr>
        <w:t xml:space="preserve"> </w:t>
      </w:r>
      <w:r w:rsidRPr="00246BC3">
        <w:rPr>
          <w:lang w:val="en-GB"/>
        </w:rPr>
        <w:t>Thus, some individuals might have survived infection for a long enough period for, or experienced extended malnutrition that synergistically led to, the development of skeletal lesions.</w:t>
      </w:r>
      <w:r w:rsidR="006A3BEE">
        <w:rPr>
          <w:lang w:val="en-GB"/>
        </w:rPr>
        <w:t xml:space="preserve"> </w:t>
      </w:r>
      <w:r w:rsidRPr="00246BC3">
        <w:rPr>
          <w:lang w:val="en-GB"/>
        </w:rPr>
        <w:t>In contrast, other individuals succumbed to the infection or other causes of death before sufficient time elapsed to yield lesions.</w:t>
      </w:r>
      <w:r w:rsidR="006A3BEE">
        <w:rPr>
          <w:lang w:val="en-GB"/>
        </w:rPr>
        <w:t xml:space="preserve"> </w:t>
      </w:r>
      <w:r w:rsidRPr="00246BC3">
        <w:rPr>
          <w:lang w:val="en-GB"/>
        </w:rPr>
        <w:t xml:space="preserve">This difference has implications for the categorization of individuals as exhibiting chronic versus acute stress, as discussed below in the </w:t>
      </w:r>
      <w:r w:rsidRPr="00246BC3">
        <w:rPr>
          <w:i/>
          <w:lang w:val="en-GB"/>
        </w:rPr>
        <w:t xml:space="preserve">Methods </w:t>
      </w:r>
      <w:r w:rsidRPr="00246BC3">
        <w:rPr>
          <w:lang w:val="en-GB"/>
        </w:rPr>
        <w:t>section. Tuberculosis infections in cattle (a significant factor in the transmission of the disease) could have also exacerbated nutritional deficiency at Alytus, as the bacteria can cause decreased milk supply (Johnson et al., 2001) and, therefore, calcium availability for human populations.</w:t>
      </w:r>
    </w:p>
    <w:p w14:paraId="37B688AA" w14:textId="3CCAAB1A" w:rsidR="00246BC3" w:rsidRPr="00246BC3" w:rsidRDefault="00246BC3" w:rsidP="00246BC3">
      <w:pPr>
        <w:spacing w:line="480" w:lineRule="auto"/>
        <w:ind w:firstLine="720"/>
        <w:rPr>
          <w:lang w:val="en-GB"/>
        </w:rPr>
      </w:pPr>
      <w:r w:rsidRPr="00246BC3">
        <w:rPr>
          <w:lang w:val="en-GB"/>
        </w:rPr>
        <w:lastRenderedPageBreak/>
        <w:t>The Black Death was also a significant cause of morbidity and death.</w:t>
      </w:r>
      <w:r w:rsidR="006A3BEE">
        <w:rPr>
          <w:lang w:val="en-GB"/>
        </w:rPr>
        <w:t xml:space="preserve"> </w:t>
      </w:r>
      <w:r w:rsidRPr="00246BC3">
        <w:rPr>
          <w:lang w:val="en-GB"/>
        </w:rPr>
        <w:t>In general, the plague affected the impoverished classes more acutely than the elite; with the introduction of the plagu</w:t>
      </w:r>
      <w:r w:rsidR="00C05913">
        <w:rPr>
          <w:lang w:val="en-GB"/>
        </w:rPr>
        <w:t>e to the region, many of the ar</w:t>
      </w:r>
      <w:r w:rsidRPr="00246BC3">
        <w:rPr>
          <w:lang w:val="en-GB"/>
        </w:rPr>
        <w:t>istocracy fled the crowded towns and secluded themselves in countryside homes (Ragauskienė, 2004).</w:t>
      </w:r>
      <w:r w:rsidR="006A3BEE">
        <w:rPr>
          <w:lang w:val="en-GB"/>
        </w:rPr>
        <w:t xml:space="preserve"> </w:t>
      </w:r>
      <w:r w:rsidRPr="00246BC3">
        <w:rPr>
          <w:lang w:val="en-GB"/>
        </w:rPr>
        <w:t>Records indicate that individuals between the ages of seven and thirteen were must susceptible to death by bubonic plague.</w:t>
      </w:r>
      <w:r w:rsidR="006A3BEE">
        <w:rPr>
          <w:lang w:val="en-GB"/>
        </w:rPr>
        <w:t xml:space="preserve"> </w:t>
      </w:r>
      <w:r w:rsidRPr="00246BC3">
        <w:rPr>
          <w:lang w:val="en-GB"/>
        </w:rPr>
        <w:t>Plague victims, being unable to work, were often incredibly malnourished and had to resort to begging for money (Navickas, 1988; Ragauskienė, 2004).</w:t>
      </w:r>
      <w:r w:rsidR="006A3BEE">
        <w:rPr>
          <w:lang w:val="en-GB"/>
        </w:rPr>
        <w:t xml:space="preserve"> </w:t>
      </w:r>
      <w:r w:rsidRPr="00246BC3">
        <w:rPr>
          <w:lang w:val="en-GB"/>
        </w:rPr>
        <w:t>However, the epidemic spread of this disease coincides with rapid death prior to skeletal response, and thus, the plague leaves no bioarchaeological signature and was not likely to be a significant contributor to metabolic bone loss (which requires a particular duration of stress to induce skeletal response), though it would certainly have impacted cemetery composition.</w:t>
      </w:r>
    </w:p>
    <w:p w14:paraId="70A5A258" w14:textId="77777777" w:rsidR="00246BC3" w:rsidRPr="00246BC3" w:rsidRDefault="00246BC3" w:rsidP="00246BC3">
      <w:pPr>
        <w:spacing w:line="480" w:lineRule="auto"/>
        <w:ind w:firstLine="720"/>
        <w:rPr>
          <w:lang w:val="en-GB"/>
        </w:rPr>
      </w:pPr>
      <w:r w:rsidRPr="00246BC3">
        <w:rPr>
          <w:lang w:val="en-GB"/>
        </w:rPr>
        <w:t>Syphilis was another common infectious disease at Alytus (Jankasukas, 1994) that could have influenced subadult mortality, though identification of syphilitic individuals is difficult in skeletal samples (Ortner, 2003).</w:t>
      </w:r>
      <w:r w:rsidR="006A3BEE">
        <w:rPr>
          <w:lang w:val="en-GB"/>
        </w:rPr>
        <w:t xml:space="preserve"> </w:t>
      </w:r>
      <w:r w:rsidRPr="00246BC3">
        <w:rPr>
          <w:lang w:val="en-GB"/>
        </w:rPr>
        <w:t>Congenital syphilis typically develops with transmission of venereal syphilis from the mother to the fetus as early as 9 weeks gestation.</w:t>
      </w:r>
      <w:r w:rsidR="006A3BEE">
        <w:rPr>
          <w:lang w:val="en-GB"/>
        </w:rPr>
        <w:t xml:space="preserve"> </w:t>
      </w:r>
      <w:r w:rsidRPr="00246BC3">
        <w:rPr>
          <w:lang w:val="en-GB"/>
        </w:rPr>
        <w:t>While congenital syphilis most commonly results in spontaneous abortion within the first half of pregnancy, fetuses are not always stillborn and may even survive until puberty (late congenital syphilis) (Ortner, 2003).</w:t>
      </w:r>
      <w:r w:rsidR="006A3BEE">
        <w:rPr>
          <w:lang w:val="en-GB"/>
        </w:rPr>
        <w:t xml:space="preserve"> </w:t>
      </w:r>
      <w:r w:rsidRPr="00246BC3">
        <w:rPr>
          <w:lang w:val="en-GB"/>
        </w:rPr>
        <w:t xml:space="preserve">In such cases, skeletal indicators of the infection are visible after 2 years of age (Lewis, 2007). </w:t>
      </w:r>
    </w:p>
    <w:p w14:paraId="1D51F9D7" w14:textId="77777777" w:rsidR="00246BC3" w:rsidRPr="00246BC3" w:rsidRDefault="00246BC3" w:rsidP="00246BC3">
      <w:pPr>
        <w:spacing w:line="480" w:lineRule="auto"/>
        <w:ind w:firstLine="720"/>
        <w:rPr>
          <w:lang w:val="en-GB"/>
        </w:rPr>
      </w:pPr>
      <w:r w:rsidRPr="00246BC3">
        <w:rPr>
          <w:lang w:val="en-GB"/>
        </w:rPr>
        <w:t xml:space="preserve">Alytus </w:t>
      </w:r>
      <w:r w:rsidR="00A752A1">
        <w:rPr>
          <w:lang w:val="en-GB"/>
        </w:rPr>
        <w:t>subadults</w:t>
      </w:r>
      <w:r w:rsidRPr="00246BC3">
        <w:rPr>
          <w:lang w:val="en-GB"/>
        </w:rPr>
        <w:t xml:space="preserve"> were also at high risk for developing anemia and other forms of malnutrition (e.g., scurvy, rickets) (Jankauskas and Schultz, 1999).</w:t>
      </w:r>
      <w:r w:rsidR="006A3BEE">
        <w:rPr>
          <w:lang w:val="en-GB"/>
        </w:rPr>
        <w:t xml:space="preserve"> </w:t>
      </w:r>
      <w:r w:rsidRPr="00246BC3">
        <w:rPr>
          <w:lang w:val="en-GB"/>
        </w:rPr>
        <w:t>Several factors contributed to this increased risk of metabolic disease, including intestinal parasites, poor sanitation, and prolonged breast-feeding coupled with protein-deficient weaning foods (Baronas et al., 2011).</w:t>
      </w:r>
      <w:r w:rsidR="006A3BEE">
        <w:rPr>
          <w:lang w:val="en-GB"/>
        </w:rPr>
        <w:t xml:space="preserve"> </w:t>
      </w:r>
      <w:r w:rsidRPr="00246BC3">
        <w:rPr>
          <w:rFonts w:eastAsia="Calibri"/>
        </w:rPr>
        <w:t xml:space="preserve">In </w:t>
      </w:r>
      <w:r w:rsidRPr="00246BC3">
        <w:rPr>
          <w:rFonts w:eastAsia="Calibri"/>
        </w:rPr>
        <w:lastRenderedPageBreak/>
        <w:t>medieval Europe, common weaning foods included a mixture of flour and bread cooked in water and cereal mixed with butter and broth or milk (Lewis, 2007).</w:t>
      </w:r>
      <w:r w:rsidR="006A3BEE">
        <w:rPr>
          <w:rFonts w:eastAsia="Calibri"/>
        </w:rPr>
        <w:t xml:space="preserve"> </w:t>
      </w:r>
      <w:r w:rsidRPr="00246BC3">
        <w:rPr>
          <w:rFonts w:eastAsia="Calibri"/>
        </w:rPr>
        <w:t>Additionally, bottles and spoons were often not cleaned between feedings or between infants, leading to increased infectious transmission (Thompson, 1984).</w:t>
      </w:r>
      <w:r w:rsidR="006A3BEE">
        <w:rPr>
          <w:rFonts w:eastAsia="Calibri"/>
        </w:rPr>
        <w:t xml:space="preserve"> </w:t>
      </w:r>
      <w:r w:rsidRPr="00246BC3">
        <w:rPr>
          <w:lang w:val="en-GB"/>
        </w:rPr>
        <w:t>Infantile diarrhea, associated with the factors above, was the leading cause of infant death up until the 19</w:t>
      </w:r>
      <w:r w:rsidRPr="00246BC3">
        <w:rPr>
          <w:vertAlign w:val="superscript"/>
          <w:lang w:val="en-GB"/>
        </w:rPr>
        <w:t>th</w:t>
      </w:r>
      <w:r w:rsidRPr="00246BC3">
        <w:rPr>
          <w:lang w:val="en-GB"/>
        </w:rPr>
        <w:t xml:space="preserve"> century (Jankauskas and Urbanavičius, 1998).</w:t>
      </w:r>
      <w:r w:rsidR="006A3BEE">
        <w:rPr>
          <w:lang w:val="en-GB"/>
        </w:rPr>
        <w:t xml:space="preserve"> </w:t>
      </w:r>
      <w:r w:rsidRPr="00246BC3">
        <w:rPr>
          <w:lang w:val="en-GB"/>
        </w:rPr>
        <w:t>Coupled with the underdeveloped immune system of children, these factors easily lead to malnutrition and increased mortality.</w:t>
      </w:r>
      <w:r w:rsidR="006A3BEE">
        <w:rPr>
          <w:lang w:val="en-GB"/>
        </w:rPr>
        <w:t xml:space="preserve"> </w:t>
      </w:r>
      <w:r w:rsidRPr="00246BC3">
        <w:rPr>
          <w:lang w:val="en-GB"/>
        </w:rPr>
        <w:t>It was also common for adults and adolescents to continue to suffer from anemia as well, likely because of the general overreliance on cereals in the diet.</w:t>
      </w:r>
      <w:r w:rsidR="006A3BEE">
        <w:rPr>
          <w:lang w:val="en-GB"/>
        </w:rPr>
        <w:t xml:space="preserve"> </w:t>
      </w:r>
      <w:r w:rsidRPr="00246BC3">
        <w:rPr>
          <w:lang w:val="en-GB"/>
        </w:rPr>
        <w:t>Cereal grains (e.g., rye, wheat, oats, barley, millet, buckwheat) and legumes (e.g., lentils, beans, peas) made up a majority of the daily diet in the GDL; animal-based food was consumed in lower quantities (roughly 30% from meat and 10% from dairy products) (Baronas et al., 2011).</w:t>
      </w:r>
      <w:r w:rsidR="006A3BEE">
        <w:rPr>
          <w:lang w:val="en-GB"/>
        </w:rPr>
        <w:t xml:space="preserve"> </w:t>
      </w:r>
      <w:r w:rsidRPr="00246BC3">
        <w:rPr>
          <w:lang w:val="en-GB"/>
        </w:rPr>
        <w:t>Baked bread often constituted a significant portion of each meal, and domestic vegetables (e.g., turnips, radishes, cabbage, onions) were considerably lacking in essential nutrients.</w:t>
      </w:r>
      <w:r w:rsidR="006A3BEE">
        <w:rPr>
          <w:lang w:val="en-GB"/>
        </w:rPr>
        <w:t xml:space="preserve"> </w:t>
      </w:r>
      <w:r w:rsidRPr="00246BC3">
        <w:rPr>
          <w:lang w:val="en-GB"/>
        </w:rPr>
        <w:t>Only the more affluent aristocracy could afford to regularly consume high-quality foods, such as fish (e.g., perch, herring, cod, salmon) and imported items such as fruit (e.g., apples, cherries, plums, pears).</w:t>
      </w:r>
      <w:r w:rsidR="006A3BEE">
        <w:rPr>
          <w:lang w:val="en-GB"/>
        </w:rPr>
        <w:t xml:space="preserve"> </w:t>
      </w:r>
      <w:r w:rsidRPr="00246BC3">
        <w:rPr>
          <w:lang w:val="en-GB"/>
        </w:rPr>
        <w:t>For some individuals within the GDL, this kind of diet would have led to metabolic disturbances, primarily through the overreliance on cereals and lack of fresh vegetables (Baronas et al., 2011).</w:t>
      </w:r>
      <w:r w:rsidR="006A3BEE">
        <w:rPr>
          <w:lang w:val="en-GB"/>
        </w:rPr>
        <w:t xml:space="preserve"> </w:t>
      </w:r>
      <w:r w:rsidRPr="00246BC3">
        <w:rPr>
          <w:lang w:val="en-GB"/>
        </w:rPr>
        <w:t xml:space="preserve">As stated previously (see </w:t>
      </w:r>
      <w:r w:rsidRPr="00246BC3">
        <w:rPr>
          <w:i/>
          <w:lang w:val="en-GB"/>
        </w:rPr>
        <w:t>Chapter 3</w:t>
      </w:r>
      <w:r w:rsidRPr="00246BC3">
        <w:rPr>
          <w:lang w:val="en-GB"/>
        </w:rPr>
        <w:t>) phytates in cereals block calcium absorption, but the GDL diet also contains elements high in dietary acid load</w:t>
      </w:r>
      <w:r w:rsidR="00D91E87">
        <w:rPr>
          <w:lang w:val="en-GB"/>
        </w:rPr>
        <w:t>,</w:t>
      </w:r>
      <w:r w:rsidRPr="00246BC3">
        <w:rPr>
          <w:lang w:val="en-GB"/>
        </w:rPr>
        <w:t xml:space="preserve"> which is linked to increased osteoclastic activity (Anderson, 1999; New, 2003).</w:t>
      </w:r>
    </w:p>
    <w:p w14:paraId="6CEA67EC" w14:textId="77777777" w:rsidR="00246BC3" w:rsidRPr="00246BC3" w:rsidRDefault="00246BC3" w:rsidP="00246BC3">
      <w:pPr>
        <w:spacing w:line="480" w:lineRule="auto"/>
        <w:ind w:firstLine="720"/>
        <w:rPr>
          <w:lang w:val="en-GB"/>
        </w:rPr>
      </w:pPr>
      <w:r w:rsidRPr="00246BC3">
        <w:rPr>
          <w:lang w:val="en-GB"/>
        </w:rPr>
        <w:t>Life for the peasants at Alytus would have been a daily struggle to grow enough food for the family while also paying high taxes; more affluent families could afford to avoid the most strenuous manual labor (Tyla, 1989).</w:t>
      </w:r>
      <w:r w:rsidR="006A3BEE">
        <w:rPr>
          <w:lang w:val="en-GB"/>
        </w:rPr>
        <w:t xml:space="preserve"> </w:t>
      </w:r>
      <w:r w:rsidRPr="00246BC3">
        <w:rPr>
          <w:lang w:val="en-GB"/>
        </w:rPr>
        <w:t xml:space="preserve">Physical activity at Alytus was similar to that of skilled </w:t>
      </w:r>
      <w:r w:rsidRPr="00246BC3">
        <w:rPr>
          <w:lang w:val="en-GB"/>
        </w:rPr>
        <w:lastRenderedPageBreak/>
        <w:t>craftsmen in other medieval towns.</w:t>
      </w:r>
      <w:r w:rsidR="006A3BEE">
        <w:rPr>
          <w:lang w:val="en-GB"/>
        </w:rPr>
        <w:t xml:space="preserve"> </w:t>
      </w:r>
      <w:r w:rsidRPr="00246BC3">
        <w:rPr>
          <w:lang w:val="en-GB"/>
        </w:rPr>
        <w:t>The most common occupation at Alytus was forestry—foresters, timber manufacturers, etc.</w:t>
      </w:r>
      <w:r w:rsidR="006A3BEE">
        <w:rPr>
          <w:lang w:val="en-GB"/>
        </w:rPr>
        <w:t xml:space="preserve"> </w:t>
      </w:r>
      <w:r w:rsidRPr="00246BC3">
        <w:rPr>
          <w:lang w:val="en-GB"/>
        </w:rPr>
        <w:t>Other specialized occupations included blacksmiths, woodworkers, bookbinders, millers, bakers, furriers, carpenters, cobblers, and butchers (Kiaupa, 1989; Urbanavičius, 2001).</w:t>
      </w:r>
      <w:r w:rsidR="006A3BEE">
        <w:rPr>
          <w:lang w:val="en-GB"/>
        </w:rPr>
        <w:t xml:space="preserve"> </w:t>
      </w:r>
      <w:r w:rsidRPr="00246BC3">
        <w:rPr>
          <w:lang w:val="en-GB"/>
        </w:rPr>
        <w:t>Townspeople, likely men, were also responsible for building and maintaining the town’s bridges and roads (Baliulis, 2009).</w:t>
      </w:r>
      <w:r w:rsidR="006A3BEE">
        <w:rPr>
          <w:lang w:val="en-GB"/>
        </w:rPr>
        <w:t xml:space="preserve"> </w:t>
      </w:r>
      <w:r w:rsidRPr="00246BC3">
        <w:rPr>
          <w:lang w:val="en-GB"/>
        </w:rPr>
        <w:t>Other daily activities included agriculture, hunting, fishing, and animal husbandry (Baliulis and Meilus, 2001; Žepkaitė, 2001).</w:t>
      </w:r>
    </w:p>
    <w:p w14:paraId="77A1B920" w14:textId="77777777" w:rsidR="00246BC3" w:rsidRDefault="00246BC3" w:rsidP="005C0C2E">
      <w:pPr>
        <w:spacing w:line="480" w:lineRule="auto"/>
        <w:ind w:firstLine="720"/>
        <w:rPr>
          <w:lang w:val="en-GB"/>
        </w:rPr>
      </w:pPr>
      <w:r w:rsidRPr="00246BC3">
        <w:rPr>
          <w:lang w:val="en-GB"/>
        </w:rPr>
        <w:t>In summary, the environment in which most individuals who were interred at the Alytus cemetery lived would have contributed to high levels of metabolic stress.</w:t>
      </w:r>
      <w:r w:rsidR="006A3BEE">
        <w:rPr>
          <w:lang w:val="en-GB"/>
        </w:rPr>
        <w:t xml:space="preserve"> </w:t>
      </w:r>
      <w:r w:rsidRPr="00246BC3">
        <w:rPr>
          <w:lang w:val="en-GB"/>
        </w:rPr>
        <w:t>While the population generally was as physically active as other medieval Europeans (</w:t>
      </w:r>
      <w:r w:rsidRPr="00246BC3">
        <w:rPr>
          <w:b/>
          <w:lang w:val="en-GB"/>
        </w:rPr>
        <w:t>source</w:t>
      </w:r>
      <w:r w:rsidRPr="00246BC3">
        <w:rPr>
          <w:lang w:val="en-GB"/>
        </w:rPr>
        <w:t>), the feudal social system in which they pursued daily activities presented most of the population with limited options for advantageous nutritional and health conditions.</w:t>
      </w:r>
      <w:r w:rsidR="006A3BEE">
        <w:rPr>
          <w:lang w:val="en-GB"/>
        </w:rPr>
        <w:t xml:space="preserve"> </w:t>
      </w:r>
      <w:r w:rsidRPr="00246BC3">
        <w:rPr>
          <w:lang w:val="en-GB"/>
        </w:rPr>
        <w:t xml:space="preserve">It is from this general population, then, that the </w:t>
      </w:r>
      <w:r w:rsidR="00F02A94">
        <w:rPr>
          <w:lang w:val="en-GB"/>
        </w:rPr>
        <w:t>subadult</w:t>
      </w:r>
      <w:r w:rsidRPr="00246BC3">
        <w:rPr>
          <w:lang w:val="en-GB"/>
        </w:rPr>
        <w:t xml:space="preserve"> sample used in this study was drawn. </w:t>
      </w:r>
    </w:p>
    <w:p w14:paraId="086E7469" w14:textId="77777777" w:rsidR="0051526C" w:rsidRPr="00246BC3" w:rsidRDefault="0051526C" w:rsidP="005C0C2E">
      <w:pPr>
        <w:spacing w:line="480" w:lineRule="auto"/>
        <w:ind w:firstLine="720"/>
        <w:rPr>
          <w:lang w:val="en-GB"/>
        </w:rPr>
      </w:pPr>
    </w:p>
    <w:p w14:paraId="1247EC26" w14:textId="77777777" w:rsidR="00246BC3" w:rsidRPr="002C5F80" w:rsidRDefault="00246BC3" w:rsidP="002C5F80">
      <w:pPr>
        <w:pStyle w:val="Heading3"/>
        <w:spacing w:line="480" w:lineRule="auto"/>
        <w:rPr>
          <w:bCs w:val="0"/>
        </w:rPr>
      </w:pPr>
      <w:bookmarkStart w:id="56" w:name="_Toc233171662"/>
      <w:r w:rsidRPr="00246BC3">
        <w:rPr>
          <w:rStyle w:val="Strong"/>
          <w:b/>
        </w:rPr>
        <w:t>The Dissertation Sample</w:t>
      </w:r>
      <w:bookmarkEnd w:id="56"/>
      <w:r w:rsidRPr="00246BC3">
        <w:rPr>
          <w:rStyle w:val="Strong"/>
          <w:b/>
        </w:rPr>
        <w:t xml:space="preserve"> </w:t>
      </w:r>
    </w:p>
    <w:p w14:paraId="6C3B3A74" w14:textId="77777777" w:rsidR="006A218E" w:rsidRPr="00246BC3" w:rsidRDefault="00246BC3" w:rsidP="005C0C2E">
      <w:pPr>
        <w:spacing w:line="480" w:lineRule="auto"/>
        <w:ind w:firstLine="720"/>
        <w:contextualSpacing/>
      </w:pPr>
      <w:r w:rsidRPr="00246BC3">
        <w:t xml:space="preserve">The study sample comprises </w:t>
      </w:r>
      <w:r w:rsidR="00D91E87">
        <w:t xml:space="preserve">57 </w:t>
      </w:r>
      <w:r w:rsidR="00F02A94">
        <w:t>subadult</w:t>
      </w:r>
      <w:r w:rsidR="00D91E87">
        <w:t xml:space="preserve">s </w:t>
      </w:r>
      <w:r w:rsidRPr="00246BC3">
        <w:t>with an age range from birth to 14 years.</w:t>
      </w:r>
      <w:r w:rsidR="006A3BEE">
        <w:t xml:space="preserve"> </w:t>
      </w:r>
      <w:r w:rsidRPr="00246BC3">
        <w:t xml:space="preserve">In order for an individual to be included in the analysis, burials were </w:t>
      </w:r>
      <w:r w:rsidRPr="00246BC3">
        <w:rPr>
          <w:i/>
        </w:rPr>
        <w:t>minimally</w:t>
      </w:r>
      <w:r w:rsidRPr="00246BC3">
        <w:t xml:space="preserve"> required to possess the following complete skeletal elements: one vertebrosternal rib (restricted to third through sixth ribs and minimally comprising the middle third of the rib), a complete right humerus, and a complete right femur.</w:t>
      </w:r>
      <w:r w:rsidR="006A3BEE">
        <w:t xml:space="preserve"> </w:t>
      </w:r>
      <w:r w:rsidRPr="00246BC3">
        <w:t>To ensure the most accurate age estimation and paleopathological analysis possible, the most well-preserved and complete burials were targeted for data collection.</w:t>
      </w:r>
      <w:r w:rsidR="006A3BEE">
        <w:t xml:space="preserve"> </w:t>
      </w:r>
      <w:r w:rsidRPr="00246BC3">
        <w:t xml:space="preserve">Care was taken to include equal representation of all age cohorts and stress groups (presence/absence of stress markers); however, given that prior age estimations on the sample by others were </w:t>
      </w:r>
      <w:r w:rsidRPr="00246BC3">
        <w:lastRenderedPageBreak/>
        <w:t>limited and no previous researcher had performed paleopathological analysis on the Alytus sample, it was not possible to create a target sample that completely controlled for equal representation of age and pathology categories within the distribution of the final sample.</w:t>
      </w:r>
    </w:p>
    <w:p w14:paraId="373E6D60" w14:textId="77777777" w:rsidR="00246BC3" w:rsidRPr="00246BC3" w:rsidRDefault="00246BC3" w:rsidP="001C587B">
      <w:pPr>
        <w:spacing w:line="480" w:lineRule="auto"/>
        <w:ind w:firstLine="720"/>
        <w:contextualSpacing/>
      </w:pPr>
      <w:r w:rsidRPr="00246BC3">
        <w:t>Specific criteria were used to determine which skeletal elements would be most appropriate for cross-sectional geometric and histomorphometric analyses.</w:t>
      </w:r>
      <w:r w:rsidR="006A3BEE">
        <w:t xml:space="preserve"> </w:t>
      </w:r>
      <w:r w:rsidRPr="00246BC3">
        <w:t>Only vertebrosternal ribs were included, because they are typically used in histomorphological assessment (Stout and Paine, 1992; Robling and Stout, 2008).</w:t>
      </w:r>
      <w:r w:rsidR="006A3BEE">
        <w:t xml:space="preserve"> </w:t>
      </w:r>
      <w:r w:rsidRPr="00246BC3">
        <w:t>Ideally, analysis would have been limited to a specific rib (e.g., the fifth or sixth rib) to eliminate potential morphological variation within the rib cage.</w:t>
      </w:r>
      <w:r w:rsidR="006A3BEE">
        <w:t xml:space="preserve"> </w:t>
      </w:r>
      <w:r w:rsidRPr="00246BC3">
        <w:t>It was not possible to implement such a requirement, because this would have reduced the sample size significantly; however, previous research has demonstrated similar cross-sectional properties (Cormier et al., 2005) and histomorphometry (Dudar, 1993) between vertebrosternal ribs.</w:t>
      </w:r>
      <w:r w:rsidR="006A3BEE">
        <w:t xml:space="preserve"> </w:t>
      </w:r>
      <w:r w:rsidRPr="00246BC3">
        <w:t>Ribs from the right side were preferred over the left when there was adequate preservation deemed appropriate for histological analysis; when none of the right third through sixth ribs was in good condition, a left rib was chosen for inclusion.</w:t>
      </w:r>
      <w:r w:rsidR="006A3BEE">
        <w:t xml:space="preserve"> </w:t>
      </w:r>
      <w:r w:rsidRPr="00246BC3">
        <w:t>Previous research has demonstrated no side asymmetries in rib cortical bone properties (Dudar, 1993).</w:t>
      </w:r>
      <w:r w:rsidR="006A3BEE">
        <w:t xml:space="preserve"> </w:t>
      </w:r>
      <w:r w:rsidRPr="00246BC3">
        <w:t>Proximal limb elements (humeri and femora) were used to evaluate environmental influences on the upper and lower limb, respectively, because proximal elements demonstrate greater variability in diaphyseal robusticity than distal elements (Stock and Pfeiffer, 2001; Stock, 2006; Shaw and Stock, 2009) and are frequently evaluated in histomorphological analyses (Kerley, 1965; Tersigni, 2005; Crowder et al., 2012; Crowder, 2013).</w:t>
      </w:r>
      <w:r w:rsidR="006A3BEE">
        <w:t xml:space="preserve"> </w:t>
      </w:r>
      <w:r w:rsidRPr="00246BC3">
        <w:t xml:space="preserve">Long bone elements from only the right side were utilized to minimize the effects of side asymmetry caused by activity differences (Auerbach and Ruff, 2006). </w:t>
      </w:r>
    </w:p>
    <w:p w14:paraId="70F6D1D1" w14:textId="77777777" w:rsidR="00E21B99" w:rsidRPr="00E21B99" w:rsidRDefault="00246BC3" w:rsidP="00E21B99">
      <w:pPr>
        <w:pStyle w:val="Style1"/>
        <w:rPr>
          <w:rStyle w:val="Emphasis"/>
          <w:i/>
          <w:iCs w:val="0"/>
        </w:rPr>
      </w:pPr>
      <w:bookmarkStart w:id="57" w:name="_Toc233171663"/>
      <w:r w:rsidRPr="00E21B99">
        <w:rPr>
          <w:rStyle w:val="Emphasis"/>
          <w:i/>
          <w:iCs w:val="0"/>
        </w:rPr>
        <w:lastRenderedPageBreak/>
        <w:t>Caveats To Using An Archaeological Sample</w:t>
      </w:r>
      <w:bookmarkEnd w:id="57"/>
      <w:r w:rsidRPr="00E21B99">
        <w:rPr>
          <w:rStyle w:val="Emphasis"/>
          <w:i/>
          <w:iCs w:val="0"/>
        </w:rPr>
        <w:t xml:space="preserve"> </w:t>
      </w:r>
    </w:p>
    <w:p w14:paraId="47DC25E1" w14:textId="77777777" w:rsidR="00246BC3" w:rsidRPr="00246BC3" w:rsidRDefault="00246BC3" w:rsidP="00246BC3">
      <w:pPr>
        <w:spacing w:line="480" w:lineRule="auto"/>
        <w:ind w:firstLine="720"/>
        <w:contextualSpacing/>
      </w:pPr>
      <w:r w:rsidRPr="00246BC3">
        <w:t>There are multiple approaches and research designs that could potentially address the research questions posed in this dissertation.</w:t>
      </w:r>
      <w:r w:rsidR="006A3BEE">
        <w:t xml:space="preserve"> </w:t>
      </w:r>
      <w:r w:rsidRPr="00246BC3">
        <w:t>One such approach, which was not taken, would be to conduct experimental analyses on non-human animal models controlling for level, magnitude, and type of biomechanical loading as well as nutrition.</w:t>
      </w:r>
      <w:r w:rsidR="006A3BEE">
        <w:t xml:space="preserve"> </w:t>
      </w:r>
      <w:r w:rsidRPr="00246BC3">
        <w:t xml:space="preserve">Experimental studies on human analogues have been integral to understanding bone adaptation (Lanyon and Rubin, 1984; Biewener and Bertram, 1994; Bourrin et al., 2000; Bassett et al., 2007; see also </w:t>
      </w:r>
      <w:r w:rsidRPr="00C7410A">
        <w:t>Chapter 2</w:t>
      </w:r>
      <w:r w:rsidRPr="00246BC3">
        <w:t>), and, as reviewed in the background chapters, many have provided the framework and rationale for the hypotheses outlined in this study.</w:t>
      </w:r>
      <w:r w:rsidR="006A3BEE">
        <w:t xml:space="preserve"> </w:t>
      </w:r>
      <w:r w:rsidRPr="00246BC3">
        <w:t xml:space="preserve">However, the interaction between activity and metabolism in humans remains unresolved, because no animal model exactly mimics human bone dynamics and locomotor behavior (Turner, 2001; Leloyas et al., 2008). </w:t>
      </w:r>
    </w:p>
    <w:p w14:paraId="63A5F264" w14:textId="77777777" w:rsidR="00246BC3" w:rsidRPr="00246BC3" w:rsidRDefault="00246BC3" w:rsidP="00246BC3">
      <w:pPr>
        <w:spacing w:line="480" w:lineRule="auto"/>
        <w:ind w:firstLine="720"/>
        <w:contextualSpacing/>
      </w:pPr>
      <w:r w:rsidRPr="00246BC3">
        <w:t>Rats and mice have been the model of choice for exploring environmental influences on bone, but they are not ideal human analogues due to their differential timing and rates of growth, quadrupedal locomotor behavior, and a lack of cortical remodeling save for extreme loading conditions (Erben, 1996; Yao et al., 1999; Martin, 2007; Forwood, 2008).</w:t>
      </w:r>
      <w:r w:rsidR="006A3BEE">
        <w:t xml:space="preserve"> </w:t>
      </w:r>
      <w:r w:rsidRPr="00246BC3">
        <w:t xml:space="preserve">Although primates may demonstrate some advantages over rat models in having cortical remodeling and more human-like growth </w:t>
      </w:r>
      <w:r w:rsidR="000F621E" w:rsidRPr="00246BC3">
        <w:t>patterns (</w:t>
      </w:r>
      <w:r w:rsidRPr="00246BC3">
        <w:t>Mulhern and Ubelaker, 2003), loading patterns remain distinct from humans (Sockol et al., 2007; Pontzer et al., 2009).</w:t>
      </w:r>
      <w:r w:rsidR="006A3BEE">
        <w:t xml:space="preserve"> </w:t>
      </w:r>
      <w:r w:rsidRPr="00246BC3">
        <w:t>Additionally primate experimental research is incredibly expensive and ethically cumbersome (Jee and Yao, 2001), and previous analyses of primate bone have not yielded results significantly different from those of rat and mouse models (Jee and Yao, 2001).</w:t>
      </w:r>
      <w:r w:rsidR="006A3BEE">
        <w:t xml:space="preserve"> </w:t>
      </w:r>
      <w:r w:rsidRPr="00246BC3">
        <w:t>Results from primate studies, moreover, would not assist with behavioral interpretations from cortical bone morphology in past human skeletal samples, especially considering that most comparisons are made between long bones in the hu</w:t>
      </w:r>
      <w:r w:rsidR="00C7410A">
        <w:t>m</w:t>
      </w:r>
      <w:r w:rsidRPr="00246BC3">
        <w:t xml:space="preserve">an upper and lower </w:t>
      </w:r>
      <w:r w:rsidRPr="00246BC3">
        <w:lastRenderedPageBreak/>
        <w:t>limb, due to their distinct utilization in humans, to assess differences in mobility and subsistence strategy.</w:t>
      </w:r>
      <w:r w:rsidR="006A3BEE">
        <w:t xml:space="preserve"> </w:t>
      </w:r>
      <w:r w:rsidRPr="00246BC3">
        <w:t>Furthermore, as experimentally induced metabolic stress cannot be ethically conducted on living humans, an archaeological skeletal sample is most appropriate.</w:t>
      </w:r>
    </w:p>
    <w:p w14:paraId="7050D55F" w14:textId="77777777" w:rsidR="00246BC3" w:rsidRPr="00246BC3" w:rsidRDefault="00246BC3" w:rsidP="00246BC3">
      <w:pPr>
        <w:spacing w:line="480" w:lineRule="auto"/>
        <w:ind w:firstLine="720"/>
      </w:pPr>
      <w:r w:rsidRPr="00246BC3">
        <w:t>As with any anthropological investigation using archaeological human remains, there are important limitations and caveats associated with testing scientific hypotheses with cemetery samples.</w:t>
      </w:r>
      <w:r w:rsidR="006A3BEE">
        <w:t xml:space="preserve"> </w:t>
      </w:r>
      <w:r w:rsidRPr="00246BC3">
        <w:t xml:space="preserve">The most notable is the challenging, yet unavoidable, osteological paradox (see discussion in </w:t>
      </w:r>
      <w:r w:rsidRPr="00C7410A">
        <w:t>Chapter 3</w:t>
      </w:r>
      <w:r w:rsidRPr="00246BC3">
        <w:t>).</w:t>
      </w:r>
      <w:r w:rsidR="006A3BEE">
        <w:t xml:space="preserve"> </w:t>
      </w:r>
      <w:r w:rsidRPr="00246BC3">
        <w:t>Although the effects of selective mortality and hidden health heterogeneity cannot be completely avoided, caution in interpretation can mitigate potentially false conclusions (Goodman, 1993; Goodman and Martin, 2002; Wright and Yoder, 2003).</w:t>
      </w:r>
      <w:r w:rsidR="006A3BEE">
        <w:t xml:space="preserve"> </w:t>
      </w:r>
      <w:r w:rsidRPr="00246BC3">
        <w:t>Therefore, in this study, individuals are not simply lumped into “stressed” and “non-stressed” groups based on lesion presence and absence.</w:t>
      </w:r>
      <w:r w:rsidR="006A3BEE">
        <w:t xml:space="preserve"> </w:t>
      </w:r>
      <w:r w:rsidRPr="00246BC3">
        <w:t xml:space="preserve">Rather, the presence of one or more lesions is indicative of </w:t>
      </w:r>
      <w:r w:rsidRPr="00246BC3">
        <w:rPr>
          <w:i/>
        </w:rPr>
        <w:t>chronic</w:t>
      </w:r>
      <w:r w:rsidRPr="00246BC3">
        <w:t xml:space="preserve"> metabolic stress—the individual was healthy enough to recover, only to succumb to a subsequent stressor resulting in death.</w:t>
      </w:r>
      <w:r w:rsidR="006A3BEE">
        <w:t xml:space="preserve"> </w:t>
      </w:r>
      <w:r w:rsidRPr="00246BC3">
        <w:t xml:space="preserve">The lack of a lesion indicates either </w:t>
      </w:r>
      <w:r w:rsidRPr="00246BC3">
        <w:rPr>
          <w:i/>
        </w:rPr>
        <w:t xml:space="preserve">acute </w:t>
      </w:r>
      <w:r w:rsidRPr="00246BC3">
        <w:t xml:space="preserve">stress—an individual who succumbed quickly to stress before initiation of a skeletal response—or a </w:t>
      </w:r>
      <w:r w:rsidRPr="00246BC3">
        <w:rPr>
          <w:i/>
        </w:rPr>
        <w:t>non-stressed</w:t>
      </w:r>
      <w:r w:rsidRPr="00246BC3">
        <w:t xml:space="preserve"> individual who died from other causes (Goodman et al., 1993).</w:t>
      </w:r>
      <w:r w:rsidR="006A3BEE">
        <w:t xml:space="preserve"> </w:t>
      </w:r>
      <w:r w:rsidRPr="00246BC3">
        <w:t>Unfortunately, the acutely stressed and non-stressed cannot be disentangled from one another in cemetery samples (Wood et al., 1992).</w:t>
      </w:r>
      <w:r w:rsidR="006A3BEE">
        <w:t xml:space="preserve"> </w:t>
      </w:r>
      <w:r w:rsidRPr="00246BC3">
        <w:t>However, given that chronic stress over a significant period of time is likely to cause alterations to bone mass and quality after</w:t>
      </w:r>
      <w:r w:rsidR="00E7557C">
        <w:t xml:space="preserve"> attaining a certain threshold</w:t>
      </w:r>
      <w:r w:rsidRPr="00246BC3">
        <w:t xml:space="preserve">, it is an assumption tested in this study that skeletal stress lesions will correlate with reduced bone mass; this is the basis of Hypotheses 1a and 1b as explained in </w:t>
      </w:r>
      <w:r w:rsidRPr="00C7410A">
        <w:t>Chapter 1</w:t>
      </w:r>
      <w:r w:rsidRPr="00246BC3">
        <w:t>.</w:t>
      </w:r>
    </w:p>
    <w:p w14:paraId="68167EB1" w14:textId="77777777" w:rsidR="00246BC3" w:rsidRDefault="00246BC3" w:rsidP="005C0C2E">
      <w:pPr>
        <w:spacing w:line="480" w:lineRule="auto"/>
        <w:ind w:firstLine="720"/>
      </w:pPr>
      <w:r w:rsidRPr="00246BC3">
        <w:t xml:space="preserve">Due to difficulties and inaccuracies in assigning sex to immature skeletal remains, the effects of biological sex on bone properties was not explored and no attempt was made to determine sex in the </w:t>
      </w:r>
      <w:r w:rsidR="00F02A94">
        <w:t>subadult</w:t>
      </w:r>
      <w:r w:rsidRPr="00246BC3">
        <w:t xml:space="preserve"> sample (Saunders, 1992).</w:t>
      </w:r>
      <w:r w:rsidR="006A3BEE">
        <w:t xml:space="preserve"> </w:t>
      </w:r>
      <w:r w:rsidRPr="00246BC3">
        <w:t xml:space="preserve">Sex differences in macroscopic cortical </w:t>
      </w:r>
      <w:r w:rsidRPr="00246BC3">
        <w:lastRenderedPageBreak/>
        <w:t>bone mass and distribution have been documented in adults, and these differences develop during primary growth, especially during and after puberty with the production of sex-specific hormone levels (Dupras and Pfeiffer, 1996; Ruff &amp; Hayes, 1983; Ruff, 2003a).</w:t>
      </w:r>
      <w:r w:rsidR="006A3BEE">
        <w:t xml:space="preserve"> </w:t>
      </w:r>
      <w:r w:rsidRPr="00246BC3">
        <w:t>Less investigation has been conducted on histological variation between the sexes, but sources seem to indicate that rib microscopic structure shows no sex differences (Dupras and Pfeiffer, 1996; Streeter, 2005), while adult long bone microstructure does (Martin and Armelagos, 1979, 1985).</w:t>
      </w:r>
      <w:r w:rsidR="006A3BEE">
        <w:t xml:space="preserve"> </w:t>
      </w:r>
      <w:r w:rsidRPr="00246BC3">
        <w:t xml:space="preserve">However, without the ability to determine sex in the </w:t>
      </w:r>
      <w:r w:rsidR="00F02A94">
        <w:t>subadult</w:t>
      </w:r>
      <w:r w:rsidRPr="00246BC3">
        <w:t xml:space="preserve"> skeletons, the effect of sex differences on the results of this study will remain unknown.</w:t>
      </w:r>
      <w:r w:rsidR="006A3BEE">
        <w:t xml:space="preserve"> </w:t>
      </w:r>
      <w:r w:rsidRPr="00246BC3">
        <w:t xml:space="preserve">Yet, given that individuals over the age of 14 were excluded, and in light of previous studies of </w:t>
      </w:r>
      <w:r w:rsidR="00F02A94">
        <w:t>subadult</w:t>
      </w:r>
      <w:r w:rsidRPr="00246BC3">
        <w:t xml:space="preserve"> skeletal remains, pooling males and females likely had a minimal effect on the variation in bone properties analyzed here.</w:t>
      </w:r>
    </w:p>
    <w:p w14:paraId="42073CC5" w14:textId="77777777" w:rsidR="005C0C2E" w:rsidRPr="00246BC3" w:rsidRDefault="005C0C2E" w:rsidP="005C0C2E">
      <w:pPr>
        <w:spacing w:line="480" w:lineRule="auto"/>
        <w:ind w:firstLine="720"/>
      </w:pPr>
    </w:p>
    <w:p w14:paraId="2AB31DB2" w14:textId="77777777" w:rsidR="00246BC3" w:rsidRPr="00246BC3" w:rsidRDefault="00246BC3" w:rsidP="001E671B">
      <w:pPr>
        <w:pStyle w:val="Heading2"/>
        <w:jc w:val="left"/>
      </w:pPr>
      <w:bookmarkStart w:id="58" w:name="_Toc358976793"/>
      <w:bookmarkStart w:id="59" w:name="_Toc358978605"/>
      <w:bookmarkStart w:id="60" w:name="_Toc233171664"/>
      <w:r>
        <w:t>M</w:t>
      </w:r>
      <w:r w:rsidR="003F3501">
        <w:t>ETHODS</w:t>
      </w:r>
      <w:bookmarkEnd w:id="58"/>
      <w:bookmarkEnd w:id="59"/>
      <w:bookmarkEnd w:id="60"/>
    </w:p>
    <w:p w14:paraId="3486FE1F" w14:textId="77777777" w:rsidR="00246BC3" w:rsidRDefault="00246BC3" w:rsidP="00246BC3">
      <w:pPr>
        <w:spacing w:line="480" w:lineRule="auto"/>
        <w:ind w:firstLine="720"/>
        <w:contextualSpacing/>
      </w:pPr>
    </w:p>
    <w:p w14:paraId="39CFB78A" w14:textId="77777777" w:rsidR="00246BC3" w:rsidRDefault="00246BC3" w:rsidP="005C0C2E">
      <w:pPr>
        <w:spacing w:line="480" w:lineRule="auto"/>
        <w:ind w:firstLine="720"/>
        <w:contextualSpacing/>
      </w:pPr>
      <w:r w:rsidRPr="00246BC3">
        <w:t>This section discusses the methodology used in this study to perform all statistical analyses and address the proposed research hypotheses.</w:t>
      </w:r>
      <w:r w:rsidR="006A3BEE">
        <w:t xml:space="preserve"> </w:t>
      </w:r>
      <w:r w:rsidRPr="00246BC3">
        <w:t>Age estimation (as well as the age cohorts and terminology utilized in this study) and the procedures for assessing skeletal stress lesions are outlined below.</w:t>
      </w:r>
      <w:r w:rsidR="006A3BEE">
        <w:t xml:space="preserve"> </w:t>
      </w:r>
      <w:r w:rsidRPr="00246BC3">
        <w:t>Production and processing of bone histological sections to allow for cross-sectional geometry and histomorphology data collection are explained in detail, and size standardization of bone properties is given special attention.</w:t>
      </w:r>
      <w:r w:rsidR="006A3BEE">
        <w:t xml:space="preserve"> </w:t>
      </w:r>
      <w:r w:rsidRPr="00246BC3">
        <w:t>Finally, this chapter concludes with an outline of the statistical analyses employed.</w:t>
      </w:r>
    </w:p>
    <w:p w14:paraId="10748E14" w14:textId="77777777" w:rsidR="0051526C" w:rsidRDefault="0051526C" w:rsidP="005C0C2E">
      <w:pPr>
        <w:spacing w:line="480" w:lineRule="auto"/>
        <w:ind w:firstLine="720"/>
        <w:contextualSpacing/>
      </w:pPr>
    </w:p>
    <w:p w14:paraId="627B5600" w14:textId="77777777" w:rsidR="0051526C" w:rsidRPr="00246BC3" w:rsidRDefault="0051526C" w:rsidP="005C0C2E">
      <w:pPr>
        <w:spacing w:line="480" w:lineRule="auto"/>
        <w:ind w:firstLine="720"/>
        <w:contextualSpacing/>
      </w:pPr>
    </w:p>
    <w:p w14:paraId="70C0FF86" w14:textId="77777777" w:rsidR="00246BC3" w:rsidRDefault="00246BC3" w:rsidP="00E21B99">
      <w:pPr>
        <w:pStyle w:val="Heading3"/>
        <w:rPr>
          <w:rStyle w:val="Emphasis"/>
          <w:i/>
          <w:iCs w:val="0"/>
        </w:rPr>
      </w:pPr>
      <w:bookmarkStart w:id="61" w:name="_Toc233171665"/>
      <w:r w:rsidRPr="00E21B99">
        <w:rPr>
          <w:rStyle w:val="Emphasis"/>
          <w:i/>
          <w:iCs w:val="0"/>
        </w:rPr>
        <w:lastRenderedPageBreak/>
        <w:t>Age Terminology &amp; Age Cohorts</w:t>
      </w:r>
      <w:bookmarkEnd w:id="61"/>
    </w:p>
    <w:p w14:paraId="3717A214" w14:textId="77777777" w:rsidR="00E21B99" w:rsidRPr="00E21B99" w:rsidRDefault="00E21B99" w:rsidP="00E21B99"/>
    <w:p w14:paraId="20B1B069" w14:textId="77777777" w:rsidR="00246BC3" w:rsidRPr="00246BC3" w:rsidRDefault="00246BC3" w:rsidP="00246BC3">
      <w:pPr>
        <w:spacing w:line="480" w:lineRule="auto"/>
        <w:ind w:firstLine="720"/>
        <w:contextualSpacing/>
        <w:rPr>
          <w:i/>
        </w:rPr>
      </w:pPr>
      <w:r w:rsidRPr="00246BC3">
        <w:t>The terminology used in the archaeological literature to refer to non-adults is often variable and at times inconsistent.</w:t>
      </w:r>
      <w:r w:rsidR="006A3BEE">
        <w:t xml:space="preserve"> </w:t>
      </w:r>
      <w:r w:rsidRPr="00246BC3">
        <w:t>For example, “juvenile” frequently refers to all skeletally immature individuals collectively, but some (e.g., Bogin, 1997) use it in reference to a particular developmental period during late childhood and prior to adolescence.</w:t>
      </w:r>
      <w:r w:rsidR="006A3BEE">
        <w:t xml:space="preserve"> </w:t>
      </w:r>
      <w:r w:rsidRPr="00246BC3">
        <w:t>The term “subadult” is a viable alternative for d</w:t>
      </w:r>
      <w:r w:rsidR="002A2A0F">
        <w:t xml:space="preserve">escribing immature individuals, although </w:t>
      </w:r>
      <w:r w:rsidRPr="00246BC3">
        <w:t>it is associated with negative co</w:t>
      </w:r>
      <w:r w:rsidR="00317419">
        <w:t>nnotations (Lewis, 2007</w:t>
      </w:r>
      <w:r w:rsidRPr="00246BC3">
        <w:t>).</w:t>
      </w:r>
      <w:r w:rsidR="006A3BEE">
        <w:t xml:space="preserve"> </w:t>
      </w:r>
      <w:r w:rsidRPr="00246BC3">
        <w:t>The same terminological vagaries apply when choosing more specific age categories.</w:t>
      </w:r>
      <w:r w:rsidR="006A3BEE">
        <w:t xml:space="preserve"> </w:t>
      </w:r>
      <w:r w:rsidRPr="00246BC3">
        <w:t>The term “infant” can refer to ind</w:t>
      </w:r>
      <w:r w:rsidR="00317419">
        <w:t xml:space="preserve">ividuals under the age of one </w:t>
      </w:r>
      <w:r w:rsidRPr="00246BC3">
        <w:t xml:space="preserve">as well as individuals up to </w:t>
      </w:r>
      <w:r w:rsidR="00317419">
        <w:t>five</w:t>
      </w:r>
      <w:r w:rsidRPr="00246BC3">
        <w:t xml:space="preserve"> years of age</w:t>
      </w:r>
      <w:r w:rsidR="00317419">
        <w:t xml:space="preserve"> (Lewis, 2007; Halcrow and Tayles, 2008). </w:t>
      </w:r>
      <w:r w:rsidRPr="00246BC3">
        <w:t xml:space="preserve">The specific research objectives posed often determine the choice of age terminology, further complicating the matter and making comparisons across studies difficult </w:t>
      </w:r>
      <w:r w:rsidR="00317419">
        <w:t>(Kamp, 2001</w:t>
      </w:r>
      <w:r w:rsidRPr="00246BC3">
        <w:t>).</w:t>
      </w:r>
      <w:r w:rsidR="006A3BEE">
        <w:t xml:space="preserve"> </w:t>
      </w:r>
      <w:r w:rsidRPr="00246BC3">
        <w:t xml:space="preserve">Therefore, it is important to carefully define age group terminology </w:t>
      </w:r>
      <w:r w:rsidR="006A3BEE">
        <w:t>and cate</w:t>
      </w:r>
      <w:r w:rsidR="000F621E">
        <w:t>gorie</w:t>
      </w:r>
      <w:r w:rsidR="006A3BEE">
        <w:t xml:space="preserve">s </w:t>
      </w:r>
      <w:r w:rsidRPr="00246BC3">
        <w:t>and use it consistently within a study.</w:t>
      </w:r>
    </w:p>
    <w:p w14:paraId="5BC96923" w14:textId="77777777" w:rsidR="00AC7DA6" w:rsidRDefault="00246BC3" w:rsidP="005C0C2E">
      <w:pPr>
        <w:spacing w:line="480" w:lineRule="auto"/>
        <w:ind w:firstLine="720"/>
        <w:contextualSpacing/>
      </w:pPr>
      <w:r w:rsidRPr="00246BC3">
        <w:t xml:space="preserve">In this study, </w:t>
      </w:r>
      <w:r w:rsidR="000A2FC1">
        <w:t xml:space="preserve">the term “juvenile” </w:t>
      </w:r>
      <w:r w:rsidR="00C05B47">
        <w:t>and “child” are</w:t>
      </w:r>
      <w:r w:rsidR="000A2FC1">
        <w:t xml:space="preserve"> avoided </w:t>
      </w:r>
      <w:r w:rsidR="00C05B47">
        <w:t>when referring to non-adults collectively and when used refer to specific developmental periods specified by Bogin (1997)</w:t>
      </w:r>
      <w:r w:rsidR="000A2FC1">
        <w:t xml:space="preserve">.  </w:t>
      </w:r>
      <w:r w:rsidR="00AC7DA6" w:rsidRPr="00246BC3">
        <w:t>Like any classification system, age cohorts are often arbitrary, but necessary, divisions along a continuous developmental sequence</w:t>
      </w:r>
      <w:r w:rsidR="00AC7DA6">
        <w:t xml:space="preserve"> that serve to organize information and aid in comparisons across studies</w:t>
      </w:r>
      <w:r w:rsidR="00AC7DA6" w:rsidRPr="00246BC3">
        <w:t>.</w:t>
      </w:r>
      <w:r w:rsidR="00AC7DA6">
        <w:t xml:space="preserve"> The distribution of</w:t>
      </w:r>
      <w:r w:rsidR="00C05B47">
        <w:t xml:space="preserve"> individuals by stress group </w:t>
      </w:r>
      <w:r w:rsidR="00AC7DA6">
        <w:t>and</w:t>
      </w:r>
      <w:r w:rsidR="00C05B47">
        <w:t xml:space="preserve"> age</w:t>
      </w:r>
      <w:r w:rsidR="00AC7DA6">
        <w:t xml:space="preserve"> are</w:t>
      </w:r>
      <w:r w:rsidR="00C05B47">
        <w:t xml:space="preserve"> presented </w:t>
      </w:r>
      <w:r w:rsidR="00AC7DA6">
        <w:t>following</w:t>
      </w:r>
      <w:r w:rsidR="006360A2">
        <w:t xml:space="preserve"> </w:t>
      </w:r>
      <w:r w:rsidR="00C05B47" w:rsidRPr="00246BC3">
        <w:t>Bogin’s (1997) evolutionary classificatio</w:t>
      </w:r>
      <w:r w:rsidR="00C05B47">
        <w:t>n scheme</w:t>
      </w:r>
      <w:r w:rsidR="006360A2">
        <w:t xml:space="preserve"> </w:t>
      </w:r>
      <w:r w:rsidR="00AC7DA6">
        <w:t xml:space="preserve">and modified for the ages included in the study </w:t>
      </w:r>
      <w:r w:rsidR="006360A2">
        <w:t>(1.0-1.99, 2.0-2.99, 3.0-6.99, 7.0-11.99, 12.0-</w:t>
      </w:r>
      <w:r w:rsidR="00AC7DA6">
        <w:t>13.99</w:t>
      </w:r>
      <w:r w:rsidR="006360A2">
        <w:t>)</w:t>
      </w:r>
      <w:r w:rsidR="00C05B47">
        <w:t>, as these categories are commonly used</w:t>
      </w:r>
      <w:r w:rsidR="00AC7DA6">
        <w:t xml:space="preserve"> in bioarchaeological analyses. Individuals were assigned to these categories based on mean </w:t>
      </w:r>
      <w:r w:rsidR="00AC7DA6" w:rsidRPr="00246BC3">
        <w:t>denta</w:t>
      </w:r>
      <w:r w:rsidR="00AC7DA6">
        <w:t xml:space="preserve">l and/or skeletal age estimates (see below). </w:t>
      </w:r>
      <w:r w:rsidR="000F621E">
        <w:t>However, give</w:t>
      </w:r>
      <w:r w:rsidR="00AC7DA6">
        <w:t xml:space="preserve">n the small sample sizes </w:t>
      </w:r>
      <w:r w:rsidR="000F621E">
        <w:t>among stress groups</w:t>
      </w:r>
      <w:r w:rsidR="00AC7DA6">
        <w:t xml:space="preserve"> within age cohorts</w:t>
      </w:r>
      <w:r w:rsidR="000F621E">
        <w:t xml:space="preserve">, statistical analyses could not be performed separately for these </w:t>
      </w:r>
      <w:r w:rsidR="000F621E">
        <w:lastRenderedPageBreak/>
        <w:t xml:space="preserve">groupings (see </w:t>
      </w:r>
      <w:r w:rsidR="000F621E">
        <w:rPr>
          <w:i/>
        </w:rPr>
        <w:t>Statistical Analysis</w:t>
      </w:r>
      <w:r w:rsidR="000F621E">
        <w:t xml:space="preserve">). </w:t>
      </w:r>
      <w:r w:rsidR="00AC7DA6">
        <w:t>Thus, these age divisions</w:t>
      </w:r>
      <w:r w:rsidRPr="00246BC3">
        <w:t xml:space="preserve"> </w:t>
      </w:r>
      <w:r w:rsidR="00C05B47">
        <w:t xml:space="preserve">are used in presenting summary statistics when necessary to </w:t>
      </w:r>
      <w:r w:rsidRPr="00246BC3">
        <w:t>allow for compariso</w:t>
      </w:r>
      <w:r w:rsidR="000F621E">
        <w:t>ns with other subadult studies</w:t>
      </w:r>
      <w:r w:rsidR="00AC7DA6">
        <w:t xml:space="preserve">, </w:t>
      </w:r>
      <w:r w:rsidR="006360A2">
        <w:t>highlight the age distribution of the sample</w:t>
      </w:r>
      <w:r w:rsidR="00AC7DA6">
        <w:t>,</w:t>
      </w:r>
      <w:r w:rsidR="006360A2">
        <w:t xml:space="preserve"> and </w:t>
      </w:r>
      <w:r w:rsidR="00AC7DA6">
        <w:t xml:space="preserve">address </w:t>
      </w:r>
      <w:r w:rsidR="006360A2">
        <w:t>potential age effects on statistical analyses</w:t>
      </w:r>
      <w:r w:rsidR="00F96E07">
        <w:t xml:space="preserve"> performed on the entire sample</w:t>
      </w:r>
      <w:r w:rsidR="000F621E">
        <w:t xml:space="preserve">. </w:t>
      </w:r>
      <w:r w:rsidRPr="00246BC3">
        <w:t>Because the questions posed in this study are biological in nature, the age terminology</w:t>
      </w:r>
      <w:r w:rsidR="000F621E">
        <w:t xml:space="preserve"> and cohorts</w:t>
      </w:r>
      <w:r w:rsidRPr="00246BC3">
        <w:t xml:space="preserve"> used herein </w:t>
      </w:r>
      <w:r w:rsidR="000F621E">
        <w:t>are</w:t>
      </w:r>
      <w:r w:rsidRPr="00246BC3">
        <w:t xml:space="preserve"> based on biological age classifications that adequately represent biologically based developmental transitions.</w:t>
      </w:r>
      <w:r w:rsidR="006A3BEE">
        <w:t xml:space="preserve"> </w:t>
      </w:r>
      <w:r w:rsidRPr="00246BC3">
        <w:t>These terms are not based on social age or intended to reflect the complex social constructs and identities associated with immature individuals of the Alytus population (</w:t>
      </w:r>
      <w:r w:rsidR="002A2A0F">
        <w:t xml:space="preserve">cf. Gottlieb, 2000; </w:t>
      </w:r>
      <w:r w:rsidR="00317419">
        <w:t xml:space="preserve">Kamp, 2001; </w:t>
      </w:r>
      <w:r w:rsidRPr="00246BC3">
        <w:t xml:space="preserve">Halcrow and Tayles, 2008). </w:t>
      </w:r>
    </w:p>
    <w:p w14:paraId="309F3BCE" w14:textId="77777777" w:rsidR="0051526C" w:rsidRPr="00246BC3" w:rsidRDefault="0051526C" w:rsidP="005C0C2E">
      <w:pPr>
        <w:spacing w:line="480" w:lineRule="auto"/>
        <w:ind w:firstLine="720"/>
        <w:contextualSpacing/>
      </w:pPr>
    </w:p>
    <w:p w14:paraId="58D33802" w14:textId="77777777" w:rsidR="00246BC3" w:rsidRDefault="00246BC3" w:rsidP="00E21B99">
      <w:pPr>
        <w:pStyle w:val="Heading3"/>
        <w:rPr>
          <w:rStyle w:val="Emphasis"/>
          <w:i/>
          <w:iCs w:val="0"/>
        </w:rPr>
      </w:pPr>
      <w:bookmarkStart w:id="62" w:name="_Toc233171666"/>
      <w:r w:rsidRPr="00E21B99">
        <w:rPr>
          <w:rStyle w:val="Emphasis"/>
          <w:i/>
          <w:iCs w:val="0"/>
        </w:rPr>
        <w:t>Age Estimation</w:t>
      </w:r>
      <w:bookmarkEnd w:id="62"/>
      <w:r w:rsidRPr="00E21B99">
        <w:rPr>
          <w:rStyle w:val="Emphasis"/>
          <w:i/>
          <w:iCs w:val="0"/>
        </w:rPr>
        <w:t xml:space="preserve"> </w:t>
      </w:r>
    </w:p>
    <w:p w14:paraId="3A188BD4" w14:textId="77777777" w:rsidR="00E21B99" w:rsidRPr="00E21B99" w:rsidRDefault="00E21B99" w:rsidP="00E21B99"/>
    <w:p w14:paraId="5AB91B75" w14:textId="77777777" w:rsidR="00246BC3" w:rsidRDefault="00246BC3" w:rsidP="00246BC3">
      <w:pPr>
        <w:spacing w:line="480" w:lineRule="auto"/>
        <w:ind w:firstLine="720"/>
        <w:contextualSpacing/>
      </w:pPr>
      <w:r w:rsidRPr="00246BC3">
        <w:t>Age-at-death of each Alytus subadult was estimated using crown and root formation of the permanent (Smith, 1991) and deciduous dentition (Liversidge and Molleson, 2004).</w:t>
      </w:r>
      <w:r w:rsidR="006A3BEE">
        <w:t xml:space="preserve"> </w:t>
      </w:r>
      <w:r w:rsidRPr="00246BC3">
        <w:t>This method involved visual inspection of loose mandibular and maxillary teeth, as well as digital mandibular radiographs taken with a Nomad X-ray gun and EVAsoft software.</w:t>
      </w:r>
      <w:r w:rsidR="006A3BEE">
        <w:t xml:space="preserve"> </w:t>
      </w:r>
      <w:r w:rsidRPr="00246BC3">
        <w:t xml:space="preserve">Lateral mandibular X-rays were taken of all </w:t>
      </w:r>
      <w:r w:rsidRPr="00246BC3">
        <w:rPr>
          <w:i/>
        </w:rPr>
        <w:t xml:space="preserve">in situ </w:t>
      </w:r>
      <w:r w:rsidRPr="00246BC3">
        <w:t>unerupted tooth crowns and erupted tooth roots across the entire dental arcade, including anterior and posterior teeth from both left and right sides.</w:t>
      </w:r>
    </w:p>
    <w:p w14:paraId="0A5F305F" w14:textId="77777777" w:rsidR="00246BC3" w:rsidRPr="00246BC3" w:rsidRDefault="00246BC3" w:rsidP="00246BC3">
      <w:pPr>
        <w:spacing w:line="480" w:lineRule="auto"/>
        <w:ind w:firstLine="720"/>
        <w:contextualSpacing/>
      </w:pPr>
      <w:r w:rsidRPr="00246BC3">
        <w:t>The use of crown and root formation from radiographs as an aging technique provides several advantages to other dental age estimation methods.</w:t>
      </w:r>
      <w:r w:rsidR="006A3BEE">
        <w:t xml:space="preserve"> </w:t>
      </w:r>
      <w:r w:rsidRPr="00246BC3">
        <w:t xml:space="preserve">First, although dental eruption has been used frequently in skeletal analyses to estimate subadult age, mandibular radiographs have been found to provide more accurate age estimates because dental formation is more robust to </w:t>
      </w:r>
      <w:r w:rsidRPr="00246BC3">
        <w:lastRenderedPageBreak/>
        <w:t>environmental perturbations (e.g., nutrition, tooth loss, caries, hormonal influences) than eruption (Ubelaker, 1989; Smith, 1991, Saunders, 1992; Conceição and Cardoso, 2011).</w:t>
      </w:r>
      <w:r w:rsidR="006A3BEE">
        <w:t xml:space="preserve"> </w:t>
      </w:r>
      <w:r w:rsidRPr="00246BC3">
        <w:t>Second, unlike dental eruption, dental formation is a continuous process rather than a discrete event, allowing for age estimates across a wider range within an ontogenetic sequence (i.e., perinates to late adolescents) (Demirjian, 1978).</w:t>
      </w:r>
      <w:r w:rsidR="006A3BEE">
        <w:t xml:space="preserve"> </w:t>
      </w:r>
      <w:r w:rsidRPr="00246BC3">
        <w:t>Third, radiographic assessment of dental formation captures developmental information from unerupted teeth, increasing accuracy in general but especially within two critical transition periods: between the cessation of deciduous dental eruption and onset of permanent dental eruption (3-6 years); and between the cessation of permanent dental eruption and completion of permanent root formation (15-18 years).</w:t>
      </w:r>
      <w:r w:rsidR="006A3BEE">
        <w:t xml:space="preserve"> </w:t>
      </w:r>
    </w:p>
    <w:p w14:paraId="00CF7053" w14:textId="77777777" w:rsidR="00246BC3" w:rsidRPr="00246BC3" w:rsidRDefault="00246BC3" w:rsidP="00246BC3">
      <w:pPr>
        <w:spacing w:line="480" w:lineRule="auto"/>
        <w:ind w:firstLine="720"/>
        <w:contextualSpacing/>
      </w:pPr>
      <w:r w:rsidRPr="00246BC3">
        <w:t>The calcification scores for Smith (1991) and Liversidge and Molleson (2004) were determined for each tooth that was observable via radiograph or loose from sockets.</w:t>
      </w:r>
      <w:r w:rsidR="006A3BEE">
        <w:t xml:space="preserve"> </w:t>
      </w:r>
      <w:r w:rsidRPr="00246BC3">
        <w:t>Each tooth was scored twice on two separate days; any inconsistencies between these two scores were resolved upon a third inspection.</w:t>
      </w:r>
      <w:r w:rsidR="006A3BEE">
        <w:t xml:space="preserve"> </w:t>
      </w:r>
      <w:r w:rsidRPr="00246BC3">
        <w:t>Each dental score was assigned a sex-averaged age estimate, and a mean of these age estimates was calculated to create a composite age estimate for each individual.</w:t>
      </w:r>
      <w:r w:rsidR="006A3BEE">
        <w:t xml:space="preserve"> </w:t>
      </w:r>
      <w:r w:rsidRPr="00246BC3">
        <w:t>Because of differences in burial preservation, these composite age estimates were based on variable numbers and types of teeth between individuals.</w:t>
      </w:r>
      <w:r w:rsidR="006A3BEE">
        <w:t xml:space="preserve"> </w:t>
      </w:r>
      <w:r w:rsidRPr="00246BC3">
        <w:t>Due to unexpected technical difficulties with the Nomad X-ray gun late into data collection, ten individuals could not be radiographed and were given age estimates based on traditional dental age estimation</w:t>
      </w:r>
      <w:r w:rsidR="006A3BEE">
        <w:t xml:space="preserve"> </w:t>
      </w:r>
      <w:r w:rsidRPr="00246BC3">
        <w:t>methods involving visible crown and root formation and</w:t>
      </w:r>
      <w:r w:rsidR="006A3BEE">
        <w:t xml:space="preserve"> </w:t>
      </w:r>
      <w:r w:rsidRPr="00246BC3">
        <w:t>tooth eruption (Buikstra and Ubelaker, 1994).</w:t>
      </w:r>
      <w:r w:rsidR="006A3BEE">
        <w:t xml:space="preserve"> </w:t>
      </w:r>
      <w:r w:rsidRPr="00246BC3">
        <w:t>All of the individuals in the Alytus sample were evaluated by these traditional dental age methods and comparisons were made between radiographic age estimates and traditional age estimates.</w:t>
      </w:r>
      <w:r w:rsidR="006A3BEE">
        <w:t xml:space="preserve"> </w:t>
      </w:r>
      <w:r w:rsidRPr="00246BC3">
        <w:t>These comparisons demonstrate a small average absolute error between the two methods (</w:t>
      </w:r>
      <w:r w:rsidR="003B32D9">
        <w:rPr>
          <w:noProof/>
        </w:rPr>
        <w:drawing>
          <wp:inline distT="0" distB="0" distL="0" distR="0" wp14:anchorId="68AD2EB7" wp14:editId="56E5FE7E">
            <wp:extent cx="101600" cy="114300"/>
            <wp:effectExtent l="0" t="0" r="0" b="12700"/>
            <wp:docPr id="34" name="Picture 34" descr="\ba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r{x}"/>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246BC3">
        <w:t xml:space="preserve">=.9 years, StDev=.9 years, range=0.1-3.7 years, n=33), possibly due to the high </w:t>
      </w:r>
      <w:r w:rsidRPr="00246BC3">
        <w:lastRenderedPageBreak/>
        <w:t>frequency with which unerupted teeth were visible in their crypts and erupted teeth could be removed from the alveolus for visual inspection.</w:t>
      </w:r>
      <w:r w:rsidR="006A3BEE">
        <w:t xml:space="preserve"> </w:t>
      </w:r>
      <w:r w:rsidRPr="00246BC3">
        <w:t xml:space="preserve">The age estimates for each individual, by present teeth and their mean age, are </w:t>
      </w:r>
      <w:r w:rsidRPr="004D673D">
        <w:t>presented in Appendix I.</w:t>
      </w:r>
    </w:p>
    <w:p w14:paraId="3114E264" w14:textId="77777777" w:rsidR="00246BC3" w:rsidRPr="00246BC3" w:rsidRDefault="00246BC3" w:rsidP="00246BC3">
      <w:pPr>
        <w:spacing w:line="480" w:lineRule="auto"/>
        <w:ind w:firstLine="720"/>
        <w:contextualSpacing/>
      </w:pPr>
      <w:r w:rsidRPr="00246BC3">
        <w:t>When using dental age estimation methods, subadult growth rates are thought to be equivalent to those of the reference population, which are typically modern, healthy North American or European populations (Hoppa and Vaupel, 2002).</w:t>
      </w:r>
      <w:r w:rsidR="006A3BEE">
        <w:t xml:space="preserve"> </w:t>
      </w:r>
      <w:r w:rsidRPr="00246BC3">
        <w:t xml:space="preserve">In this case, Alytus developmental dental rates are assumed to be similar to those of medieval Scottish and British </w:t>
      </w:r>
      <w:r w:rsidR="00A752A1">
        <w:t>subadults</w:t>
      </w:r>
      <w:r w:rsidRPr="00246BC3">
        <w:t xml:space="preserve"> of known age (Smith, 1991; Liversidge and Molleson, 2004).</w:t>
      </w:r>
      <w:r w:rsidR="006A3BEE">
        <w:t xml:space="preserve"> </w:t>
      </w:r>
      <w:r w:rsidRPr="00246BC3">
        <w:t>Ideally, a reference standard from the same region would be used; unfortunately, no aging standard currently exists for Lithuanian populations.</w:t>
      </w:r>
      <w:r w:rsidR="006A3BEE">
        <w:t xml:space="preserve"> </w:t>
      </w:r>
      <w:r w:rsidRPr="00246BC3">
        <w:t>Being a European population, Alytus subadults are assumed to not significantly differ in dental formation rates from the Western European reference populations.</w:t>
      </w:r>
      <w:r w:rsidR="006A3BEE">
        <w:t xml:space="preserve"> </w:t>
      </w:r>
      <w:r w:rsidRPr="00246BC3">
        <w:t xml:space="preserve">Furthermore, as noted above, dental development is robust to environmental perturbations compared to other skeletal indicators of age (Saunders et al., 1993; Konigsberg and Holman, 1999; Saunders, 2000); therefore, given the possible age indicators, the use of tooth root development as the basis for age estimates is the most resistant to the effects of variable development rates due to metabolic stress in individuals from Alytus. </w:t>
      </w:r>
    </w:p>
    <w:p w14:paraId="093DDFB0" w14:textId="77777777" w:rsidR="00246BC3" w:rsidRDefault="00246BC3" w:rsidP="005C0C2E">
      <w:pPr>
        <w:spacing w:line="480" w:lineRule="auto"/>
        <w:ind w:firstLine="720"/>
        <w:contextualSpacing/>
      </w:pPr>
      <w:r w:rsidRPr="00246BC3">
        <w:t>When a significant portion of the dentition was missing (unless the teeth were diagnostic of a particular age range), age was predicted from the appearance and fusion of primary ossification centers, epiphyseal closure (Scheuer and Black, 2000; Baker et al., 2005), and/or regression formulae for femoral diaphyseal length (Scheuer et al., 1980; Scheuer and Black, 2000).</w:t>
      </w:r>
      <w:r w:rsidR="006A3BEE">
        <w:t xml:space="preserve"> </w:t>
      </w:r>
      <w:r w:rsidRPr="00246BC3">
        <w:t xml:space="preserve">This method was used </w:t>
      </w:r>
      <w:r w:rsidRPr="004D673D">
        <w:t>on seven individuals</w:t>
      </w:r>
      <w:r w:rsidR="004D673D">
        <w:t xml:space="preserve"> (12%</w:t>
      </w:r>
      <w:r w:rsidRPr="00246BC3">
        <w:t xml:space="preserve"> of the total</w:t>
      </w:r>
      <w:r w:rsidR="004D673D">
        <w:t xml:space="preserve"> sample)</w:t>
      </w:r>
      <w:r w:rsidRPr="00246BC3">
        <w:t>.</w:t>
      </w:r>
      <w:r w:rsidR="006A3BEE">
        <w:t xml:space="preserve"> </w:t>
      </w:r>
      <w:r w:rsidRPr="00246BC3">
        <w:t>Individual age estimates based on these two alternative methods are presented in Appendix I.</w:t>
      </w:r>
      <w:r w:rsidR="006A3BEE">
        <w:t xml:space="preserve"> </w:t>
      </w:r>
      <w:r w:rsidRPr="00246BC3">
        <w:t xml:space="preserve">When the age estimates differed between the above methods, the individual was assigned the femoral </w:t>
      </w:r>
      <w:r w:rsidRPr="00246BC3">
        <w:lastRenderedPageBreak/>
        <w:t>diaphyseal length estimate, mainly because of pronounced delay in skeletal ossification and fusion rates in the Alytus sample.</w:t>
      </w:r>
    </w:p>
    <w:p w14:paraId="25BB1B3F" w14:textId="77777777" w:rsidR="005C0C2E" w:rsidRPr="005C0C2E" w:rsidRDefault="005C0C2E" w:rsidP="005C0C2E">
      <w:pPr>
        <w:spacing w:line="480" w:lineRule="auto"/>
        <w:ind w:firstLine="720"/>
        <w:contextualSpacing/>
      </w:pPr>
    </w:p>
    <w:p w14:paraId="161119D7" w14:textId="77777777" w:rsidR="00246BC3" w:rsidRDefault="00246BC3" w:rsidP="00E21B99">
      <w:pPr>
        <w:pStyle w:val="Heading3"/>
        <w:rPr>
          <w:rStyle w:val="Strong"/>
          <w:b/>
          <w:bCs/>
        </w:rPr>
      </w:pPr>
      <w:bookmarkStart w:id="63" w:name="_Toc233171667"/>
      <w:r w:rsidRPr="00E21B99">
        <w:rPr>
          <w:rStyle w:val="Strong"/>
          <w:b/>
          <w:bCs/>
        </w:rPr>
        <w:t>Assessment of Pathological Skeletal Lesions</w:t>
      </w:r>
      <w:bookmarkEnd w:id="63"/>
    </w:p>
    <w:p w14:paraId="2919160D" w14:textId="77777777" w:rsidR="00E21B99" w:rsidRPr="00E21B99" w:rsidRDefault="00E21B99" w:rsidP="00E21B99"/>
    <w:p w14:paraId="426FB0C0" w14:textId="77777777" w:rsidR="00246BC3" w:rsidRDefault="00246BC3" w:rsidP="001C587B">
      <w:pPr>
        <w:spacing w:line="480" w:lineRule="auto"/>
        <w:ind w:firstLine="720"/>
        <w:contextualSpacing/>
      </w:pPr>
      <w:r w:rsidRPr="00246BC3">
        <w:t xml:space="preserve">Despite the limitations associated with the osteological paradox (see </w:t>
      </w:r>
      <w:r w:rsidRPr="005C0C2E">
        <w:t>Chapter 3</w:t>
      </w:r>
      <w:r w:rsidRPr="00246BC3">
        <w:t>), skeletal lesion presence was observed and recorded as the criterion for assigning individuals to the chronic or to the acute stress groups.</w:t>
      </w:r>
      <w:r w:rsidR="006A3BEE">
        <w:t xml:space="preserve"> </w:t>
      </w:r>
      <w:r w:rsidRPr="00246BC3">
        <w:t xml:space="preserve">Each skeleton was assessed for the presence of </w:t>
      </w:r>
      <w:r w:rsidR="005C0C2E">
        <w:t xml:space="preserve">three </w:t>
      </w:r>
      <w:r w:rsidRPr="00246BC3">
        <w:t xml:space="preserve">skeletal lesions: porotic hyperostosis, </w:t>
      </w:r>
      <w:r w:rsidR="00B85943">
        <w:t xml:space="preserve">dental </w:t>
      </w:r>
      <w:r w:rsidRPr="00246BC3">
        <w:t>enamel hypoplasia</w:t>
      </w:r>
      <w:r w:rsidR="005C0C2E">
        <w:t xml:space="preserve">, </w:t>
      </w:r>
      <w:r w:rsidRPr="00246BC3">
        <w:t>and osteoperiostitis.</w:t>
      </w:r>
      <w:r w:rsidR="006A3BEE">
        <w:t xml:space="preserve"> </w:t>
      </w:r>
      <w:r w:rsidRPr="00246BC3">
        <w:t>These were categorized and recorded according to the techniques specified below.</w:t>
      </w:r>
      <w:r w:rsidR="006A3BEE">
        <w:t xml:space="preserve"> </w:t>
      </w:r>
      <w:r w:rsidR="00BA0B8C">
        <w:t xml:space="preserve">Severity scores were not assigned to these pathologies, as </w:t>
      </w:r>
      <w:r w:rsidR="00951DA3">
        <w:t>lesion</w:t>
      </w:r>
      <w:r w:rsidR="00BA0B8C">
        <w:t xml:space="preserve"> severity is not hypothesized to correlate with metabolic bone loss. </w:t>
      </w:r>
      <w:r w:rsidR="00B11140">
        <w:t>Lesion</w:t>
      </w:r>
      <w:r w:rsidRPr="00246BC3">
        <w:t xml:space="preserve"> data for each individual are presented in Appendix II; digital photographs of each stress lesion </w:t>
      </w:r>
      <w:r w:rsidR="005C0C2E">
        <w:t>are available upon request.</w:t>
      </w:r>
    </w:p>
    <w:p w14:paraId="51DC8489" w14:textId="77777777" w:rsidR="00E21B99" w:rsidRPr="00E21B99" w:rsidRDefault="00246BC3" w:rsidP="00E21B99">
      <w:pPr>
        <w:pStyle w:val="Style1"/>
        <w:rPr>
          <w:rStyle w:val="Emphasis"/>
          <w:i/>
          <w:iCs w:val="0"/>
        </w:rPr>
      </w:pPr>
      <w:bookmarkStart w:id="64" w:name="_Toc233171668"/>
      <w:r w:rsidRPr="00E21B99">
        <w:rPr>
          <w:rStyle w:val="Emphasis"/>
          <w:i/>
          <w:iCs w:val="0"/>
        </w:rPr>
        <w:t>Porotic Hyperostosis</w:t>
      </w:r>
      <w:bookmarkEnd w:id="64"/>
    </w:p>
    <w:p w14:paraId="13D56892" w14:textId="5C6ACDC0" w:rsidR="00246BC3" w:rsidRPr="00A60149" w:rsidRDefault="00246BC3" w:rsidP="00A60149">
      <w:pPr>
        <w:spacing w:line="480" w:lineRule="auto"/>
        <w:ind w:firstLine="720"/>
        <w:contextualSpacing/>
        <w:rPr>
          <w:i/>
        </w:rPr>
      </w:pPr>
      <w:r w:rsidRPr="00246BC3">
        <w:t>Porotic hyperostosis was considered present when porosity with coalescing foramina and expansion of the diplӧe was evident on the ectocranial surface of the cranial vault and/or the superior surface of the orbit.</w:t>
      </w:r>
      <w:r w:rsidR="006A3BEE">
        <w:t xml:space="preserve"> </w:t>
      </w:r>
      <w:r w:rsidR="007E08B0">
        <w:t>These lesions</w:t>
      </w:r>
      <w:r w:rsidR="00C05913">
        <w:t xml:space="preserve"> </w:t>
      </w:r>
      <w:r w:rsidR="007E08B0">
        <w:t>are</w:t>
      </w:r>
      <w:r w:rsidR="000A3225">
        <w:t xml:space="preserve"> considered a robust indicator of metabolic stress</w:t>
      </w:r>
      <w:r w:rsidR="007E08B0">
        <w:t xml:space="preserve"> in skeletal samples and have been associated with iron-deficiency anemia, poor nutrition, </w:t>
      </w:r>
      <w:r w:rsidR="00347803">
        <w:t xml:space="preserve">scurvy, rickets, </w:t>
      </w:r>
      <w:r w:rsidR="007E08B0">
        <w:t>infectious disease, and chronic diarrhea (Stuart-Macadam, 1992; Schultz, 2001; Blom et al., 2005; Ortner, 2003; Walker et al., 2009). Th</w:t>
      </w:r>
      <w:r w:rsidRPr="00246BC3">
        <w:t>e presence of porosity on the latt</w:t>
      </w:r>
      <w:r w:rsidR="00B11140">
        <w:t>er surface is referred to as cribra orbitalia</w:t>
      </w:r>
      <w:r w:rsidR="000A3225">
        <w:t xml:space="preserve"> but is considered here along with cranial lesions b</w:t>
      </w:r>
      <w:r w:rsidR="000F5253">
        <w:t>ecause both types of lesions</w:t>
      </w:r>
      <w:r w:rsidR="000A3225">
        <w:t xml:space="preserve"> likely share a similar etiology </w:t>
      </w:r>
      <w:r w:rsidR="007E08B0">
        <w:t xml:space="preserve">and often manifest in the same individuals </w:t>
      </w:r>
      <w:r w:rsidR="000A3225">
        <w:t>(</w:t>
      </w:r>
      <w:r w:rsidR="000F5253">
        <w:t>Stuart-Macadam, 1989; Schultz, 2001; but see Walker et al., 2009</w:t>
      </w:r>
      <w:r w:rsidR="000A3225">
        <w:t>)</w:t>
      </w:r>
      <w:r w:rsidR="00B11140">
        <w:t xml:space="preserve">. </w:t>
      </w:r>
      <w:r w:rsidRPr="00246BC3">
        <w:t xml:space="preserve">Care was taken to exclude cases of </w:t>
      </w:r>
      <w:r w:rsidRPr="00246BC3">
        <w:lastRenderedPageBreak/>
        <w:t>non-pathological porosity</w:t>
      </w:r>
      <w:r w:rsidR="00A60149">
        <w:t xml:space="preserve"> caused by </w:t>
      </w:r>
      <w:r w:rsidR="00A60149">
        <w:softHyphen/>
      </w:r>
      <w:r w:rsidR="00A60149">
        <w:softHyphen/>
        <w:t xml:space="preserve">localized osteitis or </w:t>
      </w:r>
      <w:r w:rsidRPr="00246BC3">
        <w:t xml:space="preserve">postmortem erosion (Wapler et al., 2004). Porotic hyperostosis was observed under natural light with the aid </w:t>
      </w:r>
      <w:r w:rsidR="00A60149">
        <w:t xml:space="preserve">of a magnifying hand lens (10x). </w:t>
      </w:r>
    </w:p>
    <w:p w14:paraId="7D19529F" w14:textId="77777777" w:rsidR="00E21B99" w:rsidRPr="00E21B99" w:rsidRDefault="00B85943" w:rsidP="00E21B99">
      <w:pPr>
        <w:pStyle w:val="Style1"/>
        <w:rPr>
          <w:rStyle w:val="Emphasis"/>
          <w:i/>
          <w:iCs w:val="0"/>
        </w:rPr>
      </w:pPr>
      <w:bookmarkStart w:id="65" w:name="_Toc233171669"/>
      <w:r>
        <w:rPr>
          <w:rStyle w:val="Emphasis"/>
          <w:i/>
          <w:iCs w:val="0"/>
        </w:rPr>
        <w:t xml:space="preserve">Dental </w:t>
      </w:r>
      <w:r w:rsidR="00246BC3" w:rsidRPr="00E21B99">
        <w:rPr>
          <w:rStyle w:val="Emphasis"/>
          <w:i/>
          <w:iCs w:val="0"/>
        </w:rPr>
        <w:t>Enamel Hypoplasia</w:t>
      </w:r>
      <w:bookmarkEnd w:id="65"/>
    </w:p>
    <w:p w14:paraId="4F8396B2" w14:textId="068E2250" w:rsidR="00246BC3" w:rsidRPr="00246BC3" w:rsidRDefault="00B01361" w:rsidP="00246BC3">
      <w:pPr>
        <w:spacing w:line="480" w:lineRule="auto"/>
        <w:ind w:firstLine="720"/>
        <w:contextualSpacing/>
      </w:pPr>
      <w:r>
        <w:t xml:space="preserve">Dental enamel hypoplasias (DEH) are linear </w:t>
      </w:r>
      <w:r w:rsidR="009F0D2A">
        <w:t xml:space="preserve">grooves </w:t>
      </w:r>
      <w:r>
        <w:t xml:space="preserve">or pit defects </w:t>
      </w:r>
      <w:r w:rsidR="00202862">
        <w:t>that form when amele</w:t>
      </w:r>
      <w:r w:rsidR="00B85943">
        <w:t>ogenesis is temporarily halted; the defect appears once the individual recovers and ameleogenesis resumes</w:t>
      </w:r>
      <w:r w:rsidR="00202862">
        <w:t xml:space="preserve">. Because teeth do not remodel like bone, these defects represent a permanent record of past developmental disruptions from the fetal period to about 10 years old (Hillson, 2000; Goodman and Rose, 1990). </w:t>
      </w:r>
      <w:r w:rsidR="005C6C4A" w:rsidRPr="00B85943">
        <w:t xml:space="preserve">DEH presence </w:t>
      </w:r>
      <w:r w:rsidR="00606C5A" w:rsidRPr="00B85943">
        <w:t xml:space="preserve">has been linked to frequencies of skeletal lesions </w:t>
      </w:r>
      <w:r w:rsidR="00B85943" w:rsidRPr="00B85943">
        <w:t>and arch</w:t>
      </w:r>
      <w:r w:rsidR="00F6778C">
        <w:t>aeological evidence of dietary deficiency</w:t>
      </w:r>
      <w:r w:rsidR="00B85943" w:rsidRPr="00B85943">
        <w:t xml:space="preserve"> (</w:t>
      </w:r>
      <w:r w:rsidR="001969CC">
        <w:t xml:space="preserve">Goodman and Armelagos, 1989; </w:t>
      </w:r>
      <w:r w:rsidR="009F0D2A">
        <w:t xml:space="preserve">Goodman and Rose, 1991; </w:t>
      </w:r>
      <w:r w:rsidR="00230122">
        <w:t xml:space="preserve">Blakey and Armelagos, 1985; </w:t>
      </w:r>
      <w:r w:rsidR="00B85943" w:rsidRPr="00B85943">
        <w:t>Temple, 2007</w:t>
      </w:r>
      <w:r w:rsidR="001969CC">
        <w:t>; Klaus and Tam, 2009</w:t>
      </w:r>
      <w:r w:rsidR="00606C5A" w:rsidRPr="00B85943">
        <w:t xml:space="preserve">), although physical trauma </w:t>
      </w:r>
      <w:r w:rsidR="00C05913">
        <w:t>also lea</w:t>
      </w:r>
      <w:r w:rsidR="00F6778C">
        <w:t>ds to</w:t>
      </w:r>
      <w:r w:rsidR="00606C5A" w:rsidRPr="00B85943">
        <w:t xml:space="preserve"> DEH formation (</w:t>
      </w:r>
      <w:r w:rsidR="00230122">
        <w:t>Yaeger and Sharawy, 1986).</w:t>
      </w:r>
      <w:r w:rsidR="00606C5A">
        <w:t xml:space="preserve"> </w:t>
      </w:r>
      <w:r w:rsidR="00202862">
        <w:t xml:space="preserve">DEH </w:t>
      </w:r>
      <w:r w:rsidR="00246BC3" w:rsidRPr="00246BC3">
        <w:t xml:space="preserve">were observed and recorded </w:t>
      </w:r>
      <w:r w:rsidR="00FE1511">
        <w:t xml:space="preserve">in all teeth </w:t>
      </w:r>
      <w:r w:rsidR="00246BC3" w:rsidRPr="00246BC3">
        <w:t>following protocols set out i</w:t>
      </w:r>
      <w:r w:rsidR="00202862">
        <w:t xml:space="preserve">n Goodman and Armelagos (1990). </w:t>
      </w:r>
      <w:r w:rsidR="00246BC3" w:rsidRPr="00246BC3">
        <w:t xml:space="preserve">To differentiate normal perikymata variations from enamel defects, the presence/absence of </w:t>
      </w:r>
      <w:r w:rsidR="0094378F">
        <w:t>D</w:t>
      </w:r>
      <w:r w:rsidR="00246BC3" w:rsidRPr="00246BC3">
        <w:t>EH was recorded for each tooth under natural light with a magnifying hand lens (10x).</w:t>
      </w:r>
      <w:r w:rsidR="006A3BEE">
        <w:t xml:space="preserve"> </w:t>
      </w:r>
      <w:r w:rsidR="00246BC3" w:rsidRPr="00246BC3">
        <w:t>The developmental stage of each enamel defect was estimated by measuring from the midline of the defect to the cemento-enamel junction with digital calipers to the nearest hundredth of a millimeter (Goodman and Armelagos, 1990).</w:t>
      </w:r>
      <w:r w:rsidR="006A3BEE">
        <w:t xml:space="preserve"> </w:t>
      </w:r>
      <w:r w:rsidR="00246BC3" w:rsidRPr="00246BC3">
        <w:t>Due to lack of access to a high-powered microscope at the skeletal collection, perikymata could not be counted (Hillson, 1992) and, therefore, enamel defects reported in this study represent a minimum estimate of those potentially present.</w:t>
      </w:r>
      <w:r w:rsidR="006A3BEE">
        <w:t xml:space="preserve"> </w:t>
      </w:r>
      <w:r w:rsidR="00246BC3" w:rsidRPr="00246BC3">
        <w:t xml:space="preserve">However, given the nature and purpose of the analysis—to identify </w:t>
      </w:r>
      <w:r w:rsidR="00246BC3" w:rsidRPr="00246BC3">
        <w:lastRenderedPageBreak/>
        <w:t>chronically stressed individuals and estimate periodicity of stressful episodes in the Alytus sample—the naked-eye method is sufficient for the task.</w:t>
      </w:r>
    </w:p>
    <w:p w14:paraId="06390B1A" w14:textId="77777777" w:rsidR="00246BC3" w:rsidRPr="00606C5A" w:rsidRDefault="00246BC3" w:rsidP="00606C5A">
      <w:pPr>
        <w:spacing w:line="480" w:lineRule="auto"/>
        <w:ind w:firstLine="720"/>
        <w:contextualSpacing/>
      </w:pPr>
      <w:r w:rsidRPr="00246BC3">
        <w:t xml:space="preserve">In order to avoid inclusion of enamel defects caused by localized trauma rather than </w:t>
      </w:r>
      <w:r w:rsidR="00B85943">
        <w:t>physiological</w:t>
      </w:r>
      <w:r w:rsidRPr="00246BC3">
        <w:t xml:space="preserve"> stress, </w:t>
      </w:r>
      <w:r w:rsidR="00FC6113">
        <w:t>D</w:t>
      </w:r>
      <w:r w:rsidRPr="00246BC3">
        <w:t>EH was recorded as a true disruptive event only when it was present in at least two teeth at the same developmental stage; a defect was not counted as a disruptive event if fewer than four enamel sections (i.e., teeth) at a particular developmental stage were present (Goodman and Armelagos, 1990).</w:t>
      </w:r>
      <w:r w:rsidR="006A3BEE">
        <w:t xml:space="preserve"> </w:t>
      </w:r>
      <w:r w:rsidRPr="00246BC3">
        <w:t xml:space="preserve">In other words, a disruptive event must manifest as an enamel defect in </w:t>
      </w:r>
      <w:r w:rsidR="00B85943">
        <w:t xml:space="preserve">at least </w:t>
      </w:r>
      <w:r w:rsidRPr="00246BC3">
        <w:t xml:space="preserve">two </w:t>
      </w:r>
      <w:r w:rsidR="00B85943">
        <w:t xml:space="preserve">out of four or more </w:t>
      </w:r>
      <w:r w:rsidRPr="00246BC3">
        <w:t>separate teeth at the same developmental stage.</w:t>
      </w:r>
      <w:r w:rsidR="006A3BEE">
        <w:t xml:space="preserve"> </w:t>
      </w:r>
    </w:p>
    <w:p w14:paraId="556B8F27" w14:textId="77777777" w:rsidR="001C587B" w:rsidRPr="001C587B" w:rsidRDefault="00246BC3" w:rsidP="001C587B">
      <w:pPr>
        <w:pStyle w:val="Style1"/>
        <w:rPr>
          <w:rStyle w:val="Emphasis"/>
          <w:i/>
          <w:iCs w:val="0"/>
        </w:rPr>
      </w:pPr>
      <w:bookmarkStart w:id="66" w:name="_Toc233171670"/>
      <w:r w:rsidRPr="001C587B">
        <w:rPr>
          <w:rStyle w:val="Emphasis"/>
          <w:i/>
          <w:iCs w:val="0"/>
        </w:rPr>
        <w:t>Osteoperiostitis</w:t>
      </w:r>
      <w:bookmarkEnd w:id="66"/>
    </w:p>
    <w:p w14:paraId="1A5FB98A" w14:textId="77777777" w:rsidR="00246BC3" w:rsidRPr="00246BC3" w:rsidRDefault="00A774C8" w:rsidP="00246BC3">
      <w:pPr>
        <w:spacing w:line="480" w:lineRule="auto"/>
        <w:ind w:firstLine="720"/>
        <w:contextualSpacing/>
      </w:pPr>
      <w:r>
        <w:t xml:space="preserve">Osteoperiostitis </w:t>
      </w:r>
      <w:r w:rsidR="002F6F74">
        <w:t>is new bone formation f</w:t>
      </w:r>
      <w:r w:rsidR="00465B96">
        <w:t>ollowing</w:t>
      </w:r>
      <w:r>
        <w:t xml:space="preserve"> periosteal reacti</w:t>
      </w:r>
      <w:r w:rsidR="00DC68A3">
        <w:t xml:space="preserve">on to a physiological stressor, </w:t>
      </w:r>
      <w:r w:rsidR="00994FE0">
        <w:t xml:space="preserve">including </w:t>
      </w:r>
      <w:r w:rsidR="00637CB2">
        <w:t xml:space="preserve">malnutrition, </w:t>
      </w:r>
      <w:r w:rsidR="00994FE0">
        <w:t>injury</w:t>
      </w:r>
      <w:r w:rsidR="00637CB2">
        <w:t>,</w:t>
      </w:r>
      <w:r w:rsidR="00994FE0">
        <w:t xml:space="preserve"> </w:t>
      </w:r>
      <w:r w:rsidR="00DC68A3">
        <w:t xml:space="preserve">or infection. </w:t>
      </w:r>
      <w:r w:rsidR="00EC40F8">
        <w:t>Osteoperiostitis</w:t>
      </w:r>
      <w:r w:rsidR="00994FE0" w:rsidRPr="00246BC3">
        <w:t xml:space="preserve"> must be differentiated from normal </w:t>
      </w:r>
      <w:r w:rsidR="00465B96">
        <w:t xml:space="preserve">porosity that occurs during </w:t>
      </w:r>
      <w:r w:rsidR="00994FE0" w:rsidRPr="00246BC3">
        <w:t>growth processes and can mimic pathological lesions (Lewis, 2007</w:t>
      </w:r>
      <w:r w:rsidR="00465B96">
        <w:t>; Ortner et al., 2001</w:t>
      </w:r>
      <w:r w:rsidR="00994FE0" w:rsidRPr="00246BC3">
        <w:t>).</w:t>
      </w:r>
      <w:r w:rsidR="00347803">
        <w:t xml:space="preserve"> Osteoperiostitis has been linked to malnutrition and</w:t>
      </w:r>
      <w:r w:rsidR="00994FE0">
        <w:t xml:space="preserve"> other metabolic disorders, </w:t>
      </w:r>
      <w:r w:rsidR="00347803">
        <w:t xml:space="preserve">as well as infectious diseases (e.g., tuberculosis, leprosy, treponemal disease); </w:t>
      </w:r>
      <w:r w:rsidR="00994FE0">
        <w:t xml:space="preserve">and thus, the presence of these lesions in high frequency within a population is </w:t>
      </w:r>
      <w:r w:rsidR="00365FB4">
        <w:t>indicative of</w:t>
      </w:r>
      <w:r w:rsidR="00994FE0">
        <w:t xml:space="preserve"> high disease load and malnutrition</w:t>
      </w:r>
      <w:r w:rsidR="00432265">
        <w:t xml:space="preserve"> (</w:t>
      </w:r>
      <w:r w:rsidR="004415C7">
        <w:t>Mensforth et al., 1978; Ortner, 2003</w:t>
      </w:r>
      <w:r w:rsidR="00432265">
        <w:t>)</w:t>
      </w:r>
      <w:r w:rsidR="00994FE0">
        <w:t xml:space="preserve">. </w:t>
      </w:r>
      <w:r w:rsidR="00DC68A3">
        <w:t xml:space="preserve">The presence and distribution of </w:t>
      </w:r>
      <w:r w:rsidR="00246BC3" w:rsidRPr="00246BC3">
        <w:t xml:space="preserve">osteoperiostitis were assessed throughout the entire skeleton of each burial, including the cranium, </w:t>
      </w:r>
      <w:r w:rsidR="00637CB2" w:rsidRPr="00246BC3">
        <w:t>under natural light with a magnifying hand lens (10x)</w:t>
      </w:r>
      <w:r w:rsidR="00637CB2">
        <w:t xml:space="preserve"> </w:t>
      </w:r>
      <w:r w:rsidR="00246BC3" w:rsidRPr="00246BC3">
        <w:t>following Buikstra and Ubelaker (1994).</w:t>
      </w:r>
      <w:r w:rsidR="006A3BEE">
        <w:t xml:space="preserve"> </w:t>
      </w:r>
      <w:r w:rsidR="00E918E3">
        <w:t>Localized periosteal reactions are more likely caused by trauma or infection of the surrounding tissue (Ortner and Putschar, 1985)</w:t>
      </w:r>
      <w:r w:rsidR="004C5D96">
        <w:t xml:space="preserve">; and, therefore, individuals with osteoperiostitis </w:t>
      </w:r>
      <w:r w:rsidR="004415C7">
        <w:t>that was</w:t>
      </w:r>
      <w:r w:rsidR="00D14009">
        <w:t xml:space="preserve"> </w:t>
      </w:r>
      <w:r w:rsidR="004C5D96">
        <w:t xml:space="preserve">limited to a single element </w:t>
      </w:r>
      <w:r w:rsidR="00D14009">
        <w:t xml:space="preserve">were not recorded </w:t>
      </w:r>
      <w:r w:rsidR="004415C7">
        <w:t>as having osteoperiostitis present</w:t>
      </w:r>
      <w:r w:rsidR="00D14009">
        <w:t>, although the condition was noted.</w:t>
      </w:r>
    </w:p>
    <w:p w14:paraId="655DABF6" w14:textId="77777777" w:rsidR="00246BC3" w:rsidRPr="00246BC3" w:rsidRDefault="00246BC3" w:rsidP="00246BC3">
      <w:pPr>
        <w:spacing w:line="480" w:lineRule="auto"/>
        <w:contextualSpacing/>
        <w:rPr>
          <w:i/>
        </w:rPr>
      </w:pPr>
    </w:p>
    <w:p w14:paraId="559AEB7C" w14:textId="77777777" w:rsidR="001C587B" w:rsidRPr="001C587B" w:rsidRDefault="00246BC3" w:rsidP="001C587B">
      <w:pPr>
        <w:pStyle w:val="Style1"/>
        <w:rPr>
          <w:rStyle w:val="Emphasis"/>
          <w:i/>
          <w:iCs w:val="0"/>
        </w:rPr>
      </w:pPr>
      <w:bookmarkStart w:id="67" w:name="_Toc233171671"/>
      <w:r w:rsidRPr="001C587B">
        <w:rPr>
          <w:rStyle w:val="Emphasis"/>
          <w:i/>
          <w:iCs w:val="0"/>
        </w:rPr>
        <w:t>Specific Diseases of Malnutrition</w:t>
      </w:r>
      <w:bookmarkEnd w:id="67"/>
    </w:p>
    <w:p w14:paraId="3348DC33" w14:textId="77777777" w:rsidR="00246BC3" w:rsidRPr="00246BC3" w:rsidRDefault="00246BC3" w:rsidP="00246BC3">
      <w:pPr>
        <w:spacing w:line="480" w:lineRule="auto"/>
        <w:ind w:firstLine="720"/>
        <w:contextualSpacing/>
      </w:pPr>
      <w:r w:rsidRPr="00246BC3">
        <w:t>To account for specific diseases of malnutrition (i.e., scurvy, rickets) that affect the skeleton during late stages of the disease, each skeleton was assessed for the particular distri</w:t>
      </w:r>
      <w:r w:rsidR="001536A4">
        <w:t xml:space="preserve">bution of non-specific lesions </w:t>
      </w:r>
      <w:r w:rsidRPr="00246BC3">
        <w:t>and additional phenotypic characteristics that are diagnostic of each of the two specific diseases, following Lewis (2007).</w:t>
      </w:r>
      <w:r w:rsidR="006A3BEE">
        <w:t xml:space="preserve"> </w:t>
      </w:r>
      <w:r w:rsidR="001536A4">
        <w:t>Within the Alytus sample utilized for this study, no s</w:t>
      </w:r>
      <w:r w:rsidRPr="00246BC3">
        <w:t xml:space="preserve">ubadult individuals </w:t>
      </w:r>
      <w:r w:rsidR="001536A4">
        <w:t xml:space="preserve">with the </w:t>
      </w:r>
      <w:r w:rsidRPr="00246BC3">
        <w:t xml:space="preserve">specific patterns of stress markers associated with rickets and scurvy </w:t>
      </w:r>
      <w:r w:rsidR="001536A4">
        <w:t>were identified</w:t>
      </w:r>
      <w:r w:rsidRPr="00246BC3">
        <w:t>.</w:t>
      </w:r>
      <w:r w:rsidR="006A3BEE">
        <w:t xml:space="preserve"> </w:t>
      </w:r>
      <w:r w:rsidR="008463EF">
        <w:t xml:space="preserve">All of the pathological lesions used to separate Alytus skeletal remains into stress groups, therefore, are indicative of non-specific </w:t>
      </w:r>
      <w:r w:rsidR="00E51E56">
        <w:t xml:space="preserve">physiological </w:t>
      </w:r>
      <w:r w:rsidR="008463EF">
        <w:t>stress.</w:t>
      </w:r>
    </w:p>
    <w:p w14:paraId="0D345670" w14:textId="77777777" w:rsidR="00246BC3" w:rsidRPr="00246BC3" w:rsidRDefault="00246BC3" w:rsidP="00246BC3">
      <w:pPr>
        <w:spacing w:line="480" w:lineRule="auto"/>
        <w:contextualSpacing/>
        <w:rPr>
          <w:i/>
        </w:rPr>
      </w:pPr>
    </w:p>
    <w:p w14:paraId="2BE4CC39" w14:textId="77777777" w:rsidR="00BC45C5" w:rsidRDefault="00246BC3" w:rsidP="00B15BD2">
      <w:pPr>
        <w:pStyle w:val="Heading3"/>
        <w:spacing w:line="480" w:lineRule="auto"/>
      </w:pPr>
      <w:bookmarkStart w:id="68" w:name="_Toc233171672"/>
      <w:r w:rsidRPr="001C587B">
        <w:rPr>
          <w:rStyle w:val="Emphasis"/>
          <w:i/>
          <w:iCs w:val="0"/>
        </w:rPr>
        <w:t>Determination of Chronic and Acute Stress Groups</w:t>
      </w:r>
      <w:bookmarkEnd w:id="68"/>
    </w:p>
    <w:p w14:paraId="037B6FC4" w14:textId="77777777" w:rsidR="00F4440E" w:rsidRDefault="002D0BD7" w:rsidP="00B15BD2">
      <w:pPr>
        <w:spacing w:line="480" w:lineRule="auto"/>
        <w:ind w:firstLine="720"/>
        <w:contextualSpacing/>
      </w:pPr>
      <w:r>
        <w:t xml:space="preserve">Table </w:t>
      </w:r>
      <w:r w:rsidR="00B15BD2">
        <w:t>1</w:t>
      </w:r>
      <w:r>
        <w:t xml:space="preserve"> provides the frequencies of dental and skeletal stress lesions </w:t>
      </w:r>
      <w:r w:rsidR="00F4440E">
        <w:t xml:space="preserve">by type </w:t>
      </w:r>
      <w:r>
        <w:t>and their general location within the skeleton</w:t>
      </w:r>
      <w:r w:rsidR="00437FA5">
        <w:t xml:space="preserve"> (i.e., postcranial or cranial)</w:t>
      </w:r>
      <w:r>
        <w:t>. These frequencies are presented within age cohorts and across the entire subadult sample to demonstrate the distribution of pathological lesions with age.</w:t>
      </w:r>
      <w:r w:rsidR="00ED79E3">
        <w:t xml:space="preserve"> These summary statistics are provided to show the types of pathologies present at the Alytus site; however, these categories are not used in statistical comparisons, which are made between chronically and acutely stressed groups based on lesion presence and absence, respectively</w:t>
      </w:r>
      <w:r w:rsidR="007F25C6">
        <w:t xml:space="preserve"> (see below)</w:t>
      </w:r>
      <w:r w:rsidR="00ED79E3">
        <w:t xml:space="preserve">. </w:t>
      </w:r>
      <w:r w:rsidR="001D6BCE">
        <w:t xml:space="preserve">In the Alytus sample, DEH was present only </w:t>
      </w:r>
      <w:r w:rsidR="002139D5">
        <w:t>in individuals</w:t>
      </w:r>
      <w:r w:rsidR="001D6BCE">
        <w:t xml:space="preserve"> </w:t>
      </w:r>
      <w:r w:rsidR="002139D5">
        <w:t>above the age of seven</w:t>
      </w:r>
      <w:r w:rsidR="001D6BCE">
        <w:t>, and this anomaly is further discussed in Chapter 5.</w:t>
      </w:r>
    </w:p>
    <w:p w14:paraId="67C626B3" w14:textId="77777777" w:rsidR="0051526C" w:rsidRDefault="0051526C" w:rsidP="00B15BD2">
      <w:pPr>
        <w:spacing w:line="480" w:lineRule="auto"/>
        <w:ind w:firstLine="720"/>
        <w:contextualSpacing/>
      </w:pPr>
    </w:p>
    <w:p w14:paraId="317B6980" w14:textId="77777777" w:rsidR="0096202A" w:rsidRDefault="0096202A" w:rsidP="0096202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68B2F49" w14:textId="77777777" w:rsidR="0096202A" w:rsidRDefault="0096202A" w:rsidP="00F4440E">
      <w:pPr>
        <w:pStyle w:val="Caption"/>
        <w:keepNext/>
        <w:jc w:val="center"/>
      </w:pPr>
      <w:r>
        <w:lastRenderedPageBreak/>
        <w:t xml:space="preserve">Table </w:t>
      </w:r>
      <w:r w:rsidR="00B15BD2">
        <w:t>1</w:t>
      </w:r>
      <w:r>
        <w:t xml:space="preserve">. </w:t>
      </w:r>
      <w:r w:rsidRPr="007F5F97">
        <w:t xml:space="preserve">Frequencies of pathological </w:t>
      </w:r>
      <w:r w:rsidR="002D0BD7">
        <w:t xml:space="preserve">dental and </w:t>
      </w:r>
      <w:r w:rsidRPr="007F5F97">
        <w:t xml:space="preserve">skeletal lesions by age and </w:t>
      </w:r>
      <w:r w:rsidR="00437FA5">
        <w:t xml:space="preserve">skeletal </w:t>
      </w:r>
      <w:r w:rsidRPr="007F5F97">
        <w:t>location</w:t>
      </w:r>
      <w:r>
        <w:t>.</w:t>
      </w:r>
    </w:p>
    <w:tbl>
      <w:tblPr>
        <w:tblW w:w="8953" w:type="dxa"/>
        <w:tblLook w:val="04A0" w:firstRow="1" w:lastRow="0" w:firstColumn="1" w:lastColumn="0" w:noHBand="0" w:noVBand="1"/>
      </w:tblPr>
      <w:tblGrid>
        <w:gridCol w:w="1000"/>
        <w:gridCol w:w="520"/>
        <w:gridCol w:w="531"/>
        <w:gridCol w:w="520"/>
        <w:gridCol w:w="531"/>
        <w:gridCol w:w="520"/>
        <w:gridCol w:w="531"/>
        <w:gridCol w:w="520"/>
        <w:gridCol w:w="531"/>
        <w:gridCol w:w="520"/>
        <w:gridCol w:w="531"/>
        <w:gridCol w:w="520"/>
        <w:gridCol w:w="531"/>
        <w:gridCol w:w="298"/>
        <w:gridCol w:w="222"/>
        <w:gridCol w:w="531"/>
        <w:gridCol w:w="596"/>
      </w:tblGrid>
      <w:tr w:rsidR="0096202A" w:rsidRPr="00437FA5" w14:paraId="1F2467B8" w14:textId="77777777" w:rsidTr="00AC6527">
        <w:trPr>
          <w:trHeight w:val="255"/>
        </w:trPr>
        <w:tc>
          <w:tcPr>
            <w:tcW w:w="1000" w:type="dxa"/>
            <w:tcBorders>
              <w:top w:val="nil"/>
              <w:left w:val="nil"/>
              <w:bottom w:val="nil"/>
              <w:right w:val="nil"/>
            </w:tcBorders>
            <w:shd w:val="clear" w:color="auto" w:fill="auto"/>
            <w:noWrap/>
            <w:vAlign w:val="bottom"/>
            <w:hideMark/>
          </w:tcPr>
          <w:p w14:paraId="04A1F0EB"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53A42257"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5AC63B92"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01E83353"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44059E1D"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268FA9C3"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7070658B"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22F47F2F"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18BFE0F4"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1425B0EF"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05016E76" w14:textId="77777777" w:rsidR="0096202A" w:rsidRPr="00437FA5" w:rsidRDefault="0096202A" w:rsidP="00F83658">
            <w:pPr>
              <w:rPr>
                <w:color w:val="000000"/>
                <w:sz w:val="18"/>
                <w:szCs w:val="18"/>
              </w:rPr>
            </w:pPr>
          </w:p>
        </w:tc>
        <w:tc>
          <w:tcPr>
            <w:tcW w:w="520" w:type="dxa"/>
            <w:tcBorders>
              <w:top w:val="nil"/>
              <w:left w:val="nil"/>
              <w:bottom w:val="single" w:sz="4" w:space="0" w:color="auto"/>
              <w:right w:val="nil"/>
            </w:tcBorders>
            <w:shd w:val="clear" w:color="auto" w:fill="auto"/>
            <w:noWrap/>
            <w:vAlign w:val="bottom"/>
            <w:hideMark/>
          </w:tcPr>
          <w:p w14:paraId="22F749BC"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03D472DD" w14:textId="77777777" w:rsidR="0096202A" w:rsidRPr="00437FA5" w:rsidRDefault="0096202A" w:rsidP="00F83658">
            <w:pPr>
              <w:rPr>
                <w:color w:val="000000"/>
                <w:sz w:val="18"/>
                <w:szCs w:val="18"/>
              </w:rPr>
            </w:pPr>
          </w:p>
        </w:tc>
        <w:tc>
          <w:tcPr>
            <w:tcW w:w="520" w:type="dxa"/>
            <w:gridSpan w:val="2"/>
            <w:tcBorders>
              <w:top w:val="nil"/>
              <w:left w:val="nil"/>
              <w:bottom w:val="single" w:sz="4" w:space="0" w:color="auto"/>
              <w:right w:val="nil"/>
            </w:tcBorders>
            <w:shd w:val="clear" w:color="auto" w:fill="auto"/>
            <w:noWrap/>
            <w:vAlign w:val="bottom"/>
            <w:hideMark/>
          </w:tcPr>
          <w:p w14:paraId="0847394B" w14:textId="77777777" w:rsidR="0096202A" w:rsidRPr="00437FA5" w:rsidRDefault="0096202A" w:rsidP="00F83658">
            <w:pPr>
              <w:rPr>
                <w:color w:val="000000"/>
                <w:sz w:val="18"/>
                <w:szCs w:val="18"/>
              </w:rPr>
            </w:pPr>
          </w:p>
        </w:tc>
        <w:tc>
          <w:tcPr>
            <w:tcW w:w="531" w:type="dxa"/>
            <w:tcBorders>
              <w:top w:val="nil"/>
              <w:left w:val="nil"/>
              <w:bottom w:val="single" w:sz="4" w:space="0" w:color="auto"/>
              <w:right w:val="nil"/>
            </w:tcBorders>
            <w:shd w:val="clear" w:color="auto" w:fill="auto"/>
            <w:noWrap/>
            <w:vAlign w:val="bottom"/>
            <w:hideMark/>
          </w:tcPr>
          <w:p w14:paraId="2F6D9DC8" w14:textId="77777777" w:rsidR="0096202A" w:rsidRPr="00437FA5" w:rsidRDefault="0096202A" w:rsidP="00F83658">
            <w:pPr>
              <w:rPr>
                <w:color w:val="000000"/>
                <w:sz w:val="18"/>
                <w:szCs w:val="18"/>
              </w:rPr>
            </w:pPr>
          </w:p>
        </w:tc>
        <w:tc>
          <w:tcPr>
            <w:tcW w:w="596" w:type="dxa"/>
            <w:tcBorders>
              <w:top w:val="nil"/>
              <w:left w:val="nil"/>
              <w:bottom w:val="single" w:sz="4" w:space="0" w:color="auto"/>
              <w:right w:val="nil"/>
            </w:tcBorders>
            <w:shd w:val="clear" w:color="auto" w:fill="auto"/>
            <w:noWrap/>
            <w:vAlign w:val="bottom"/>
            <w:hideMark/>
          </w:tcPr>
          <w:p w14:paraId="1B4AC997" w14:textId="77777777" w:rsidR="0096202A" w:rsidRPr="00437FA5" w:rsidRDefault="0096202A" w:rsidP="00F83658">
            <w:pPr>
              <w:rPr>
                <w:color w:val="000000"/>
                <w:sz w:val="18"/>
                <w:szCs w:val="18"/>
              </w:rPr>
            </w:pPr>
          </w:p>
        </w:tc>
      </w:tr>
      <w:tr w:rsidR="00437FA5" w:rsidRPr="00437FA5" w14:paraId="7D1542CE" w14:textId="77777777" w:rsidTr="00AC6527">
        <w:trPr>
          <w:trHeight w:val="255"/>
        </w:trPr>
        <w:tc>
          <w:tcPr>
            <w:tcW w:w="1000" w:type="dxa"/>
            <w:tcBorders>
              <w:top w:val="nil"/>
              <w:left w:val="nil"/>
              <w:bottom w:val="nil"/>
              <w:right w:val="nil"/>
            </w:tcBorders>
            <w:shd w:val="clear" w:color="auto" w:fill="auto"/>
            <w:noWrap/>
            <w:vAlign w:val="bottom"/>
            <w:hideMark/>
          </w:tcPr>
          <w:p w14:paraId="52ABCAB8" w14:textId="77777777" w:rsidR="00437FA5" w:rsidRPr="00437FA5" w:rsidRDefault="00437FA5" w:rsidP="00F83658">
            <w:pPr>
              <w:jc w:val="center"/>
              <w:rPr>
                <w:color w:val="000000"/>
                <w:sz w:val="18"/>
                <w:szCs w:val="18"/>
              </w:rPr>
            </w:pPr>
          </w:p>
        </w:tc>
        <w:tc>
          <w:tcPr>
            <w:tcW w:w="5255" w:type="dxa"/>
            <w:gridSpan w:val="10"/>
            <w:tcBorders>
              <w:top w:val="single" w:sz="4" w:space="0" w:color="auto"/>
              <w:left w:val="nil"/>
              <w:bottom w:val="single" w:sz="4" w:space="0" w:color="auto"/>
            </w:tcBorders>
            <w:shd w:val="clear" w:color="auto" w:fill="auto"/>
            <w:noWrap/>
            <w:vAlign w:val="bottom"/>
            <w:hideMark/>
          </w:tcPr>
          <w:p w14:paraId="238CDC9F" w14:textId="77777777" w:rsidR="00437FA5" w:rsidRPr="00437FA5" w:rsidRDefault="00437FA5" w:rsidP="00F83658">
            <w:pPr>
              <w:jc w:val="center"/>
              <w:rPr>
                <w:b/>
                <w:bCs/>
                <w:color w:val="000000"/>
                <w:sz w:val="18"/>
                <w:szCs w:val="18"/>
              </w:rPr>
            </w:pPr>
            <w:r w:rsidRPr="00437FA5">
              <w:rPr>
                <w:b/>
                <w:bCs/>
                <w:color w:val="000000"/>
                <w:sz w:val="18"/>
                <w:szCs w:val="18"/>
              </w:rPr>
              <w:t>Cranial</w:t>
            </w:r>
          </w:p>
        </w:tc>
        <w:tc>
          <w:tcPr>
            <w:tcW w:w="1349" w:type="dxa"/>
            <w:gridSpan w:val="3"/>
            <w:tcBorders>
              <w:top w:val="single" w:sz="4" w:space="0" w:color="auto"/>
              <w:bottom w:val="single" w:sz="4" w:space="0" w:color="auto"/>
              <w:right w:val="nil"/>
            </w:tcBorders>
            <w:shd w:val="clear" w:color="auto" w:fill="auto"/>
            <w:noWrap/>
            <w:vAlign w:val="bottom"/>
            <w:hideMark/>
          </w:tcPr>
          <w:p w14:paraId="6DF88930" w14:textId="77777777" w:rsidR="00437FA5" w:rsidRPr="00437FA5" w:rsidRDefault="00F4440E" w:rsidP="00F4440E">
            <w:pPr>
              <w:jc w:val="right"/>
              <w:rPr>
                <w:b/>
                <w:bCs/>
                <w:color w:val="000000"/>
                <w:sz w:val="18"/>
                <w:szCs w:val="18"/>
              </w:rPr>
            </w:pPr>
            <w:r>
              <w:rPr>
                <w:b/>
                <w:bCs/>
                <w:color w:val="000000"/>
                <w:sz w:val="18"/>
                <w:szCs w:val="18"/>
              </w:rPr>
              <w:t xml:space="preserve">      </w:t>
            </w:r>
            <w:r w:rsidR="00437FA5">
              <w:rPr>
                <w:b/>
                <w:bCs/>
                <w:color w:val="000000"/>
                <w:sz w:val="18"/>
                <w:szCs w:val="18"/>
              </w:rPr>
              <w:t xml:space="preserve">  </w:t>
            </w:r>
            <w:r>
              <w:rPr>
                <w:b/>
                <w:bCs/>
                <w:color w:val="000000"/>
                <w:sz w:val="18"/>
                <w:szCs w:val="18"/>
              </w:rPr>
              <w:t xml:space="preserve">                </w:t>
            </w:r>
            <w:r w:rsidR="00437FA5" w:rsidRPr="00437FA5">
              <w:rPr>
                <w:b/>
                <w:bCs/>
                <w:color w:val="000000"/>
                <w:sz w:val="18"/>
                <w:szCs w:val="18"/>
              </w:rPr>
              <w:t>Postcranial</w:t>
            </w:r>
          </w:p>
        </w:tc>
        <w:tc>
          <w:tcPr>
            <w:tcW w:w="1349" w:type="dxa"/>
            <w:gridSpan w:val="3"/>
            <w:tcBorders>
              <w:top w:val="single" w:sz="4" w:space="0" w:color="auto"/>
              <w:bottom w:val="single" w:sz="4" w:space="0" w:color="auto"/>
              <w:right w:val="nil"/>
            </w:tcBorders>
            <w:shd w:val="clear" w:color="auto" w:fill="auto"/>
            <w:vAlign w:val="bottom"/>
          </w:tcPr>
          <w:p w14:paraId="72B3F6F0" w14:textId="77777777" w:rsidR="00437FA5" w:rsidRPr="00437FA5" w:rsidRDefault="00F4440E" w:rsidP="00F4440E">
            <w:pPr>
              <w:rPr>
                <w:b/>
                <w:bCs/>
                <w:color w:val="000000"/>
                <w:sz w:val="18"/>
                <w:szCs w:val="18"/>
              </w:rPr>
            </w:pPr>
            <w:r>
              <w:rPr>
                <w:b/>
                <w:bCs/>
                <w:color w:val="000000"/>
                <w:sz w:val="18"/>
                <w:szCs w:val="18"/>
              </w:rPr>
              <w:t xml:space="preserve">                Total</w:t>
            </w:r>
          </w:p>
        </w:tc>
      </w:tr>
      <w:tr w:rsidR="0096202A" w:rsidRPr="00437FA5" w14:paraId="4DC91F7E" w14:textId="77777777" w:rsidTr="00F4440E">
        <w:trPr>
          <w:trHeight w:val="600"/>
        </w:trPr>
        <w:tc>
          <w:tcPr>
            <w:tcW w:w="1000" w:type="dxa"/>
            <w:tcBorders>
              <w:top w:val="nil"/>
              <w:left w:val="nil"/>
              <w:bottom w:val="nil"/>
              <w:right w:val="nil"/>
            </w:tcBorders>
            <w:shd w:val="clear" w:color="auto" w:fill="auto"/>
            <w:vAlign w:val="center"/>
            <w:hideMark/>
          </w:tcPr>
          <w:p w14:paraId="33B0CF26" w14:textId="77777777" w:rsidR="0096202A" w:rsidRPr="00437FA5" w:rsidRDefault="0096202A" w:rsidP="00F83658">
            <w:pPr>
              <w:jc w:val="center"/>
              <w:rPr>
                <w:color w:val="000000"/>
                <w:sz w:val="18"/>
                <w:szCs w:val="18"/>
              </w:rPr>
            </w:pPr>
          </w:p>
        </w:tc>
        <w:tc>
          <w:tcPr>
            <w:tcW w:w="1051" w:type="dxa"/>
            <w:gridSpan w:val="2"/>
            <w:tcBorders>
              <w:top w:val="nil"/>
              <w:left w:val="nil"/>
              <w:bottom w:val="nil"/>
              <w:right w:val="nil"/>
            </w:tcBorders>
            <w:shd w:val="clear" w:color="auto" w:fill="auto"/>
            <w:vAlign w:val="center"/>
            <w:hideMark/>
          </w:tcPr>
          <w:p w14:paraId="2107B774" w14:textId="77777777" w:rsidR="00437FA5" w:rsidRPr="00F4440E" w:rsidRDefault="0096202A" w:rsidP="00F83658">
            <w:pPr>
              <w:jc w:val="center"/>
              <w:rPr>
                <w:color w:val="000000"/>
                <w:sz w:val="18"/>
                <w:szCs w:val="18"/>
                <w:vertAlign w:val="superscript"/>
              </w:rPr>
            </w:pPr>
            <w:r w:rsidRPr="00437FA5">
              <w:rPr>
                <w:color w:val="000000"/>
                <w:sz w:val="18"/>
                <w:szCs w:val="18"/>
              </w:rPr>
              <w:t xml:space="preserve">PH </w:t>
            </w:r>
          </w:p>
          <w:p w14:paraId="40159E07" w14:textId="77777777" w:rsidR="0096202A" w:rsidRPr="00437FA5" w:rsidRDefault="0096202A" w:rsidP="00F83658">
            <w:pPr>
              <w:jc w:val="center"/>
              <w:rPr>
                <w:color w:val="000000"/>
                <w:sz w:val="18"/>
                <w:szCs w:val="18"/>
              </w:rPr>
            </w:pPr>
            <w:r w:rsidRPr="00437FA5">
              <w:rPr>
                <w:color w:val="000000"/>
                <w:sz w:val="18"/>
                <w:szCs w:val="18"/>
              </w:rPr>
              <w:t>(Vault)</w:t>
            </w:r>
          </w:p>
        </w:tc>
        <w:tc>
          <w:tcPr>
            <w:tcW w:w="1051" w:type="dxa"/>
            <w:gridSpan w:val="2"/>
            <w:tcBorders>
              <w:top w:val="nil"/>
              <w:left w:val="nil"/>
              <w:bottom w:val="nil"/>
              <w:right w:val="nil"/>
            </w:tcBorders>
            <w:shd w:val="clear" w:color="auto" w:fill="auto"/>
            <w:vAlign w:val="center"/>
            <w:hideMark/>
          </w:tcPr>
          <w:p w14:paraId="185C57EC" w14:textId="77777777" w:rsidR="0096202A" w:rsidRPr="00437FA5" w:rsidRDefault="00437FA5" w:rsidP="00F83658">
            <w:pPr>
              <w:jc w:val="center"/>
              <w:rPr>
                <w:color w:val="000000"/>
                <w:sz w:val="18"/>
                <w:szCs w:val="18"/>
              </w:rPr>
            </w:pPr>
            <w:r w:rsidRPr="00437FA5">
              <w:rPr>
                <w:color w:val="000000"/>
                <w:sz w:val="18"/>
                <w:szCs w:val="18"/>
              </w:rPr>
              <w:t>PH</w:t>
            </w:r>
            <w:r w:rsidR="0096202A" w:rsidRPr="00437FA5">
              <w:rPr>
                <w:color w:val="000000"/>
                <w:sz w:val="18"/>
                <w:szCs w:val="18"/>
              </w:rPr>
              <w:t xml:space="preserve"> (Orbital)</w:t>
            </w:r>
          </w:p>
        </w:tc>
        <w:tc>
          <w:tcPr>
            <w:tcW w:w="1051" w:type="dxa"/>
            <w:gridSpan w:val="2"/>
            <w:tcBorders>
              <w:top w:val="nil"/>
              <w:left w:val="nil"/>
              <w:bottom w:val="nil"/>
              <w:right w:val="nil"/>
            </w:tcBorders>
            <w:shd w:val="clear" w:color="auto" w:fill="auto"/>
            <w:vAlign w:val="center"/>
            <w:hideMark/>
          </w:tcPr>
          <w:p w14:paraId="29A5C95C" w14:textId="77777777" w:rsidR="0096202A" w:rsidRPr="00437FA5" w:rsidRDefault="0096202A" w:rsidP="00F83658">
            <w:pPr>
              <w:jc w:val="center"/>
              <w:rPr>
                <w:color w:val="000000"/>
                <w:sz w:val="18"/>
                <w:szCs w:val="18"/>
              </w:rPr>
            </w:pPr>
            <w:r w:rsidRPr="00437FA5">
              <w:rPr>
                <w:color w:val="000000"/>
                <w:sz w:val="18"/>
                <w:szCs w:val="18"/>
              </w:rPr>
              <w:t>Total PH</w:t>
            </w:r>
          </w:p>
        </w:tc>
        <w:tc>
          <w:tcPr>
            <w:tcW w:w="1051" w:type="dxa"/>
            <w:gridSpan w:val="2"/>
            <w:tcBorders>
              <w:top w:val="nil"/>
              <w:left w:val="nil"/>
              <w:bottom w:val="nil"/>
              <w:right w:val="nil"/>
            </w:tcBorders>
            <w:shd w:val="clear" w:color="auto" w:fill="auto"/>
            <w:vAlign w:val="center"/>
            <w:hideMark/>
          </w:tcPr>
          <w:p w14:paraId="582A92FB" w14:textId="77777777" w:rsidR="0096202A" w:rsidRPr="00437FA5" w:rsidRDefault="0096202A" w:rsidP="00F83658">
            <w:pPr>
              <w:jc w:val="center"/>
              <w:rPr>
                <w:color w:val="000000"/>
                <w:sz w:val="18"/>
                <w:szCs w:val="18"/>
              </w:rPr>
            </w:pPr>
            <w:r w:rsidRPr="00437FA5">
              <w:rPr>
                <w:color w:val="000000"/>
                <w:sz w:val="18"/>
                <w:szCs w:val="18"/>
              </w:rPr>
              <w:t>Other Lesions</w:t>
            </w:r>
          </w:p>
        </w:tc>
        <w:tc>
          <w:tcPr>
            <w:tcW w:w="1051" w:type="dxa"/>
            <w:gridSpan w:val="2"/>
            <w:tcBorders>
              <w:top w:val="nil"/>
              <w:left w:val="nil"/>
              <w:bottom w:val="nil"/>
              <w:right w:val="nil"/>
            </w:tcBorders>
            <w:shd w:val="clear" w:color="auto" w:fill="auto"/>
            <w:vAlign w:val="center"/>
            <w:hideMark/>
          </w:tcPr>
          <w:p w14:paraId="745588BD" w14:textId="77777777" w:rsidR="0096202A" w:rsidRPr="00437FA5" w:rsidRDefault="00F4440E" w:rsidP="00F83658">
            <w:pPr>
              <w:jc w:val="center"/>
              <w:rPr>
                <w:color w:val="000000"/>
                <w:sz w:val="18"/>
                <w:szCs w:val="18"/>
              </w:rPr>
            </w:pPr>
            <w:r>
              <w:rPr>
                <w:color w:val="000000"/>
                <w:sz w:val="18"/>
                <w:szCs w:val="18"/>
              </w:rPr>
              <w:t>DEH</w:t>
            </w:r>
          </w:p>
        </w:tc>
        <w:tc>
          <w:tcPr>
            <w:tcW w:w="1051" w:type="dxa"/>
            <w:gridSpan w:val="2"/>
            <w:tcBorders>
              <w:top w:val="nil"/>
              <w:left w:val="single" w:sz="4" w:space="0" w:color="auto"/>
              <w:bottom w:val="nil"/>
              <w:right w:val="nil"/>
            </w:tcBorders>
            <w:shd w:val="clear" w:color="auto" w:fill="auto"/>
            <w:vAlign w:val="center"/>
            <w:hideMark/>
          </w:tcPr>
          <w:p w14:paraId="106BA789" w14:textId="77777777" w:rsidR="0096202A" w:rsidRPr="00437FA5" w:rsidRDefault="0096202A" w:rsidP="00F83658">
            <w:pPr>
              <w:jc w:val="center"/>
              <w:rPr>
                <w:color w:val="000000"/>
                <w:sz w:val="18"/>
                <w:szCs w:val="18"/>
              </w:rPr>
            </w:pPr>
            <w:r w:rsidRPr="00437FA5">
              <w:rPr>
                <w:color w:val="000000"/>
                <w:sz w:val="18"/>
                <w:szCs w:val="18"/>
              </w:rPr>
              <w:t xml:space="preserve">Osteo-periostitis </w:t>
            </w:r>
          </w:p>
        </w:tc>
        <w:tc>
          <w:tcPr>
            <w:tcW w:w="1051" w:type="dxa"/>
            <w:gridSpan w:val="3"/>
            <w:tcBorders>
              <w:top w:val="nil"/>
              <w:left w:val="nil"/>
              <w:bottom w:val="nil"/>
              <w:right w:val="single" w:sz="4" w:space="0" w:color="auto"/>
            </w:tcBorders>
            <w:shd w:val="clear" w:color="auto" w:fill="auto"/>
            <w:vAlign w:val="center"/>
            <w:hideMark/>
          </w:tcPr>
          <w:p w14:paraId="0D06E367" w14:textId="77777777" w:rsidR="0096202A" w:rsidRPr="00437FA5" w:rsidRDefault="0096202A" w:rsidP="00F83658">
            <w:pPr>
              <w:jc w:val="center"/>
              <w:rPr>
                <w:color w:val="000000"/>
                <w:sz w:val="18"/>
                <w:szCs w:val="18"/>
              </w:rPr>
            </w:pPr>
            <w:r w:rsidRPr="00437FA5">
              <w:rPr>
                <w:color w:val="000000"/>
                <w:sz w:val="18"/>
                <w:szCs w:val="18"/>
              </w:rPr>
              <w:t>Other</w:t>
            </w:r>
            <w:r w:rsidR="006A3BEE" w:rsidRPr="00437FA5">
              <w:rPr>
                <w:color w:val="000000"/>
                <w:sz w:val="18"/>
                <w:szCs w:val="18"/>
              </w:rPr>
              <w:t xml:space="preserve"> </w:t>
            </w:r>
            <w:r w:rsidRPr="00437FA5">
              <w:rPr>
                <w:color w:val="000000"/>
                <w:sz w:val="18"/>
                <w:szCs w:val="18"/>
              </w:rPr>
              <w:t>Lesions</w:t>
            </w:r>
          </w:p>
        </w:tc>
        <w:tc>
          <w:tcPr>
            <w:tcW w:w="596" w:type="dxa"/>
            <w:tcBorders>
              <w:top w:val="nil"/>
              <w:left w:val="single" w:sz="4" w:space="0" w:color="auto"/>
              <w:bottom w:val="nil"/>
              <w:right w:val="nil"/>
            </w:tcBorders>
            <w:shd w:val="clear" w:color="auto" w:fill="auto"/>
            <w:vAlign w:val="center"/>
            <w:hideMark/>
          </w:tcPr>
          <w:p w14:paraId="5C4E9579" w14:textId="77777777" w:rsidR="0096202A" w:rsidRPr="00437FA5" w:rsidRDefault="0096202A" w:rsidP="00F83658">
            <w:pPr>
              <w:jc w:val="center"/>
              <w:rPr>
                <w:color w:val="000000"/>
                <w:sz w:val="18"/>
                <w:szCs w:val="18"/>
              </w:rPr>
            </w:pPr>
          </w:p>
        </w:tc>
      </w:tr>
      <w:tr w:rsidR="0096202A" w:rsidRPr="00437FA5" w14:paraId="1CBCFBA2" w14:textId="77777777" w:rsidTr="00F4440E">
        <w:trPr>
          <w:trHeight w:val="255"/>
        </w:trPr>
        <w:tc>
          <w:tcPr>
            <w:tcW w:w="1000" w:type="dxa"/>
            <w:tcBorders>
              <w:top w:val="single" w:sz="4" w:space="0" w:color="auto"/>
              <w:left w:val="nil"/>
              <w:bottom w:val="single" w:sz="4" w:space="0" w:color="auto"/>
              <w:right w:val="nil"/>
            </w:tcBorders>
            <w:shd w:val="clear" w:color="auto" w:fill="auto"/>
            <w:vAlign w:val="center"/>
            <w:hideMark/>
          </w:tcPr>
          <w:p w14:paraId="37CA0B20" w14:textId="77777777" w:rsidR="0096202A" w:rsidRPr="00437FA5" w:rsidRDefault="0096202A" w:rsidP="00F83658">
            <w:pPr>
              <w:jc w:val="center"/>
              <w:rPr>
                <w:b/>
                <w:bCs/>
                <w:color w:val="000000"/>
                <w:sz w:val="18"/>
                <w:szCs w:val="18"/>
              </w:rPr>
            </w:pPr>
            <w:r w:rsidRPr="00437FA5">
              <w:rPr>
                <w:b/>
                <w:bCs/>
                <w:color w:val="000000"/>
                <w:sz w:val="18"/>
                <w:szCs w:val="18"/>
              </w:rPr>
              <w:t>Age</w:t>
            </w:r>
          </w:p>
        </w:tc>
        <w:tc>
          <w:tcPr>
            <w:tcW w:w="520" w:type="dxa"/>
            <w:tcBorders>
              <w:top w:val="single" w:sz="4" w:space="0" w:color="auto"/>
              <w:left w:val="nil"/>
              <w:bottom w:val="single" w:sz="4" w:space="0" w:color="auto"/>
              <w:right w:val="nil"/>
            </w:tcBorders>
            <w:shd w:val="clear" w:color="auto" w:fill="auto"/>
            <w:noWrap/>
            <w:vAlign w:val="center"/>
            <w:hideMark/>
          </w:tcPr>
          <w:p w14:paraId="5D19A91C"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3C7972E2"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tcBorders>
              <w:top w:val="single" w:sz="4" w:space="0" w:color="auto"/>
              <w:left w:val="nil"/>
              <w:bottom w:val="single" w:sz="4" w:space="0" w:color="auto"/>
              <w:right w:val="nil"/>
            </w:tcBorders>
            <w:shd w:val="clear" w:color="auto" w:fill="auto"/>
            <w:noWrap/>
            <w:vAlign w:val="center"/>
            <w:hideMark/>
          </w:tcPr>
          <w:p w14:paraId="1A392E88"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1EBAD680"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tcBorders>
              <w:top w:val="single" w:sz="4" w:space="0" w:color="auto"/>
              <w:left w:val="nil"/>
              <w:bottom w:val="single" w:sz="4" w:space="0" w:color="auto"/>
              <w:right w:val="nil"/>
            </w:tcBorders>
            <w:shd w:val="clear" w:color="auto" w:fill="auto"/>
            <w:noWrap/>
            <w:vAlign w:val="center"/>
            <w:hideMark/>
          </w:tcPr>
          <w:p w14:paraId="00C39DBB"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6B86CF5F"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tcBorders>
              <w:top w:val="single" w:sz="4" w:space="0" w:color="auto"/>
              <w:left w:val="nil"/>
              <w:bottom w:val="single" w:sz="4" w:space="0" w:color="auto"/>
              <w:right w:val="nil"/>
            </w:tcBorders>
            <w:shd w:val="clear" w:color="auto" w:fill="auto"/>
            <w:noWrap/>
            <w:vAlign w:val="center"/>
            <w:hideMark/>
          </w:tcPr>
          <w:p w14:paraId="2DCE5172"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5F175103"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tcBorders>
              <w:top w:val="single" w:sz="4" w:space="0" w:color="auto"/>
              <w:left w:val="nil"/>
              <w:bottom w:val="single" w:sz="4" w:space="0" w:color="auto"/>
              <w:right w:val="nil"/>
            </w:tcBorders>
            <w:shd w:val="clear" w:color="auto" w:fill="auto"/>
            <w:noWrap/>
            <w:vAlign w:val="center"/>
            <w:hideMark/>
          </w:tcPr>
          <w:p w14:paraId="1C8BCEB0"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3A84ED4F"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tcBorders>
              <w:top w:val="single" w:sz="4" w:space="0" w:color="auto"/>
              <w:left w:val="single" w:sz="4" w:space="0" w:color="auto"/>
              <w:bottom w:val="single" w:sz="4" w:space="0" w:color="auto"/>
              <w:right w:val="nil"/>
            </w:tcBorders>
            <w:shd w:val="clear" w:color="auto" w:fill="auto"/>
            <w:noWrap/>
            <w:vAlign w:val="center"/>
            <w:hideMark/>
          </w:tcPr>
          <w:p w14:paraId="1890D275"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nil"/>
            </w:tcBorders>
            <w:shd w:val="clear" w:color="auto" w:fill="auto"/>
            <w:noWrap/>
            <w:vAlign w:val="center"/>
            <w:hideMark/>
          </w:tcPr>
          <w:p w14:paraId="06E6956B" w14:textId="77777777" w:rsidR="0096202A" w:rsidRPr="00437FA5" w:rsidRDefault="0096202A" w:rsidP="00F83658">
            <w:pPr>
              <w:jc w:val="center"/>
              <w:rPr>
                <w:color w:val="000000"/>
                <w:sz w:val="18"/>
                <w:szCs w:val="18"/>
              </w:rPr>
            </w:pPr>
            <w:r w:rsidRPr="00437FA5">
              <w:rPr>
                <w:color w:val="000000"/>
                <w:sz w:val="18"/>
                <w:szCs w:val="18"/>
              </w:rPr>
              <w:t>%</w:t>
            </w:r>
          </w:p>
        </w:tc>
        <w:tc>
          <w:tcPr>
            <w:tcW w:w="520" w:type="dxa"/>
            <w:gridSpan w:val="2"/>
            <w:tcBorders>
              <w:top w:val="single" w:sz="4" w:space="0" w:color="auto"/>
              <w:left w:val="nil"/>
              <w:bottom w:val="single" w:sz="4" w:space="0" w:color="auto"/>
              <w:right w:val="nil"/>
            </w:tcBorders>
            <w:shd w:val="clear" w:color="auto" w:fill="auto"/>
            <w:noWrap/>
            <w:vAlign w:val="center"/>
            <w:hideMark/>
          </w:tcPr>
          <w:p w14:paraId="56FEE537" w14:textId="77777777" w:rsidR="0096202A" w:rsidRPr="00437FA5" w:rsidRDefault="0096202A" w:rsidP="00F83658">
            <w:pPr>
              <w:jc w:val="center"/>
              <w:rPr>
                <w:color w:val="000000"/>
                <w:sz w:val="18"/>
                <w:szCs w:val="18"/>
              </w:rPr>
            </w:pPr>
            <w:r w:rsidRPr="00437FA5">
              <w:rPr>
                <w:color w:val="000000"/>
                <w:sz w:val="18"/>
                <w:szCs w:val="18"/>
              </w:rPr>
              <w:t>n</w:t>
            </w:r>
          </w:p>
        </w:tc>
        <w:tc>
          <w:tcPr>
            <w:tcW w:w="531" w:type="dxa"/>
            <w:tcBorders>
              <w:top w:val="single" w:sz="4" w:space="0" w:color="auto"/>
              <w:left w:val="nil"/>
              <w:bottom w:val="single" w:sz="4" w:space="0" w:color="auto"/>
              <w:right w:val="single" w:sz="4" w:space="0" w:color="auto"/>
            </w:tcBorders>
            <w:shd w:val="clear" w:color="auto" w:fill="auto"/>
            <w:noWrap/>
            <w:vAlign w:val="center"/>
            <w:hideMark/>
          </w:tcPr>
          <w:p w14:paraId="0BAC436E" w14:textId="77777777" w:rsidR="0096202A" w:rsidRPr="00437FA5" w:rsidRDefault="0096202A" w:rsidP="00F83658">
            <w:pPr>
              <w:jc w:val="center"/>
              <w:rPr>
                <w:color w:val="000000"/>
                <w:sz w:val="18"/>
                <w:szCs w:val="18"/>
              </w:rPr>
            </w:pPr>
            <w:r w:rsidRPr="00437FA5">
              <w:rPr>
                <w:color w:val="000000"/>
                <w:sz w:val="18"/>
                <w:szCs w:val="18"/>
              </w:rPr>
              <w:t>%</w:t>
            </w:r>
          </w:p>
        </w:tc>
        <w:tc>
          <w:tcPr>
            <w:tcW w:w="596" w:type="dxa"/>
            <w:tcBorders>
              <w:top w:val="single" w:sz="4" w:space="0" w:color="auto"/>
              <w:left w:val="single" w:sz="4" w:space="0" w:color="auto"/>
              <w:bottom w:val="single" w:sz="4" w:space="0" w:color="auto"/>
              <w:right w:val="nil"/>
            </w:tcBorders>
            <w:shd w:val="clear" w:color="auto" w:fill="auto"/>
            <w:noWrap/>
            <w:vAlign w:val="center"/>
            <w:hideMark/>
          </w:tcPr>
          <w:p w14:paraId="6AA37B45" w14:textId="77777777" w:rsidR="0096202A" w:rsidRPr="00437FA5" w:rsidRDefault="0096202A" w:rsidP="00F83658">
            <w:pPr>
              <w:jc w:val="center"/>
              <w:rPr>
                <w:color w:val="000000"/>
                <w:sz w:val="18"/>
                <w:szCs w:val="18"/>
              </w:rPr>
            </w:pPr>
            <w:r w:rsidRPr="00437FA5">
              <w:rPr>
                <w:color w:val="000000"/>
                <w:sz w:val="18"/>
                <w:szCs w:val="18"/>
              </w:rPr>
              <w:t>n</w:t>
            </w:r>
          </w:p>
        </w:tc>
      </w:tr>
      <w:tr w:rsidR="0096202A" w:rsidRPr="00437FA5" w14:paraId="2105F805" w14:textId="77777777" w:rsidTr="00F4440E">
        <w:trPr>
          <w:trHeight w:val="255"/>
        </w:trPr>
        <w:tc>
          <w:tcPr>
            <w:tcW w:w="1000" w:type="dxa"/>
            <w:tcBorders>
              <w:top w:val="nil"/>
              <w:left w:val="nil"/>
              <w:bottom w:val="nil"/>
              <w:right w:val="nil"/>
            </w:tcBorders>
            <w:shd w:val="clear" w:color="auto" w:fill="auto"/>
            <w:noWrap/>
            <w:vAlign w:val="bottom"/>
            <w:hideMark/>
          </w:tcPr>
          <w:p w14:paraId="190E291B" w14:textId="77777777" w:rsidR="0096202A" w:rsidRPr="00437FA5" w:rsidRDefault="0096202A" w:rsidP="00F83658">
            <w:pPr>
              <w:jc w:val="center"/>
              <w:rPr>
                <w:color w:val="000000"/>
                <w:sz w:val="18"/>
                <w:szCs w:val="18"/>
              </w:rPr>
            </w:pPr>
            <w:r w:rsidRPr="00437FA5">
              <w:rPr>
                <w:color w:val="000000"/>
                <w:sz w:val="18"/>
                <w:szCs w:val="18"/>
              </w:rPr>
              <w:t>1.0-1.99</w:t>
            </w:r>
          </w:p>
        </w:tc>
        <w:tc>
          <w:tcPr>
            <w:tcW w:w="520" w:type="dxa"/>
            <w:tcBorders>
              <w:top w:val="nil"/>
              <w:left w:val="nil"/>
              <w:bottom w:val="nil"/>
              <w:right w:val="nil"/>
            </w:tcBorders>
            <w:shd w:val="clear" w:color="auto" w:fill="auto"/>
            <w:noWrap/>
            <w:vAlign w:val="bottom"/>
            <w:hideMark/>
          </w:tcPr>
          <w:p w14:paraId="4F4BAD93"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254EC628" w14:textId="77777777" w:rsidR="0096202A" w:rsidRPr="00437FA5" w:rsidRDefault="0096202A" w:rsidP="00F83658">
            <w:pPr>
              <w:jc w:val="center"/>
              <w:rPr>
                <w:color w:val="000000"/>
                <w:sz w:val="18"/>
                <w:szCs w:val="18"/>
              </w:rPr>
            </w:pPr>
            <w:r w:rsidRPr="00437FA5">
              <w:rPr>
                <w:color w:val="000000"/>
                <w:sz w:val="18"/>
                <w:szCs w:val="18"/>
              </w:rPr>
              <w:t>33.3</w:t>
            </w:r>
          </w:p>
        </w:tc>
        <w:tc>
          <w:tcPr>
            <w:tcW w:w="520" w:type="dxa"/>
            <w:tcBorders>
              <w:top w:val="nil"/>
              <w:left w:val="nil"/>
              <w:bottom w:val="nil"/>
              <w:right w:val="nil"/>
            </w:tcBorders>
            <w:shd w:val="clear" w:color="auto" w:fill="auto"/>
            <w:noWrap/>
            <w:vAlign w:val="bottom"/>
            <w:hideMark/>
          </w:tcPr>
          <w:p w14:paraId="5A14B9A2"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nil"/>
            </w:tcBorders>
            <w:shd w:val="clear" w:color="auto" w:fill="auto"/>
            <w:noWrap/>
            <w:vAlign w:val="bottom"/>
            <w:hideMark/>
          </w:tcPr>
          <w:p w14:paraId="6822522B" w14:textId="77777777" w:rsidR="0096202A" w:rsidRPr="00437FA5" w:rsidRDefault="0096202A" w:rsidP="00F83658">
            <w:pPr>
              <w:jc w:val="center"/>
              <w:rPr>
                <w:color w:val="000000"/>
                <w:sz w:val="18"/>
                <w:szCs w:val="18"/>
              </w:rPr>
            </w:pPr>
            <w:r w:rsidRPr="00437FA5">
              <w:rPr>
                <w:color w:val="000000"/>
                <w:sz w:val="18"/>
                <w:szCs w:val="18"/>
              </w:rPr>
              <w:t>0.0</w:t>
            </w:r>
          </w:p>
        </w:tc>
        <w:tc>
          <w:tcPr>
            <w:tcW w:w="520" w:type="dxa"/>
            <w:tcBorders>
              <w:top w:val="nil"/>
              <w:left w:val="nil"/>
              <w:bottom w:val="nil"/>
              <w:right w:val="nil"/>
            </w:tcBorders>
            <w:shd w:val="clear" w:color="auto" w:fill="auto"/>
            <w:noWrap/>
            <w:vAlign w:val="bottom"/>
            <w:hideMark/>
          </w:tcPr>
          <w:p w14:paraId="07B71F0E"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172F10FD" w14:textId="77777777" w:rsidR="0096202A" w:rsidRPr="00437FA5" w:rsidRDefault="0096202A" w:rsidP="00F83658">
            <w:pPr>
              <w:jc w:val="center"/>
              <w:rPr>
                <w:color w:val="000000"/>
                <w:sz w:val="18"/>
                <w:szCs w:val="18"/>
              </w:rPr>
            </w:pPr>
            <w:r w:rsidRPr="00437FA5">
              <w:rPr>
                <w:color w:val="000000"/>
                <w:sz w:val="18"/>
                <w:szCs w:val="18"/>
              </w:rPr>
              <w:t>33.3</w:t>
            </w:r>
          </w:p>
        </w:tc>
        <w:tc>
          <w:tcPr>
            <w:tcW w:w="520" w:type="dxa"/>
            <w:tcBorders>
              <w:top w:val="nil"/>
              <w:left w:val="nil"/>
              <w:bottom w:val="nil"/>
              <w:right w:val="nil"/>
            </w:tcBorders>
            <w:shd w:val="clear" w:color="auto" w:fill="auto"/>
            <w:noWrap/>
            <w:vAlign w:val="bottom"/>
            <w:hideMark/>
          </w:tcPr>
          <w:p w14:paraId="03AB7688"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nil"/>
            </w:tcBorders>
            <w:shd w:val="clear" w:color="auto" w:fill="auto"/>
            <w:noWrap/>
            <w:vAlign w:val="bottom"/>
            <w:hideMark/>
          </w:tcPr>
          <w:p w14:paraId="63EEF0DB" w14:textId="77777777" w:rsidR="0096202A" w:rsidRPr="00437FA5" w:rsidRDefault="0096202A" w:rsidP="00F83658">
            <w:pPr>
              <w:jc w:val="center"/>
              <w:rPr>
                <w:color w:val="000000"/>
                <w:sz w:val="18"/>
                <w:szCs w:val="18"/>
              </w:rPr>
            </w:pPr>
            <w:r w:rsidRPr="00437FA5">
              <w:rPr>
                <w:color w:val="000000"/>
                <w:sz w:val="18"/>
                <w:szCs w:val="18"/>
              </w:rPr>
              <w:t>0.0</w:t>
            </w:r>
          </w:p>
        </w:tc>
        <w:tc>
          <w:tcPr>
            <w:tcW w:w="520" w:type="dxa"/>
            <w:tcBorders>
              <w:top w:val="nil"/>
              <w:left w:val="nil"/>
              <w:bottom w:val="nil"/>
              <w:right w:val="nil"/>
            </w:tcBorders>
            <w:shd w:val="clear" w:color="auto" w:fill="auto"/>
            <w:noWrap/>
            <w:vAlign w:val="bottom"/>
            <w:hideMark/>
          </w:tcPr>
          <w:p w14:paraId="609AFD43"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nil"/>
            </w:tcBorders>
            <w:shd w:val="clear" w:color="auto" w:fill="auto"/>
            <w:noWrap/>
            <w:vAlign w:val="bottom"/>
            <w:hideMark/>
          </w:tcPr>
          <w:p w14:paraId="34F2EF46" w14:textId="77777777" w:rsidR="0096202A" w:rsidRPr="00437FA5" w:rsidRDefault="0096202A" w:rsidP="00F83658">
            <w:pPr>
              <w:jc w:val="center"/>
              <w:rPr>
                <w:color w:val="000000"/>
                <w:sz w:val="18"/>
                <w:szCs w:val="18"/>
              </w:rPr>
            </w:pPr>
            <w:r w:rsidRPr="00437FA5">
              <w:rPr>
                <w:color w:val="000000"/>
                <w:sz w:val="18"/>
                <w:szCs w:val="18"/>
              </w:rPr>
              <w:t>0.0</w:t>
            </w:r>
          </w:p>
        </w:tc>
        <w:tc>
          <w:tcPr>
            <w:tcW w:w="520" w:type="dxa"/>
            <w:tcBorders>
              <w:top w:val="nil"/>
              <w:left w:val="single" w:sz="4" w:space="0" w:color="auto"/>
              <w:bottom w:val="nil"/>
              <w:right w:val="nil"/>
            </w:tcBorders>
            <w:shd w:val="clear" w:color="auto" w:fill="auto"/>
            <w:noWrap/>
            <w:vAlign w:val="bottom"/>
            <w:hideMark/>
          </w:tcPr>
          <w:p w14:paraId="66D2148A"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246AD03F" w14:textId="77777777" w:rsidR="0096202A" w:rsidRPr="00437FA5" w:rsidRDefault="0096202A" w:rsidP="00F83658">
            <w:pPr>
              <w:jc w:val="center"/>
              <w:rPr>
                <w:color w:val="000000"/>
                <w:sz w:val="18"/>
                <w:szCs w:val="18"/>
              </w:rPr>
            </w:pPr>
            <w:r w:rsidRPr="00437FA5">
              <w:rPr>
                <w:color w:val="000000"/>
                <w:sz w:val="18"/>
                <w:szCs w:val="18"/>
              </w:rPr>
              <w:t>33.3</w:t>
            </w:r>
          </w:p>
        </w:tc>
        <w:tc>
          <w:tcPr>
            <w:tcW w:w="520" w:type="dxa"/>
            <w:gridSpan w:val="2"/>
            <w:tcBorders>
              <w:top w:val="nil"/>
              <w:left w:val="nil"/>
              <w:bottom w:val="nil"/>
              <w:right w:val="nil"/>
            </w:tcBorders>
            <w:shd w:val="clear" w:color="auto" w:fill="auto"/>
            <w:noWrap/>
            <w:vAlign w:val="bottom"/>
            <w:hideMark/>
          </w:tcPr>
          <w:p w14:paraId="30C3B9C2"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single" w:sz="4" w:space="0" w:color="auto"/>
            </w:tcBorders>
            <w:shd w:val="clear" w:color="auto" w:fill="auto"/>
            <w:noWrap/>
            <w:vAlign w:val="bottom"/>
            <w:hideMark/>
          </w:tcPr>
          <w:p w14:paraId="5FBA1C25" w14:textId="77777777" w:rsidR="0096202A" w:rsidRPr="00437FA5" w:rsidRDefault="0096202A" w:rsidP="00F83658">
            <w:pPr>
              <w:jc w:val="center"/>
              <w:rPr>
                <w:color w:val="000000"/>
                <w:sz w:val="18"/>
                <w:szCs w:val="18"/>
              </w:rPr>
            </w:pPr>
            <w:r w:rsidRPr="00437FA5">
              <w:rPr>
                <w:color w:val="000000"/>
                <w:sz w:val="18"/>
                <w:szCs w:val="18"/>
              </w:rPr>
              <w:t>0.0</w:t>
            </w:r>
          </w:p>
        </w:tc>
        <w:tc>
          <w:tcPr>
            <w:tcW w:w="596" w:type="dxa"/>
            <w:tcBorders>
              <w:top w:val="nil"/>
              <w:left w:val="single" w:sz="4" w:space="0" w:color="auto"/>
              <w:bottom w:val="nil"/>
              <w:right w:val="nil"/>
            </w:tcBorders>
            <w:shd w:val="clear" w:color="auto" w:fill="auto"/>
            <w:noWrap/>
            <w:vAlign w:val="bottom"/>
            <w:hideMark/>
          </w:tcPr>
          <w:p w14:paraId="01D69B06" w14:textId="77777777" w:rsidR="0096202A" w:rsidRPr="00437FA5" w:rsidRDefault="0096202A" w:rsidP="00F83658">
            <w:pPr>
              <w:jc w:val="center"/>
              <w:rPr>
                <w:color w:val="000000"/>
                <w:sz w:val="18"/>
                <w:szCs w:val="18"/>
              </w:rPr>
            </w:pPr>
            <w:r w:rsidRPr="00437FA5">
              <w:rPr>
                <w:color w:val="000000"/>
                <w:sz w:val="18"/>
                <w:szCs w:val="18"/>
              </w:rPr>
              <w:t>6</w:t>
            </w:r>
          </w:p>
        </w:tc>
      </w:tr>
      <w:tr w:rsidR="0096202A" w:rsidRPr="00437FA5" w14:paraId="6ADA6BDD" w14:textId="77777777" w:rsidTr="00F4440E">
        <w:trPr>
          <w:trHeight w:val="255"/>
        </w:trPr>
        <w:tc>
          <w:tcPr>
            <w:tcW w:w="1000" w:type="dxa"/>
            <w:tcBorders>
              <w:top w:val="nil"/>
              <w:left w:val="nil"/>
              <w:bottom w:val="nil"/>
              <w:right w:val="nil"/>
            </w:tcBorders>
            <w:shd w:val="clear" w:color="auto" w:fill="auto"/>
            <w:noWrap/>
            <w:vAlign w:val="bottom"/>
            <w:hideMark/>
          </w:tcPr>
          <w:p w14:paraId="7D088C31" w14:textId="77777777" w:rsidR="0096202A" w:rsidRPr="00437FA5" w:rsidRDefault="0096202A" w:rsidP="00F83658">
            <w:pPr>
              <w:jc w:val="center"/>
              <w:rPr>
                <w:color w:val="000000"/>
                <w:sz w:val="18"/>
                <w:szCs w:val="18"/>
              </w:rPr>
            </w:pPr>
            <w:r w:rsidRPr="00437FA5">
              <w:rPr>
                <w:color w:val="000000"/>
                <w:sz w:val="18"/>
                <w:szCs w:val="18"/>
              </w:rPr>
              <w:t>2.0-2.99</w:t>
            </w:r>
          </w:p>
        </w:tc>
        <w:tc>
          <w:tcPr>
            <w:tcW w:w="520" w:type="dxa"/>
            <w:tcBorders>
              <w:top w:val="nil"/>
              <w:left w:val="nil"/>
              <w:bottom w:val="nil"/>
              <w:right w:val="nil"/>
            </w:tcBorders>
            <w:shd w:val="clear" w:color="auto" w:fill="auto"/>
            <w:noWrap/>
            <w:vAlign w:val="bottom"/>
            <w:hideMark/>
          </w:tcPr>
          <w:p w14:paraId="4BF7235E" w14:textId="77777777" w:rsidR="0096202A" w:rsidRPr="00437FA5" w:rsidRDefault="0096202A" w:rsidP="00F83658">
            <w:pPr>
              <w:jc w:val="center"/>
              <w:rPr>
                <w:color w:val="000000"/>
                <w:sz w:val="18"/>
                <w:szCs w:val="18"/>
              </w:rPr>
            </w:pPr>
            <w:r w:rsidRPr="00437FA5">
              <w:rPr>
                <w:color w:val="000000"/>
                <w:sz w:val="18"/>
                <w:szCs w:val="18"/>
              </w:rPr>
              <w:t>1</w:t>
            </w:r>
          </w:p>
        </w:tc>
        <w:tc>
          <w:tcPr>
            <w:tcW w:w="531" w:type="dxa"/>
            <w:tcBorders>
              <w:top w:val="nil"/>
              <w:left w:val="nil"/>
              <w:bottom w:val="nil"/>
              <w:right w:val="nil"/>
            </w:tcBorders>
            <w:shd w:val="clear" w:color="auto" w:fill="auto"/>
            <w:noWrap/>
            <w:vAlign w:val="bottom"/>
            <w:hideMark/>
          </w:tcPr>
          <w:p w14:paraId="6314B8D2" w14:textId="77777777" w:rsidR="0096202A" w:rsidRPr="00437FA5" w:rsidRDefault="0096202A" w:rsidP="00F83658">
            <w:pPr>
              <w:jc w:val="center"/>
              <w:rPr>
                <w:color w:val="000000"/>
                <w:sz w:val="18"/>
                <w:szCs w:val="18"/>
              </w:rPr>
            </w:pPr>
            <w:r w:rsidRPr="00437FA5">
              <w:rPr>
                <w:color w:val="000000"/>
                <w:sz w:val="18"/>
                <w:szCs w:val="18"/>
              </w:rPr>
              <w:t>14.3</w:t>
            </w:r>
          </w:p>
        </w:tc>
        <w:tc>
          <w:tcPr>
            <w:tcW w:w="520" w:type="dxa"/>
            <w:tcBorders>
              <w:top w:val="nil"/>
              <w:left w:val="nil"/>
              <w:bottom w:val="nil"/>
              <w:right w:val="nil"/>
            </w:tcBorders>
            <w:shd w:val="clear" w:color="auto" w:fill="auto"/>
            <w:noWrap/>
            <w:vAlign w:val="bottom"/>
            <w:hideMark/>
          </w:tcPr>
          <w:p w14:paraId="2D032ACE"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6D8DE47E" w14:textId="77777777" w:rsidR="0096202A" w:rsidRPr="00437FA5" w:rsidRDefault="0096202A" w:rsidP="00F83658">
            <w:pPr>
              <w:jc w:val="center"/>
              <w:rPr>
                <w:color w:val="000000"/>
                <w:sz w:val="18"/>
                <w:szCs w:val="18"/>
              </w:rPr>
            </w:pPr>
            <w:r w:rsidRPr="00437FA5">
              <w:rPr>
                <w:color w:val="000000"/>
                <w:sz w:val="18"/>
                <w:szCs w:val="18"/>
              </w:rPr>
              <w:t>28.6</w:t>
            </w:r>
          </w:p>
        </w:tc>
        <w:tc>
          <w:tcPr>
            <w:tcW w:w="520" w:type="dxa"/>
            <w:tcBorders>
              <w:top w:val="nil"/>
              <w:left w:val="nil"/>
              <w:bottom w:val="nil"/>
              <w:right w:val="nil"/>
            </w:tcBorders>
            <w:shd w:val="clear" w:color="auto" w:fill="auto"/>
            <w:noWrap/>
            <w:vAlign w:val="bottom"/>
            <w:hideMark/>
          </w:tcPr>
          <w:p w14:paraId="7783B6CC" w14:textId="77777777" w:rsidR="0096202A" w:rsidRPr="00437FA5" w:rsidRDefault="0096202A" w:rsidP="00F83658">
            <w:pPr>
              <w:jc w:val="center"/>
              <w:rPr>
                <w:color w:val="000000"/>
                <w:sz w:val="18"/>
                <w:szCs w:val="18"/>
              </w:rPr>
            </w:pPr>
            <w:r w:rsidRPr="00437FA5">
              <w:rPr>
                <w:color w:val="000000"/>
                <w:sz w:val="18"/>
                <w:szCs w:val="18"/>
              </w:rPr>
              <w:t>6</w:t>
            </w:r>
          </w:p>
        </w:tc>
        <w:tc>
          <w:tcPr>
            <w:tcW w:w="531" w:type="dxa"/>
            <w:tcBorders>
              <w:top w:val="nil"/>
              <w:left w:val="nil"/>
              <w:bottom w:val="nil"/>
              <w:right w:val="nil"/>
            </w:tcBorders>
            <w:shd w:val="clear" w:color="auto" w:fill="auto"/>
            <w:noWrap/>
            <w:vAlign w:val="bottom"/>
            <w:hideMark/>
          </w:tcPr>
          <w:p w14:paraId="1308A839" w14:textId="77777777" w:rsidR="0096202A" w:rsidRPr="00437FA5" w:rsidRDefault="0096202A" w:rsidP="00F83658">
            <w:pPr>
              <w:jc w:val="center"/>
              <w:rPr>
                <w:color w:val="000000"/>
                <w:sz w:val="18"/>
                <w:szCs w:val="18"/>
              </w:rPr>
            </w:pPr>
            <w:r w:rsidRPr="00437FA5">
              <w:rPr>
                <w:color w:val="000000"/>
                <w:sz w:val="18"/>
                <w:szCs w:val="18"/>
              </w:rPr>
              <w:t>85.7</w:t>
            </w:r>
          </w:p>
        </w:tc>
        <w:tc>
          <w:tcPr>
            <w:tcW w:w="520" w:type="dxa"/>
            <w:tcBorders>
              <w:top w:val="nil"/>
              <w:left w:val="nil"/>
              <w:bottom w:val="nil"/>
              <w:right w:val="nil"/>
            </w:tcBorders>
            <w:shd w:val="clear" w:color="auto" w:fill="auto"/>
            <w:noWrap/>
            <w:vAlign w:val="bottom"/>
            <w:hideMark/>
          </w:tcPr>
          <w:p w14:paraId="4E2A4CC7"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47D03F5D" w14:textId="77777777" w:rsidR="0096202A" w:rsidRPr="00437FA5" w:rsidRDefault="0096202A" w:rsidP="00F83658">
            <w:pPr>
              <w:jc w:val="center"/>
              <w:rPr>
                <w:color w:val="000000"/>
                <w:sz w:val="18"/>
                <w:szCs w:val="18"/>
              </w:rPr>
            </w:pPr>
            <w:r w:rsidRPr="00437FA5">
              <w:rPr>
                <w:color w:val="000000"/>
                <w:sz w:val="18"/>
                <w:szCs w:val="18"/>
              </w:rPr>
              <w:t>33.3</w:t>
            </w:r>
          </w:p>
        </w:tc>
        <w:tc>
          <w:tcPr>
            <w:tcW w:w="520" w:type="dxa"/>
            <w:tcBorders>
              <w:top w:val="nil"/>
              <w:left w:val="nil"/>
              <w:bottom w:val="nil"/>
              <w:right w:val="nil"/>
            </w:tcBorders>
            <w:shd w:val="clear" w:color="auto" w:fill="auto"/>
            <w:noWrap/>
            <w:vAlign w:val="bottom"/>
            <w:hideMark/>
          </w:tcPr>
          <w:p w14:paraId="1B1BC128"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nil"/>
            </w:tcBorders>
            <w:shd w:val="clear" w:color="auto" w:fill="auto"/>
            <w:noWrap/>
            <w:vAlign w:val="bottom"/>
            <w:hideMark/>
          </w:tcPr>
          <w:p w14:paraId="12CDE45D" w14:textId="77777777" w:rsidR="0096202A" w:rsidRPr="00437FA5" w:rsidRDefault="0096202A" w:rsidP="00F83658">
            <w:pPr>
              <w:jc w:val="center"/>
              <w:rPr>
                <w:color w:val="000000"/>
                <w:sz w:val="18"/>
                <w:szCs w:val="18"/>
              </w:rPr>
            </w:pPr>
            <w:r w:rsidRPr="00437FA5">
              <w:rPr>
                <w:color w:val="000000"/>
                <w:sz w:val="18"/>
                <w:szCs w:val="18"/>
              </w:rPr>
              <w:t>0.0</w:t>
            </w:r>
          </w:p>
        </w:tc>
        <w:tc>
          <w:tcPr>
            <w:tcW w:w="520" w:type="dxa"/>
            <w:tcBorders>
              <w:top w:val="nil"/>
              <w:left w:val="single" w:sz="4" w:space="0" w:color="auto"/>
              <w:bottom w:val="nil"/>
              <w:right w:val="nil"/>
            </w:tcBorders>
            <w:shd w:val="clear" w:color="auto" w:fill="auto"/>
            <w:noWrap/>
            <w:vAlign w:val="bottom"/>
            <w:hideMark/>
          </w:tcPr>
          <w:p w14:paraId="7FBE8C89" w14:textId="77777777" w:rsidR="0096202A" w:rsidRPr="00437FA5" w:rsidRDefault="0096202A" w:rsidP="00F83658">
            <w:pPr>
              <w:jc w:val="center"/>
              <w:rPr>
                <w:color w:val="000000"/>
                <w:sz w:val="18"/>
                <w:szCs w:val="18"/>
              </w:rPr>
            </w:pPr>
            <w:r w:rsidRPr="00437FA5">
              <w:rPr>
                <w:color w:val="000000"/>
                <w:sz w:val="18"/>
                <w:szCs w:val="18"/>
              </w:rPr>
              <w:t>3</w:t>
            </w:r>
          </w:p>
        </w:tc>
        <w:tc>
          <w:tcPr>
            <w:tcW w:w="531" w:type="dxa"/>
            <w:tcBorders>
              <w:top w:val="nil"/>
              <w:left w:val="nil"/>
              <w:bottom w:val="nil"/>
              <w:right w:val="nil"/>
            </w:tcBorders>
            <w:shd w:val="clear" w:color="auto" w:fill="auto"/>
            <w:noWrap/>
            <w:vAlign w:val="bottom"/>
            <w:hideMark/>
          </w:tcPr>
          <w:p w14:paraId="4C227248" w14:textId="77777777" w:rsidR="0096202A" w:rsidRPr="00437FA5" w:rsidRDefault="0096202A" w:rsidP="00F83658">
            <w:pPr>
              <w:jc w:val="center"/>
              <w:rPr>
                <w:color w:val="000000"/>
                <w:sz w:val="18"/>
                <w:szCs w:val="18"/>
              </w:rPr>
            </w:pPr>
            <w:r w:rsidRPr="00437FA5">
              <w:rPr>
                <w:color w:val="000000"/>
                <w:sz w:val="18"/>
                <w:szCs w:val="18"/>
              </w:rPr>
              <w:t>42.9</w:t>
            </w:r>
          </w:p>
        </w:tc>
        <w:tc>
          <w:tcPr>
            <w:tcW w:w="520" w:type="dxa"/>
            <w:gridSpan w:val="2"/>
            <w:tcBorders>
              <w:top w:val="nil"/>
              <w:left w:val="nil"/>
              <w:bottom w:val="nil"/>
              <w:right w:val="nil"/>
            </w:tcBorders>
            <w:shd w:val="clear" w:color="auto" w:fill="auto"/>
            <w:noWrap/>
            <w:vAlign w:val="bottom"/>
            <w:hideMark/>
          </w:tcPr>
          <w:p w14:paraId="60872093"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single" w:sz="4" w:space="0" w:color="auto"/>
            </w:tcBorders>
            <w:shd w:val="clear" w:color="auto" w:fill="auto"/>
            <w:noWrap/>
            <w:vAlign w:val="bottom"/>
            <w:hideMark/>
          </w:tcPr>
          <w:p w14:paraId="3AF9A13D" w14:textId="77777777" w:rsidR="0096202A" w:rsidRPr="00437FA5" w:rsidRDefault="0096202A" w:rsidP="00F83658">
            <w:pPr>
              <w:jc w:val="center"/>
              <w:rPr>
                <w:color w:val="000000"/>
                <w:sz w:val="18"/>
                <w:szCs w:val="18"/>
              </w:rPr>
            </w:pPr>
            <w:r w:rsidRPr="00437FA5">
              <w:rPr>
                <w:color w:val="000000"/>
                <w:sz w:val="18"/>
                <w:szCs w:val="18"/>
              </w:rPr>
              <w:t>0.0</w:t>
            </w:r>
          </w:p>
        </w:tc>
        <w:tc>
          <w:tcPr>
            <w:tcW w:w="596" w:type="dxa"/>
            <w:tcBorders>
              <w:top w:val="nil"/>
              <w:left w:val="single" w:sz="4" w:space="0" w:color="auto"/>
              <w:bottom w:val="nil"/>
              <w:right w:val="nil"/>
            </w:tcBorders>
            <w:shd w:val="clear" w:color="auto" w:fill="auto"/>
            <w:noWrap/>
            <w:vAlign w:val="bottom"/>
            <w:hideMark/>
          </w:tcPr>
          <w:p w14:paraId="15AB61FA" w14:textId="77777777" w:rsidR="0096202A" w:rsidRPr="00437FA5" w:rsidRDefault="0096202A" w:rsidP="00F83658">
            <w:pPr>
              <w:jc w:val="center"/>
              <w:rPr>
                <w:color w:val="000000"/>
                <w:sz w:val="18"/>
                <w:szCs w:val="18"/>
              </w:rPr>
            </w:pPr>
            <w:r w:rsidRPr="00437FA5">
              <w:rPr>
                <w:color w:val="000000"/>
                <w:sz w:val="18"/>
                <w:szCs w:val="18"/>
              </w:rPr>
              <w:t>7</w:t>
            </w:r>
          </w:p>
        </w:tc>
      </w:tr>
      <w:tr w:rsidR="0096202A" w:rsidRPr="00437FA5" w14:paraId="27624633" w14:textId="77777777" w:rsidTr="00F4440E">
        <w:trPr>
          <w:trHeight w:val="255"/>
        </w:trPr>
        <w:tc>
          <w:tcPr>
            <w:tcW w:w="1000" w:type="dxa"/>
            <w:tcBorders>
              <w:top w:val="nil"/>
              <w:left w:val="nil"/>
              <w:bottom w:val="nil"/>
              <w:right w:val="nil"/>
            </w:tcBorders>
            <w:shd w:val="clear" w:color="auto" w:fill="auto"/>
            <w:noWrap/>
            <w:vAlign w:val="bottom"/>
            <w:hideMark/>
          </w:tcPr>
          <w:p w14:paraId="5868F864" w14:textId="77777777" w:rsidR="0096202A" w:rsidRPr="00437FA5" w:rsidRDefault="0096202A" w:rsidP="00F83658">
            <w:pPr>
              <w:jc w:val="center"/>
              <w:rPr>
                <w:color w:val="000000"/>
                <w:sz w:val="18"/>
                <w:szCs w:val="18"/>
              </w:rPr>
            </w:pPr>
            <w:r w:rsidRPr="00437FA5">
              <w:rPr>
                <w:color w:val="000000"/>
                <w:sz w:val="18"/>
                <w:szCs w:val="18"/>
              </w:rPr>
              <w:t>3.0-6.99</w:t>
            </w:r>
          </w:p>
        </w:tc>
        <w:tc>
          <w:tcPr>
            <w:tcW w:w="520" w:type="dxa"/>
            <w:tcBorders>
              <w:top w:val="nil"/>
              <w:left w:val="nil"/>
              <w:bottom w:val="nil"/>
              <w:right w:val="nil"/>
            </w:tcBorders>
            <w:shd w:val="clear" w:color="auto" w:fill="auto"/>
            <w:noWrap/>
            <w:vAlign w:val="bottom"/>
            <w:hideMark/>
          </w:tcPr>
          <w:p w14:paraId="4E0DFEF3" w14:textId="77777777" w:rsidR="0096202A" w:rsidRPr="00437FA5" w:rsidRDefault="0096202A" w:rsidP="00F83658">
            <w:pPr>
              <w:jc w:val="center"/>
              <w:rPr>
                <w:color w:val="000000"/>
                <w:sz w:val="18"/>
                <w:szCs w:val="18"/>
              </w:rPr>
            </w:pPr>
            <w:r w:rsidRPr="00437FA5">
              <w:rPr>
                <w:color w:val="000000"/>
                <w:sz w:val="18"/>
                <w:szCs w:val="18"/>
              </w:rPr>
              <w:t>1</w:t>
            </w:r>
          </w:p>
        </w:tc>
        <w:tc>
          <w:tcPr>
            <w:tcW w:w="531" w:type="dxa"/>
            <w:tcBorders>
              <w:top w:val="nil"/>
              <w:left w:val="nil"/>
              <w:bottom w:val="nil"/>
              <w:right w:val="nil"/>
            </w:tcBorders>
            <w:shd w:val="clear" w:color="auto" w:fill="auto"/>
            <w:noWrap/>
            <w:vAlign w:val="bottom"/>
            <w:hideMark/>
          </w:tcPr>
          <w:p w14:paraId="09FA9C54" w14:textId="77777777" w:rsidR="0096202A" w:rsidRPr="00437FA5" w:rsidRDefault="0096202A" w:rsidP="00F83658">
            <w:pPr>
              <w:jc w:val="center"/>
              <w:rPr>
                <w:color w:val="000000"/>
                <w:sz w:val="18"/>
                <w:szCs w:val="18"/>
              </w:rPr>
            </w:pPr>
            <w:r w:rsidRPr="00437FA5">
              <w:rPr>
                <w:color w:val="000000"/>
                <w:sz w:val="18"/>
                <w:szCs w:val="18"/>
              </w:rPr>
              <w:t>5.9</w:t>
            </w:r>
          </w:p>
        </w:tc>
        <w:tc>
          <w:tcPr>
            <w:tcW w:w="520" w:type="dxa"/>
            <w:tcBorders>
              <w:top w:val="nil"/>
              <w:left w:val="nil"/>
              <w:bottom w:val="nil"/>
              <w:right w:val="nil"/>
            </w:tcBorders>
            <w:shd w:val="clear" w:color="auto" w:fill="auto"/>
            <w:noWrap/>
            <w:vAlign w:val="bottom"/>
            <w:hideMark/>
          </w:tcPr>
          <w:p w14:paraId="6E4BF324"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72BBA7DB" w14:textId="77777777" w:rsidR="0096202A" w:rsidRPr="00437FA5" w:rsidRDefault="0096202A" w:rsidP="00F83658">
            <w:pPr>
              <w:jc w:val="center"/>
              <w:rPr>
                <w:color w:val="000000"/>
                <w:sz w:val="18"/>
                <w:szCs w:val="18"/>
              </w:rPr>
            </w:pPr>
            <w:r w:rsidRPr="00437FA5">
              <w:rPr>
                <w:color w:val="000000"/>
                <w:sz w:val="18"/>
                <w:szCs w:val="18"/>
              </w:rPr>
              <w:t>11.8</w:t>
            </w:r>
          </w:p>
        </w:tc>
        <w:tc>
          <w:tcPr>
            <w:tcW w:w="520" w:type="dxa"/>
            <w:tcBorders>
              <w:top w:val="nil"/>
              <w:left w:val="nil"/>
              <w:bottom w:val="nil"/>
              <w:right w:val="nil"/>
            </w:tcBorders>
            <w:shd w:val="clear" w:color="auto" w:fill="auto"/>
            <w:noWrap/>
            <w:vAlign w:val="bottom"/>
            <w:hideMark/>
          </w:tcPr>
          <w:p w14:paraId="24237F76" w14:textId="77777777" w:rsidR="0096202A" w:rsidRPr="00437FA5" w:rsidRDefault="0096202A" w:rsidP="00F83658">
            <w:pPr>
              <w:jc w:val="center"/>
              <w:rPr>
                <w:color w:val="000000"/>
                <w:sz w:val="18"/>
                <w:szCs w:val="18"/>
              </w:rPr>
            </w:pPr>
            <w:r w:rsidRPr="00437FA5">
              <w:rPr>
                <w:color w:val="000000"/>
                <w:sz w:val="18"/>
                <w:szCs w:val="18"/>
              </w:rPr>
              <w:t>3</w:t>
            </w:r>
          </w:p>
        </w:tc>
        <w:tc>
          <w:tcPr>
            <w:tcW w:w="531" w:type="dxa"/>
            <w:tcBorders>
              <w:top w:val="nil"/>
              <w:left w:val="nil"/>
              <w:bottom w:val="nil"/>
              <w:right w:val="nil"/>
            </w:tcBorders>
            <w:shd w:val="clear" w:color="auto" w:fill="auto"/>
            <w:noWrap/>
            <w:vAlign w:val="bottom"/>
            <w:hideMark/>
          </w:tcPr>
          <w:p w14:paraId="00DD91EF" w14:textId="77777777" w:rsidR="0096202A" w:rsidRPr="00437FA5" w:rsidRDefault="0096202A" w:rsidP="00F83658">
            <w:pPr>
              <w:jc w:val="center"/>
              <w:rPr>
                <w:color w:val="000000"/>
                <w:sz w:val="18"/>
                <w:szCs w:val="18"/>
              </w:rPr>
            </w:pPr>
            <w:r w:rsidRPr="00437FA5">
              <w:rPr>
                <w:color w:val="000000"/>
                <w:sz w:val="18"/>
                <w:szCs w:val="18"/>
              </w:rPr>
              <w:t>17.6</w:t>
            </w:r>
          </w:p>
        </w:tc>
        <w:tc>
          <w:tcPr>
            <w:tcW w:w="520" w:type="dxa"/>
            <w:tcBorders>
              <w:top w:val="nil"/>
              <w:left w:val="nil"/>
              <w:bottom w:val="nil"/>
              <w:right w:val="nil"/>
            </w:tcBorders>
            <w:shd w:val="clear" w:color="auto" w:fill="auto"/>
            <w:noWrap/>
            <w:vAlign w:val="bottom"/>
            <w:hideMark/>
          </w:tcPr>
          <w:p w14:paraId="4F343CEA"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2211B49A" w14:textId="77777777" w:rsidR="0096202A" w:rsidRPr="00437FA5" w:rsidRDefault="0096202A" w:rsidP="00F83658">
            <w:pPr>
              <w:jc w:val="center"/>
              <w:rPr>
                <w:color w:val="000000"/>
                <w:sz w:val="18"/>
                <w:szCs w:val="18"/>
              </w:rPr>
            </w:pPr>
            <w:r w:rsidRPr="00437FA5">
              <w:rPr>
                <w:color w:val="000000"/>
                <w:sz w:val="18"/>
                <w:szCs w:val="18"/>
              </w:rPr>
              <w:t>33.3</w:t>
            </w:r>
          </w:p>
        </w:tc>
        <w:tc>
          <w:tcPr>
            <w:tcW w:w="520" w:type="dxa"/>
            <w:tcBorders>
              <w:top w:val="nil"/>
              <w:left w:val="nil"/>
              <w:bottom w:val="nil"/>
              <w:right w:val="nil"/>
            </w:tcBorders>
            <w:shd w:val="clear" w:color="auto" w:fill="auto"/>
            <w:noWrap/>
            <w:vAlign w:val="bottom"/>
            <w:hideMark/>
          </w:tcPr>
          <w:p w14:paraId="1C4A43DA"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nil"/>
            </w:tcBorders>
            <w:shd w:val="clear" w:color="auto" w:fill="auto"/>
            <w:noWrap/>
            <w:vAlign w:val="bottom"/>
            <w:hideMark/>
          </w:tcPr>
          <w:p w14:paraId="6819B5BE" w14:textId="77777777" w:rsidR="0096202A" w:rsidRPr="00437FA5" w:rsidRDefault="0096202A" w:rsidP="00F83658">
            <w:pPr>
              <w:jc w:val="center"/>
              <w:rPr>
                <w:color w:val="000000"/>
                <w:sz w:val="18"/>
                <w:szCs w:val="18"/>
              </w:rPr>
            </w:pPr>
            <w:r w:rsidRPr="00437FA5">
              <w:rPr>
                <w:color w:val="000000"/>
                <w:sz w:val="18"/>
                <w:szCs w:val="18"/>
              </w:rPr>
              <w:t>0.0</w:t>
            </w:r>
          </w:p>
        </w:tc>
        <w:tc>
          <w:tcPr>
            <w:tcW w:w="520" w:type="dxa"/>
            <w:tcBorders>
              <w:top w:val="nil"/>
              <w:left w:val="single" w:sz="4" w:space="0" w:color="auto"/>
              <w:bottom w:val="nil"/>
              <w:right w:val="nil"/>
            </w:tcBorders>
            <w:shd w:val="clear" w:color="auto" w:fill="auto"/>
            <w:noWrap/>
            <w:vAlign w:val="bottom"/>
            <w:hideMark/>
          </w:tcPr>
          <w:p w14:paraId="3D5E3907" w14:textId="77777777" w:rsidR="0096202A" w:rsidRPr="00437FA5" w:rsidRDefault="0096202A" w:rsidP="00F83658">
            <w:pPr>
              <w:jc w:val="center"/>
              <w:rPr>
                <w:color w:val="000000"/>
                <w:sz w:val="18"/>
                <w:szCs w:val="18"/>
              </w:rPr>
            </w:pPr>
            <w:r w:rsidRPr="00437FA5">
              <w:rPr>
                <w:color w:val="000000"/>
                <w:sz w:val="18"/>
                <w:szCs w:val="18"/>
              </w:rPr>
              <w:t>5</w:t>
            </w:r>
          </w:p>
        </w:tc>
        <w:tc>
          <w:tcPr>
            <w:tcW w:w="531" w:type="dxa"/>
            <w:tcBorders>
              <w:top w:val="nil"/>
              <w:left w:val="nil"/>
              <w:bottom w:val="nil"/>
              <w:right w:val="nil"/>
            </w:tcBorders>
            <w:shd w:val="clear" w:color="auto" w:fill="auto"/>
            <w:noWrap/>
            <w:vAlign w:val="bottom"/>
            <w:hideMark/>
          </w:tcPr>
          <w:p w14:paraId="62BE96CF" w14:textId="77777777" w:rsidR="0096202A" w:rsidRPr="00437FA5" w:rsidRDefault="0096202A" w:rsidP="00F83658">
            <w:pPr>
              <w:jc w:val="center"/>
              <w:rPr>
                <w:color w:val="000000"/>
                <w:sz w:val="18"/>
                <w:szCs w:val="18"/>
              </w:rPr>
            </w:pPr>
            <w:r w:rsidRPr="00437FA5">
              <w:rPr>
                <w:color w:val="000000"/>
                <w:sz w:val="18"/>
                <w:szCs w:val="18"/>
              </w:rPr>
              <w:t>29.4</w:t>
            </w:r>
          </w:p>
        </w:tc>
        <w:tc>
          <w:tcPr>
            <w:tcW w:w="520" w:type="dxa"/>
            <w:gridSpan w:val="2"/>
            <w:tcBorders>
              <w:top w:val="nil"/>
              <w:left w:val="nil"/>
              <w:bottom w:val="nil"/>
              <w:right w:val="nil"/>
            </w:tcBorders>
            <w:shd w:val="clear" w:color="auto" w:fill="auto"/>
            <w:noWrap/>
            <w:vAlign w:val="bottom"/>
            <w:hideMark/>
          </w:tcPr>
          <w:p w14:paraId="44AC782A" w14:textId="77777777" w:rsidR="0096202A" w:rsidRPr="00437FA5" w:rsidRDefault="0096202A" w:rsidP="00F83658">
            <w:pPr>
              <w:jc w:val="center"/>
              <w:rPr>
                <w:color w:val="000000"/>
                <w:sz w:val="18"/>
                <w:szCs w:val="18"/>
              </w:rPr>
            </w:pPr>
            <w:r w:rsidRPr="00437FA5">
              <w:rPr>
                <w:color w:val="000000"/>
                <w:sz w:val="18"/>
                <w:szCs w:val="18"/>
              </w:rPr>
              <w:t>0</w:t>
            </w:r>
          </w:p>
        </w:tc>
        <w:tc>
          <w:tcPr>
            <w:tcW w:w="531" w:type="dxa"/>
            <w:tcBorders>
              <w:top w:val="nil"/>
              <w:left w:val="nil"/>
              <w:bottom w:val="nil"/>
              <w:right w:val="single" w:sz="4" w:space="0" w:color="auto"/>
            </w:tcBorders>
            <w:shd w:val="clear" w:color="auto" w:fill="auto"/>
            <w:noWrap/>
            <w:vAlign w:val="bottom"/>
            <w:hideMark/>
          </w:tcPr>
          <w:p w14:paraId="278AAB7E" w14:textId="77777777" w:rsidR="0096202A" w:rsidRPr="00437FA5" w:rsidRDefault="0096202A" w:rsidP="00F83658">
            <w:pPr>
              <w:jc w:val="center"/>
              <w:rPr>
                <w:color w:val="000000"/>
                <w:sz w:val="18"/>
                <w:szCs w:val="18"/>
              </w:rPr>
            </w:pPr>
            <w:r w:rsidRPr="00437FA5">
              <w:rPr>
                <w:color w:val="000000"/>
                <w:sz w:val="18"/>
                <w:szCs w:val="18"/>
              </w:rPr>
              <w:t>0.0</w:t>
            </w:r>
          </w:p>
        </w:tc>
        <w:tc>
          <w:tcPr>
            <w:tcW w:w="596" w:type="dxa"/>
            <w:tcBorders>
              <w:top w:val="nil"/>
              <w:left w:val="single" w:sz="4" w:space="0" w:color="auto"/>
              <w:bottom w:val="nil"/>
              <w:right w:val="nil"/>
            </w:tcBorders>
            <w:shd w:val="clear" w:color="auto" w:fill="auto"/>
            <w:noWrap/>
            <w:vAlign w:val="bottom"/>
            <w:hideMark/>
          </w:tcPr>
          <w:p w14:paraId="0DE1B826" w14:textId="77777777" w:rsidR="0096202A" w:rsidRPr="00437FA5" w:rsidRDefault="0096202A" w:rsidP="00F83658">
            <w:pPr>
              <w:jc w:val="center"/>
              <w:rPr>
                <w:color w:val="000000"/>
                <w:sz w:val="18"/>
                <w:szCs w:val="18"/>
              </w:rPr>
            </w:pPr>
            <w:r w:rsidRPr="00437FA5">
              <w:rPr>
                <w:color w:val="000000"/>
                <w:sz w:val="18"/>
                <w:szCs w:val="18"/>
              </w:rPr>
              <w:t>17</w:t>
            </w:r>
          </w:p>
        </w:tc>
      </w:tr>
      <w:tr w:rsidR="0096202A" w:rsidRPr="00437FA5" w14:paraId="27C45BDB" w14:textId="77777777" w:rsidTr="00F4440E">
        <w:trPr>
          <w:trHeight w:val="255"/>
        </w:trPr>
        <w:tc>
          <w:tcPr>
            <w:tcW w:w="1000" w:type="dxa"/>
            <w:tcBorders>
              <w:top w:val="nil"/>
              <w:left w:val="nil"/>
              <w:bottom w:val="nil"/>
              <w:right w:val="nil"/>
            </w:tcBorders>
            <w:shd w:val="clear" w:color="auto" w:fill="auto"/>
            <w:noWrap/>
            <w:vAlign w:val="bottom"/>
            <w:hideMark/>
          </w:tcPr>
          <w:p w14:paraId="002BD571" w14:textId="77777777" w:rsidR="0096202A" w:rsidRPr="00437FA5" w:rsidRDefault="0096202A" w:rsidP="00F83658">
            <w:pPr>
              <w:jc w:val="center"/>
              <w:rPr>
                <w:color w:val="000000"/>
                <w:sz w:val="18"/>
                <w:szCs w:val="18"/>
              </w:rPr>
            </w:pPr>
            <w:r w:rsidRPr="00437FA5">
              <w:rPr>
                <w:color w:val="000000"/>
                <w:sz w:val="18"/>
                <w:szCs w:val="18"/>
              </w:rPr>
              <w:t>7.0-11.99</w:t>
            </w:r>
          </w:p>
        </w:tc>
        <w:tc>
          <w:tcPr>
            <w:tcW w:w="520" w:type="dxa"/>
            <w:tcBorders>
              <w:top w:val="nil"/>
              <w:left w:val="nil"/>
              <w:bottom w:val="nil"/>
              <w:right w:val="nil"/>
            </w:tcBorders>
            <w:shd w:val="clear" w:color="auto" w:fill="auto"/>
            <w:noWrap/>
            <w:vAlign w:val="bottom"/>
            <w:hideMark/>
          </w:tcPr>
          <w:p w14:paraId="2CA80B65"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45C9F623" w14:textId="77777777" w:rsidR="0096202A" w:rsidRPr="00437FA5" w:rsidRDefault="0096202A" w:rsidP="00F83658">
            <w:pPr>
              <w:jc w:val="center"/>
              <w:rPr>
                <w:color w:val="000000"/>
                <w:sz w:val="18"/>
                <w:szCs w:val="18"/>
              </w:rPr>
            </w:pPr>
            <w:r w:rsidRPr="00437FA5">
              <w:rPr>
                <w:color w:val="000000"/>
                <w:sz w:val="18"/>
                <w:szCs w:val="18"/>
              </w:rPr>
              <w:t>10.5</w:t>
            </w:r>
          </w:p>
        </w:tc>
        <w:tc>
          <w:tcPr>
            <w:tcW w:w="520" w:type="dxa"/>
            <w:tcBorders>
              <w:top w:val="nil"/>
              <w:left w:val="nil"/>
              <w:bottom w:val="nil"/>
              <w:right w:val="nil"/>
            </w:tcBorders>
            <w:shd w:val="clear" w:color="auto" w:fill="auto"/>
            <w:noWrap/>
            <w:vAlign w:val="bottom"/>
            <w:hideMark/>
          </w:tcPr>
          <w:p w14:paraId="6FF479C6" w14:textId="77777777" w:rsidR="0096202A" w:rsidRPr="00437FA5" w:rsidRDefault="0096202A" w:rsidP="00F83658">
            <w:pPr>
              <w:jc w:val="center"/>
              <w:rPr>
                <w:color w:val="000000"/>
                <w:sz w:val="18"/>
                <w:szCs w:val="18"/>
              </w:rPr>
            </w:pPr>
            <w:r w:rsidRPr="00437FA5">
              <w:rPr>
                <w:color w:val="000000"/>
                <w:sz w:val="18"/>
                <w:szCs w:val="18"/>
              </w:rPr>
              <w:t>3</w:t>
            </w:r>
          </w:p>
        </w:tc>
        <w:tc>
          <w:tcPr>
            <w:tcW w:w="531" w:type="dxa"/>
            <w:tcBorders>
              <w:top w:val="nil"/>
              <w:left w:val="nil"/>
              <w:bottom w:val="nil"/>
              <w:right w:val="nil"/>
            </w:tcBorders>
            <w:shd w:val="clear" w:color="auto" w:fill="auto"/>
            <w:noWrap/>
            <w:vAlign w:val="bottom"/>
            <w:hideMark/>
          </w:tcPr>
          <w:p w14:paraId="10F091B3" w14:textId="77777777" w:rsidR="0096202A" w:rsidRPr="00437FA5" w:rsidRDefault="0096202A" w:rsidP="00F83658">
            <w:pPr>
              <w:jc w:val="center"/>
              <w:rPr>
                <w:color w:val="000000"/>
                <w:sz w:val="18"/>
                <w:szCs w:val="18"/>
              </w:rPr>
            </w:pPr>
            <w:r w:rsidRPr="00437FA5">
              <w:rPr>
                <w:color w:val="000000"/>
                <w:sz w:val="18"/>
                <w:szCs w:val="18"/>
              </w:rPr>
              <w:t>15.8</w:t>
            </w:r>
          </w:p>
        </w:tc>
        <w:tc>
          <w:tcPr>
            <w:tcW w:w="520" w:type="dxa"/>
            <w:tcBorders>
              <w:top w:val="nil"/>
              <w:left w:val="nil"/>
              <w:bottom w:val="nil"/>
              <w:right w:val="nil"/>
            </w:tcBorders>
            <w:shd w:val="clear" w:color="auto" w:fill="auto"/>
            <w:noWrap/>
            <w:vAlign w:val="bottom"/>
            <w:hideMark/>
          </w:tcPr>
          <w:p w14:paraId="781241BD" w14:textId="77777777" w:rsidR="0096202A" w:rsidRPr="00437FA5" w:rsidRDefault="0096202A" w:rsidP="00F83658">
            <w:pPr>
              <w:jc w:val="center"/>
              <w:rPr>
                <w:color w:val="000000"/>
                <w:sz w:val="18"/>
                <w:szCs w:val="18"/>
              </w:rPr>
            </w:pPr>
            <w:r w:rsidRPr="00437FA5">
              <w:rPr>
                <w:color w:val="000000"/>
                <w:sz w:val="18"/>
                <w:szCs w:val="18"/>
              </w:rPr>
              <w:t>6</w:t>
            </w:r>
          </w:p>
        </w:tc>
        <w:tc>
          <w:tcPr>
            <w:tcW w:w="531" w:type="dxa"/>
            <w:tcBorders>
              <w:top w:val="nil"/>
              <w:left w:val="nil"/>
              <w:bottom w:val="nil"/>
              <w:right w:val="nil"/>
            </w:tcBorders>
            <w:shd w:val="clear" w:color="auto" w:fill="auto"/>
            <w:noWrap/>
            <w:vAlign w:val="bottom"/>
            <w:hideMark/>
          </w:tcPr>
          <w:p w14:paraId="6F70D4F6" w14:textId="77777777" w:rsidR="0096202A" w:rsidRPr="00437FA5" w:rsidRDefault="0096202A" w:rsidP="00F83658">
            <w:pPr>
              <w:jc w:val="center"/>
              <w:rPr>
                <w:color w:val="000000"/>
                <w:sz w:val="18"/>
                <w:szCs w:val="18"/>
              </w:rPr>
            </w:pPr>
            <w:r w:rsidRPr="00437FA5">
              <w:rPr>
                <w:color w:val="000000"/>
                <w:sz w:val="18"/>
                <w:szCs w:val="18"/>
              </w:rPr>
              <w:t>31.6</w:t>
            </w:r>
          </w:p>
        </w:tc>
        <w:tc>
          <w:tcPr>
            <w:tcW w:w="520" w:type="dxa"/>
            <w:tcBorders>
              <w:top w:val="nil"/>
              <w:left w:val="nil"/>
              <w:bottom w:val="nil"/>
              <w:right w:val="nil"/>
            </w:tcBorders>
            <w:shd w:val="clear" w:color="auto" w:fill="auto"/>
            <w:noWrap/>
            <w:vAlign w:val="bottom"/>
            <w:hideMark/>
          </w:tcPr>
          <w:p w14:paraId="56A6D162" w14:textId="77777777" w:rsidR="0096202A" w:rsidRPr="00437FA5" w:rsidRDefault="0096202A" w:rsidP="00F83658">
            <w:pPr>
              <w:jc w:val="center"/>
              <w:rPr>
                <w:color w:val="000000"/>
                <w:sz w:val="18"/>
                <w:szCs w:val="18"/>
              </w:rPr>
            </w:pPr>
            <w:r w:rsidRPr="00437FA5">
              <w:rPr>
                <w:color w:val="000000"/>
                <w:sz w:val="18"/>
                <w:szCs w:val="18"/>
              </w:rPr>
              <w:t>1</w:t>
            </w:r>
          </w:p>
        </w:tc>
        <w:tc>
          <w:tcPr>
            <w:tcW w:w="531" w:type="dxa"/>
            <w:tcBorders>
              <w:top w:val="nil"/>
              <w:left w:val="nil"/>
              <w:bottom w:val="nil"/>
              <w:right w:val="nil"/>
            </w:tcBorders>
            <w:shd w:val="clear" w:color="auto" w:fill="auto"/>
            <w:noWrap/>
            <w:vAlign w:val="bottom"/>
            <w:hideMark/>
          </w:tcPr>
          <w:p w14:paraId="58BB8BB8" w14:textId="77777777" w:rsidR="0096202A" w:rsidRPr="00437FA5" w:rsidRDefault="0096202A" w:rsidP="00F83658">
            <w:pPr>
              <w:jc w:val="center"/>
              <w:rPr>
                <w:color w:val="000000"/>
                <w:sz w:val="18"/>
                <w:szCs w:val="18"/>
              </w:rPr>
            </w:pPr>
            <w:r w:rsidRPr="00437FA5">
              <w:rPr>
                <w:color w:val="000000"/>
                <w:sz w:val="18"/>
                <w:szCs w:val="18"/>
              </w:rPr>
              <w:t>16.7</w:t>
            </w:r>
          </w:p>
        </w:tc>
        <w:tc>
          <w:tcPr>
            <w:tcW w:w="520" w:type="dxa"/>
            <w:tcBorders>
              <w:top w:val="nil"/>
              <w:left w:val="nil"/>
              <w:bottom w:val="nil"/>
              <w:right w:val="nil"/>
            </w:tcBorders>
            <w:shd w:val="clear" w:color="auto" w:fill="auto"/>
            <w:noWrap/>
            <w:vAlign w:val="bottom"/>
            <w:hideMark/>
          </w:tcPr>
          <w:p w14:paraId="2DEBF9FF" w14:textId="77777777" w:rsidR="0096202A" w:rsidRPr="00437FA5" w:rsidRDefault="0096202A" w:rsidP="00F83658">
            <w:pPr>
              <w:jc w:val="center"/>
              <w:rPr>
                <w:color w:val="000000"/>
                <w:sz w:val="18"/>
                <w:szCs w:val="18"/>
              </w:rPr>
            </w:pPr>
            <w:r w:rsidRPr="00437FA5">
              <w:rPr>
                <w:color w:val="000000"/>
                <w:sz w:val="18"/>
                <w:szCs w:val="18"/>
              </w:rPr>
              <w:t>11</w:t>
            </w:r>
          </w:p>
        </w:tc>
        <w:tc>
          <w:tcPr>
            <w:tcW w:w="531" w:type="dxa"/>
            <w:tcBorders>
              <w:top w:val="nil"/>
              <w:left w:val="nil"/>
              <w:bottom w:val="nil"/>
              <w:right w:val="nil"/>
            </w:tcBorders>
            <w:shd w:val="clear" w:color="auto" w:fill="auto"/>
            <w:noWrap/>
            <w:vAlign w:val="bottom"/>
            <w:hideMark/>
          </w:tcPr>
          <w:p w14:paraId="50E2718B" w14:textId="77777777" w:rsidR="0096202A" w:rsidRPr="00437FA5" w:rsidRDefault="0096202A" w:rsidP="00F83658">
            <w:pPr>
              <w:jc w:val="center"/>
              <w:rPr>
                <w:color w:val="000000"/>
                <w:sz w:val="18"/>
                <w:szCs w:val="18"/>
              </w:rPr>
            </w:pPr>
            <w:r w:rsidRPr="00437FA5">
              <w:rPr>
                <w:color w:val="000000"/>
                <w:sz w:val="18"/>
                <w:szCs w:val="18"/>
              </w:rPr>
              <w:t>57.9</w:t>
            </w:r>
          </w:p>
        </w:tc>
        <w:tc>
          <w:tcPr>
            <w:tcW w:w="520" w:type="dxa"/>
            <w:tcBorders>
              <w:top w:val="nil"/>
              <w:left w:val="single" w:sz="4" w:space="0" w:color="auto"/>
              <w:bottom w:val="nil"/>
              <w:right w:val="nil"/>
            </w:tcBorders>
            <w:shd w:val="clear" w:color="auto" w:fill="auto"/>
            <w:noWrap/>
            <w:vAlign w:val="bottom"/>
            <w:hideMark/>
          </w:tcPr>
          <w:p w14:paraId="1A2ACD65" w14:textId="77777777" w:rsidR="0096202A" w:rsidRPr="00437FA5" w:rsidRDefault="0096202A" w:rsidP="00F83658">
            <w:pPr>
              <w:jc w:val="center"/>
              <w:rPr>
                <w:color w:val="000000"/>
                <w:sz w:val="18"/>
                <w:szCs w:val="18"/>
              </w:rPr>
            </w:pPr>
            <w:r w:rsidRPr="00437FA5">
              <w:rPr>
                <w:color w:val="000000"/>
                <w:sz w:val="18"/>
                <w:szCs w:val="18"/>
              </w:rPr>
              <w:t>8</w:t>
            </w:r>
          </w:p>
        </w:tc>
        <w:tc>
          <w:tcPr>
            <w:tcW w:w="531" w:type="dxa"/>
            <w:tcBorders>
              <w:top w:val="nil"/>
              <w:left w:val="nil"/>
              <w:bottom w:val="nil"/>
              <w:right w:val="nil"/>
            </w:tcBorders>
            <w:shd w:val="clear" w:color="auto" w:fill="auto"/>
            <w:noWrap/>
            <w:vAlign w:val="bottom"/>
            <w:hideMark/>
          </w:tcPr>
          <w:p w14:paraId="771664BE" w14:textId="77777777" w:rsidR="0096202A" w:rsidRPr="00437FA5" w:rsidRDefault="0096202A" w:rsidP="00F83658">
            <w:pPr>
              <w:jc w:val="center"/>
              <w:rPr>
                <w:color w:val="000000"/>
                <w:sz w:val="18"/>
                <w:szCs w:val="18"/>
              </w:rPr>
            </w:pPr>
            <w:r w:rsidRPr="00437FA5">
              <w:rPr>
                <w:color w:val="000000"/>
                <w:sz w:val="18"/>
                <w:szCs w:val="18"/>
              </w:rPr>
              <w:t>42.1</w:t>
            </w:r>
          </w:p>
        </w:tc>
        <w:tc>
          <w:tcPr>
            <w:tcW w:w="520" w:type="dxa"/>
            <w:gridSpan w:val="2"/>
            <w:tcBorders>
              <w:top w:val="nil"/>
              <w:left w:val="nil"/>
              <w:bottom w:val="nil"/>
              <w:right w:val="nil"/>
            </w:tcBorders>
            <w:shd w:val="clear" w:color="auto" w:fill="auto"/>
            <w:noWrap/>
            <w:vAlign w:val="bottom"/>
            <w:hideMark/>
          </w:tcPr>
          <w:p w14:paraId="3123D10C"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single" w:sz="4" w:space="0" w:color="auto"/>
            </w:tcBorders>
            <w:shd w:val="clear" w:color="auto" w:fill="auto"/>
            <w:noWrap/>
            <w:vAlign w:val="bottom"/>
            <w:hideMark/>
          </w:tcPr>
          <w:p w14:paraId="4617954C" w14:textId="77777777" w:rsidR="0096202A" w:rsidRPr="00437FA5" w:rsidRDefault="0096202A" w:rsidP="00F83658">
            <w:pPr>
              <w:jc w:val="center"/>
              <w:rPr>
                <w:color w:val="000000"/>
                <w:sz w:val="18"/>
                <w:szCs w:val="18"/>
              </w:rPr>
            </w:pPr>
            <w:r w:rsidRPr="00437FA5">
              <w:rPr>
                <w:color w:val="000000"/>
                <w:sz w:val="18"/>
                <w:szCs w:val="18"/>
              </w:rPr>
              <w:t>10.5</w:t>
            </w:r>
          </w:p>
        </w:tc>
        <w:tc>
          <w:tcPr>
            <w:tcW w:w="596" w:type="dxa"/>
            <w:tcBorders>
              <w:top w:val="nil"/>
              <w:left w:val="single" w:sz="4" w:space="0" w:color="auto"/>
              <w:bottom w:val="nil"/>
              <w:right w:val="nil"/>
            </w:tcBorders>
            <w:shd w:val="clear" w:color="auto" w:fill="auto"/>
            <w:noWrap/>
            <w:vAlign w:val="bottom"/>
            <w:hideMark/>
          </w:tcPr>
          <w:p w14:paraId="11C75995" w14:textId="77777777" w:rsidR="0096202A" w:rsidRPr="00437FA5" w:rsidRDefault="0096202A" w:rsidP="00F83658">
            <w:pPr>
              <w:jc w:val="center"/>
              <w:rPr>
                <w:color w:val="000000"/>
                <w:sz w:val="18"/>
                <w:szCs w:val="18"/>
              </w:rPr>
            </w:pPr>
            <w:r w:rsidRPr="00437FA5">
              <w:rPr>
                <w:color w:val="000000"/>
                <w:sz w:val="18"/>
                <w:szCs w:val="18"/>
              </w:rPr>
              <w:t>19</w:t>
            </w:r>
          </w:p>
        </w:tc>
      </w:tr>
      <w:tr w:rsidR="0096202A" w:rsidRPr="00437FA5" w14:paraId="22AC5EA1" w14:textId="77777777" w:rsidTr="00F4440E">
        <w:trPr>
          <w:trHeight w:val="255"/>
        </w:trPr>
        <w:tc>
          <w:tcPr>
            <w:tcW w:w="1000" w:type="dxa"/>
            <w:tcBorders>
              <w:top w:val="nil"/>
              <w:left w:val="nil"/>
              <w:bottom w:val="nil"/>
              <w:right w:val="nil"/>
            </w:tcBorders>
            <w:shd w:val="clear" w:color="auto" w:fill="auto"/>
            <w:noWrap/>
            <w:vAlign w:val="bottom"/>
            <w:hideMark/>
          </w:tcPr>
          <w:p w14:paraId="3304B946" w14:textId="77777777" w:rsidR="0096202A" w:rsidRPr="00437FA5" w:rsidRDefault="0096202A" w:rsidP="00F83658">
            <w:pPr>
              <w:jc w:val="center"/>
              <w:rPr>
                <w:color w:val="000000"/>
                <w:sz w:val="18"/>
                <w:szCs w:val="18"/>
              </w:rPr>
            </w:pPr>
            <w:r w:rsidRPr="00437FA5">
              <w:rPr>
                <w:color w:val="000000"/>
                <w:sz w:val="18"/>
                <w:szCs w:val="18"/>
              </w:rPr>
              <w:t>12.0-13.99</w:t>
            </w:r>
          </w:p>
        </w:tc>
        <w:tc>
          <w:tcPr>
            <w:tcW w:w="520" w:type="dxa"/>
            <w:tcBorders>
              <w:top w:val="nil"/>
              <w:left w:val="nil"/>
              <w:bottom w:val="nil"/>
              <w:right w:val="nil"/>
            </w:tcBorders>
            <w:shd w:val="clear" w:color="auto" w:fill="auto"/>
            <w:noWrap/>
            <w:vAlign w:val="bottom"/>
            <w:hideMark/>
          </w:tcPr>
          <w:p w14:paraId="57448EAA" w14:textId="77777777" w:rsidR="0096202A" w:rsidRPr="00437FA5" w:rsidRDefault="0096202A" w:rsidP="00F83658">
            <w:pPr>
              <w:jc w:val="center"/>
              <w:rPr>
                <w:color w:val="000000"/>
                <w:sz w:val="18"/>
                <w:szCs w:val="18"/>
              </w:rPr>
            </w:pPr>
            <w:r w:rsidRPr="00437FA5">
              <w:rPr>
                <w:color w:val="000000"/>
                <w:sz w:val="18"/>
                <w:szCs w:val="18"/>
              </w:rPr>
              <w:t>1</w:t>
            </w:r>
          </w:p>
        </w:tc>
        <w:tc>
          <w:tcPr>
            <w:tcW w:w="531" w:type="dxa"/>
            <w:tcBorders>
              <w:top w:val="nil"/>
              <w:left w:val="nil"/>
              <w:bottom w:val="nil"/>
              <w:right w:val="nil"/>
            </w:tcBorders>
            <w:shd w:val="clear" w:color="auto" w:fill="auto"/>
            <w:noWrap/>
            <w:vAlign w:val="bottom"/>
            <w:hideMark/>
          </w:tcPr>
          <w:p w14:paraId="7C220099" w14:textId="77777777" w:rsidR="0096202A" w:rsidRPr="00437FA5" w:rsidRDefault="0096202A" w:rsidP="00F83658">
            <w:pPr>
              <w:jc w:val="center"/>
              <w:rPr>
                <w:color w:val="000000"/>
                <w:sz w:val="18"/>
                <w:szCs w:val="18"/>
              </w:rPr>
            </w:pPr>
            <w:r w:rsidRPr="00437FA5">
              <w:rPr>
                <w:color w:val="000000"/>
                <w:sz w:val="18"/>
                <w:szCs w:val="18"/>
              </w:rPr>
              <w:t>12.5</w:t>
            </w:r>
          </w:p>
        </w:tc>
        <w:tc>
          <w:tcPr>
            <w:tcW w:w="520" w:type="dxa"/>
            <w:tcBorders>
              <w:top w:val="nil"/>
              <w:left w:val="nil"/>
              <w:bottom w:val="nil"/>
              <w:right w:val="nil"/>
            </w:tcBorders>
            <w:shd w:val="clear" w:color="auto" w:fill="auto"/>
            <w:noWrap/>
            <w:vAlign w:val="bottom"/>
            <w:hideMark/>
          </w:tcPr>
          <w:p w14:paraId="3F7DDC8D"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nil"/>
            </w:tcBorders>
            <w:shd w:val="clear" w:color="auto" w:fill="auto"/>
            <w:noWrap/>
            <w:vAlign w:val="bottom"/>
            <w:hideMark/>
          </w:tcPr>
          <w:p w14:paraId="5A82E783" w14:textId="77777777" w:rsidR="0096202A" w:rsidRPr="00437FA5" w:rsidRDefault="0096202A" w:rsidP="00F83658">
            <w:pPr>
              <w:jc w:val="center"/>
              <w:rPr>
                <w:color w:val="000000"/>
                <w:sz w:val="18"/>
                <w:szCs w:val="18"/>
              </w:rPr>
            </w:pPr>
            <w:r w:rsidRPr="00437FA5">
              <w:rPr>
                <w:color w:val="000000"/>
                <w:sz w:val="18"/>
                <w:szCs w:val="18"/>
              </w:rPr>
              <w:t>25.0</w:t>
            </w:r>
          </w:p>
        </w:tc>
        <w:tc>
          <w:tcPr>
            <w:tcW w:w="520" w:type="dxa"/>
            <w:tcBorders>
              <w:top w:val="nil"/>
              <w:left w:val="nil"/>
              <w:bottom w:val="nil"/>
              <w:right w:val="nil"/>
            </w:tcBorders>
            <w:shd w:val="clear" w:color="auto" w:fill="auto"/>
            <w:noWrap/>
            <w:vAlign w:val="bottom"/>
            <w:hideMark/>
          </w:tcPr>
          <w:p w14:paraId="6AF861B5" w14:textId="77777777" w:rsidR="0096202A" w:rsidRPr="00437FA5" w:rsidRDefault="0096202A" w:rsidP="00F83658">
            <w:pPr>
              <w:jc w:val="center"/>
              <w:rPr>
                <w:color w:val="000000"/>
                <w:sz w:val="18"/>
                <w:szCs w:val="18"/>
              </w:rPr>
            </w:pPr>
            <w:r w:rsidRPr="00437FA5">
              <w:rPr>
                <w:color w:val="000000"/>
                <w:sz w:val="18"/>
                <w:szCs w:val="18"/>
              </w:rPr>
              <w:t>3</w:t>
            </w:r>
          </w:p>
        </w:tc>
        <w:tc>
          <w:tcPr>
            <w:tcW w:w="531" w:type="dxa"/>
            <w:tcBorders>
              <w:top w:val="nil"/>
              <w:left w:val="nil"/>
              <w:bottom w:val="nil"/>
              <w:right w:val="nil"/>
            </w:tcBorders>
            <w:shd w:val="clear" w:color="auto" w:fill="auto"/>
            <w:noWrap/>
            <w:vAlign w:val="bottom"/>
            <w:hideMark/>
          </w:tcPr>
          <w:p w14:paraId="55C943C8" w14:textId="77777777" w:rsidR="0096202A" w:rsidRPr="00437FA5" w:rsidRDefault="0096202A" w:rsidP="00F83658">
            <w:pPr>
              <w:jc w:val="center"/>
              <w:rPr>
                <w:color w:val="000000"/>
                <w:sz w:val="18"/>
                <w:szCs w:val="18"/>
              </w:rPr>
            </w:pPr>
            <w:r w:rsidRPr="00437FA5">
              <w:rPr>
                <w:color w:val="000000"/>
                <w:sz w:val="18"/>
                <w:szCs w:val="18"/>
              </w:rPr>
              <w:t>37.5</w:t>
            </w:r>
          </w:p>
        </w:tc>
        <w:tc>
          <w:tcPr>
            <w:tcW w:w="520" w:type="dxa"/>
            <w:tcBorders>
              <w:top w:val="nil"/>
              <w:left w:val="nil"/>
              <w:bottom w:val="nil"/>
              <w:right w:val="nil"/>
            </w:tcBorders>
            <w:shd w:val="clear" w:color="auto" w:fill="auto"/>
            <w:noWrap/>
            <w:vAlign w:val="bottom"/>
            <w:hideMark/>
          </w:tcPr>
          <w:p w14:paraId="253A2035" w14:textId="77777777" w:rsidR="0096202A" w:rsidRPr="00437FA5" w:rsidRDefault="0096202A" w:rsidP="00F83658">
            <w:pPr>
              <w:jc w:val="center"/>
              <w:rPr>
                <w:color w:val="000000"/>
                <w:sz w:val="18"/>
                <w:szCs w:val="18"/>
              </w:rPr>
            </w:pPr>
            <w:r w:rsidRPr="00437FA5">
              <w:rPr>
                <w:color w:val="000000"/>
                <w:sz w:val="18"/>
                <w:szCs w:val="18"/>
              </w:rPr>
              <w:t>1</w:t>
            </w:r>
          </w:p>
        </w:tc>
        <w:tc>
          <w:tcPr>
            <w:tcW w:w="531" w:type="dxa"/>
            <w:tcBorders>
              <w:top w:val="nil"/>
              <w:left w:val="nil"/>
              <w:bottom w:val="nil"/>
              <w:right w:val="nil"/>
            </w:tcBorders>
            <w:shd w:val="clear" w:color="auto" w:fill="auto"/>
            <w:noWrap/>
            <w:vAlign w:val="bottom"/>
            <w:hideMark/>
          </w:tcPr>
          <w:p w14:paraId="41F24ED8" w14:textId="77777777" w:rsidR="0096202A" w:rsidRPr="00437FA5" w:rsidRDefault="0096202A" w:rsidP="00F83658">
            <w:pPr>
              <w:jc w:val="center"/>
              <w:rPr>
                <w:color w:val="000000"/>
                <w:sz w:val="18"/>
                <w:szCs w:val="18"/>
              </w:rPr>
            </w:pPr>
            <w:r w:rsidRPr="00437FA5">
              <w:rPr>
                <w:color w:val="000000"/>
                <w:sz w:val="18"/>
                <w:szCs w:val="18"/>
              </w:rPr>
              <w:t>16.7</w:t>
            </w:r>
          </w:p>
        </w:tc>
        <w:tc>
          <w:tcPr>
            <w:tcW w:w="520" w:type="dxa"/>
            <w:tcBorders>
              <w:top w:val="nil"/>
              <w:left w:val="nil"/>
              <w:bottom w:val="nil"/>
              <w:right w:val="nil"/>
            </w:tcBorders>
            <w:shd w:val="clear" w:color="auto" w:fill="auto"/>
            <w:noWrap/>
            <w:vAlign w:val="bottom"/>
            <w:hideMark/>
          </w:tcPr>
          <w:p w14:paraId="07C79A26" w14:textId="77777777" w:rsidR="0096202A" w:rsidRPr="00437FA5" w:rsidRDefault="0096202A" w:rsidP="00F83658">
            <w:pPr>
              <w:jc w:val="center"/>
              <w:rPr>
                <w:color w:val="000000"/>
                <w:sz w:val="18"/>
                <w:szCs w:val="18"/>
              </w:rPr>
            </w:pPr>
            <w:r w:rsidRPr="00437FA5">
              <w:rPr>
                <w:color w:val="000000"/>
                <w:sz w:val="18"/>
                <w:szCs w:val="18"/>
              </w:rPr>
              <w:t>6</w:t>
            </w:r>
          </w:p>
        </w:tc>
        <w:tc>
          <w:tcPr>
            <w:tcW w:w="531" w:type="dxa"/>
            <w:tcBorders>
              <w:top w:val="nil"/>
              <w:left w:val="nil"/>
              <w:bottom w:val="nil"/>
              <w:right w:val="nil"/>
            </w:tcBorders>
            <w:shd w:val="clear" w:color="auto" w:fill="auto"/>
            <w:noWrap/>
            <w:vAlign w:val="bottom"/>
            <w:hideMark/>
          </w:tcPr>
          <w:p w14:paraId="0F7169F1" w14:textId="77777777" w:rsidR="0096202A" w:rsidRPr="00437FA5" w:rsidRDefault="0096202A" w:rsidP="00F83658">
            <w:pPr>
              <w:jc w:val="center"/>
              <w:rPr>
                <w:color w:val="000000"/>
                <w:sz w:val="18"/>
                <w:szCs w:val="18"/>
              </w:rPr>
            </w:pPr>
            <w:r w:rsidRPr="00437FA5">
              <w:rPr>
                <w:color w:val="000000"/>
                <w:sz w:val="18"/>
                <w:szCs w:val="18"/>
              </w:rPr>
              <w:t>75.0</w:t>
            </w:r>
          </w:p>
        </w:tc>
        <w:tc>
          <w:tcPr>
            <w:tcW w:w="520" w:type="dxa"/>
            <w:tcBorders>
              <w:top w:val="nil"/>
              <w:left w:val="single" w:sz="4" w:space="0" w:color="auto"/>
              <w:bottom w:val="nil"/>
              <w:right w:val="nil"/>
            </w:tcBorders>
            <w:shd w:val="clear" w:color="auto" w:fill="auto"/>
            <w:noWrap/>
            <w:vAlign w:val="bottom"/>
            <w:hideMark/>
          </w:tcPr>
          <w:p w14:paraId="0CF9F6A1" w14:textId="77777777" w:rsidR="0096202A" w:rsidRPr="00437FA5" w:rsidRDefault="0096202A" w:rsidP="00F83658">
            <w:pPr>
              <w:jc w:val="center"/>
              <w:rPr>
                <w:color w:val="000000"/>
                <w:sz w:val="18"/>
                <w:szCs w:val="18"/>
              </w:rPr>
            </w:pPr>
            <w:r w:rsidRPr="00437FA5">
              <w:rPr>
                <w:color w:val="000000"/>
                <w:sz w:val="18"/>
                <w:szCs w:val="18"/>
              </w:rPr>
              <w:t>3</w:t>
            </w:r>
          </w:p>
        </w:tc>
        <w:tc>
          <w:tcPr>
            <w:tcW w:w="531" w:type="dxa"/>
            <w:tcBorders>
              <w:top w:val="nil"/>
              <w:left w:val="nil"/>
              <w:bottom w:val="nil"/>
              <w:right w:val="nil"/>
            </w:tcBorders>
            <w:shd w:val="clear" w:color="auto" w:fill="auto"/>
            <w:noWrap/>
            <w:vAlign w:val="bottom"/>
            <w:hideMark/>
          </w:tcPr>
          <w:p w14:paraId="6C773B2E" w14:textId="77777777" w:rsidR="0096202A" w:rsidRPr="00437FA5" w:rsidRDefault="0096202A" w:rsidP="00F83658">
            <w:pPr>
              <w:jc w:val="center"/>
              <w:rPr>
                <w:color w:val="000000"/>
                <w:sz w:val="18"/>
                <w:szCs w:val="18"/>
              </w:rPr>
            </w:pPr>
            <w:r w:rsidRPr="00437FA5">
              <w:rPr>
                <w:color w:val="000000"/>
                <w:sz w:val="18"/>
                <w:szCs w:val="18"/>
              </w:rPr>
              <w:t>37.5</w:t>
            </w:r>
          </w:p>
        </w:tc>
        <w:tc>
          <w:tcPr>
            <w:tcW w:w="520" w:type="dxa"/>
            <w:gridSpan w:val="2"/>
            <w:tcBorders>
              <w:top w:val="nil"/>
              <w:left w:val="nil"/>
              <w:bottom w:val="nil"/>
              <w:right w:val="nil"/>
            </w:tcBorders>
            <w:shd w:val="clear" w:color="auto" w:fill="auto"/>
            <w:noWrap/>
            <w:vAlign w:val="bottom"/>
            <w:hideMark/>
          </w:tcPr>
          <w:p w14:paraId="3526327F" w14:textId="77777777" w:rsidR="0096202A" w:rsidRPr="00437FA5" w:rsidRDefault="0096202A" w:rsidP="00F83658">
            <w:pPr>
              <w:jc w:val="center"/>
              <w:rPr>
                <w:color w:val="000000"/>
                <w:sz w:val="18"/>
                <w:szCs w:val="18"/>
              </w:rPr>
            </w:pPr>
            <w:r w:rsidRPr="00437FA5">
              <w:rPr>
                <w:color w:val="000000"/>
                <w:sz w:val="18"/>
                <w:szCs w:val="18"/>
              </w:rPr>
              <w:t>2</w:t>
            </w:r>
          </w:p>
        </w:tc>
        <w:tc>
          <w:tcPr>
            <w:tcW w:w="531" w:type="dxa"/>
            <w:tcBorders>
              <w:top w:val="nil"/>
              <w:left w:val="nil"/>
              <w:bottom w:val="nil"/>
              <w:right w:val="single" w:sz="4" w:space="0" w:color="auto"/>
            </w:tcBorders>
            <w:shd w:val="clear" w:color="auto" w:fill="auto"/>
            <w:noWrap/>
            <w:vAlign w:val="bottom"/>
            <w:hideMark/>
          </w:tcPr>
          <w:p w14:paraId="156C0370" w14:textId="77777777" w:rsidR="0096202A" w:rsidRPr="00437FA5" w:rsidRDefault="0096202A" w:rsidP="00F83658">
            <w:pPr>
              <w:jc w:val="center"/>
              <w:rPr>
                <w:color w:val="000000"/>
                <w:sz w:val="18"/>
                <w:szCs w:val="18"/>
              </w:rPr>
            </w:pPr>
            <w:r w:rsidRPr="00437FA5">
              <w:rPr>
                <w:color w:val="000000"/>
                <w:sz w:val="18"/>
                <w:szCs w:val="18"/>
              </w:rPr>
              <w:t>25.0</w:t>
            </w:r>
          </w:p>
        </w:tc>
        <w:tc>
          <w:tcPr>
            <w:tcW w:w="596" w:type="dxa"/>
            <w:tcBorders>
              <w:top w:val="nil"/>
              <w:left w:val="single" w:sz="4" w:space="0" w:color="auto"/>
              <w:bottom w:val="nil"/>
              <w:right w:val="nil"/>
            </w:tcBorders>
            <w:shd w:val="clear" w:color="auto" w:fill="auto"/>
            <w:noWrap/>
            <w:vAlign w:val="bottom"/>
            <w:hideMark/>
          </w:tcPr>
          <w:p w14:paraId="6BCC963C" w14:textId="77777777" w:rsidR="0096202A" w:rsidRPr="00437FA5" w:rsidRDefault="0096202A" w:rsidP="00F83658">
            <w:pPr>
              <w:jc w:val="center"/>
              <w:rPr>
                <w:color w:val="000000"/>
                <w:sz w:val="18"/>
                <w:szCs w:val="18"/>
              </w:rPr>
            </w:pPr>
            <w:r w:rsidRPr="00437FA5">
              <w:rPr>
                <w:color w:val="000000"/>
                <w:sz w:val="18"/>
                <w:szCs w:val="18"/>
              </w:rPr>
              <w:t>8</w:t>
            </w:r>
          </w:p>
        </w:tc>
      </w:tr>
      <w:tr w:rsidR="0096202A" w:rsidRPr="00437FA5" w14:paraId="2CE02AF7" w14:textId="77777777" w:rsidTr="00F4440E">
        <w:trPr>
          <w:trHeight w:val="255"/>
        </w:trPr>
        <w:tc>
          <w:tcPr>
            <w:tcW w:w="1000" w:type="dxa"/>
            <w:tcBorders>
              <w:top w:val="single" w:sz="4" w:space="0" w:color="auto"/>
              <w:left w:val="nil"/>
              <w:bottom w:val="single" w:sz="4" w:space="0" w:color="auto"/>
              <w:right w:val="nil"/>
            </w:tcBorders>
            <w:shd w:val="clear" w:color="auto" w:fill="auto"/>
            <w:noWrap/>
            <w:vAlign w:val="bottom"/>
            <w:hideMark/>
          </w:tcPr>
          <w:p w14:paraId="49B71071" w14:textId="77777777" w:rsidR="0096202A" w:rsidRPr="00437FA5" w:rsidRDefault="0096202A" w:rsidP="00F83658">
            <w:pPr>
              <w:jc w:val="center"/>
              <w:rPr>
                <w:b/>
                <w:bCs/>
                <w:color w:val="000000"/>
                <w:sz w:val="18"/>
                <w:szCs w:val="18"/>
              </w:rPr>
            </w:pPr>
            <w:r w:rsidRPr="00437FA5">
              <w:rPr>
                <w:b/>
                <w:bCs/>
                <w:color w:val="000000"/>
                <w:sz w:val="18"/>
                <w:szCs w:val="18"/>
              </w:rPr>
              <w:t>Total</w:t>
            </w:r>
          </w:p>
        </w:tc>
        <w:tc>
          <w:tcPr>
            <w:tcW w:w="520" w:type="dxa"/>
            <w:tcBorders>
              <w:top w:val="single" w:sz="4" w:space="0" w:color="auto"/>
              <w:left w:val="nil"/>
              <w:bottom w:val="single" w:sz="4" w:space="0" w:color="auto"/>
              <w:right w:val="nil"/>
            </w:tcBorders>
            <w:shd w:val="clear" w:color="auto" w:fill="auto"/>
            <w:noWrap/>
            <w:vAlign w:val="bottom"/>
            <w:hideMark/>
          </w:tcPr>
          <w:p w14:paraId="0EFEA39C" w14:textId="77777777" w:rsidR="0096202A" w:rsidRPr="00437FA5" w:rsidRDefault="0096202A" w:rsidP="00F83658">
            <w:pPr>
              <w:jc w:val="center"/>
              <w:rPr>
                <w:b/>
                <w:bCs/>
                <w:color w:val="000000"/>
                <w:sz w:val="18"/>
                <w:szCs w:val="18"/>
              </w:rPr>
            </w:pPr>
            <w:r w:rsidRPr="00437FA5">
              <w:rPr>
                <w:b/>
                <w:bCs/>
                <w:color w:val="000000"/>
                <w:sz w:val="18"/>
                <w:szCs w:val="18"/>
              </w:rPr>
              <w:t>7</w:t>
            </w:r>
          </w:p>
        </w:tc>
        <w:tc>
          <w:tcPr>
            <w:tcW w:w="531" w:type="dxa"/>
            <w:tcBorders>
              <w:top w:val="single" w:sz="4" w:space="0" w:color="auto"/>
              <w:left w:val="nil"/>
              <w:bottom w:val="single" w:sz="4" w:space="0" w:color="auto"/>
              <w:right w:val="nil"/>
            </w:tcBorders>
            <w:shd w:val="clear" w:color="auto" w:fill="auto"/>
            <w:noWrap/>
            <w:vAlign w:val="bottom"/>
            <w:hideMark/>
          </w:tcPr>
          <w:p w14:paraId="59D74201" w14:textId="77777777" w:rsidR="0096202A" w:rsidRPr="00437FA5" w:rsidRDefault="0096202A" w:rsidP="00F83658">
            <w:pPr>
              <w:jc w:val="center"/>
              <w:rPr>
                <w:color w:val="000000"/>
                <w:sz w:val="18"/>
                <w:szCs w:val="18"/>
              </w:rPr>
            </w:pPr>
            <w:r w:rsidRPr="00437FA5">
              <w:rPr>
                <w:color w:val="000000"/>
                <w:sz w:val="18"/>
                <w:szCs w:val="18"/>
              </w:rPr>
              <w:t>12.3</w:t>
            </w:r>
          </w:p>
        </w:tc>
        <w:tc>
          <w:tcPr>
            <w:tcW w:w="520" w:type="dxa"/>
            <w:tcBorders>
              <w:top w:val="single" w:sz="4" w:space="0" w:color="auto"/>
              <w:left w:val="nil"/>
              <w:bottom w:val="single" w:sz="4" w:space="0" w:color="auto"/>
              <w:right w:val="nil"/>
            </w:tcBorders>
            <w:shd w:val="clear" w:color="auto" w:fill="auto"/>
            <w:noWrap/>
            <w:vAlign w:val="bottom"/>
            <w:hideMark/>
          </w:tcPr>
          <w:p w14:paraId="320C1241" w14:textId="77777777" w:rsidR="0096202A" w:rsidRPr="00437FA5" w:rsidRDefault="0096202A" w:rsidP="00F83658">
            <w:pPr>
              <w:jc w:val="center"/>
              <w:rPr>
                <w:b/>
                <w:bCs/>
                <w:color w:val="000000"/>
                <w:sz w:val="18"/>
                <w:szCs w:val="18"/>
              </w:rPr>
            </w:pPr>
            <w:r w:rsidRPr="00437FA5">
              <w:rPr>
                <w:b/>
                <w:bCs/>
                <w:color w:val="000000"/>
                <w:sz w:val="18"/>
                <w:szCs w:val="18"/>
              </w:rPr>
              <w:t>9</w:t>
            </w:r>
          </w:p>
        </w:tc>
        <w:tc>
          <w:tcPr>
            <w:tcW w:w="531" w:type="dxa"/>
            <w:tcBorders>
              <w:top w:val="single" w:sz="4" w:space="0" w:color="auto"/>
              <w:left w:val="nil"/>
              <w:bottom w:val="single" w:sz="4" w:space="0" w:color="auto"/>
              <w:right w:val="nil"/>
            </w:tcBorders>
            <w:shd w:val="clear" w:color="auto" w:fill="auto"/>
            <w:noWrap/>
            <w:vAlign w:val="bottom"/>
            <w:hideMark/>
          </w:tcPr>
          <w:p w14:paraId="1425250D" w14:textId="77777777" w:rsidR="0096202A" w:rsidRPr="00437FA5" w:rsidRDefault="0096202A" w:rsidP="00F83658">
            <w:pPr>
              <w:jc w:val="center"/>
              <w:rPr>
                <w:color w:val="000000"/>
                <w:sz w:val="18"/>
                <w:szCs w:val="18"/>
              </w:rPr>
            </w:pPr>
            <w:r w:rsidRPr="00437FA5">
              <w:rPr>
                <w:color w:val="000000"/>
                <w:sz w:val="18"/>
                <w:szCs w:val="18"/>
              </w:rPr>
              <w:t>15.8</w:t>
            </w:r>
          </w:p>
        </w:tc>
        <w:tc>
          <w:tcPr>
            <w:tcW w:w="520" w:type="dxa"/>
            <w:tcBorders>
              <w:top w:val="single" w:sz="4" w:space="0" w:color="auto"/>
              <w:left w:val="nil"/>
              <w:bottom w:val="single" w:sz="4" w:space="0" w:color="auto"/>
              <w:right w:val="nil"/>
            </w:tcBorders>
            <w:shd w:val="clear" w:color="auto" w:fill="auto"/>
            <w:noWrap/>
            <w:vAlign w:val="bottom"/>
            <w:hideMark/>
          </w:tcPr>
          <w:p w14:paraId="700B2A9A" w14:textId="77777777" w:rsidR="0096202A" w:rsidRPr="00437FA5" w:rsidRDefault="0096202A" w:rsidP="00F83658">
            <w:pPr>
              <w:jc w:val="center"/>
              <w:rPr>
                <w:b/>
                <w:bCs/>
                <w:color w:val="000000"/>
                <w:sz w:val="18"/>
                <w:szCs w:val="18"/>
              </w:rPr>
            </w:pPr>
            <w:r w:rsidRPr="00437FA5">
              <w:rPr>
                <w:b/>
                <w:bCs/>
                <w:color w:val="000000"/>
                <w:sz w:val="18"/>
                <w:szCs w:val="18"/>
              </w:rPr>
              <w:t>20</w:t>
            </w:r>
          </w:p>
        </w:tc>
        <w:tc>
          <w:tcPr>
            <w:tcW w:w="531" w:type="dxa"/>
            <w:tcBorders>
              <w:top w:val="single" w:sz="4" w:space="0" w:color="auto"/>
              <w:left w:val="nil"/>
              <w:bottom w:val="single" w:sz="4" w:space="0" w:color="auto"/>
              <w:right w:val="nil"/>
            </w:tcBorders>
            <w:shd w:val="clear" w:color="auto" w:fill="auto"/>
            <w:noWrap/>
            <w:vAlign w:val="bottom"/>
            <w:hideMark/>
          </w:tcPr>
          <w:p w14:paraId="776E4FB3" w14:textId="77777777" w:rsidR="0096202A" w:rsidRPr="00437FA5" w:rsidRDefault="0096202A" w:rsidP="00F83658">
            <w:pPr>
              <w:jc w:val="center"/>
              <w:rPr>
                <w:color w:val="000000"/>
                <w:sz w:val="18"/>
                <w:szCs w:val="18"/>
              </w:rPr>
            </w:pPr>
            <w:r w:rsidRPr="00437FA5">
              <w:rPr>
                <w:color w:val="000000"/>
                <w:sz w:val="18"/>
                <w:szCs w:val="18"/>
              </w:rPr>
              <w:t>35.1</w:t>
            </w:r>
          </w:p>
        </w:tc>
        <w:tc>
          <w:tcPr>
            <w:tcW w:w="520" w:type="dxa"/>
            <w:tcBorders>
              <w:top w:val="single" w:sz="4" w:space="0" w:color="auto"/>
              <w:left w:val="nil"/>
              <w:bottom w:val="single" w:sz="4" w:space="0" w:color="auto"/>
              <w:right w:val="nil"/>
            </w:tcBorders>
            <w:shd w:val="clear" w:color="auto" w:fill="auto"/>
            <w:noWrap/>
            <w:vAlign w:val="bottom"/>
            <w:hideMark/>
          </w:tcPr>
          <w:p w14:paraId="5DF48CAC" w14:textId="77777777" w:rsidR="0096202A" w:rsidRPr="00437FA5" w:rsidRDefault="0096202A" w:rsidP="00F83658">
            <w:pPr>
              <w:jc w:val="center"/>
              <w:rPr>
                <w:b/>
                <w:bCs/>
                <w:color w:val="000000"/>
                <w:sz w:val="18"/>
                <w:szCs w:val="18"/>
              </w:rPr>
            </w:pPr>
            <w:r w:rsidRPr="00437FA5">
              <w:rPr>
                <w:b/>
                <w:bCs/>
                <w:color w:val="000000"/>
                <w:sz w:val="18"/>
                <w:szCs w:val="18"/>
              </w:rPr>
              <w:t>6</w:t>
            </w:r>
          </w:p>
        </w:tc>
        <w:tc>
          <w:tcPr>
            <w:tcW w:w="531" w:type="dxa"/>
            <w:tcBorders>
              <w:top w:val="single" w:sz="4" w:space="0" w:color="auto"/>
              <w:left w:val="nil"/>
              <w:bottom w:val="single" w:sz="4" w:space="0" w:color="auto"/>
              <w:right w:val="nil"/>
            </w:tcBorders>
            <w:shd w:val="clear" w:color="auto" w:fill="auto"/>
            <w:noWrap/>
            <w:vAlign w:val="bottom"/>
            <w:hideMark/>
          </w:tcPr>
          <w:p w14:paraId="09C58C10" w14:textId="77777777" w:rsidR="0096202A" w:rsidRPr="00437FA5" w:rsidRDefault="0096202A" w:rsidP="00F83658">
            <w:pPr>
              <w:jc w:val="center"/>
              <w:rPr>
                <w:color w:val="000000"/>
                <w:sz w:val="18"/>
                <w:szCs w:val="18"/>
              </w:rPr>
            </w:pPr>
            <w:r w:rsidRPr="00437FA5">
              <w:rPr>
                <w:color w:val="000000"/>
                <w:sz w:val="18"/>
                <w:szCs w:val="18"/>
              </w:rPr>
              <w:t>10.5</w:t>
            </w:r>
          </w:p>
        </w:tc>
        <w:tc>
          <w:tcPr>
            <w:tcW w:w="520" w:type="dxa"/>
            <w:tcBorders>
              <w:top w:val="single" w:sz="4" w:space="0" w:color="auto"/>
              <w:left w:val="nil"/>
              <w:bottom w:val="single" w:sz="4" w:space="0" w:color="auto"/>
              <w:right w:val="nil"/>
            </w:tcBorders>
            <w:shd w:val="clear" w:color="auto" w:fill="auto"/>
            <w:noWrap/>
            <w:vAlign w:val="bottom"/>
            <w:hideMark/>
          </w:tcPr>
          <w:p w14:paraId="7A9AF2AA" w14:textId="77777777" w:rsidR="0096202A" w:rsidRPr="00437FA5" w:rsidRDefault="0096202A" w:rsidP="00F83658">
            <w:pPr>
              <w:jc w:val="center"/>
              <w:rPr>
                <w:b/>
                <w:bCs/>
                <w:color w:val="000000"/>
                <w:sz w:val="18"/>
                <w:szCs w:val="18"/>
              </w:rPr>
            </w:pPr>
            <w:r w:rsidRPr="00437FA5">
              <w:rPr>
                <w:b/>
                <w:bCs/>
                <w:color w:val="000000"/>
                <w:sz w:val="18"/>
                <w:szCs w:val="18"/>
              </w:rPr>
              <w:t>17</w:t>
            </w:r>
          </w:p>
        </w:tc>
        <w:tc>
          <w:tcPr>
            <w:tcW w:w="531" w:type="dxa"/>
            <w:tcBorders>
              <w:top w:val="single" w:sz="4" w:space="0" w:color="auto"/>
              <w:left w:val="nil"/>
              <w:bottom w:val="single" w:sz="4" w:space="0" w:color="auto"/>
              <w:right w:val="nil"/>
            </w:tcBorders>
            <w:shd w:val="clear" w:color="auto" w:fill="auto"/>
            <w:noWrap/>
            <w:vAlign w:val="bottom"/>
            <w:hideMark/>
          </w:tcPr>
          <w:p w14:paraId="255C4E15" w14:textId="77777777" w:rsidR="0096202A" w:rsidRPr="00437FA5" w:rsidRDefault="0096202A" w:rsidP="00F83658">
            <w:pPr>
              <w:jc w:val="center"/>
              <w:rPr>
                <w:color w:val="000000"/>
                <w:sz w:val="18"/>
                <w:szCs w:val="18"/>
              </w:rPr>
            </w:pPr>
            <w:r w:rsidRPr="00437FA5">
              <w:rPr>
                <w:color w:val="000000"/>
                <w:sz w:val="18"/>
                <w:szCs w:val="18"/>
              </w:rPr>
              <w:t>29.8</w:t>
            </w:r>
          </w:p>
        </w:tc>
        <w:tc>
          <w:tcPr>
            <w:tcW w:w="520" w:type="dxa"/>
            <w:tcBorders>
              <w:top w:val="single" w:sz="4" w:space="0" w:color="auto"/>
              <w:left w:val="single" w:sz="4" w:space="0" w:color="auto"/>
              <w:bottom w:val="single" w:sz="4" w:space="0" w:color="auto"/>
              <w:right w:val="nil"/>
            </w:tcBorders>
            <w:shd w:val="clear" w:color="auto" w:fill="auto"/>
            <w:noWrap/>
            <w:vAlign w:val="bottom"/>
            <w:hideMark/>
          </w:tcPr>
          <w:p w14:paraId="612C4BE0" w14:textId="77777777" w:rsidR="0096202A" w:rsidRPr="00437FA5" w:rsidRDefault="0096202A" w:rsidP="00F83658">
            <w:pPr>
              <w:jc w:val="center"/>
              <w:rPr>
                <w:b/>
                <w:bCs/>
                <w:color w:val="000000"/>
                <w:sz w:val="18"/>
                <w:szCs w:val="18"/>
              </w:rPr>
            </w:pPr>
            <w:r w:rsidRPr="00437FA5">
              <w:rPr>
                <w:b/>
                <w:bCs/>
                <w:color w:val="000000"/>
                <w:sz w:val="18"/>
                <w:szCs w:val="18"/>
              </w:rPr>
              <w:t>21</w:t>
            </w:r>
          </w:p>
        </w:tc>
        <w:tc>
          <w:tcPr>
            <w:tcW w:w="531" w:type="dxa"/>
            <w:tcBorders>
              <w:top w:val="single" w:sz="4" w:space="0" w:color="auto"/>
              <w:left w:val="nil"/>
              <w:bottom w:val="single" w:sz="4" w:space="0" w:color="auto"/>
              <w:right w:val="nil"/>
            </w:tcBorders>
            <w:shd w:val="clear" w:color="auto" w:fill="auto"/>
            <w:noWrap/>
            <w:vAlign w:val="bottom"/>
            <w:hideMark/>
          </w:tcPr>
          <w:p w14:paraId="7B67BED1" w14:textId="77777777" w:rsidR="0096202A" w:rsidRPr="00437FA5" w:rsidRDefault="0096202A" w:rsidP="00F83658">
            <w:pPr>
              <w:jc w:val="center"/>
              <w:rPr>
                <w:color w:val="000000"/>
                <w:sz w:val="18"/>
                <w:szCs w:val="18"/>
              </w:rPr>
            </w:pPr>
            <w:r w:rsidRPr="00437FA5">
              <w:rPr>
                <w:color w:val="000000"/>
                <w:sz w:val="18"/>
                <w:szCs w:val="18"/>
              </w:rPr>
              <w:t>36.8</w:t>
            </w:r>
          </w:p>
        </w:tc>
        <w:tc>
          <w:tcPr>
            <w:tcW w:w="520" w:type="dxa"/>
            <w:gridSpan w:val="2"/>
            <w:tcBorders>
              <w:top w:val="single" w:sz="4" w:space="0" w:color="auto"/>
              <w:left w:val="nil"/>
              <w:bottom w:val="single" w:sz="4" w:space="0" w:color="auto"/>
              <w:right w:val="nil"/>
            </w:tcBorders>
            <w:shd w:val="clear" w:color="auto" w:fill="auto"/>
            <w:noWrap/>
            <w:vAlign w:val="bottom"/>
            <w:hideMark/>
          </w:tcPr>
          <w:p w14:paraId="56104E16" w14:textId="77777777" w:rsidR="0096202A" w:rsidRPr="00437FA5" w:rsidRDefault="0096202A" w:rsidP="00F83658">
            <w:pPr>
              <w:jc w:val="center"/>
              <w:rPr>
                <w:b/>
                <w:bCs/>
                <w:color w:val="000000"/>
                <w:sz w:val="18"/>
                <w:szCs w:val="18"/>
              </w:rPr>
            </w:pPr>
            <w:r w:rsidRPr="00437FA5">
              <w:rPr>
                <w:b/>
                <w:bCs/>
                <w:color w:val="000000"/>
                <w:sz w:val="18"/>
                <w:szCs w:val="18"/>
              </w:rPr>
              <w:t>4</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14:paraId="4A908D10" w14:textId="77777777" w:rsidR="0096202A" w:rsidRPr="00437FA5" w:rsidRDefault="0096202A" w:rsidP="00F83658">
            <w:pPr>
              <w:jc w:val="center"/>
              <w:rPr>
                <w:color w:val="000000"/>
                <w:sz w:val="18"/>
                <w:szCs w:val="18"/>
              </w:rPr>
            </w:pPr>
            <w:r w:rsidRPr="00437FA5">
              <w:rPr>
                <w:color w:val="000000"/>
                <w:sz w:val="18"/>
                <w:szCs w:val="18"/>
              </w:rPr>
              <w:t>7.0</w:t>
            </w:r>
          </w:p>
        </w:tc>
        <w:tc>
          <w:tcPr>
            <w:tcW w:w="596" w:type="dxa"/>
            <w:tcBorders>
              <w:top w:val="single" w:sz="4" w:space="0" w:color="auto"/>
              <w:left w:val="single" w:sz="4" w:space="0" w:color="auto"/>
              <w:bottom w:val="single" w:sz="4" w:space="0" w:color="auto"/>
              <w:right w:val="nil"/>
            </w:tcBorders>
            <w:shd w:val="clear" w:color="auto" w:fill="auto"/>
            <w:noWrap/>
            <w:vAlign w:val="bottom"/>
            <w:hideMark/>
          </w:tcPr>
          <w:p w14:paraId="26808E4F" w14:textId="77777777" w:rsidR="0096202A" w:rsidRPr="00437FA5" w:rsidRDefault="0096202A" w:rsidP="00F83658">
            <w:pPr>
              <w:jc w:val="center"/>
              <w:rPr>
                <w:b/>
                <w:bCs/>
                <w:color w:val="000000"/>
                <w:sz w:val="18"/>
                <w:szCs w:val="18"/>
              </w:rPr>
            </w:pPr>
            <w:r w:rsidRPr="00437FA5">
              <w:rPr>
                <w:b/>
                <w:bCs/>
                <w:color w:val="000000"/>
                <w:sz w:val="18"/>
                <w:szCs w:val="18"/>
              </w:rPr>
              <w:t>57</w:t>
            </w:r>
          </w:p>
        </w:tc>
      </w:tr>
      <w:tr w:rsidR="00F4440E" w:rsidRPr="00437FA5" w14:paraId="73BD9975" w14:textId="77777777" w:rsidTr="006269F7">
        <w:trPr>
          <w:trHeight w:val="255"/>
        </w:trPr>
        <w:tc>
          <w:tcPr>
            <w:tcW w:w="8953" w:type="dxa"/>
            <w:gridSpan w:val="17"/>
            <w:tcBorders>
              <w:top w:val="nil"/>
              <w:left w:val="nil"/>
              <w:bottom w:val="nil"/>
              <w:right w:val="nil"/>
            </w:tcBorders>
            <w:shd w:val="clear" w:color="auto" w:fill="auto"/>
            <w:noWrap/>
            <w:vAlign w:val="bottom"/>
            <w:hideMark/>
          </w:tcPr>
          <w:p w14:paraId="2EDD1D66" w14:textId="77777777" w:rsidR="00F4440E" w:rsidRPr="00F4440E" w:rsidRDefault="00F4440E" w:rsidP="00F4440E">
            <w:pPr>
              <w:rPr>
                <w:bCs/>
                <w:color w:val="000000"/>
                <w:sz w:val="18"/>
                <w:szCs w:val="18"/>
              </w:rPr>
            </w:pPr>
            <w:r w:rsidRPr="00F4440E">
              <w:rPr>
                <w:bCs/>
                <w:color w:val="000000"/>
                <w:sz w:val="18"/>
                <w:szCs w:val="18"/>
              </w:rPr>
              <w:t>PH=porotic hyperostosis, DEH-dental enamel hypoplasia </w:t>
            </w:r>
          </w:p>
        </w:tc>
      </w:tr>
      <w:tr w:rsidR="0096202A" w:rsidRPr="00437FA5" w14:paraId="08B6C08D" w14:textId="77777777" w:rsidTr="00F4440E">
        <w:trPr>
          <w:trHeight w:val="255"/>
        </w:trPr>
        <w:tc>
          <w:tcPr>
            <w:tcW w:w="1000" w:type="dxa"/>
            <w:tcBorders>
              <w:top w:val="nil"/>
              <w:left w:val="nil"/>
              <w:bottom w:val="nil"/>
              <w:right w:val="nil"/>
            </w:tcBorders>
            <w:shd w:val="clear" w:color="auto" w:fill="auto"/>
            <w:noWrap/>
            <w:vAlign w:val="bottom"/>
            <w:hideMark/>
          </w:tcPr>
          <w:p w14:paraId="4BB521AD"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7ED9D391"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05966D32"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76E7D307"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3697B8C4"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75980F8A"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65992741"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3F83C7D9"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3D96A480"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5731A614"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26BD3678" w14:textId="77777777" w:rsidR="0096202A" w:rsidRPr="00437FA5" w:rsidRDefault="0096202A" w:rsidP="00F83658">
            <w:pPr>
              <w:jc w:val="center"/>
              <w:rPr>
                <w:b/>
                <w:bCs/>
                <w:color w:val="000000"/>
                <w:sz w:val="18"/>
                <w:szCs w:val="18"/>
              </w:rPr>
            </w:pPr>
          </w:p>
        </w:tc>
        <w:tc>
          <w:tcPr>
            <w:tcW w:w="520" w:type="dxa"/>
            <w:tcBorders>
              <w:top w:val="nil"/>
              <w:left w:val="nil"/>
              <w:bottom w:val="nil"/>
              <w:right w:val="nil"/>
            </w:tcBorders>
            <w:shd w:val="clear" w:color="auto" w:fill="auto"/>
            <w:noWrap/>
            <w:vAlign w:val="bottom"/>
            <w:hideMark/>
          </w:tcPr>
          <w:p w14:paraId="43DF4DF8"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68BEFBA8" w14:textId="77777777" w:rsidR="0096202A" w:rsidRPr="00437FA5" w:rsidRDefault="0096202A" w:rsidP="00F83658">
            <w:pPr>
              <w:jc w:val="center"/>
              <w:rPr>
                <w:b/>
                <w:bCs/>
                <w:color w:val="000000"/>
                <w:sz w:val="18"/>
                <w:szCs w:val="18"/>
              </w:rPr>
            </w:pPr>
          </w:p>
        </w:tc>
        <w:tc>
          <w:tcPr>
            <w:tcW w:w="520" w:type="dxa"/>
            <w:gridSpan w:val="2"/>
            <w:tcBorders>
              <w:top w:val="nil"/>
              <w:left w:val="nil"/>
              <w:bottom w:val="nil"/>
              <w:right w:val="nil"/>
            </w:tcBorders>
            <w:shd w:val="clear" w:color="auto" w:fill="auto"/>
            <w:noWrap/>
            <w:vAlign w:val="bottom"/>
            <w:hideMark/>
          </w:tcPr>
          <w:p w14:paraId="01C950B3" w14:textId="77777777" w:rsidR="0096202A" w:rsidRPr="00437FA5" w:rsidRDefault="0096202A" w:rsidP="00F83658">
            <w:pPr>
              <w:jc w:val="center"/>
              <w:rPr>
                <w:b/>
                <w:bCs/>
                <w:color w:val="000000"/>
                <w:sz w:val="18"/>
                <w:szCs w:val="18"/>
              </w:rPr>
            </w:pPr>
          </w:p>
        </w:tc>
        <w:tc>
          <w:tcPr>
            <w:tcW w:w="531" w:type="dxa"/>
            <w:tcBorders>
              <w:top w:val="nil"/>
              <w:left w:val="nil"/>
              <w:bottom w:val="nil"/>
              <w:right w:val="nil"/>
            </w:tcBorders>
            <w:shd w:val="clear" w:color="auto" w:fill="auto"/>
            <w:noWrap/>
            <w:vAlign w:val="bottom"/>
            <w:hideMark/>
          </w:tcPr>
          <w:p w14:paraId="23298F63" w14:textId="77777777" w:rsidR="0096202A" w:rsidRPr="00437FA5" w:rsidRDefault="0096202A" w:rsidP="00F83658">
            <w:pPr>
              <w:jc w:val="center"/>
              <w:rPr>
                <w:b/>
                <w:bCs/>
                <w:color w:val="000000"/>
                <w:sz w:val="18"/>
                <w:szCs w:val="18"/>
              </w:rPr>
            </w:pPr>
          </w:p>
        </w:tc>
        <w:tc>
          <w:tcPr>
            <w:tcW w:w="596" w:type="dxa"/>
            <w:tcBorders>
              <w:top w:val="nil"/>
              <w:left w:val="nil"/>
              <w:bottom w:val="nil"/>
              <w:right w:val="nil"/>
            </w:tcBorders>
            <w:shd w:val="clear" w:color="auto" w:fill="auto"/>
            <w:noWrap/>
            <w:vAlign w:val="bottom"/>
            <w:hideMark/>
          </w:tcPr>
          <w:p w14:paraId="0C6E90D4" w14:textId="77777777" w:rsidR="0096202A" w:rsidRPr="00437FA5" w:rsidRDefault="0096202A" w:rsidP="00F83658">
            <w:pPr>
              <w:jc w:val="center"/>
              <w:rPr>
                <w:b/>
                <w:bCs/>
                <w:color w:val="000000"/>
                <w:sz w:val="18"/>
                <w:szCs w:val="18"/>
              </w:rPr>
            </w:pPr>
          </w:p>
        </w:tc>
      </w:tr>
    </w:tbl>
    <w:p w14:paraId="6605A927" w14:textId="77777777" w:rsidR="00246BC3" w:rsidRPr="00246BC3" w:rsidRDefault="00246BC3" w:rsidP="00246BC3">
      <w:pPr>
        <w:spacing w:line="480" w:lineRule="auto"/>
        <w:contextualSpacing/>
        <w:rPr>
          <w:i/>
        </w:rPr>
      </w:pPr>
    </w:p>
    <w:p w14:paraId="02372566" w14:textId="77777777" w:rsidR="00B15BD2" w:rsidRDefault="003C4E3D" w:rsidP="00BF4F61">
      <w:pPr>
        <w:spacing w:line="480" w:lineRule="auto"/>
        <w:ind w:firstLine="720"/>
        <w:contextualSpacing/>
      </w:pPr>
      <w:bookmarkStart w:id="69" w:name="_Toc233171673"/>
      <w:r w:rsidRPr="00246BC3">
        <w:t xml:space="preserve">Table </w:t>
      </w:r>
      <w:r>
        <w:t>2</w:t>
      </w:r>
      <w:r w:rsidRPr="00246BC3">
        <w:t xml:space="preserve"> displays the distribution of the</w:t>
      </w:r>
      <w:r>
        <w:t xml:space="preserve"> skeletal sample by age cohort and stress group. </w:t>
      </w:r>
      <w:r w:rsidR="00DC3C48">
        <w:t xml:space="preserve">Individuals who possessed one or more of the three stress lesions described above were classified as chronically stressed, while those without visible lesions were defined as acutely stressed. </w:t>
      </w:r>
      <w:r w:rsidR="00AC6527">
        <w:t xml:space="preserve">Due to the presence of significant health stressors at Alytus and </w:t>
      </w:r>
      <w:r w:rsidR="00DD0CB0">
        <w:t xml:space="preserve">the circumstances involved with increased mortality hazards and cemetery composition, there are few individuals above the age of seven in the acute stress group. </w:t>
      </w:r>
      <w:r w:rsidR="00EF2EDC">
        <w:t>The effects of this sampling bias on statistical analyses are discussed in Chapter 5.</w:t>
      </w:r>
    </w:p>
    <w:p w14:paraId="18A26092" w14:textId="77777777" w:rsidR="00BF4F61" w:rsidRDefault="00BF4F61" w:rsidP="00BF4F61">
      <w:pPr>
        <w:spacing w:line="480" w:lineRule="auto"/>
        <w:ind w:firstLine="720"/>
        <w:contextualSpacing/>
      </w:pPr>
    </w:p>
    <w:p w14:paraId="285F8275" w14:textId="77777777" w:rsidR="00B15BD2" w:rsidRPr="003A6FFC" w:rsidRDefault="00B15BD2" w:rsidP="00BF4F61">
      <w:pPr>
        <w:pStyle w:val="Caption"/>
        <w:keepNext/>
        <w:spacing w:line="480" w:lineRule="auto"/>
        <w:jc w:val="center"/>
      </w:pPr>
      <w:r>
        <w:t xml:space="preserve">Table 2. </w:t>
      </w:r>
      <w:r w:rsidRPr="003322EA">
        <w:t>Age distribution of the Alytus skeletal sample by stress group.</w:t>
      </w:r>
    </w:p>
    <w:tbl>
      <w:tblPr>
        <w:tblW w:w="7460" w:type="dxa"/>
        <w:jc w:val="center"/>
        <w:tblInd w:w="95" w:type="dxa"/>
        <w:tblLook w:val="04A0" w:firstRow="1" w:lastRow="0" w:firstColumn="1" w:lastColumn="0" w:noHBand="0" w:noVBand="1"/>
      </w:tblPr>
      <w:tblGrid>
        <w:gridCol w:w="1860"/>
        <w:gridCol w:w="839"/>
        <w:gridCol w:w="1401"/>
        <w:gridCol w:w="839"/>
        <w:gridCol w:w="1401"/>
        <w:gridCol w:w="1120"/>
      </w:tblGrid>
      <w:tr w:rsidR="00B15BD2" w:rsidRPr="003A6FFC" w14:paraId="76BF79DE" w14:textId="77777777" w:rsidTr="006269F7">
        <w:trPr>
          <w:trHeight w:val="300"/>
          <w:jc w:val="center"/>
        </w:trPr>
        <w:tc>
          <w:tcPr>
            <w:tcW w:w="1860" w:type="dxa"/>
            <w:tcBorders>
              <w:top w:val="single" w:sz="4" w:space="0" w:color="auto"/>
              <w:left w:val="nil"/>
              <w:bottom w:val="single" w:sz="4" w:space="0" w:color="auto"/>
              <w:right w:val="nil"/>
            </w:tcBorders>
            <w:shd w:val="clear" w:color="auto" w:fill="auto"/>
            <w:noWrap/>
            <w:vAlign w:val="bottom"/>
            <w:hideMark/>
          </w:tcPr>
          <w:p w14:paraId="731C7C92" w14:textId="77777777" w:rsidR="00B15BD2" w:rsidRPr="003A6FFC" w:rsidRDefault="00B15BD2" w:rsidP="006269F7">
            <w:pPr>
              <w:jc w:val="center"/>
              <w:rPr>
                <w:b/>
                <w:bCs/>
                <w:color w:val="000000"/>
                <w:sz w:val="22"/>
                <w:szCs w:val="22"/>
              </w:rPr>
            </w:pPr>
            <w:r w:rsidRPr="003A6FFC">
              <w:rPr>
                <w:b/>
                <w:bCs/>
                <w:color w:val="000000"/>
                <w:sz w:val="22"/>
                <w:szCs w:val="22"/>
              </w:rPr>
              <w:t> </w:t>
            </w:r>
          </w:p>
        </w:tc>
        <w:tc>
          <w:tcPr>
            <w:tcW w:w="2240" w:type="dxa"/>
            <w:gridSpan w:val="2"/>
            <w:tcBorders>
              <w:top w:val="single" w:sz="4" w:space="0" w:color="auto"/>
              <w:left w:val="nil"/>
              <w:bottom w:val="single" w:sz="4" w:space="0" w:color="auto"/>
              <w:right w:val="nil"/>
            </w:tcBorders>
            <w:shd w:val="clear" w:color="auto" w:fill="auto"/>
            <w:noWrap/>
            <w:vAlign w:val="bottom"/>
            <w:hideMark/>
          </w:tcPr>
          <w:p w14:paraId="26E3E47A" w14:textId="77777777" w:rsidR="00B15BD2" w:rsidRPr="003A6FFC" w:rsidRDefault="00B15BD2" w:rsidP="006269F7">
            <w:pPr>
              <w:jc w:val="center"/>
              <w:rPr>
                <w:b/>
                <w:bCs/>
                <w:color w:val="000000"/>
                <w:sz w:val="22"/>
                <w:szCs w:val="22"/>
              </w:rPr>
            </w:pPr>
            <w:r w:rsidRPr="003A6FFC">
              <w:rPr>
                <w:b/>
                <w:bCs/>
                <w:color w:val="000000"/>
                <w:sz w:val="22"/>
                <w:szCs w:val="22"/>
              </w:rPr>
              <w:t>Chronic Stress</w:t>
            </w:r>
          </w:p>
        </w:tc>
        <w:tc>
          <w:tcPr>
            <w:tcW w:w="2240" w:type="dxa"/>
            <w:gridSpan w:val="2"/>
            <w:tcBorders>
              <w:top w:val="single" w:sz="4" w:space="0" w:color="auto"/>
              <w:left w:val="nil"/>
              <w:bottom w:val="single" w:sz="4" w:space="0" w:color="auto"/>
              <w:right w:val="nil"/>
            </w:tcBorders>
            <w:shd w:val="clear" w:color="auto" w:fill="auto"/>
            <w:noWrap/>
            <w:vAlign w:val="bottom"/>
            <w:hideMark/>
          </w:tcPr>
          <w:p w14:paraId="0FC0E47B" w14:textId="77777777" w:rsidR="00B15BD2" w:rsidRPr="003A6FFC" w:rsidRDefault="00B15BD2" w:rsidP="006269F7">
            <w:pPr>
              <w:jc w:val="center"/>
              <w:rPr>
                <w:b/>
                <w:bCs/>
                <w:color w:val="000000"/>
                <w:sz w:val="22"/>
                <w:szCs w:val="22"/>
              </w:rPr>
            </w:pPr>
            <w:r w:rsidRPr="003A6FFC">
              <w:rPr>
                <w:b/>
                <w:bCs/>
                <w:color w:val="000000"/>
                <w:sz w:val="22"/>
                <w:szCs w:val="22"/>
              </w:rPr>
              <w:t>Acute Stress</w:t>
            </w:r>
          </w:p>
        </w:tc>
        <w:tc>
          <w:tcPr>
            <w:tcW w:w="1120" w:type="dxa"/>
            <w:tcBorders>
              <w:top w:val="single" w:sz="4" w:space="0" w:color="auto"/>
              <w:left w:val="nil"/>
              <w:bottom w:val="single" w:sz="4" w:space="0" w:color="auto"/>
              <w:right w:val="nil"/>
            </w:tcBorders>
            <w:shd w:val="clear" w:color="auto" w:fill="auto"/>
            <w:noWrap/>
            <w:vAlign w:val="bottom"/>
            <w:hideMark/>
          </w:tcPr>
          <w:p w14:paraId="7609F316" w14:textId="77777777" w:rsidR="00B15BD2" w:rsidRPr="003A6FFC" w:rsidRDefault="00B15BD2" w:rsidP="006269F7">
            <w:pPr>
              <w:jc w:val="center"/>
              <w:rPr>
                <w:b/>
                <w:bCs/>
                <w:color w:val="000000"/>
                <w:sz w:val="22"/>
                <w:szCs w:val="22"/>
              </w:rPr>
            </w:pPr>
            <w:r w:rsidRPr="003A6FFC">
              <w:rPr>
                <w:b/>
                <w:bCs/>
                <w:color w:val="000000"/>
                <w:sz w:val="22"/>
                <w:szCs w:val="22"/>
              </w:rPr>
              <w:t>Total</w:t>
            </w:r>
          </w:p>
        </w:tc>
      </w:tr>
      <w:tr w:rsidR="00B15BD2" w:rsidRPr="003A6FFC" w14:paraId="79DC618E" w14:textId="77777777" w:rsidTr="006269F7">
        <w:trPr>
          <w:trHeight w:val="300"/>
          <w:jc w:val="center"/>
        </w:trPr>
        <w:tc>
          <w:tcPr>
            <w:tcW w:w="1860" w:type="dxa"/>
            <w:tcBorders>
              <w:top w:val="nil"/>
              <w:left w:val="nil"/>
              <w:bottom w:val="single" w:sz="4" w:space="0" w:color="auto"/>
              <w:right w:val="nil"/>
            </w:tcBorders>
            <w:shd w:val="clear" w:color="auto" w:fill="auto"/>
            <w:noWrap/>
            <w:vAlign w:val="bottom"/>
            <w:hideMark/>
          </w:tcPr>
          <w:p w14:paraId="2AB322A0" w14:textId="77777777" w:rsidR="00B15BD2" w:rsidRPr="003A6FFC" w:rsidRDefault="00B15BD2" w:rsidP="006269F7">
            <w:pPr>
              <w:jc w:val="center"/>
              <w:rPr>
                <w:b/>
                <w:bCs/>
                <w:color w:val="000000"/>
                <w:sz w:val="22"/>
                <w:szCs w:val="22"/>
              </w:rPr>
            </w:pPr>
            <w:r w:rsidRPr="003A6FFC">
              <w:rPr>
                <w:b/>
                <w:bCs/>
                <w:color w:val="000000"/>
                <w:sz w:val="22"/>
                <w:szCs w:val="22"/>
              </w:rPr>
              <w:t>Age Category</w:t>
            </w:r>
          </w:p>
        </w:tc>
        <w:tc>
          <w:tcPr>
            <w:tcW w:w="839" w:type="dxa"/>
            <w:tcBorders>
              <w:top w:val="nil"/>
              <w:left w:val="nil"/>
              <w:bottom w:val="single" w:sz="4" w:space="0" w:color="auto"/>
              <w:right w:val="nil"/>
            </w:tcBorders>
            <w:shd w:val="clear" w:color="auto" w:fill="auto"/>
            <w:noWrap/>
            <w:vAlign w:val="bottom"/>
            <w:hideMark/>
          </w:tcPr>
          <w:p w14:paraId="35441A09" w14:textId="77777777" w:rsidR="00B15BD2" w:rsidRPr="003A6FFC" w:rsidRDefault="00B15BD2" w:rsidP="006269F7">
            <w:pPr>
              <w:jc w:val="center"/>
              <w:rPr>
                <w:color w:val="000000"/>
                <w:sz w:val="22"/>
                <w:szCs w:val="22"/>
              </w:rPr>
            </w:pPr>
            <w:r w:rsidRPr="003A6FFC">
              <w:rPr>
                <w:color w:val="000000"/>
                <w:sz w:val="22"/>
                <w:szCs w:val="22"/>
              </w:rPr>
              <w:t>n</w:t>
            </w:r>
          </w:p>
        </w:tc>
        <w:tc>
          <w:tcPr>
            <w:tcW w:w="1401" w:type="dxa"/>
            <w:tcBorders>
              <w:top w:val="nil"/>
              <w:left w:val="nil"/>
              <w:bottom w:val="single" w:sz="4" w:space="0" w:color="auto"/>
              <w:right w:val="nil"/>
            </w:tcBorders>
            <w:shd w:val="clear" w:color="auto" w:fill="auto"/>
            <w:noWrap/>
            <w:vAlign w:val="bottom"/>
            <w:hideMark/>
          </w:tcPr>
          <w:p w14:paraId="10A790CE" w14:textId="77777777" w:rsidR="00B15BD2" w:rsidRPr="003A6FFC" w:rsidRDefault="00B15BD2" w:rsidP="006269F7">
            <w:pPr>
              <w:jc w:val="center"/>
              <w:rPr>
                <w:color w:val="000000"/>
                <w:sz w:val="22"/>
                <w:szCs w:val="22"/>
              </w:rPr>
            </w:pPr>
            <w:r w:rsidRPr="003A6FFC">
              <w:rPr>
                <w:color w:val="000000"/>
                <w:sz w:val="22"/>
                <w:szCs w:val="22"/>
              </w:rPr>
              <w:t>%</w:t>
            </w:r>
          </w:p>
        </w:tc>
        <w:tc>
          <w:tcPr>
            <w:tcW w:w="839" w:type="dxa"/>
            <w:tcBorders>
              <w:top w:val="nil"/>
              <w:left w:val="nil"/>
              <w:bottom w:val="single" w:sz="4" w:space="0" w:color="auto"/>
              <w:right w:val="nil"/>
            </w:tcBorders>
            <w:shd w:val="clear" w:color="auto" w:fill="auto"/>
            <w:noWrap/>
            <w:vAlign w:val="bottom"/>
            <w:hideMark/>
          </w:tcPr>
          <w:p w14:paraId="076AF7E5" w14:textId="77777777" w:rsidR="00B15BD2" w:rsidRPr="003A6FFC" w:rsidRDefault="00B15BD2" w:rsidP="006269F7">
            <w:pPr>
              <w:jc w:val="center"/>
              <w:rPr>
                <w:color w:val="000000"/>
                <w:sz w:val="22"/>
                <w:szCs w:val="22"/>
              </w:rPr>
            </w:pPr>
            <w:r w:rsidRPr="003A6FFC">
              <w:rPr>
                <w:color w:val="000000"/>
                <w:sz w:val="22"/>
                <w:szCs w:val="22"/>
              </w:rPr>
              <w:t>n</w:t>
            </w:r>
          </w:p>
        </w:tc>
        <w:tc>
          <w:tcPr>
            <w:tcW w:w="1401" w:type="dxa"/>
            <w:tcBorders>
              <w:top w:val="nil"/>
              <w:left w:val="nil"/>
              <w:bottom w:val="single" w:sz="4" w:space="0" w:color="auto"/>
              <w:right w:val="nil"/>
            </w:tcBorders>
            <w:shd w:val="clear" w:color="auto" w:fill="auto"/>
            <w:noWrap/>
            <w:vAlign w:val="bottom"/>
            <w:hideMark/>
          </w:tcPr>
          <w:p w14:paraId="2DB4C37D" w14:textId="77777777" w:rsidR="00B15BD2" w:rsidRPr="003A6FFC" w:rsidRDefault="00B15BD2" w:rsidP="006269F7">
            <w:pPr>
              <w:jc w:val="center"/>
              <w:rPr>
                <w:color w:val="000000"/>
                <w:sz w:val="22"/>
                <w:szCs w:val="22"/>
              </w:rPr>
            </w:pPr>
            <w:r w:rsidRPr="003A6FFC">
              <w:rPr>
                <w:color w:val="000000"/>
                <w:sz w:val="22"/>
                <w:szCs w:val="22"/>
              </w:rPr>
              <w:t>%</w:t>
            </w:r>
          </w:p>
        </w:tc>
        <w:tc>
          <w:tcPr>
            <w:tcW w:w="1120" w:type="dxa"/>
            <w:tcBorders>
              <w:top w:val="nil"/>
              <w:left w:val="nil"/>
              <w:bottom w:val="single" w:sz="4" w:space="0" w:color="auto"/>
              <w:right w:val="nil"/>
            </w:tcBorders>
            <w:shd w:val="clear" w:color="auto" w:fill="auto"/>
            <w:noWrap/>
            <w:vAlign w:val="bottom"/>
            <w:hideMark/>
          </w:tcPr>
          <w:p w14:paraId="0ABC6E33" w14:textId="77777777" w:rsidR="00B15BD2" w:rsidRPr="003A6FFC" w:rsidRDefault="00B15BD2" w:rsidP="006269F7">
            <w:pPr>
              <w:jc w:val="center"/>
              <w:rPr>
                <w:color w:val="000000"/>
                <w:sz w:val="22"/>
                <w:szCs w:val="22"/>
              </w:rPr>
            </w:pPr>
            <w:r w:rsidRPr="003A6FFC">
              <w:rPr>
                <w:color w:val="000000"/>
                <w:sz w:val="22"/>
                <w:szCs w:val="22"/>
              </w:rPr>
              <w:t>n</w:t>
            </w:r>
          </w:p>
        </w:tc>
      </w:tr>
      <w:tr w:rsidR="00B15BD2" w:rsidRPr="003A6FFC" w14:paraId="4DF67253" w14:textId="77777777" w:rsidTr="006269F7">
        <w:trPr>
          <w:trHeight w:val="300"/>
          <w:jc w:val="center"/>
        </w:trPr>
        <w:tc>
          <w:tcPr>
            <w:tcW w:w="1860" w:type="dxa"/>
            <w:tcBorders>
              <w:top w:val="nil"/>
              <w:left w:val="nil"/>
              <w:bottom w:val="nil"/>
              <w:right w:val="nil"/>
            </w:tcBorders>
            <w:shd w:val="clear" w:color="auto" w:fill="auto"/>
            <w:noWrap/>
            <w:vAlign w:val="bottom"/>
            <w:hideMark/>
          </w:tcPr>
          <w:p w14:paraId="16978C49" w14:textId="77777777" w:rsidR="00B15BD2" w:rsidRPr="003A6FFC" w:rsidRDefault="00B15BD2" w:rsidP="006269F7">
            <w:pPr>
              <w:jc w:val="center"/>
              <w:rPr>
                <w:color w:val="000000"/>
                <w:sz w:val="22"/>
                <w:szCs w:val="22"/>
              </w:rPr>
            </w:pPr>
            <w:r w:rsidRPr="003A6FFC">
              <w:rPr>
                <w:color w:val="000000"/>
                <w:sz w:val="22"/>
                <w:szCs w:val="22"/>
              </w:rPr>
              <w:t>1.0-1.99</w:t>
            </w:r>
          </w:p>
        </w:tc>
        <w:tc>
          <w:tcPr>
            <w:tcW w:w="839" w:type="dxa"/>
            <w:tcBorders>
              <w:top w:val="nil"/>
              <w:left w:val="nil"/>
              <w:bottom w:val="nil"/>
              <w:right w:val="nil"/>
            </w:tcBorders>
            <w:shd w:val="clear" w:color="auto" w:fill="auto"/>
            <w:noWrap/>
            <w:vAlign w:val="bottom"/>
            <w:hideMark/>
          </w:tcPr>
          <w:p w14:paraId="4EED7E32" w14:textId="77777777" w:rsidR="00B15BD2" w:rsidRPr="003A6FFC" w:rsidRDefault="00B15BD2" w:rsidP="006269F7">
            <w:pPr>
              <w:jc w:val="center"/>
              <w:rPr>
                <w:color w:val="000000"/>
                <w:sz w:val="22"/>
                <w:szCs w:val="22"/>
              </w:rPr>
            </w:pPr>
            <w:r w:rsidRPr="003A6FFC">
              <w:rPr>
                <w:color w:val="000000"/>
                <w:sz w:val="22"/>
                <w:szCs w:val="22"/>
              </w:rPr>
              <w:t>3</w:t>
            </w:r>
          </w:p>
        </w:tc>
        <w:tc>
          <w:tcPr>
            <w:tcW w:w="1401" w:type="dxa"/>
            <w:tcBorders>
              <w:top w:val="nil"/>
              <w:left w:val="nil"/>
              <w:bottom w:val="nil"/>
              <w:right w:val="nil"/>
            </w:tcBorders>
            <w:shd w:val="clear" w:color="auto" w:fill="auto"/>
            <w:noWrap/>
            <w:vAlign w:val="bottom"/>
            <w:hideMark/>
          </w:tcPr>
          <w:p w14:paraId="080F2E6B" w14:textId="77777777" w:rsidR="00B15BD2" w:rsidRPr="003A6FFC" w:rsidRDefault="00B15BD2" w:rsidP="006269F7">
            <w:pPr>
              <w:jc w:val="center"/>
              <w:rPr>
                <w:color w:val="000000"/>
                <w:sz w:val="22"/>
                <w:szCs w:val="22"/>
              </w:rPr>
            </w:pPr>
            <w:r w:rsidRPr="003A6FFC">
              <w:rPr>
                <w:color w:val="000000"/>
                <w:sz w:val="22"/>
                <w:szCs w:val="22"/>
              </w:rPr>
              <w:t>50</w:t>
            </w:r>
          </w:p>
        </w:tc>
        <w:tc>
          <w:tcPr>
            <w:tcW w:w="839" w:type="dxa"/>
            <w:tcBorders>
              <w:top w:val="nil"/>
              <w:left w:val="nil"/>
              <w:bottom w:val="nil"/>
              <w:right w:val="nil"/>
            </w:tcBorders>
            <w:shd w:val="clear" w:color="auto" w:fill="auto"/>
            <w:noWrap/>
            <w:vAlign w:val="bottom"/>
            <w:hideMark/>
          </w:tcPr>
          <w:p w14:paraId="497461B6" w14:textId="77777777" w:rsidR="00B15BD2" w:rsidRPr="003A6FFC" w:rsidRDefault="00B15BD2" w:rsidP="006269F7">
            <w:pPr>
              <w:jc w:val="center"/>
              <w:rPr>
                <w:color w:val="000000"/>
                <w:sz w:val="22"/>
                <w:szCs w:val="22"/>
              </w:rPr>
            </w:pPr>
            <w:r w:rsidRPr="003A6FFC">
              <w:rPr>
                <w:color w:val="000000"/>
                <w:sz w:val="22"/>
                <w:szCs w:val="22"/>
              </w:rPr>
              <w:t>3</w:t>
            </w:r>
          </w:p>
        </w:tc>
        <w:tc>
          <w:tcPr>
            <w:tcW w:w="1401" w:type="dxa"/>
            <w:tcBorders>
              <w:top w:val="nil"/>
              <w:left w:val="nil"/>
              <w:bottom w:val="nil"/>
              <w:right w:val="nil"/>
            </w:tcBorders>
            <w:shd w:val="clear" w:color="auto" w:fill="auto"/>
            <w:noWrap/>
            <w:vAlign w:val="bottom"/>
            <w:hideMark/>
          </w:tcPr>
          <w:p w14:paraId="10D56EB8" w14:textId="77777777" w:rsidR="00B15BD2" w:rsidRPr="003A6FFC" w:rsidRDefault="00B15BD2" w:rsidP="006269F7">
            <w:pPr>
              <w:jc w:val="center"/>
              <w:rPr>
                <w:color w:val="000000"/>
                <w:sz w:val="22"/>
                <w:szCs w:val="22"/>
              </w:rPr>
            </w:pPr>
            <w:r w:rsidRPr="003A6FFC">
              <w:rPr>
                <w:color w:val="000000"/>
                <w:sz w:val="22"/>
                <w:szCs w:val="22"/>
              </w:rPr>
              <w:t>50</w:t>
            </w:r>
          </w:p>
        </w:tc>
        <w:tc>
          <w:tcPr>
            <w:tcW w:w="1120" w:type="dxa"/>
            <w:tcBorders>
              <w:top w:val="nil"/>
              <w:left w:val="nil"/>
              <w:bottom w:val="nil"/>
              <w:right w:val="nil"/>
            </w:tcBorders>
            <w:shd w:val="clear" w:color="auto" w:fill="auto"/>
            <w:noWrap/>
            <w:vAlign w:val="bottom"/>
            <w:hideMark/>
          </w:tcPr>
          <w:p w14:paraId="67053606" w14:textId="77777777" w:rsidR="00B15BD2" w:rsidRPr="003A6FFC" w:rsidRDefault="00B15BD2" w:rsidP="006269F7">
            <w:pPr>
              <w:jc w:val="center"/>
              <w:rPr>
                <w:color w:val="000000"/>
                <w:sz w:val="22"/>
                <w:szCs w:val="22"/>
              </w:rPr>
            </w:pPr>
            <w:r w:rsidRPr="003A6FFC">
              <w:rPr>
                <w:color w:val="000000"/>
                <w:sz w:val="22"/>
                <w:szCs w:val="22"/>
              </w:rPr>
              <w:t>6</w:t>
            </w:r>
          </w:p>
        </w:tc>
      </w:tr>
      <w:tr w:rsidR="00B15BD2" w:rsidRPr="003A6FFC" w14:paraId="7FC5AB39" w14:textId="77777777" w:rsidTr="006269F7">
        <w:trPr>
          <w:trHeight w:val="300"/>
          <w:jc w:val="center"/>
        </w:trPr>
        <w:tc>
          <w:tcPr>
            <w:tcW w:w="1860" w:type="dxa"/>
            <w:tcBorders>
              <w:top w:val="nil"/>
              <w:left w:val="nil"/>
              <w:bottom w:val="nil"/>
              <w:right w:val="nil"/>
            </w:tcBorders>
            <w:shd w:val="clear" w:color="auto" w:fill="auto"/>
            <w:noWrap/>
            <w:vAlign w:val="bottom"/>
            <w:hideMark/>
          </w:tcPr>
          <w:p w14:paraId="028CB472" w14:textId="77777777" w:rsidR="00B15BD2" w:rsidRPr="003A6FFC" w:rsidRDefault="00B15BD2" w:rsidP="006269F7">
            <w:pPr>
              <w:jc w:val="center"/>
              <w:rPr>
                <w:color w:val="000000"/>
                <w:sz w:val="22"/>
                <w:szCs w:val="22"/>
              </w:rPr>
            </w:pPr>
            <w:r w:rsidRPr="003A6FFC">
              <w:rPr>
                <w:color w:val="000000"/>
                <w:sz w:val="22"/>
                <w:szCs w:val="22"/>
              </w:rPr>
              <w:t>2.0-2.99</w:t>
            </w:r>
          </w:p>
        </w:tc>
        <w:tc>
          <w:tcPr>
            <w:tcW w:w="839" w:type="dxa"/>
            <w:tcBorders>
              <w:top w:val="nil"/>
              <w:left w:val="nil"/>
              <w:bottom w:val="nil"/>
              <w:right w:val="nil"/>
            </w:tcBorders>
            <w:shd w:val="clear" w:color="auto" w:fill="auto"/>
            <w:noWrap/>
            <w:vAlign w:val="bottom"/>
            <w:hideMark/>
          </w:tcPr>
          <w:p w14:paraId="6AF3282B" w14:textId="77777777" w:rsidR="00B15BD2" w:rsidRPr="003A6FFC" w:rsidRDefault="00B15BD2" w:rsidP="006269F7">
            <w:pPr>
              <w:jc w:val="center"/>
              <w:rPr>
                <w:color w:val="000000"/>
                <w:sz w:val="22"/>
                <w:szCs w:val="22"/>
              </w:rPr>
            </w:pPr>
            <w:r w:rsidRPr="003A6FFC">
              <w:rPr>
                <w:color w:val="000000"/>
                <w:sz w:val="22"/>
                <w:szCs w:val="22"/>
              </w:rPr>
              <w:t>6</w:t>
            </w:r>
          </w:p>
        </w:tc>
        <w:tc>
          <w:tcPr>
            <w:tcW w:w="1401" w:type="dxa"/>
            <w:tcBorders>
              <w:top w:val="nil"/>
              <w:left w:val="nil"/>
              <w:bottom w:val="nil"/>
              <w:right w:val="nil"/>
            </w:tcBorders>
            <w:shd w:val="clear" w:color="auto" w:fill="auto"/>
            <w:noWrap/>
            <w:vAlign w:val="bottom"/>
            <w:hideMark/>
          </w:tcPr>
          <w:p w14:paraId="0D58E0A7" w14:textId="77777777" w:rsidR="00B15BD2" w:rsidRPr="003A6FFC" w:rsidRDefault="00B15BD2" w:rsidP="006269F7">
            <w:pPr>
              <w:jc w:val="center"/>
              <w:rPr>
                <w:color w:val="000000"/>
                <w:sz w:val="22"/>
                <w:szCs w:val="22"/>
              </w:rPr>
            </w:pPr>
            <w:r w:rsidRPr="003A6FFC">
              <w:rPr>
                <w:color w:val="000000"/>
                <w:sz w:val="22"/>
                <w:szCs w:val="22"/>
              </w:rPr>
              <w:t>85.7</w:t>
            </w:r>
          </w:p>
        </w:tc>
        <w:tc>
          <w:tcPr>
            <w:tcW w:w="839" w:type="dxa"/>
            <w:tcBorders>
              <w:top w:val="nil"/>
              <w:left w:val="nil"/>
              <w:bottom w:val="nil"/>
              <w:right w:val="nil"/>
            </w:tcBorders>
            <w:shd w:val="clear" w:color="auto" w:fill="auto"/>
            <w:noWrap/>
            <w:vAlign w:val="bottom"/>
            <w:hideMark/>
          </w:tcPr>
          <w:p w14:paraId="25AF27C8" w14:textId="77777777" w:rsidR="00B15BD2" w:rsidRPr="003A6FFC" w:rsidRDefault="00B15BD2" w:rsidP="006269F7">
            <w:pPr>
              <w:jc w:val="center"/>
              <w:rPr>
                <w:color w:val="000000"/>
                <w:sz w:val="22"/>
                <w:szCs w:val="22"/>
              </w:rPr>
            </w:pPr>
            <w:r w:rsidRPr="003A6FFC">
              <w:rPr>
                <w:color w:val="000000"/>
                <w:sz w:val="22"/>
                <w:szCs w:val="22"/>
              </w:rPr>
              <w:t>1</w:t>
            </w:r>
          </w:p>
        </w:tc>
        <w:tc>
          <w:tcPr>
            <w:tcW w:w="1401" w:type="dxa"/>
            <w:tcBorders>
              <w:top w:val="nil"/>
              <w:left w:val="nil"/>
              <w:bottom w:val="nil"/>
              <w:right w:val="nil"/>
            </w:tcBorders>
            <w:shd w:val="clear" w:color="auto" w:fill="auto"/>
            <w:noWrap/>
            <w:vAlign w:val="bottom"/>
            <w:hideMark/>
          </w:tcPr>
          <w:p w14:paraId="4B95F793" w14:textId="77777777" w:rsidR="00B15BD2" w:rsidRPr="003A6FFC" w:rsidRDefault="00B15BD2" w:rsidP="006269F7">
            <w:pPr>
              <w:jc w:val="center"/>
              <w:rPr>
                <w:color w:val="000000"/>
                <w:sz w:val="22"/>
                <w:szCs w:val="22"/>
              </w:rPr>
            </w:pPr>
            <w:r w:rsidRPr="003A6FFC">
              <w:rPr>
                <w:color w:val="000000"/>
                <w:sz w:val="22"/>
                <w:szCs w:val="22"/>
              </w:rPr>
              <w:t>14.3</w:t>
            </w:r>
          </w:p>
        </w:tc>
        <w:tc>
          <w:tcPr>
            <w:tcW w:w="1120" w:type="dxa"/>
            <w:tcBorders>
              <w:top w:val="nil"/>
              <w:left w:val="nil"/>
              <w:bottom w:val="nil"/>
              <w:right w:val="nil"/>
            </w:tcBorders>
            <w:shd w:val="clear" w:color="auto" w:fill="auto"/>
            <w:noWrap/>
            <w:vAlign w:val="bottom"/>
            <w:hideMark/>
          </w:tcPr>
          <w:p w14:paraId="5347AD06" w14:textId="77777777" w:rsidR="00B15BD2" w:rsidRPr="003A6FFC" w:rsidRDefault="00B15BD2" w:rsidP="006269F7">
            <w:pPr>
              <w:jc w:val="center"/>
              <w:rPr>
                <w:color w:val="000000"/>
                <w:sz w:val="22"/>
                <w:szCs w:val="22"/>
              </w:rPr>
            </w:pPr>
            <w:r w:rsidRPr="003A6FFC">
              <w:rPr>
                <w:color w:val="000000"/>
                <w:sz w:val="22"/>
                <w:szCs w:val="22"/>
              </w:rPr>
              <w:t>7</w:t>
            </w:r>
          </w:p>
        </w:tc>
      </w:tr>
      <w:tr w:rsidR="00B15BD2" w:rsidRPr="003A6FFC" w14:paraId="2725AD0A" w14:textId="77777777" w:rsidTr="006269F7">
        <w:trPr>
          <w:trHeight w:val="300"/>
          <w:jc w:val="center"/>
        </w:trPr>
        <w:tc>
          <w:tcPr>
            <w:tcW w:w="1860" w:type="dxa"/>
            <w:tcBorders>
              <w:top w:val="nil"/>
              <w:left w:val="nil"/>
              <w:bottom w:val="nil"/>
              <w:right w:val="nil"/>
            </w:tcBorders>
            <w:shd w:val="clear" w:color="auto" w:fill="auto"/>
            <w:noWrap/>
            <w:vAlign w:val="bottom"/>
            <w:hideMark/>
          </w:tcPr>
          <w:p w14:paraId="5D46A710" w14:textId="77777777" w:rsidR="00B15BD2" w:rsidRPr="003A6FFC" w:rsidRDefault="00B15BD2" w:rsidP="006269F7">
            <w:pPr>
              <w:jc w:val="center"/>
              <w:rPr>
                <w:color w:val="000000"/>
                <w:sz w:val="22"/>
                <w:szCs w:val="22"/>
              </w:rPr>
            </w:pPr>
            <w:r w:rsidRPr="003A6FFC">
              <w:rPr>
                <w:color w:val="000000"/>
                <w:sz w:val="22"/>
                <w:szCs w:val="22"/>
              </w:rPr>
              <w:t>3.0-6.99</w:t>
            </w:r>
          </w:p>
        </w:tc>
        <w:tc>
          <w:tcPr>
            <w:tcW w:w="839" w:type="dxa"/>
            <w:tcBorders>
              <w:top w:val="nil"/>
              <w:left w:val="nil"/>
              <w:bottom w:val="nil"/>
              <w:right w:val="nil"/>
            </w:tcBorders>
            <w:shd w:val="clear" w:color="auto" w:fill="auto"/>
            <w:noWrap/>
            <w:vAlign w:val="bottom"/>
            <w:hideMark/>
          </w:tcPr>
          <w:p w14:paraId="7A83E64D" w14:textId="77777777" w:rsidR="00B15BD2" w:rsidRPr="003A6FFC" w:rsidRDefault="00B15BD2" w:rsidP="006269F7">
            <w:pPr>
              <w:jc w:val="center"/>
              <w:rPr>
                <w:color w:val="000000"/>
                <w:sz w:val="22"/>
                <w:szCs w:val="22"/>
              </w:rPr>
            </w:pPr>
            <w:r w:rsidRPr="003A6FFC">
              <w:rPr>
                <w:color w:val="000000"/>
                <w:sz w:val="22"/>
                <w:szCs w:val="22"/>
              </w:rPr>
              <w:t>7</w:t>
            </w:r>
          </w:p>
        </w:tc>
        <w:tc>
          <w:tcPr>
            <w:tcW w:w="1401" w:type="dxa"/>
            <w:tcBorders>
              <w:top w:val="nil"/>
              <w:left w:val="nil"/>
              <w:bottom w:val="nil"/>
              <w:right w:val="nil"/>
            </w:tcBorders>
            <w:shd w:val="clear" w:color="auto" w:fill="auto"/>
            <w:noWrap/>
            <w:vAlign w:val="bottom"/>
            <w:hideMark/>
          </w:tcPr>
          <w:p w14:paraId="312721D8" w14:textId="77777777" w:rsidR="00B15BD2" w:rsidRPr="003A6FFC" w:rsidRDefault="00B15BD2" w:rsidP="006269F7">
            <w:pPr>
              <w:jc w:val="center"/>
              <w:rPr>
                <w:color w:val="000000"/>
                <w:sz w:val="22"/>
                <w:szCs w:val="22"/>
              </w:rPr>
            </w:pPr>
            <w:r w:rsidRPr="003A6FFC">
              <w:rPr>
                <w:color w:val="000000"/>
                <w:sz w:val="22"/>
                <w:szCs w:val="22"/>
              </w:rPr>
              <w:t>41.2</w:t>
            </w:r>
          </w:p>
        </w:tc>
        <w:tc>
          <w:tcPr>
            <w:tcW w:w="839" w:type="dxa"/>
            <w:tcBorders>
              <w:top w:val="nil"/>
              <w:left w:val="nil"/>
              <w:bottom w:val="nil"/>
              <w:right w:val="nil"/>
            </w:tcBorders>
            <w:shd w:val="clear" w:color="auto" w:fill="auto"/>
            <w:noWrap/>
            <w:vAlign w:val="bottom"/>
            <w:hideMark/>
          </w:tcPr>
          <w:p w14:paraId="454A1756" w14:textId="77777777" w:rsidR="00B15BD2" w:rsidRPr="003A6FFC" w:rsidRDefault="00B15BD2" w:rsidP="006269F7">
            <w:pPr>
              <w:jc w:val="center"/>
              <w:rPr>
                <w:color w:val="000000"/>
                <w:sz w:val="22"/>
                <w:szCs w:val="22"/>
              </w:rPr>
            </w:pPr>
            <w:r w:rsidRPr="003A6FFC">
              <w:rPr>
                <w:color w:val="000000"/>
                <w:sz w:val="22"/>
                <w:szCs w:val="22"/>
              </w:rPr>
              <w:t>10</w:t>
            </w:r>
          </w:p>
        </w:tc>
        <w:tc>
          <w:tcPr>
            <w:tcW w:w="1401" w:type="dxa"/>
            <w:tcBorders>
              <w:top w:val="nil"/>
              <w:left w:val="nil"/>
              <w:bottom w:val="nil"/>
              <w:right w:val="nil"/>
            </w:tcBorders>
            <w:shd w:val="clear" w:color="auto" w:fill="auto"/>
            <w:noWrap/>
            <w:vAlign w:val="bottom"/>
            <w:hideMark/>
          </w:tcPr>
          <w:p w14:paraId="466E1D1A" w14:textId="77777777" w:rsidR="00B15BD2" w:rsidRPr="003A6FFC" w:rsidRDefault="00B15BD2" w:rsidP="006269F7">
            <w:pPr>
              <w:jc w:val="center"/>
              <w:rPr>
                <w:color w:val="000000"/>
                <w:sz w:val="22"/>
                <w:szCs w:val="22"/>
              </w:rPr>
            </w:pPr>
            <w:r w:rsidRPr="003A6FFC">
              <w:rPr>
                <w:color w:val="000000"/>
                <w:sz w:val="22"/>
                <w:szCs w:val="22"/>
              </w:rPr>
              <w:t>58.8</w:t>
            </w:r>
          </w:p>
        </w:tc>
        <w:tc>
          <w:tcPr>
            <w:tcW w:w="1120" w:type="dxa"/>
            <w:tcBorders>
              <w:top w:val="nil"/>
              <w:left w:val="nil"/>
              <w:bottom w:val="nil"/>
              <w:right w:val="nil"/>
            </w:tcBorders>
            <w:shd w:val="clear" w:color="auto" w:fill="auto"/>
            <w:noWrap/>
            <w:vAlign w:val="bottom"/>
            <w:hideMark/>
          </w:tcPr>
          <w:p w14:paraId="095F46A4" w14:textId="77777777" w:rsidR="00B15BD2" w:rsidRPr="003A6FFC" w:rsidRDefault="00B15BD2" w:rsidP="006269F7">
            <w:pPr>
              <w:jc w:val="center"/>
              <w:rPr>
                <w:color w:val="000000"/>
                <w:sz w:val="22"/>
                <w:szCs w:val="22"/>
              </w:rPr>
            </w:pPr>
            <w:r w:rsidRPr="003A6FFC">
              <w:rPr>
                <w:color w:val="000000"/>
                <w:sz w:val="22"/>
                <w:szCs w:val="22"/>
              </w:rPr>
              <w:t>17</w:t>
            </w:r>
          </w:p>
        </w:tc>
      </w:tr>
      <w:tr w:rsidR="00B15BD2" w:rsidRPr="003A6FFC" w14:paraId="259EA165" w14:textId="77777777" w:rsidTr="006269F7">
        <w:trPr>
          <w:trHeight w:val="300"/>
          <w:jc w:val="center"/>
        </w:trPr>
        <w:tc>
          <w:tcPr>
            <w:tcW w:w="1860" w:type="dxa"/>
            <w:tcBorders>
              <w:top w:val="nil"/>
              <w:left w:val="nil"/>
              <w:bottom w:val="nil"/>
              <w:right w:val="nil"/>
            </w:tcBorders>
            <w:shd w:val="clear" w:color="auto" w:fill="auto"/>
            <w:noWrap/>
            <w:vAlign w:val="bottom"/>
            <w:hideMark/>
          </w:tcPr>
          <w:p w14:paraId="6B6C1998" w14:textId="77777777" w:rsidR="00B15BD2" w:rsidRPr="003A6FFC" w:rsidRDefault="00B15BD2" w:rsidP="006269F7">
            <w:pPr>
              <w:jc w:val="center"/>
              <w:rPr>
                <w:color w:val="000000"/>
                <w:sz w:val="22"/>
                <w:szCs w:val="22"/>
              </w:rPr>
            </w:pPr>
            <w:r w:rsidRPr="003A6FFC">
              <w:rPr>
                <w:color w:val="000000"/>
                <w:sz w:val="22"/>
                <w:szCs w:val="22"/>
              </w:rPr>
              <w:t>7.0-11.99</w:t>
            </w:r>
          </w:p>
        </w:tc>
        <w:tc>
          <w:tcPr>
            <w:tcW w:w="839" w:type="dxa"/>
            <w:tcBorders>
              <w:top w:val="nil"/>
              <w:left w:val="nil"/>
              <w:bottom w:val="nil"/>
              <w:right w:val="nil"/>
            </w:tcBorders>
            <w:shd w:val="clear" w:color="auto" w:fill="auto"/>
            <w:noWrap/>
            <w:vAlign w:val="bottom"/>
            <w:hideMark/>
          </w:tcPr>
          <w:p w14:paraId="2D1EC891" w14:textId="77777777" w:rsidR="00B15BD2" w:rsidRPr="003A6FFC" w:rsidRDefault="00B15BD2" w:rsidP="006269F7">
            <w:pPr>
              <w:jc w:val="center"/>
              <w:rPr>
                <w:color w:val="000000"/>
                <w:sz w:val="22"/>
                <w:szCs w:val="22"/>
              </w:rPr>
            </w:pPr>
            <w:r w:rsidRPr="003A6FFC">
              <w:rPr>
                <w:color w:val="000000"/>
                <w:sz w:val="22"/>
                <w:szCs w:val="22"/>
              </w:rPr>
              <w:t>17</w:t>
            </w:r>
          </w:p>
        </w:tc>
        <w:tc>
          <w:tcPr>
            <w:tcW w:w="1401" w:type="dxa"/>
            <w:tcBorders>
              <w:top w:val="nil"/>
              <w:left w:val="nil"/>
              <w:bottom w:val="nil"/>
              <w:right w:val="nil"/>
            </w:tcBorders>
            <w:shd w:val="clear" w:color="auto" w:fill="auto"/>
            <w:noWrap/>
            <w:vAlign w:val="bottom"/>
            <w:hideMark/>
          </w:tcPr>
          <w:p w14:paraId="11012F55" w14:textId="77777777" w:rsidR="00B15BD2" w:rsidRPr="003A6FFC" w:rsidRDefault="00B15BD2" w:rsidP="006269F7">
            <w:pPr>
              <w:jc w:val="center"/>
              <w:rPr>
                <w:color w:val="000000"/>
                <w:sz w:val="22"/>
                <w:szCs w:val="22"/>
              </w:rPr>
            </w:pPr>
            <w:r w:rsidRPr="003A6FFC">
              <w:rPr>
                <w:color w:val="000000"/>
                <w:sz w:val="22"/>
                <w:szCs w:val="22"/>
              </w:rPr>
              <w:t>89.5</w:t>
            </w:r>
          </w:p>
        </w:tc>
        <w:tc>
          <w:tcPr>
            <w:tcW w:w="839" w:type="dxa"/>
            <w:tcBorders>
              <w:top w:val="nil"/>
              <w:left w:val="nil"/>
              <w:bottom w:val="nil"/>
              <w:right w:val="nil"/>
            </w:tcBorders>
            <w:shd w:val="clear" w:color="auto" w:fill="auto"/>
            <w:noWrap/>
            <w:vAlign w:val="bottom"/>
            <w:hideMark/>
          </w:tcPr>
          <w:p w14:paraId="75817C62" w14:textId="77777777" w:rsidR="00B15BD2" w:rsidRPr="003A6FFC" w:rsidRDefault="00B15BD2" w:rsidP="006269F7">
            <w:pPr>
              <w:jc w:val="center"/>
              <w:rPr>
                <w:color w:val="000000"/>
                <w:sz w:val="22"/>
                <w:szCs w:val="22"/>
              </w:rPr>
            </w:pPr>
            <w:r w:rsidRPr="003A6FFC">
              <w:rPr>
                <w:color w:val="000000"/>
                <w:sz w:val="22"/>
                <w:szCs w:val="22"/>
              </w:rPr>
              <w:t>2</w:t>
            </w:r>
          </w:p>
        </w:tc>
        <w:tc>
          <w:tcPr>
            <w:tcW w:w="1401" w:type="dxa"/>
            <w:tcBorders>
              <w:top w:val="nil"/>
              <w:left w:val="nil"/>
              <w:bottom w:val="nil"/>
              <w:right w:val="nil"/>
            </w:tcBorders>
            <w:shd w:val="clear" w:color="auto" w:fill="auto"/>
            <w:noWrap/>
            <w:vAlign w:val="bottom"/>
            <w:hideMark/>
          </w:tcPr>
          <w:p w14:paraId="038DB7C3" w14:textId="77777777" w:rsidR="00B15BD2" w:rsidRPr="003A6FFC" w:rsidRDefault="00B15BD2" w:rsidP="006269F7">
            <w:pPr>
              <w:jc w:val="center"/>
              <w:rPr>
                <w:color w:val="000000"/>
                <w:sz w:val="22"/>
                <w:szCs w:val="22"/>
              </w:rPr>
            </w:pPr>
            <w:r w:rsidRPr="003A6FFC">
              <w:rPr>
                <w:color w:val="000000"/>
                <w:sz w:val="22"/>
                <w:szCs w:val="22"/>
              </w:rPr>
              <w:t>10.5</w:t>
            </w:r>
          </w:p>
        </w:tc>
        <w:tc>
          <w:tcPr>
            <w:tcW w:w="1120" w:type="dxa"/>
            <w:tcBorders>
              <w:top w:val="nil"/>
              <w:left w:val="nil"/>
              <w:bottom w:val="nil"/>
              <w:right w:val="nil"/>
            </w:tcBorders>
            <w:shd w:val="clear" w:color="auto" w:fill="auto"/>
            <w:noWrap/>
            <w:vAlign w:val="bottom"/>
            <w:hideMark/>
          </w:tcPr>
          <w:p w14:paraId="6ECF6690" w14:textId="77777777" w:rsidR="00B15BD2" w:rsidRPr="003A6FFC" w:rsidRDefault="00B15BD2" w:rsidP="006269F7">
            <w:pPr>
              <w:jc w:val="center"/>
              <w:rPr>
                <w:color w:val="000000"/>
                <w:sz w:val="22"/>
                <w:szCs w:val="22"/>
              </w:rPr>
            </w:pPr>
            <w:r w:rsidRPr="003A6FFC">
              <w:rPr>
                <w:color w:val="000000"/>
                <w:sz w:val="22"/>
                <w:szCs w:val="22"/>
              </w:rPr>
              <w:t>19</w:t>
            </w:r>
          </w:p>
        </w:tc>
      </w:tr>
      <w:tr w:rsidR="00B15BD2" w:rsidRPr="003A6FFC" w14:paraId="642F1C89" w14:textId="77777777" w:rsidTr="006269F7">
        <w:trPr>
          <w:trHeight w:val="300"/>
          <w:jc w:val="center"/>
        </w:trPr>
        <w:tc>
          <w:tcPr>
            <w:tcW w:w="1860" w:type="dxa"/>
            <w:tcBorders>
              <w:top w:val="nil"/>
              <w:left w:val="nil"/>
              <w:bottom w:val="nil"/>
              <w:right w:val="nil"/>
            </w:tcBorders>
            <w:shd w:val="clear" w:color="auto" w:fill="auto"/>
            <w:noWrap/>
            <w:vAlign w:val="bottom"/>
            <w:hideMark/>
          </w:tcPr>
          <w:p w14:paraId="51A25590" w14:textId="77777777" w:rsidR="00B15BD2" w:rsidRPr="003A6FFC" w:rsidRDefault="00B15BD2" w:rsidP="006269F7">
            <w:pPr>
              <w:jc w:val="center"/>
              <w:rPr>
                <w:color w:val="000000"/>
                <w:sz w:val="22"/>
                <w:szCs w:val="22"/>
              </w:rPr>
            </w:pPr>
            <w:r w:rsidRPr="003A6FFC">
              <w:rPr>
                <w:color w:val="000000"/>
                <w:sz w:val="22"/>
                <w:szCs w:val="22"/>
              </w:rPr>
              <w:t>12.0-13.99</w:t>
            </w:r>
          </w:p>
        </w:tc>
        <w:tc>
          <w:tcPr>
            <w:tcW w:w="839" w:type="dxa"/>
            <w:tcBorders>
              <w:top w:val="nil"/>
              <w:left w:val="nil"/>
              <w:bottom w:val="nil"/>
              <w:right w:val="nil"/>
            </w:tcBorders>
            <w:shd w:val="clear" w:color="auto" w:fill="auto"/>
            <w:noWrap/>
            <w:vAlign w:val="bottom"/>
            <w:hideMark/>
          </w:tcPr>
          <w:p w14:paraId="5BB96627" w14:textId="77777777" w:rsidR="00B15BD2" w:rsidRPr="003A6FFC" w:rsidRDefault="00B15BD2" w:rsidP="006269F7">
            <w:pPr>
              <w:jc w:val="center"/>
              <w:rPr>
                <w:color w:val="000000"/>
                <w:sz w:val="22"/>
                <w:szCs w:val="22"/>
              </w:rPr>
            </w:pPr>
            <w:r w:rsidRPr="003A6FFC">
              <w:rPr>
                <w:color w:val="000000"/>
                <w:sz w:val="22"/>
                <w:szCs w:val="22"/>
              </w:rPr>
              <w:t>8</w:t>
            </w:r>
          </w:p>
        </w:tc>
        <w:tc>
          <w:tcPr>
            <w:tcW w:w="1401" w:type="dxa"/>
            <w:tcBorders>
              <w:top w:val="nil"/>
              <w:left w:val="nil"/>
              <w:bottom w:val="nil"/>
              <w:right w:val="nil"/>
            </w:tcBorders>
            <w:shd w:val="clear" w:color="auto" w:fill="auto"/>
            <w:noWrap/>
            <w:vAlign w:val="bottom"/>
            <w:hideMark/>
          </w:tcPr>
          <w:p w14:paraId="7290D522" w14:textId="77777777" w:rsidR="00B15BD2" w:rsidRPr="003A6FFC" w:rsidRDefault="00B15BD2" w:rsidP="006269F7">
            <w:pPr>
              <w:jc w:val="center"/>
              <w:rPr>
                <w:color w:val="000000"/>
                <w:sz w:val="22"/>
                <w:szCs w:val="22"/>
              </w:rPr>
            </w:pPr>
            <w:r w:rsidRPr="003A6FFC">
              <w:rPr>
                <w:color w:val="000000"/>
                <w:sz w:val="22"/>
                <w:szCs w:val="22"/>
              </w:rPr>
              <w:t>100</w:t>
            </w:r>
          </w:p>
        </w:tc>
        <w:tc>
          <w:tcPr>
            <w:tcW w:w="839" w:type="dxa"/>
            <w:tcBorders>
              <w:top w:val="nil"/>
              <w:left w:val="nil"/>
              <w:bottom w:val="nil"/>
              <w:right w:val="nil"/>
            </w:tcBorders>
            <w:shd w:val="clear" w:color="auto" w:fill="auto"/>
            <w:noWrap/>
            <w:vAlign w:val="bottom"/>
            <w:hideMark/>
          </w:tcPr>
          <w:p w14:paraId="394D79EE" w14:textId="77777777" w:rsidR="00B15BD2" w:rsidRPr="003A6FFC" w:rsidRDefault="00B15BD2" w:rsidP="006269F7">
            <w:pPr>
              <w:jc w:val="center"/>
              <w:rPr>
                <w:color w:val="000000"/>
                <w:sz w:val="22"/>
                <w:szCs w:val="22"/>
              </w:rPr>
            </w:pPr>
            <w:r w:rsidRPr="003A6FFC">
              <w:rPr>
                <w:color w:val="000000"/>
                <w:sz w:val="22"/>
                <w:szCs w:val="22"/>
              </w:rPr>
              <w:t>0</w:t>
            </w:r>
          </w:p>
        </w:tc>
        <w:tc>
          <w:tcPr>
            <w:tcW w:w="1401" w:type="dxa"/>
            <w:tcBorders>
              <w:top w:val="nil"/>
              <w:left w:val="nil"/>
              <w:bottom w:val="nil"/>
              <w:right w:val="nil"/>
            </w:tcBorders>
            <w:shd w:val="clear" w:color="auto" w:fill="auto"/>
            <w:noWrap/>
            <w:vAlign w:val="bottom"/>
            <w:hideMark/>
          </w:tcPr>
          <w:p w14:paraId="6C4B6D9C" w14:textId="77777777" w:rsidR="00B15BD2" w:rsidRPr="003A6FFC" w:rsidRDefault="00B15BD2" w:rsidP="006269F7">
            <w:pPr>
              <w:jc w:val="center"/>
              <w:rPr>
                <w:color w:val="000000"/>
                <w:sz w:val="22"/>
                <w:szCs w:val="22"/>
              </w:rPr>
            </w:pPr>
            <w:r w:rsidRPr="003A6FFC">
              <w:rPr>
                <w:color w:val="000000"/>
                <w:sz w:val="22"/>
                <w:szCs w:val="22"/>
              </w:rPr>
              <w:t>0</w:t>
            </w:r>
          </w:p>
        </w:tc>
        <w:tc>
          <w:tcPr>
            <w:tcW w:w="1120" w:type="dxa"/>
            <w:tcBorders>
              <w:top w:val="nil"/>
              <w:left w:val="nil"/>
              <w:bottom w:val="nil"/>
              <w:right w:val="nil"/>
            </w:tcBorders>
            <w:shd w:val="clear" w:color="auto" w:fill="auto"/>
            <w:noWrap/>
            <w:vAlign w:val="bottom"/>
            <w:hideMark/>
          </w:tcPr>
          <w:p w14:paraId="24B8E4D2" w14:textId="77777777" w:rsidR="00B15BD2" w:rsidRPr="003A6FFC" w:rsidRDefault="00B15BD2" w:rsidP="006269F7">
            <w:pPr>
              <w:jc w:val="center"/>
              <w:rPr>
                <w:color w:val="000000"/>
                <w:sz w:val="22"/>
                <w:szCs w:val="22"/>
              </w:rPr>
            </w:pPr>
            <w:r w:rsidRPr="003A6FFC">
              <w:rPr>
                <w:color w:val="000000"/>
                <w:sz w:val="22"/>
                <w:szCs w:val="22"/>
              </w:rPr>
              <w:t>8</w:t>
            </w:r>
          </w:p>
        </w:tc>
      </w:tr>
      <w:tr w:rsidR="00B15BD2" w:rsidRPr="003A6FFC" w14:paraId="76DFBE31" w14:textId="77777777" w:rsidTr="006269F7">
        <w:trPr>
          <w:trHeight w:val="300"/>
          <w:jc w:val="center"/>
        </w:trPr>
        <w:tc>
          <w:tcPr>
            <w:tcW w:w="1860" w:type="dxa"/>
            <w:tcBorders>
              <w:top w:val="single" w:sz="4" w:space="0" w:color="auto"/>
              <w:left w:val="nil"/>
              <w:bottom w:val="single" w:sz="4" w:space="0" w:color="auto"/>
              <w:right w:val="nil"/>
            </w:tcBorders>
            <w:shd w:val="clear" w:color="auto" w:fill="auto"/>
            <w:noWrap/>
            <w:vAlign w:val="bottom"/>
            <w:hideMark/>
          </w:tcPr>
          <w:p w14:paraId="7E66A236" w14:textId="77777777" w:rsidR="00B15BD2" w:rsidRPr="003A6FFC" w:rsidRDefault="00B15BD2" w:rsidP="006269F7">
            <w:pPr>
              <w:jc w:val="center"/>
              <w:rPr>
                <w:color w:val="000000"/>
                <w:sz w:val="22"/>
                <w:szCs w:val="22"/>
              </w:rPr>
            </w:pPr>
            <w:r w:rsidRPr="003A6FFC">
              <w:rPr>
                <w:color w:val="000000"/>
                <w:sz w:val="22"/>
                <w:szCs w:val="22"/>
              </w:rPr>
              <w:t>Total</w:t>
            </w:r>
          </w:p>
        </w:tc>
        <w:tc>
          <w:tcPr>
            <w:tcW w:w="839" w:type="dxa"/>
            <w:tcBorders>
              <w:top w:val="single" w:sz="4" w:space="0" w:color="auto"/>
              <w:left w:val="nil"/>
              <w:bottom w:val="single" w:sz="4" w:space="0" w:color="auto"/>
              <w:right w:val="nil"/>
            </w:tcBorders>
            <w:shd w:val="clear" w:color="auto" w:fill="auto"/>
            <w:noWrap/>
            <w:vAlign w:val="bottom"/>
            <w:hideMark/>
          </w:tcPr>
          <w:p w14:paraId="4269E7C7" w14:textId="77777777" w:rsidR="00B15BD2" w:rsidRPr="003A6FFC" w:rsidRDefault="00B15BD2" w:rsidP="006269F7">
            <w:pPr>
              <w:jc w:val="center"/>
              <w:rPr>
                <w:color w:val="000000"/>
                <w:sz w:val="22"/>
                <w:szCs w:val="22"/>
              </w:rPr>
            </w:pPr>
            <w:r w:rsidRPr="003A6FFC">
              <w:rPr>
                <w:color w:val="000000"/>
                <w:sz w:val="22"/>
                <w:szCs w:val="22"/>
              </w:rPr>
              <w:t>41</w:t>
            </w:r>
          </w:p>
        </w:tc>
        <w:tc>
          <w:tcPr>
            <w:tcW w:w="1401" w:type="dxa"/>
            <w:tcBorders>
              <w:top w:val="single" w:sz="4" w:space="0" w:color="auto"/>
              <w:left w:val="nil"/>
              <w:bottom w:val="single" w:sz="4" w:space="0" w:color="auto"/>
              <w:right w:val="nil"/>
            </w:tcBorders>
            <w:shd w:val="clear" w:color="auto" w:fill="auto"/>
            <w:noWrap/>
            <w:vAlign w:val="bottom"/>
            <w:hideMark/>
          </w:tcPr>
          <w:p w14:paraId="73EDA85D" w14:textId="77777777" w:rsidR="00B15BD2" w:rsidRPr="003A6FFC" w:rsidRDefault="00B15BD2" w:rsidP="006269F7">
            <w:pPr>
              <w:jc w:val="center"/>
              <w:rPr>
                <w:color w:val="000000"/>
                <w:sz w:val="22"/>
                <w:szCs w:val="22"/>
              </w:rPr>
            </w:pPr>
            <w:r w:rsidRPr="003A6FFC">
              <w:rPr>
                <w:color w:val="000000"/>
                <w:sz w:val="22"/>
                <w:szCs w:val="22"/>
              </w:rPr>
              <w:t>71.9</w:t>
            </w:r>
          </w:p>
        </w:tc>
        <w:tc>
          <w:tcPr>
            <w:tcW w:w="839" w:type="dxa"/>
            <w:tcBorders>
              <w:top w:val="single" w:sz="4" w:space="0" w:color="auto"/>
              <w:left w:val="nil"/>
              <w:bottom w:val="single" w:sz="4" w:space="0" w:color="auto"/>
              <w:right w:val="nil"/>
            </w:tcBorders>
            <w:shd w:val="clear" w:color="auto" w:fill="auto"/>
            <w:noWrap/>
            <w:vAlign w:val="bottom"/>
            <w:hideMark/>
          </w:tcPr>
          <w:p w14:paraId="7F60E746" w14:textId="77777777" w:rsidR="00B15BD2" w:rsidRPr="003A6FFC" w:rsidRDefault="00B15BD2" w:rsidP="006269F7">
            <w:pPr>
              <w:jc w:val="center"/>
              <w:rPr>
                <w:color w:val="000000"/>
                <w:sz w:val="22"/>
                <w:szCs w:val="22"/>
              </w:rPr>
            </w:pPr>
            <w:r w:rsidRPr="003A6FFC">
              <w:rPr>
                <w:color w:val="000000"/>
                <w:sz w:val="22"/>
                <w:szCs w:val="22"/>
              </w:rPr>
              <w:t>16</w:t>
            </w:r>
          </w:p>
        </w:tc>
        <w:tc>
          <w:tcPr>
            <w:tcW w:w="1401" w:type="dxa"/>
            <w:tcBorders>
              <w:top w:val="single" w:sz="4" w:space="0" w:color="auto"/>
              <w:left w:val="nil"/>
              <w:bottom w:val="single" w:sz="4" w:space="0" w:color="auto"/>
              <w:right w:val="nil"/>
            </w:tcBorders>
            <w:shd w:val="clear" w:color="auto" w:fill="auto"/>
            <w:noWrap/>
            <w:vAlign w:val="bottom"/>
            <w:hideMark/>
          </w:tcPr>
          <w:p w14:paraId="4395736C" w14:textId="77777777" w:rsidR="00B15BD2" w:rsidRPr="003A6FFC" w:rsidRDefault="00B15BD2" w:rsidP="006269F7">
            <w:pPr>
              <w:jc w:val="center"/>
              <w:rPr>
                <w:color w:val="000000"/>
                <w:sz w:val="22"/>
                <w:szCs w:val="22"/>
              </w:rPr>
            </w:pPr>
            <w:r w:rsidRPr="003A6FFC">
              <w:rPr>
                <w:color w:val="000000"/>
                <w:sz w:val="22"/>
                <w:szCs w:val="22"/>
              </w:rPr>
              <w:t>43.9</w:t>
            </w:r>
          </w:p>
        </w:tc>
        <w:tc>
          <w:tcPr>
            <w:tcW w:w="1120" w:type="dxa"/>
            <w:tcBorders>
              <w:top w:val="single" w:sz="4" w:space="0" w:color="auto"/>
              <w:left w:val="nil"/>
              <w:bottom w:val="single" w:sz="4" w:space="0" w:color="auto"/>
              <w:right w:val="nil"/>
            </w:tcBorders>
            <w:shd w:val="clear" w:color="auto" w:fill="auto"/>
            <w:noWrap/>
            <w:vAlign w:val="bottom"/>
            <w:hideMark/>
          </w:tcPr>
          <w:p w14:paraId="5779CDF9" w14:textId="77777777" w:rsidR="00B15BD2" w:rsidRPr="003A6FFC" w:rsidRDefault="00B15BD2" w:rsidP="006269F7">
            <w:pPr>
              <w:jc w:val="center"/>
              <w:rPr>
                <w:color w:val="000000"/>
                <w:sz w:val="22"/>
                <w:szCs w:val="22"/>
              </w:rPr>
            </w:pPr>
            <w:r w:rsidRPr="003A6FFC">
              <w:rPr>
                <w:color w:val="000000"/>
                <w:sz w:val="22"/>
                <w:szCs w:val="22"/>
              </w:rPr>
              <w:t>57</w:t>
            </w:r>
          </w:p>
        </w:tc>
      </w:tr>
    </w:tbl>
    <w:p w14:paraId="3D6D5E5F" w14:textId="77777777" w:rsidR="007F25C6" w:rsidRPr="007F25C6" w:rsidRDefault="007F25C6" w:rsidP="007F25C6"/>
    <w:p w14:paraId="27CA24C0" w14:textId="77777777" w:rsidR="00246BC3" w:rsidRDefault="00246BC3" w:rsidP="001C587B">
      <w:pPr>
        <w:pStyle w:val="Heading3"/>
        <w:rPr>
          <w:rStyle w:val="Strong"/>
          <w:b/>
          <w:bCs/>
        </w:rPr>
      </w:pPr>
      <w:r w:rsidRPr="001C587B">
        <w:rPr>
          <w:rStyle w:val="Strong"/>
          <w:b/>
          <w:bCs/>
        </w:rPr>
        <w:lastRenderedPageBreak/>
        <w:t>Data Loss Mitigation</w:t>
      </w:r>
      <w:bookmarkEnd w:id="69"/>
    </w:p>
    <w:p w14:paraId="10F0AE92" w14:textId="77777777" w:rsidR="001C587B" w:rsidRPr="001C587B" w:rsidRDefault="001C587B" w:rsidP="001C587B"/>
    <w:p w14:paraId="7C65E230" w14:textId="77777777" w:rsidR="000B7A35" w:rsidRDefault="00246BC3" w:rsidP="00E37684">
      <w:pPr>
        <w:spacing w:line="480" w:lineRule="auto"/>
        <w:ind w:firstLine="720"/>
        <w:contextualSpacing/>
      </w:pPr>
      <w:r w:rsidRPr="00246BC3">
        <w:t>After examining indicators of metabolic stress and aging criteria, the three elements from each individual were measured and prepared for histological sectioning.</w:t>
      </w:r>
      <w:r w:rsidR="006A3BEE">
        <w:t xml:space="preserve"> </w:t>
      </w:r>
      <w:r w:rsidRPr="00246BC3">
        <w:t>Given the destructive methods required for this study, it was critical to minimize the impact of bone sectioning on future research that uses the sampled subadults in the Alytus skeletal collection.</w:t>
      </w:r>
      <w:r w:rsidR="006A3BEE">
        <w:t xml:space="preserve"> </w:t>
      </w:r>
      <w:r w:rsidRPr="00246BC3">
        <w:t xml:space="preserve">Therefore, a data loss mitigation plan was implemented prior to histological sectioning to collect as many measurements as possible from the sampled elements (Table </w:t>
      </w:r>
      <w:r w:rsidR="00A773D9">
        <w:t>3</w:t>
      </w:r>
      <w:r w:rsidRPr="00246BC3">
        <w:t>), though most of these data are not utilized in this study.</w:t>
      </w:r>
      <w:r w:rsidR="006A3BEE">
        <w:t xml:space="preserve"> </w:t>
      </w:r>
      <w:r w:rsidRPr="00246BC3">
        <w:t xml:space="preserve">The data loss mitigation plan, in addition to the data collected for the dissertation analysis (Tables </w:t>
      </w:r>
      <w:r w:rsidR="00187D9F">
        <w:t>4 and 5),</w:t>
      </w:r>
      <w:r w:rsidRPr="00246BC3">
        <w:t xml:space="preserve"> entails all measurements typically collected on </w:t>
      </w:r>
      <w:r w:rsidR="00F02A94">
        <w:t xml:space="preserve">subadult </w:t>
      </w:r>
      <w:r w:rsidRPr="00246BC3">
        <w:t>skeletal remains (Ruff, 2007; Cowgill, 2010; Garafalo, 2012).</w:t>
      </w:r>
      <w:r w:rsidR="006A3BEE">
        <w:t xml:space="preserve"> </w:t>
      </w:r>
      <w:r w:rsidRPr="00246BC3">
        <w:t>This plan included full digital photographic documentation of each skeletal element that was sampled and the collection of diaphyseal and articular dimensions of the humerus and femur, as well as femoral neck-shaft angle.</w:t>
      </w:r>
      <w:r w:rsidR="006A3BEE">
        <w:t xml:space="preserve"> </w:t>
      </w:r>
      <w:r w:rsidRPr="00246BC3">
        <w:t xml:space="preserve">These data will be publicly available to researchers </w:t>
      </w:r>
      <w:r w:rsidR="00187D9F">
        <w:t xml:space="preserve">upon request </w:t>
      </w:r>
      <w:r w:rsidRPr="00246BC3">
        <w:t>after publicati</w:t>
      </w:r>
      <w:r w:rsidR="00187D9F">
        <w:t>on of the dissertation analyses.</w:t>
      </w:r>
    </w:p>
    <w:p w14:paraId="37C78B34" w14:textId="77777777" w:rsidR="0051526C" w:rsidRDefault="0051526C" w:rsidP="00E37684">
      <w:pPr>
        <w:spacing w:line="480" w:lineRule="auto"/>
        <w:ind w:firstLine="720"/>
        <w:contextualSpacing/>
      </w:pPr>
    </w:p>
    <w:p w14:paraId="7D340C20" w14:textId="77777777" w:rsidR="0051526C" w:rsidRDefault="0051526C" w:rsidP="00E37684">
      <w:pPr>
        <w:spacing w:line="480" w:lineRule="auto"/>
        <w:ind w:firstLine="720"/>
        <w:contextualSpacing/>
      </w:pPr>
    </w:p>
    <w:p w14:paraId="50C21758" w14:textId="77777777" w:rsidR="0051526C" w:rsidRDefault="0051526C" w:rsidP="00E37684">
      <w:pPr>
        <w:spacing w:line="480" w:lineRule="auto"/>
        <w:ind w:firstLine="720"/>
        <w:contextualSpacing/>
      </w:pPr>
    </w:p>
    <w:p w14:paraId="41065E37" w14:textId="77777777" w:rsidR="0051526C" w:rsidRDefault="0051526C" w:rsidP="00E37684">
      <w:pPr>
        <w:spacing w:line="480" w:lineRule="auto"/>
        <w:ind w:firstLine="720"/>
        <w:contextualSpacing/>
      </w:pPr>
    </w:p>
    <w:p w14:paraId="2C593641" w14:textId="77777777" w:rsidR="0051526C" w:rsidRDefault="0051526C" w:rsidP="00E37684">
      <w:pPr>
        <w:spacing w:line="480" w:lineRule="auto"/>
        <w:ind w:firstLine="720"/>
        <w:contextualSpacing/>
      </w:pPr>
    </w:p>
    <w:p w14:paraId="75832005" w14:textId="77777777" w:rsidR="0051526C" w:rsidRDefault="0051526C" w:rsidP="00E37684">
      <w:pPr>
        <w:spacing w:line="480" w:lineRule="auto"/>
        <w:ind w:firstLine="720"/>
        <w:contextualSpacing/>
      </w:pPr>
    </w:p>
    <w:p w14:paraId="6BA352C1" w14:textId="77777777" w:rsidR="00E37684" w:rsidRPr="00246BC3" w:rsidRDefault="00E37684" w:rsidP="00E37684">
      <w:pPr>
        <w:spacing w:line="480" w:lineRule="auto"/>
        <w:ind w:firstLine="720"/>
        <w:contextualSpacing/>
      </w:pPr>
    </w:p>
    <w:p w14:paraId="73AAB81C" w14:textId="77777777" w:rsidR="000B7A35" w:rsidRDefault="000B7A35" w:rsidP="00E37684">
      <w:pPr>
        <w:pStyle w:val="Caption"/>
        <w:keepNext/>
        <w:jc w:val="center"/>
      </w:pPr>
      <w:bookmarkStart w:id="70" w:name="_Toc233182898"/>
      <w:r>
        <w:lastRenderedPageBreak/>
        <w:t xml:space="preserve">Table </w:t>
      </w:r>
      <w:fldSimple w:instr=" SEQ Table \* ARABIC ">
        <w:r w:rsidR="00054A3E">
          <w:rPr>
            <w:noProof/>
          </w:rPr>
          <w:t>3</w:t>
        </w:r>
      </w:fldSimple>
      <w:r>
        <w:t xml:space="preserve">. </w:t>
      </w:r>
      <w:r w:rsidR="003B2948">
        <w:t>Additional data collected</w:t>
      </w:r>
      <w:r w:rsidRPr="007627DE">
        <w:t xml:space="preserve"> to minimiz</w:t>
      </w:r>
      <w:r w:rsidR="003B2948">
        <w:t>e data loss prior</w:t>
      </w:r>
      <w:r w:rsidRPr="007627DE">
        <w:t xml:space="preserve"> to destructive </w:t>
      </w:r>
      <w:r w:rsidR="003B2948">
        <w:t>histological sampling</w:t>
      </w:r>
      <w:r w:rsidRPr="007627DE">
        <w:t>.</w:t>
      </w:r>
      <w:bookmarkEnd w:id="70"/>
    </w:p>
    <w:p w14:paraId="77661011" w14:textId="77777777" w:rsidR="000B7A35" w:rsidRPr="00F20A4E" w:rsidRDefault="000B7A35" w:rsidP="000B7A35"/>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1316"/>
        <w:gridCol w:w="1811"/>
        <w:gridCol w:w="1596"/>
        <w:gridCol w:w="1620"/>
        <w:gridCol w:w="1998"/>
      </w:tblGrid>
      <w:tr w:rsidR="000B7A35" w:rsidRPr="007060FE" w14:paraId="5B10F0A9" w14:textId="77777777" w:rsidTr="000B7A35">
        <w:trPr>
          <w:trHeight w:val="405"/>
          <w:jc w:val="center"/>
        </w:trPr>
        <w:tc>
          <w:tcPr>
            <w:tcW w:w="1235" w:type="dxa"/>
            <w:tcBorders>
              <w:top w:val="single" w:sz="4" w:space="0" w:color="000000"/>
              <w:left w:val="nil"/>
              <w:bottom w:val="single" w:sz="4" w:space="0" w:color="000000"/>
              <w:right w:val="nil"/>
            </w:tcBorders>
            <w:vAlign w:val="center"/>
          </w:tcPr>
          <w:p w14:paraId="21834CCC" w14:textId="77777777" w:rsidR="000B7A35" w:rsidRPr="007060FE" w:rsidRDefault="000B7A35" w:rsidP="000B7A35">
            <w:pPr>
              <w:rPr>
                <w:sz w:val="19"/>
                <w:szCs w:val="19"/>
              </w:rPr>
            </w:pPr>
            <w:r w:rsidRPr="007060FE">
              <w:rPr>
                <w:sz w:val="19"/>
                <w:szCs w:val="19"/>
              </w:rPr>
              <w:t>Bone Element</w:t>
            </w:r>
          </w:p>
        </w:tc>
        <w:tc>
          <w:tcPr>
            <w:tcW w:w="1316" w:type="dxa"/>
            <w:tcBorders>
              <w:top w:val="single" w:sz="4" w:space="0" w:color="000000"/>
              <w:left w:val="nil"/>
              <w:bottom w:val="single" w:sz="4" w:space="0" w:color="000000"/>
              <w:right w:val="nil"/>
            </w:tcBorders>
            <w:vAlign w:val="center"/>
          </w:tcPr>
          <w:p w14:paraId="4525E1E3" w14:textId="77777777" w:rsidR="000B7A35" w:rsidRPr="007060FE" w:rsidRDefault="000B7A35" w:rsidP="000B7A35">
            <w:pPr>
              <w:rPr>
                <w:sz w:val="19"/>
                <w:szCs w:val="19"/>
              </w:rPr>
            </w:pPr>
            <w:r w:rsidRPr="007060FE">
              <w:rPr>
                <w:sz w:val="19"/>
                <w:szCs w:val="19"/>
              </w:rPr>
              <w:t>Measurement Type</w:t>
            </w:r>
          </w:p>
        </w:tc>
        <w:tc>
          <w:tcPr>
            <w:tcW w:w="1811" w:type="dxa"/>
            <w:tcBorders>
              <w:top w:val="single" w:sz="4" w:space="0" w:color="000000"/>
              <w:left w:val="nil"/>
              <w:bottom w:val="single" w:sz="4" w:space="0" w:color="000000"/>
              <w:right w:val="nil"/>
            </w:tcBorders>
            <w:vAlign w:val="center"/>
          </w:tcPr>
          <w:p w14:paraId="595788A5" w14:textId="77777777" w:rsidR="000B7A35" w:rsidRPr="007060FE" w:rsidRDefault="000B7A35" w:rsidP="000B7A35">
            <w:pPr>
              <w:rPr>
                <w:sz w:val="19"/>
                <w:szCs w:val="19"/>
                <w:vertAlign w:val="superscript"/>
              </w:rPr>
            </w:pPr>
            <w:r w:rsidRPr="007060FE">
              <w:rPr>
                <w:sz w:val="19"/>
                <w:szCs w:val="19"/>
              </w:rPr>
              <w:t>Measurement</w:t>
            </w:r>
            <w:r w:rsidRPr="007060FE">
              <w:rPr>
                <w:sz w:val="19"/>
                <w:szCs w:val="19"/>
                <w:vertAlign w:val="superscript"/>
              </w:rPr>
              <w:t>1</w:t>
            </w:r>
          </w:p>
        </w:tc>
        <w:tc>
          <w:tcPr>
            <w:tcW w:w="1596" w:type="dxa"/>
            <w:tcBorders>
              <w:top w:val="single" w:sz="4" w:space="0" w:color="000000"/>
              <w:left w:val="nil"/>
              <w:bottom w:val="single" w:sz="4" w:space="0" w:color="000000"/>
              <w:right w:val="nil"/>
            </w:tcBorders>
            <w:vAlign w:val="center"/>
          </w:tcPr>
          <w:p w14:paraId="0E221137" w14:textId="77777777" w:rsidR="000B7A35" w:rsidRPr="007060FE" w:rsidRDefault="000B7A35" w:rsidP="000B7A35">
            <w:pPr>
              <w:rPr>
                <w:sz w:val="19"/>
                <w:szCs w:val="19"/>
              </w:rPr>
            </w:pPr>
            <w:r w:rsidRPr="007060FE">
              <w:rPr>
                <w:sz w:val="19"/>
                <w:szCs w:val="19"/>
              </w:rPr>
              <w:t>Instrument</w:t>
            </w:r>
          </w:p>
        </w:tc>
        <w:tc>
          <w:tcPr>
            <w:tcW w:w="1620" w:type="dxa"/>
            <w:tcBorders>
              <w:top w:val="single" w:sz="4" w:space="0" w:color="000000"/>
              <w:left w:val="nil"/>
              <w:bottom w:val="single" w:sz="4" w:space="0" w:color="000000"/>
              <w:right w:val="nil"/>
            </w:tcBorders>
            <w:vAlign w:val="center"/>
          </w:tcPr>
          <w:p w14:paraId="4BFB1457" w14:textId="77777777" w:rsidR="000B7A35" w:rsidRPr="007060FE" w:rsidRDefault="000B7A35" w:rsidP="000B7A35">
            <w:pPr>
              <w:rPr>
                <w:sz w:val="19"/>
                <w:szCs w:val="19"/>
              </w:rPr>
            </w:pPr>
            <w:r w:rsidRPr="007060FE">
              <w:rPr>
                <w:sz w:val="19"/>
                <w:szCs w:val="19"/>
              </w:rPr>
              <w:t>Reference</w:t>
            </w:r>
          </w:p>
        </w:tc>
        <w:tc>
          <w:tcPr>
            <w:tcW w:w="1998" w:type="dxa"/>
            <w:tcBorders>
              <w:top w:val="single" w:sz="4" w:space="0" w:color="000000"/>
              <w:left w:val="nil"/>
              <w:bottom w:val="single" w:sz="4" w:space="0" w:color="000000"/>
              <w:right w:val="nil"/>
            </w:tcBorders>
          </w:tcPr>
          <w:p w14:paraId="7A4831A2" w14:textId="77777777" w:rsidR="000B7A35" w:rsidRDefault="000B7A35" w:rsidP="00E37684">
            <w:pPr>
              <w:jc w:val="center"/>
              <w:rPr>
                <w:sz w:val="19"/>
                <w:szCs w:val="19"/>
              </w:rPr>
            </w:pPr>
            <w:r>
              <w:rPr>
                <w:sz w:val="19"/>
                <w:szCs w:val="19"/>
              </w:rPr>
              <w:t>% Measurement</w:t>
            </w:r>
          </w:p>
          <w:p w14:paraId="3EA5007F" w14:textId="77777777" w:rsidR="000B7A35" w:rsidRPr="00F15C49" w:rsidRDefault="000B7A35" w:rsidP="00E37684">
            <w:pPr>
              <w:jc w:val="center"/>
              <w:rPr>
                <w:sz w:val="19"/>
                <w:szCs w:val="19"/>
                <w:vertAlign w:val="superscript"/>
              </w:rPr>
            </w:pPr>
            <w:r>
              <w:rPr>
                <w:sz w:val="19"/>
                <w:szCs w:val="19"/>
              </w:rPr>
              <w:t>error</w:t>
            </w:r>
            <w:r>
              <w:rPr>
                <w:sz w:val="19"/>
                <w:szCs w:val="19"/>
                <w:vertAlign w:val="superscript"/>
              </w:rPr>
              <w:t>2</w:t>
            </w:r>
          </w:p>
        </w:tc>
      </w:tr>
      <w:tr w:rsidR="00E37684" w:rsidRPr="007060FE" w14:paraId="7B0FA8EC" w14:textId="77777777" w:rsidTr="00372CB3">
        <w:trPr>
          <w:trHeight w:val="602"/>
          <w:jc w:val="center"/>
        </w:trPr>
        <w:tc>
          <w:tcPr>
            <w:tcW w:w="1235" w:type="dxa"/>
            <w:tcBorders>
              <w:top w:val="nil"/>
              <w:left w:val="nil"/>
              <w:bottom w:val="nil"/>
              <w:right w:val="nil"/>
            </w:tcBorders>
            <w:vAlign w:val="center"/>
          </w:tcPr>
          <w:p w14:paraId="33ED6C25" w14:textId="77777777" w:rsidR="00E37684" w:rsidRPr="001345DD" w:rsidRDefault="001345DD" w:rsidP="000B7A35">
            <w:pPr>
              <w:spacing w:before="20" w:after="20"/>
              <w:rPr>
                <w:b/>
                <w:sz w:val="19"/>
                <w:szCs w:val="19"/>
              </w:rPr>
            </w:pPr>
            <w:r w:rsidRPr="001345DD">
              <w:rPr>
                <w:b/>
                <w:sz w:val="19"/>
                <w:szCs w:val="19"/>
              </w:rPr>
              <w:t>Femur and</w:t>
            </w:r>
          </w:p>
          <w:p w14:paraId="365A9EBC" w14:textId="77777777" w:rsidR="001345DD" w:rsidRPr="001345DD" w:rsidRDefault="001345DD" w:rsidP="000B7A35">
            <w:pPr>
              <w:spacing w:before="20" w:after="20"/>
              <w:rPr>
                <w:sz w:val="19"/>
                <w:szCs w:val="19"/>
              </w:rPr>
            </w:pPr>
            <w:r w:rsidRPr="001345DD">
              <w:rPr>
                <w:b/>
                <w:sz w:val="19"/>
                <w:szCs w:val="19"/>
              </w:rPr>
              <w:t>Humerus</w:t>
            </w:r>
          </w:p>
        </w:tc>
        <w:tc>
          <w:tcPr>
            <w:tcW w:w="1316" w:type="dxa"/>
            <w:tcBorders>
              <w:top w:val="single" w:sz="4" w:space="0" w:color="auto"/>
              <w:left w:val="nil"/>
              <w:bottom w:val="nil"/>
              <w:right w:val="nil"/>
            </w:tcBorders>
            <w:vAlign w:val="center"/>
          </w:tcPr>
          <w:p w14:paraId="4D885D3A" w14:textId="77777777" w:rsidR="00E37684" w:rsidRPr="007060FE" w:rsidRDefault="00E37684" w:rsidP="00E37684">
            <w:pPr>
              <w:spacing w:before="20" w:after="20"/>
              <w:rPr>
                <w:sz w:val="19"/>
                <w:szCs w:val="19"/>
                <w:vertAlign w:val="superscript"/>
              </w:rPr>
            </w:pPr>
            <w:r w:rsidRPr="007060FE">
              <w:rPr>
                <w:sz w:val="19"/>
                <w:szCs w:val="19"/>
              </w:rPr>
              <w:t>Diaphyseal dimensions</w:t>
            </w:r>
            <w:r>
              <w:rPr>
                <w:sz w:val="19"/>
                <w:szCs w:val="19"/>
                <w:vertAlign w:val="superscript"/>
              </w:rPr>
              <w:t>3</w:t>
            </w:r>
          </w:p>
        </w:tc>
        <w:tc>
          <w:tcPr>
            <w:tcW w:w="1811" w:type="dxa"/>
            <w:tcBorders>
              <w:top w:val="single" w:sz="4" w:space="0" w:color="auto"/>
              <w:left w:val="nil"/>
              <w:bottom w:val="nil"/>
              <w:right w:val="nil"/>
            </w:tcBorders>
            <w:vAlign w:val="center"/>
          </w:tcPr>
          <w:p w14:paraId="036D4620"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M</w:t>
            </w:r>
            <w:r w:rsidRPr="007060FE">
              <w:rPr>
                <w:rFonts w:ascii="Times New Roman" w:hAnsi="Times New Roman"/>
                <w:sz w:val="19"/>
                <w:szCs w:val="19"/>
              </w:rPr>
              <w:t>L diameter at midshaft</w:t>
            </w:r>
          </w:p>
        </w:tc>
        <w:tc>
          <w:tcPr>
            <w:tcW w:w="1596" w:type="dxa"/>
            <w:tcBorders>
              <w:top w:val="single" w:sz="4" w:space="0" w:color="auto"/>
              <w:left w:val="nil"/>
              <w:bottom w:val="nil"/>
              <w:right w:val="nil"/>
            </w:tcBorders>
            <w:vAlign w:val="center"/>
          </w:tcPr>
          <w:p w14:paraId="1227FB1E" w14:textId="77777777" w:rsidR="00E37684" w:rsidRPr="007060FE" w:rsidRDefault="00E37684" w:rsidP="000B7A35">
            <w:pPr>
              <w:spacing w:before="20" w:after="20"/>
              <w:rPr>
                <w:sz w:val="19"/>
                <w:szCs w:val="19"/>
                <w:highlight w:val="yellow"/>
              </w:rPr>
            </w:pPr>
            <w:r>
              <w:rPr>
                <w:sz w:val="19"/>
                <w:szCs w:val="19"/>
              </w:rPr>
              <w:t>Digital c</w:t>
            </w:r>
            <w:r w:rsidRPr="007060FE">
              <w:rPr>
                <w:sz w:val="19"/>
                <w:szCs w:val="19"/>
              </w:rPr>
              <w:t>alipers</w:t>
            </w:r>
          </w:p>
        </w:tc>
        <w:tc>
          <w:tcPr>
            <w:tcW w:w="1620" w:type="dxa"/>
            <w:tcBorders>
              <w:top w:val="single" w:sz="4" w:space="0" w:color="auto"/>
              <w:left w:val="nil"/>
              <w:bottom w:val="nil"/>
              <w:right w:val="nil"/>
            </w:tcBorders>
            <w:vAlign w:val="center"/>
          </w:tcPr>
          <w:p w14:paraId="22D957EF" w14:textId="77777777" w:rsidR="00E37684" w:rsidRPr="007060FE" w:rsidRDefault="00E37684" w:rsidP="000B7A35">
            <w:pPr>
              <w:spacing w:before="20" w:after="20"/>
              <w:rPr>
                <w:b/>
                <w:sz w:val="19"/>
                <w:szCs w:val="19"/>
              </w:rPr>
            </w:pPr>
            <w:r w:rsidRPr="007060FE">
              <w:rPr>
                <w:sz w:val="19"/>
                <w:szCs w:val="19"/>
              </w:rPr>
              <w:t>Buikstra and Ubelaker (1994)</w:t>
            </w:r>
          </w:p>
        </w:tc>
        <w:tc>
          <w:tcPr>
            <w:tcW w:w="1998" w:type="dxa"/>
            <w:tcBorders>
              <w:top w:val="single" w:sz="4" w:space="0" w:color="auto"/>
              <w:left w:val="nil"/>
              <w:bottom w:val="nil"/>
              <w:right w:val="nil"/>
            </w:tcBorders>
          </w:tcPr>
          <w:p w14:paraId="070F41D8" w14:textId="77777777" w:rsidR="00E37684" w:rsidRDefault="00E37684" w:rsidP="000B7A35">
            <w:pPr>
              <w:spacing w:before="20" w:after="20"/>
              <w:jc w:val="center"/>
              <w:rPr>
                <w:sz w:val="19"/>
                <w:szCs w:val="19"/>
              </w:rPr>
            </w:pPr>
            <w:r>
              <w:rPr>
                <w:sz w:val="19"/>
                <w:szCs w:val="19"/>
              </w:rPr>
              <w:t>0.66 (F)</w:t>
            </w:r>
          </w:p>
          <w:p w14:paraId="6F5DC306" w14:textId="77777777" w:rsidR="00E37684" w:rsidRPr="007060FE" w:rsidRDefault="00E37684" w:rsidP="000B7A35">
            <w:pPr>
              <w:spacing w:before="20" w:after="20"/>
              <w:rPr>
                <w:sz w:val="19"/>
                <w:szCs w:val="19"/>
              </w:rPr>
            </w:pPr>
            <w:r>
              <w:rPr>
                <w:sz w:val="19"/>
                <w:szCs w:val="19"/>
              </w:rPr>
              <w:t xml:space="preserve">            1.34 (H)</w:t>
            </w:r>
          </w:p>
        </w:tc>
      </w:tr>
      <w:tr w:rsidR="00E37684" w:rsidRPr="007060FE" w14:paraId="65F09A40" w14:textId="77777777" w:rsidTr="00372CB3">
        <w:trPr>
          <w:jc w:val="center"/>
        </w:trPr>
        <w:tc>
          <w:tcPr>
            <w:tcW w:w="1235" w:type="dxa"/>
            <w:tcBorders>
              <w:top w:val="nil"/>
              <w:left w:val="nil"/>
              <w:bottom w:val="single" w:sz="4" w:space="0" w:color="000000"/>
              <w:right w:val="nil"/>
            </w:tcBorders>
            <w:vAlign w:val="center"/>
          </w:tcPr>
          <w:p w14:paraId="22D06DBB" w14:textId="77777777" w:rsidR="00E37684" w:rsidRPr="007060FE" w:rsidRDefault="00E37684" w:rsidP="000B7A35">
            <w:pPr>
              <w:spacing w:before="20" w:after="20"/>
              <w:rPr>
                <w:b/>
                <w:sz w:val="19"/>
                <w:szCs w:val="19"/>
              </w:rPr>
            </w:pPr>
          </w:p>
        </w:tc>
        <w:tc>
          <w:tcPr>
            <w:tcW w:w="1316" w:type="dxa"/>
            <w:tcBorders>
              <w:top w:val="nil"/>
              <w:left w:val="nil"/>
              <w:bottom w:val="single" w:sz="4" w:space="0" w:color="000000"/>
              <w:right w:val="nil"/>
            </w:tcBorders>
            <w:vAlign w:val="center"/>
          </w:tcPr>
          <w:p w14:paraId="310E6C7C" w14:textId="77777777" w:rsidR="00E37684" w:rsidRPr="004D421C"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vertAlign w:val="superscript"/>
              </w:rPr>
            </w:pPr>
          </w:p>
        </w:tc>
        <w:tc>
          <w:tcPr>
            <w:tcW w:w="1811" w:type="dxa"/>
            <w:tcBorders>
              <w:top w:val="nil"/>
              <w:left w:val="nil"/>
              <w:bottom w:val="single" w:sz="4" w:space="0" w:color="000000"/>
              <w:right w:val="nil"/>
            </w:tcBorders>
            <w:vAlign w:val="center"/>
          </w:tcPr>
          <w:p w14:paraId="1164AAD0"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A</w:t>
            </w:r>
            <w:r w:rsidRPr="007060FE">
              <w:rPr>
                <w:rFonts w:ascii="Times New Roman" w:hAnsi="Times New Roman"/>
                <w:sz w:val="19"/>
                <w:szCs w:val="19"/>
              </w:rPr>
              <w:t>P diameter at midshaft</w:t>
            </w:r>
          </w:p>
        </w:tc>
        <w:tc>
          <w:tcPr>
            <w:tcW w:w="1596" w:type="dxa"/>
            <w:tcBorders>
              <w:top w:val="nil"/>
              <w:left w:val="nil"/>
              <w:bottom w:val="single" w:sz="4" w:space="0" w:color="000000"/>
              <w:right w:val="nil"/>
            </w:tcBorders>
            <w:vAlign w:val="center"/>
          </w:tcPr>
          <w:p w14:paraId="5DF9B844" w14:textId="77777777" w:rsidR="00E37684" w:rsidRPr="007060FE" w:rsidRDefault="00E37684" w:rsidP="000B7A35">
            <w:pPr>
              <w:spacing w:before="20" w:after="20"/>
              <w:rPr>
                <w:sz w:val="19"/>
                <w:szCs w:val="19"/>
              </w:rPr>
            </w:pPr>
            <w:r>
              <w:rPr>
                <w:sz w:val="19"/>
                <w:szCs w:val="19"/>
              </w:rPr>
              <w:t>Digital c</w:t>
            </w:r>
            <w:r w:rsidRPr="007060FE">
              <w:rPr>
                <w:sz w:val="19"/>
                <w:szCs w:val="19"/>
              </w:rPr>
              <w:t>alipers</w:t>
            </w:r>
          </w:p>
        </w:tc>
        <w:tc>
          <w:tcPr>
            <w:tcW w:w="1620" w:type="dxa"/>
            <w:tcBorders>
              <w:top w:val="nil"/>
              <w:left w:val="nil"/>
              <w:bottom w:val="single" w:sz="4" w:space="0" w:color="000000"/>
              <w:right w:val="nil"/>
            </w:tcBorders>
            <w:vAlign w:val="center"/>
          </w:tcPr>
          <w:p w14:paraId="501EE637" w14:textId="77777777" w:rsidR="00E37684" w:rsidRPr="007060FE" w:rsidRDefault="00E37684" w:rsidP="000B7A35">
            <w:pPr>
              <w:spacing w:before="20" w:after="20"/>
              <w:rPr>
                <w:b/>
                <w:sz w:val="19"/>
                <w:szCs w:val="19"/>
              </w:rPr>
            </w:pPr>
            <w:r w:rsidRPr="007060FE">
              <w:rPr>
                <w:sz w:val="19"/>
                <w:szCs w:val="19"/>
              </w:rPr>
              <w:t>Buikstra and Ubelaker (1994)</w:t>
            </w:r>
          </w:p>
        </w:tc>
        <w:tc>
          <w:tcPr>
            <w:tcW w:w="1998" w:type="dxa"/>
            <w:tcBorders>
              <w:top w:val="nil"/>
              <w:left w:val="nil"/>
              <w:bottom w:val="single" w:sz="4" w:space="0" w:color="000000"/>
              <w:right w:val="nil"/>
            </w:tcBorders>
          </w:tcPr>
          <w:p w14:paraId="4C7299D5" w14:textId="77777777" w:rsidR="00E37684" w:rsidRDefault="00E37684" w:rsidP="000B7A35">
            <w:pPr>
              <w:spacing w:before="20" w:after="20"/>
              <w:jc w:val="center"/>
              <w:rPr>
                <w:sz w:val="19"/>
                <w:szCs w:val="19"/>
              </w:rPr>
            </w:pPr>
            <w:r>
              <w:rPr>
                <w:sz w:val="19"/>
                <w:szCs w:val="19"/>
              </w:rPr>
              <w:t>0.41 (F)</w:t>
            </w:r>
          </w:p>
          <w:p w14:paraId="63844FA7" w14:textId="77777777" w:rsidR="00E37684" w:rsidRPr="007060FE" w:rsidRDefault="00E37684" w:rsidP="000B7A35">
            <w:pPr>
              <w:spacing w:before="20" w:after="20"/>
              <w:jc w:val="center"/>
              <w:rPr>
                <w:sz w:val="19"/>
                <w:szCs w:val="19"/>
              </w:rPr>
            </w:pPr>
            <w:r>
              <w:rPr>
                <w:sz w:val="19"/>
                <w:szCs w:val="19"/>
              </w:rPr>
              <w:t>0.62 (H)</w:t>
            </w:r>
          </w:p>
        </w:tc>
      </w:tr>
      <w:tr w:rsidR="00E37684" w:rsidRPr="007060FE" w14:paraId="6AB43026" w14:textId="77777777" w:rsidTr="00372CB3">
        <w:trPr>
          <w:jc w:val="center"/>
        </w:trPr>
        <w:tc>
          <w:tcPr>
            <w:tcW w:w="1235" w:type="dxa"/>
            <w:tcBorders>
              <w:left w:val="nil"/>
              <w:bottom w:val="nil"/>
              <w:right w:val="nil"/>
            </w:tcBorders>
            <w:vAlign w:val="center"/>
          </w:tcPr>
          <w:p w14:paraId="5A5A6842" w14:textId="77777777" w:rsidR="00E37684" w:rsidRPr="007060FE" w:rsidRDefault="00E37684" w:rsidP="000B7A35">
            <w:pPr>
              <w:spacing w:before="20" w:after="20"/>
              <w:rPr>
                <w:b/>
                <w:sz w:val="19"/>
                <w:szCs w:val="19"/>
              </w:rPr>
            </w:pPr>
            <w:r w:rsidRPr="007060FE">
              <w:rPr>
                <w:b/>
                <w:sz w:val="19"/>
                <w:szCs w:val="19"/>
              </w:rPr>
              <w:t>Humerus</w:t>
            </w:r>
            <w:r w:rsidR="001345DD">
              <w:rPr>
                <w:b/>
                <w:sz w:val="19"/>
                <w:szCs w:val="19"/>
              </w:rPr>
              <w:t xml:space="preserve"> only</w:t>
            </w:r>
          </w:p>
        </w:tc>
        <w:tc>
          <w:tcPr>
            <w:tcW w:w="1316" w:type="dxa"/>
            <w:tcBorders>
              <w:left w:val="nil"/>
              <w:bottom w:val="nil"/>
              <w:right w:val="nil"/>
            </w:tcBorders>
            <w:vAlign w:val="center"/>
          </w:tcPr>
          <w:p w14:paraId="595E921A" w14:textId="77777777" w:rsidR="00E37684" w:rsidRPr="007060FE" w:rsidRDefault="00E37684" w:rsidP="00E37684">
            <w:pPr>
              <w:pStyle w:val="ColorfulList-Accent11"/>
              <w:autoSpaceDE w:val="0"/>
              <w:autoSpaceDN w:val="0"/>
              <w:adjustRightInd w:val="0"/>
              <w:spacing w:before="20" w:after="20" w:line="240" w:lineRule="auto"/>
              <w:ind w:left="0"/>
              <w:rPr>
                <w:rFonts w:ascii="Times New Roman" w:hAnsi="Times New Roman"/>
                <w:sz w:val="19"/>
                <w:szCs w:val="19"/>
              </w:rPr>
            </w:pPr>
            <w:r w:rsidRPr="007060FE">
              <w:rPr>
                <w:rFonts w:ascii="Times New Roman" w:hAnsi="Times New Roman"/>
                <w:sz w:val="19"/>
                <w:szCs w:val="19"/>
              </w:rPr>
              <w:t>Diaphyseal dimensions</w:t>
            </w:r>
            <w:r>
              <w:rPr>
                <w:rFonts w:ascii="Times New Roman" w:hAnsi="Times New Roman"/>
                <w:sz w:val="19"/>
                <w:szCs w:val="19"/>
                <w:vertAlign w:val="superscript"/>
              </w:rPr>
              <w:t>4</w:t>
            </w:r>
          </w:p>
        </w:tc>
        <w:tc>
          <w:tcPr>
            <w:tcW w:w="1811" w:type="dxa"/>
            <w:tcBorders>
              <w:left w:val="nil"/>
              <w:bottom w:val="nil"/>
              <w:right w:val="nil"/>
            </w:tcBorders>
            <w:vAlign w:val="center"/>
          </w:tcPr>
          <w:p w14:paraId="1C17DF64"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M</w:t>
            </w:r>
            <w:r w:rsidRPr="007060FE">
              <w:rPr>
                <w:rFonts w:ascii="Times New Roman" w:hAnsi="Times New Roman"/>
                <w:sz w:val="19"/>
                <w:szCs w:val="19"/>
              </w:rPr>
              <w:t xml:space="preserve">L diameter at </w:t>
            </w:r>
            <w:r>
              <w:rPr>
                <w:rFonts w:ascii="Times New Roman" w:hAnsi="Times New Roman"/>
                <w:sz w:val="19"/>
                <w:szCs w:val="19"/>
              </w:rPr>
              <w:t>distal shaft</w:t>
            </w:r>
          </w:p>
        </w:tc>
        <w:tc>
          <w:tcPr>
            <w:tcW w:w="1596" w:type="dxa"/>
            <w:tcBorders>
              <w:left w:val="nil"/>
              <w:bottom w:val="nil"/>
              <w:right w:val="nil"/>
            </w:tcBorders>
            <w:vAlign w:val="center"/>
          </w:tcPr>
          <w:p w14:paraId="5AE1C10A" w14:textId="77777777" w:rsidR="00E37684" w:rsidRPr="007060FE" w:rsidRDefault="00E37684" w:rsidP="000B7A35">
            <w:pPr>
              <w:spacing w:before="20" w:after="20"/>
              <w:rPr>
                <w:b/>
                <w:sz w:val="19"/>
                <w:szCs w:val="19"/>
              </w:rPr>
            </w:pPr>
            <w:r>
              <w:rPr>
                <w:sz w:val="19"/>
                <w:szCs w:val="19"/>
              </w:rPr>
              <w:t>Digital c</w:t>
            </w:r>
            <w:r w:rsidRPr="007060FE">
              <w:rPr>
                <w:sz w:val="19"/>
                <w:szCs w:val="19"/>
              </w:rPr>
              <w:t>alipers</w:t>
            </w:r>
          </w:p>
        </w:tc>
        <w:tc>
          <w:tcPr>
            <w:tcW w:w="1620" w:type="dxa"/>
            <w:tcBorders>
              <w:left w:val="nil"/>
              <w:bottom w:val="nil"/>
              <w:right w:val="nil"/>
            </w:tcBorders>
            <w:vAlign w:val="center"/>
          </w:tcPr>
          <w:p w14:paraId="21B781F0" w14:textId="77777777" w:rsidR="00E37684" w:rsidRPr="007060FE" w:rsidRDefault="00E37684" w:rsidP="000B7A35">
            <w:pPr>
              <w:spacing w:before="20" w:after="20"/>
              <w:rPr>
                <w:b/>
                <w:sz w:val="19"/>
                <w:szCs w:val="19"/>
              </w:rPr>
            </w:pPr>
          </w:p>
        </w:tc>
        <w:tc>
          <w:tcPr>
            <w:tcW w:w="1998" w:type="dxa"/>
            <w:tcBorders>
              <w:left w:val="nil"/>
              <w:bottom w:val="nil"/>
              <w:right w:val="nil"/>
            </w:tcBorders>
          </w:tcPr>
          <w:p w14:paraId="18009DD8" w14:textId="77777777" w:rsidR="00E37684" w:rsidRPr="007060FE" w:rsidRDefault="00E37684" w:rsidP="000B7A35">
            <w:pPr>
              <w:spacing w:before="20" w:after="20"/>
              <w:jc w:val="center"/>
              <w:rPr>
                <w:sz w:val="19"/>
                <w:szCs w:val="19"/>
              </w:rPr>
            </w:pPr>
            <w:r>
              <w:rPr>
                <w:sz w:val="19"/>
                <w:szCs w:val="19"/>
              </w:rPr>
              <w:t>0.73</w:t>
            </w:r>
          </w:p>
        </w:tc>
      </w:tr>
      <w:tr w:rsidR="00E37684" w:rsidRPr="007060FE" w14:paraId="645B3A7E" w14:textId="77777777" w:rsidTr="00372CB3">
        <w:trPr>
          <w:jc w:val="center"/>
        </w:trPr>
        <w:tc>
          <w:tcPr>
            <w:tcW w:w="1235" w:type="dxa"/>
            <w:tcBorders>
              <w:top w:val="nil"/>
              <w:left w:val="nil"/>
              <w:bottom w:val="nil"/>
              <w:right w:val="nil"/>
            </w:tcBorders>
            <w:vAlign w:val="center"/>
          </w:tcPr>
          <w:p w14:paraId="1DA802FD" w14:textId="77777777" w:rsidR="00E37684" w:rsidRPr="007060FE" w:rsidRDefault="00E37684" w:rsidP="000B7A35">
            <w:pPr>
              <w:spacing w:before="20" w:after="20"/>
              <w:rPr>
                <w:b/>
                <w:sz w:val="19"/>
                <w:szCs w:val="19"/>
              </w:rPr>
            </w:pPr>
          </w:p>
        </w:tc>
        <w:tc>
          <w:tcPr>
            <w:tcW w:w="1316" w:type="dxa"/>
            <w:tcBorders>
              <w:top w:val="nil"/>
              <w:left w:val="nil"/>
              <w:bottom w:val="single" w:sz="4" w:space="0" w:color="auto"/>
              <w:right w:val="nil"/>
            </w:tcBorders>
            <w:vAlign w:val="center"/>
          </w:tcPr>
          <w:p w14:paraId="51876DF0" w14:textId="77777777" w:rsidR="00E37684" w:rsidRPr="00D94A03"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vertAlign w:val="superscript"/>
              </w:rPr>
            </w:pPr>
          </w:p>
        </w:tc>
        <w:tc>
          <w:tcPr>
            <w:tcW w:w="1811" w:type="dxa"/>
            <w:tcBorders>
              <w:top w:val="nil"/>
              <w:left w:val="nil"/>
              <w:bottom w:val="single" w:sz="4" w:space="0" w:color="auto"/>
              <w:right w:val="nil"/>
            </w:tcBorders>
            <w:vAlign w:val="center"/>
          </w:tcPr>
          <w:p w14:paraId="53917BB5"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A</w:t>
            </w:r>
            <w:r w:rsidRPr="007060FE">
              <w:rPr>
                <w:rFonts w:ascii="Times New Roman" w:hAnsi="Times New Roman"/>
                <w:sz w:val="19"/>
                <w:szCs w:val="19"/>
              </w:rPr>
              <w:t xml:space="preserve">P diameter at </w:t>
            </w:r>
            <w:r>
              <w:rPr>
                <w:rFonts w:ascii="Times New Roman" w:hAnsi="Times New Roman"/>
                <w:sz w:val="19"/>
                <w:szCs w:val="19"/>
              </w:rPr>
              <w:t>distal shaft</w:t>
            </w:r>
          </w:p>
        </w:tc>
        <w:tc>
          <w:tcPr>
            <w:tcW w:w="1596" w:type="dxa"/>
            <w:tcBorders>
              <w:top w:val="nil"/>
              <w:left w:val="nil"/>
              <w:bottom w:val="single" w:sz="4" w:space="0" w:color="auto"/>
              <w:right w:val="nil"/>
            </w:tcBorders>
            <w:vAlign w:val="center"/>
          </w:tcPr>
          <w:p w14:paraId="0F43C1B2" w14:textId="77777777" w:rsidR="00E37684" w:rsidRPr="007060FE" w:rsidRDefault="00E37684" w:rsidP="000B7A35">
            <w:pPr>
              <w:spacing w:before="20" w:after="20"/>
              <w:rPr>
                <w:b/>
                <w:sz w:val="19"/>
                <w:szCs w:val="19"/>
              </w:rPr>
            </w:pPr>
            <w:r w:rsidRPr="007060FE">
              <w:rPr>
                <w:sz w:val="19"/>
                <w:szCs w:val="19"/>
              </w:rPr>
              <w:t>Digital Calipers</w:t>
            </w:r>
          </w:p>
        </w:tc>
        <w:tc>
          <w:tcPr>
            <w:tcW w:w="1620" w:type="dxa"/>
            <w:tcBorders>
              <w:top w:val="nil"/>
              <w:left w:val="nil"/>
              <w:bottom w:val="single" w:sz="4" w:space="0" w:color="auto"/>
              <w:right w:val="nil"/>
            </w:tcBorders>
            <w:vAlign w:val="center"/>
          </w:tcPr>
          <w:p w14:paraId="356A9591" w14:textId="77777777" w:rsidR="00E37684" w:rsidRPr="007060FE" w:rsidRDefault="00E37684" w:rsidP="000B7A35">
            <w:pPr>
              <w:spacing w:before="20" w:after="20"/>
              <w:rPr>
                <w:sz w:val="19"/>
                <w:szCs w:val="19"/>
              </w:rPr>
            </w:pPr>
          </w:p>
        </w:tc>
        <w:tc>
          <w:tcPr>
            <w:tcW w:w="1998" w:type="dxa"/>
            <w:tcBorders>
              <w:top w:val="nil"/>
              <w:left w:val="nil"/>
              <w:bottom w:val="single" w:sz="4" w:space="0" w:color="auto"/>
              <w:right w:val="nil"/>
            </w:tcBorders>
          </w:tcPr>
          <w:p w14:paraId="54F8B597" w14:textId="77777777" w:rsidR="00E37684" w:rsidRPr="007060FE" w:rsidRDefault="00E37684" w:rsidP="000B7A35">
            <w:pPr>
              <w:spacing w:before="20" w:after="20"/>
              <w:jc w:val="center"/>
              <w:rPr>
                <w:sz w:val="19"/>
                <w:szCs w:val="19"/>
              </w:rPr>
            </w:pPr>
            <w:r>
              <w:rPr>
                <w:sz w:val="19"/>
                <w:szCs w:val="19"/>
              </w:rPr>
              <w:t>0.62</w:t>
            </w:r>
          </w:p>
        </w:tc>
      </w:tr>
      <w:tr w:rsidR="00E37684" w:rsidRPr="007060FE" w14:paraId="4EDD229B" w14:textId="77777777" w:rsidTr="00372CB3">
        <w:trPr>
          <w:jc w:val="center"/>
        </w:trPr>
        <w:tc>
          <w:tcPr>
            <w:tcW w:w="1235" w:type="dxa"/>
            <w:tcBorders>
              <w:top w:val="nil"/>
              <w:left w:val="nil"/>
              <w:bottom w:val="nil"/>
              <w:right w:val="nil"/>
            </w:tcBorders>
            <w:vAlign w:val="center"/>
          </w:tcPr>
          <w:p w14:paraId="1ADFEF68" w14:textId="77777777" w:rsidR="00E37684" w:rsidRPr="007060FE" w:rsidRDefault="00E37684" w:rsidP="000B7A35">
            <w:pPr>
              <w:spacing w:before="20" w:after="20"/>
              <w:rPr>
                <w:b/>
                <w:sz w:val="19"/>
                <w:szCs w:val="19"/>
              </w:rPr>
            </w:pPr>
          </w:p>
        </w:tc>
        <w:tc>
          <w:tcPr>
            <w:tcW w:w="1316" w:type="dxa"/>
            <w:tcBorders>
              <w:top w:val="single" w:sz="4" w:space="0" w:color="auto"/>
              <w:left w:val="nil"/>
              <w:bottom w:val="nil"/>
              <w:right w:val="nil"/>
            </w:tcBorders>
            <w:vAlign w:val="center"/>
          </w:tcPr>
          <w:p w14:paraId="1BF03762" w14:textId="77777777" w:rsidR="00E37684" w:rsidRPr="007060FE" w:rsidRDefault="00E37684" w:rsidP="00E37684">
            <w:pPr>
              <w:spacing w:before="20" w:after="20"/>
              <w:rPr>
                <w:sz w:val="19"/>
                <w:szCs w:val="19"/>
              </w:rPr>
            </w:pPr>
            <w:r>
              <w:rPr>
                <w:sz w:val="19"/>
                <w:szCs w:val="19"/>
              </w:rPr>
              <w:t>Metaphyseal</w:t>
            </w:r>
            <w:r w:rsidRPr="007060FE">
              <w:rPr>
                <w:sz w:val="19"/>
                <w:szCs w:val="19"/>
              </w:rPr>
              <w:t xml:space="preserve"> dimensions</w:t>
            </w:r>
          </w:p>
        </w:tc>
        <w:tc>
          <w:tcPr>
            <w:tcW w:w="1811" w:type="dxa"/>
            <w:tcBorders>
              <w:top w:val="single" w:sz="4" w:space="0" w:color="auto"/>
              <w:left w:val="nil"/>
              <w:bottom w:val="nil"/>
              <w:right w:val="nil"/>
            </w:tcBorders>
            <w:vAlign w:val="center"/>
          </w:tcPr>
          <w:p w14:paraId="698972D5" w14:textId="77777777" w:rsidR="00E37684"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Distal metaphyseal</w:t>
            </w:r>
          </w:p>
          <w:p w14:paraId="5907331D"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rPr>
            </w:pPr>
            <w:r>
              <w:rPr>
                <w:rFonts w:ascii="Times New Roman" w:hAnsi="Times New Roman"/>
                <w:sz w:val="19"/>
                <w:szCs w:val="19"/>
              </w:rPr>
              <w:t>breadth</w:t>
            </w:r>
          </w:p>
        </w:tc>
        <w:tc>
          <w:tcPr>
            <w:tcW w:w="1596" w:type="dxa"/>
            <w:tcBorders>
              <w:top w:val="single" w:sz="4" w:space="0" w:color="auto"/>
              <w:left w:val="nil"/>
              <w:bottom w:val="nil"/>
              <w:right w:val="nil"/>
            </w:tcBorders>
            <w:vAlign w:val="center"/>
          </w:tcPr>
          <w:p w14:paraId="0440C24B" w14:textId="77777777" w:rsidR="00E37684" w:rsidRPr="007060FE" w:rsidRDefault="00E37684" w:rsidP="000B7A35">
            <w:pPr>
              <w:spacing w:before="20" w:after="20"/>
              <w:rPr>
                <w:b/>
                <w:sz w:val="19"/>
                <w:szCs w:val="19"/>
                <w:highlight w:val="yellow"/>
              </w:rPr>
            </w:pPr>
            <w:r>
              <w:rPr>
                <w:sz w:val="19"/>
                <w:szCs w:val="19"/>
              </w:rPr>
              <w:t>Digital c</w:t>
            </w:r>
            <w:r w:rsidRPr="007060FE">
              <w:rPr>
                <w:sz w:val="19"/>
                <w:szCs w:val="19"/>
              </w:rPr>
              <w:t>alipers</w:t>
            </w:r>
          </w:p>
        </w:tc>
        <w:tc>
          <w:tcPr>
            <w:tcW w:w="1620" w:type="dxa"/>
            <w:tcBorders>
              <w:top w:val="single" w:sz="4" w:space="0" w:color="auto"/>
              <w:left w:val="nil"/>
              <w:bottom w:val="nil"/>
              <w:right w:val="nil"/>
            </w:tcBorders>
            <w:vAlign w:val="center"/>
          </w:tcPr>
          <w:p w14:paraId="436A7A28" w14:textId="77777777" w:rsidR="00E37684" w:rsidRPr="007060FE" w:rsidRDefault="00E37684" w:rsidP="000B7A35">
            <w:pPr>
              <w:spacing w:before="20" w:after="20"/>
              <w:rPr>
                <w:sz w:val="19"/>
                <w:szCs w:val="19"/>
              </w:rPr>
            </w:pPr>
            <w:r w:rsidRPr="007060FE">
              <w:rPr>
                <w:sz w:val="19"/>
                <w:szCs w:val="19"/>
              </w:rPr>
              <w:t>Buikstra and Ubelaker (1994)</w:t>
            </w:r>
          </w:p>
        </w:tc>
        <w:tc>
          <w:tcPr>
            <w:tcW w:w="1998" w:type="dxa"/>
            <w:tcBorders>
              <w:top w:val="single" w:sz="4" w:space="0" w:color="auto"/>
              <w:left w:val="nil"/>
              <w:bottom w:val="nil"/>
              <w:right w:val="nil"/>
            </w:tcBorders>
          </w:tcPr>
          <w:p w14:paraId="66DD323C" w14:textId="77777777" w:rsidR="00E37684" w:rsidRPr="007060FE" w:rsidRDefault="003C7C7B" w:rsidP="000B7A35">
            <w:pPr>
              <w:spacing w:before="20" w:after="20"/>
              <w:jc w:val="center"/>
              <w:rPr>
                <w:sz w:val="19"/>
                <w:szCs w:val="19"/>
              </w:rPr>
            </w:pPr>
            <w:r w:rsidRPr="005417E7">
              <w:rPr>
                <w:sz w:val="19"/>
                <w:szCs w:val="19"/>
              </w:rPr>
              <w:t>0.53</w:t>
            </w:r>
          </w:p>
        </w:tc>
      </w:tr>
      <w:tr w:rsidR="00E37684" w:rsidRPr="007060FE" w14:paraId="7503D2F1" w14:textId="77777777" w:rsidTr="00372CB3">
        <w:trPr>
          <w:jc w:val="center"/>
        </w:trPr>
        <w:tc>
          <w:tcPr>
            <w:tcW w:w="1235" w:type="dxa"/>
            <w:tcBorders>
              <w:left w:val="nil"/>
              <w:bottom w:val="single" w:sz="4" w:space="0" w:color="auto"/>
              <w:right w:val="nil"/>
            </w:tcBorders>
            <w:vAlign w:val="center"/>
          </w:tcPr>
          <w:p w14:paraId="148562FC" w14:textId="77777777" w:rsidR="00E37684" w:rsidRPr="007060FE" w:rsidRDefault="001345DD" w:rsidP="000B7A35">
            <w:pPr>
              <w:spacing w:before="20" w:after="20"/>
              <w:rPr>
                <w:b/>
                <w:sz w:val="19"/>
                <w:szCs w:val="19"/>
              </w:rPr>
            </w:pPr>
            <w:r>
              <w:rPr>
                <w:b/>
                <w:sz w:val="19"/>
                <w:szCs w:val="19"/>
              </w:rPr>
              <w:t>Femur only</w:t>
            </w:r>
          </w:p>
        </w:tc>
        <w:tc>
          <w:tcPr>
            <w:tcW w:w="1316" w:type="dxa"/>
            <w:tcBorders>
              <w:left w:val="nil"/>
              <w:bottom w:val="single" w:sz="4" w:space="0" w:color="auto"/>
              <w:right w:val="nil"/>
            </w:tcBorders>
            <w:vAlign w:val="center"/>
          </w:tcPr>
          <w:p w14:paraId="5C332CBF" w14:textId="77777777" w:rsidR="00E37684" w:rsidRPr="007060FE" w:rsidRDefault="00E37684" w:rsidP="000B7A35">
            <w:pPr>
              <w:spacing w:before="20" w:after="20"/>
              <w:rPr>
                <w:sz w:val="19"/>
                <w:szCs w:val="19"/>
              </w:rPr>
            </w:pPr>
            <w:r w:rsidRPr="00B40B71">
              <w:rPr>
                <w:sz w:val="19"/>
                <w:szCs w:val="19"/>
              </w:rPr>
              <w:t>Angle</w:t>
            </w:r>
          </w:p>
        </w:tc>
        <w:tc>
          <w:tcPr>
            <w:tcW w:w="1811" w:type="dxa"/>
            <w:tcBorders>
              <w:left w:val="nil"/>
              <w:bottom w:val="single" w:sz="4" w:space="0" w:color="auto"/>
              <w:right w:val="nil"/>
            </w:tcBorders>
            <w:vAlign w:val="center"/>
          </w:tcPr>
          <w:p w14:paraId="32487501" w14:textId="77777777" w:rsidR="00E37684" w:rsidRPr="007060FE" w:rsidRDefault="00E37684" w:rsidP="000B7A35">
            <w:pPr>
              <w:pStyle w:val="ColorfulList-Accent11"/>
              <w:autoSpaceDE w:val="0"/>
              <w:autoSpaceDN w:val="0"/>
              <w:adjustRightInd w:val="0"/>
              <w:spacing w:before="20" w:after="20" w:line="240" w:lineRule="auto"/>
              <w:ind w:left="0"/>
              <w:rPr>
                <w:rFonts w:ascii="Times New Roman" w:hAnsi="Times New Roman"/>
                <w:sz w:val="19"/>
                <w:szCs w:val="19"/>
                <w:vertAlign w:val="superscript"/>
              </w:rPr>
            </w:pPr>
            <w:r w:rsidRPr="007060FE">
              <w:rPr>
                <w:rFonts w:ascii="Times New Roman" w:hAnsi="Times New Roman"/>
                <w:sz w:val="19"/>
                <w:szCs w:val="19"/>
              </w:rPr>
              <w:t>Neck-shaft angle</w:t>
            </w:r>
          </w:p>
        </w:tc>
        <w:tc>
          <w:tcPr>
            <w:tcW w:w="1596" w:type="dxa"/>
            <w:tcBorders>
              <w:left w:val="nil"/>
              <w:bottom w:val="single" w:sz="4" w:space="0" w:color="auto"/>
              <w:right w:val="nil"/>
            </w:tcBorders>
            <w:vAlign w:val="center"/>
          </w:tcPr>
          <w:p w14:paraId="20BD6422" w14:textId="77777777" w:rsidR="00E37684" w:rsidRPr="007060FE" w:rsidRDefault="00E37684" w:rsidP="000B7A35">
            <w:pPr>
              <w:spacing w:before="20" w:after="20"/>
              <w:rPr>
                <w:sz w:val="19"/>
                <w:szCs w:val="19"/>
              </w:rPr>
            </w:pPr>
            <w:r w:rsidRPr="007060FE">
              <w:rPr>
                <w:sz w:val="19"/>
                <w:szCs w:val="19"/>
              </w:rPr>
              <w:t>Image J</w:t>
            </w:r>
          </w:p>
        </w:tc>
        <w:tc>
          <w:tcPr>
            <w:tcW w:w="1620" w:type="dxa"/>
            <w:tcBorders>
              <w:left w:val="nil"/>
              <w:bottom w:val="single" w:sz="4" w:space="0" w:color="auto"/>
              <w:right w:val="nil"/>
            </w:tcBorders>
            <w:vAlign w:val="center"/>
          </w:tcPr>
          <w:p w14:paraId="1CB72BBE" w14:textId="77777777" w:rsidR="00E37684" w:rsidRPr="007060FE" w:rsidRDefault="00E37684" w:rsidP="000B7A35">
            <w:pPr>
              <w:spacing w:before="20" w:after="20"/>
              <w:rPr>
                <w:b/>
                <w:sz w:val="19"/>
                <w:szCs w:val="19"/>
              </w:rPr>
            </w:pPr>
            <w:r w:rsidRPr="007060FE">
              <w:rPr>
                <w:sz w:val="19"/>
                <w:szCs w:val="19"/>
              </w:rPr>
              <w:t xml:space="preserve">Martin (1928) </w:t>
            </w:r>
          </w:p>
        </w:tc>
        <w:tc>
          <w:tcPr>
            <w:tcW w:w="1998" w:type="dxa"/>
            <w:tcBorders>
              <w:left w:val="nil"/>
              <w:bottom w:val="single" w:sz="4" w:space="0" w:color="auto"/>
              <w:right w:val="nil"/>
            </w:tcBorders>
          </w:tcPr>
          <w:p w14:paraId="3A15E520" w14:textId="77777777" w:rsidR="00E37684" w:rsidRPr="007060FE" w:rsidRDefault="00E37684" w:rsidP="000B7A35">
            <w:pPr>
              <w:spacing w:before="20" w:after="20"/>
              <w:jc w:val="center"/>
              <w:rPr>
                <w:sz w:val="19"/>
                <w:szCs w:val="19"/>
              </w:rPr>
            </w:pPr>
          </w:p>
        </w:tc>
      </w:tr>
    </w:tbl>
    <w:p w14:paraId="2EC04AFB" w14:textId="77777777" w:rsidR="000B7A35" w:rsidRPr="00D94A03" w:rsidRDefault="000B7A35" w:rsidP="000B7A35">
      <w:pPr>
        <w:rPr>
          <w:sz w:val="19"/>
          <w:szCs w:val="19"/>
        </w:rPr>
      </w:pPr>
      <w:r w:rsidRPr="00D94A03">
        <w:rPr>
          <w:sz w:val="19"/>
          <w:szCs w:val="19"/>
          <w:vertAlign w:val="superscript"/>
        </w:rPr>
        <w:t xml:space="preserve">1 </w:t>
      </w:r>
      <w:r w:rsidRPr="00D94A03">
        <w:rPr>
          <w:sz w:val="19"/>
          <w:szCs w:val="19"/>
        </w:rPr>
        <w:t>Planes are abbreviated: AP, anterior-posterior; ML, medio-lateral.</w:t>
      </w:r>
    </w:p>
    <w:p w14:paraId="22095A86" w14:textId="77777777" w:rsidR="000B7A35" w:rsidRPr="00D94A03" w:rsidRDefault="000B7A35" w:rsidP="000B7A35">
      <w:pPr>
        <w:autoSpaceDE w:val="0"/>
        <w:autoSpaceDN w:val="0"/>
        <w:adjustRightInd w:val="0"/>
        <w:rPr>
          <w:sz w:val="19"/>
          <w:szCs w:val="19"/>
        </w:rPr>
      </w:pPr>
      <w:r w:rsidRPr="00D94A03">
        <w:rPr>
          <w:sz w:val="19"/>
          <w:szCs w:val="19"/>
          <w:vertAlign w:val="superscript"/>
        </w:rPr>
        <w:t xml:space="preserve">2 </w:t>
      </w:r>
      <w:r w:rsidRPr="00D94A03">
        <w:rPr>
          <w:sz w:val="19"/>
          <w:szCs w:val="19"/>
        </w:rPr>
        <w:t>Average difference of three measurement trials from their mean, divided by the mean and multiplied by 100 (following White, 2000). Elements are abbreviated: F, femur; H, humerus.</w:t>
      </w:r>
    </w:p>
    <w:p w14:paraId="5BE28A43" w14:textId="77777777" w:rsidR="000B7A35" w:rsidRPr="00D94A03" w:rsidRDefault="00E37684" w:rsidP="000B7A35">
      <w:pPr>
        <w:rPr>
          <w:sz w:val="19"/>
          <w:szCs w:val="19"/>
        </w:rPr>
      </w:pPr>
      <w:r>
        <w:rPr>
          <w:sz w:val="19"/>
          <w:szCs w:val="19"/>
          <w:vertAlign w:val="superscript"/>
        </w:rPr>
        <w:t>3</w:t>
      </w:r>
      <w:r w:rsidR="000B7A35" w:rsidRPr="00D94A03">
        <w:rPr>
          <w:sz w:val="19"/>
          <w:szCs w:val="19"/>
        </w:rPr>
        <w:t xml:space="preserve"> Taken at 45.5% diaphyseal length when epiphyses not fused and 50% bone length when epiphyses fused (following Ruff, 2003a) </w:t>
      </w:r>
    </w:p>
    <w:p w14:paraId="1CDF2667" w14:textId="77777777" w:rsidR="000B7A35" w:rsidRPr="00D94A03" w:rsidRDefault="00E37684" w:rsidP="000B7A35">
      <w:pPr>
        <w:rPr>
          <w:sz w:val="19"/>
          <w:szCs w:val="19"/>
        </w:rPr>
      </w:pPr>
      <w:r>
        <w:rPr>
          <w:sz w:val="19"/>
          <w:szCs w:val="19"/>
          <w:vertAlign w:val="superscript"/>
        </w:rPr>
        <w:t>4</w:t>
      </w:r>
      <w:r w:rsidR="000B7A35" w:rsidRPr="00D94A03">
        <w:rPr>
          <w:sz w:val="19"/>
          <w:szCs w:val="19"/>
          <w:vertAlign w:val="superscript"/>
        </w:rPr>
        <w:t xml:space="preserve"> </w:t>
      </w:r>
      <w:r w:rsidR="000B7A35" w:rsidRPr="00D94A03">
        <w:rPr>
          <w:sz w:val="19"/>
          <w:szCs w:val="19"/>
        </w:rPr>
        <w:t>Taken at 41% diaphyseal length when epiphyses not fused and 40% bone length when epiphyses (following Ruff, 2003a)</w:t>
      </w:r>
      <w:r w:rsidR="000B7A35">
        <w:rPr>
          <w:sz w:val="19"/>
          <w:szCs w:val="19"/>
        </w:rPr>
        <w:t xml:space="preserve"> </w:t>
      </w:r>
    </w:p>
    <w:p w14:paraId="37D0ECC6" w14:textId="77777777" w:rsidR="000B7A35" w:rsidRDefault="000B7A35" w:rsidP="000B7A35"/>
    <w:p w14:paraId="651839F9" w14:textId="77777777" w:rsidR="00246BC3" w:rsidRPr="00246BC3" w:rsidRDefault="00246BC3" w:rsidP="00246BC3">
      <w:pPr>
        <w:spacing w:line="480" w:lineRule="auto"/>
        <w:contextualSpacing/>
      </w:pPr>
    </w:p>
    <w:p w14:paraId="6D7501B0" w14:textId="77777777" w:rsidR="00246BC3" w:rsidRDefault="00246BC3" w:rsidP="001C587B">
      <w:pPr>
        <w:pStyle w:val="Heading3"/>
        <w:rPr>
          <w:rStyle w:val="Strong"/>
          <w:b/>
          <w:bCs/>
        </w:rPr>
      </w:pPr>
      <w:bookmarkStart w:id="71" w:name="_Toc233171674"/>
      <w:r w:rsidRPr="001C587B">
        <w:rPr>
          <w:rStyle w:val="Strong"/>
          <w:b/>
          <w:bCs/>
        </w:rPr>
        <w:t>Bone Locations And Orientation for Histological Sampling</w:t>
      </w:r>
      <w:bookmarkEnd w:id="71"/>
    </w:p>
    <w:p w14:paraId="3CCE9CEC" w14:textId="77777777" w:rsidR="001C587B" w:rsidRPr="001C587B" w:rsidRDefault="001C587B" w:rsidP="001C587B"/>
    <w:p w14:paraId="5D66D76F" w14:textId="15C6FA6E" w:rsidR="00246BC3" w:rsidRPr="00246BC3" w:rsidRDefault="00246BC3" w:rsidP="00246BC3">
      <w:pPr>
        <w:spacing w:line="480" w:lineRule="auto"/>
        <w:ind w:firstLine="720"/>
        <w:contextualSpacing/>
      </w:pPr>
      <w:r w:rsidRPr="00246BC3">
        <w:t>The locations for macromorphological and histomorphological analysis were chosen based on their mechanical significance; these locations are typically the sites where cross-sectional properties are measured using radiographs and/or periosteal casts.</w:t>
      </w:r>
      <w:r w:rsidR="006A3BEE">
        <w:t xml:space="preserve"> </w:t>
      </w:r>
      <w:r w:rsidRPr="00246BC3">
        <w:t>Given the unique morphology of immature remains relative to adult remains, the sampled bone locations, especially in the humerus and femur, were taken to best compare with the locations typically measured in adult individuals (e.g., Ruff, 2000).</w:t>
      </w:r>
      <w:r w:rsidR="006A3BEE">
        <w:t xml:space="preserve"> </w:t>
      </w:r>
      <w:r w:rsidR="008B2D17">
        <w:t xml:space="preserve">Due to </w:t>
      </w:r>
      <w:r w:rsidRPr="00246BC3">
        <w:t>delayed epiphyseal fusion</w:t>
      </w:r>
      <w:r w:rsidR="008B2D17">
        <w:t xml:space="preserve"> at Alytus</w:t>
      </w:r>
      <w:r w:rsidRPr="00246BC3">
        <w:t xml:space="preserve">, total bone length was </w:t>
      </w:r>
      <w:r w:rsidR="008B2D17">
        <w:t>not used in locating the histological samples</w:t>
      </w:r>
      <w:r w:rsidRPr="00246BC3">
        <w:t>.</w:t>
      </w:r>
      <w:r w:rsidR="006A3BEE">
        <w:t xml:space="preserve"> </w:t>
      </w:r>
      <w:r w:rsidR="008B2D17">
        <w:t>D</w:t>
      </w:r>
      <w:r w:rsidRPr="00246BC3">
        <w:t xml:space="preserve">ata were </w:t>
      </w:r>
      <w:r w:rsidR="008B2D17">
        <w:t>ins</w:t>
      </w:r>
      <w:r w:rsidR="00C05913">
        <w:t>t</w:t>
      </w:r>
      <w:r w:rsidR="008B2D17">
        <w:t xml:space="preserve">ead </w:t>
      </w:r>
      <w:r w:rsidRPr="00246BC3">
        <w:t xml:space="preserve">collected at 45.5% femoral diaphyseal length and 41% humeral diaphyseal length, both determined from the distal ends of the bones (Figure </w:t>
      </w:r>
      <w:r w:rsidR="008B2D17">
        <w:softHyphen/>
        <w:t>8)</w:t>
      </w:r>
      <w:r w:rsidRPr="00246BC3">
        <w:t>.</w:t>
      </w:r>
      <w:r w:rsidR="006A3BEE">
        <w:t xml:space="preserve"> </w:t>
      </w:r>
      <w:r w:rsidRPr="00246BC3">
        <w:t xml:space="preserve">These locations correlate with 50% and 40% of total bone </w:t>
      </w:r>
      <w:r w:rsidRPr="00246BC3">
        <w:lastRenderedPageBreak/>
        <w:t xml:space="preserve">length, respectively, due to differential rates of growth between the proximal and distal portions of the diaphysis (Ruff, 2003a). </w:t>
      </w:r>
    </w:p>
    <w:p w14:paraId="4D63A506" w14:textId="77777777" w:rsidR="00246BC3" w:rsidRDefault="00246BC3" w:rsidP="00246BC3">
      <w:pPr>
        <w:spacing w:line="480" w:lineRule="auto"/>
        <w:ind w:firstLine="720"/>
        <w:contextualSpacing/>
      </w:pPr>
      <w:r w:rsidRPr="00246BC3">
        <w:t>Researchers have not typically examined the cross-sectional geometric properties of ribs (cf. Cormier et al., 2005).</w:t>
      </w:r>
      <w:r w:rsidR="006A3BEE">
        <w:t xml:space="preserve"> </w:t>
      </w:r>
      <w:r w:rsidRPr="00246BC3">
        <w:t>Thus, unlike the long bones of the limbs, standard sampling locations from ribs are not defined.</w:t>
      </w:r>
      <w:r w:rsidR="006A3BEE">
        <w:t xml:space="preserve"> </w:t>
      </w:r>
      <w:r w:rsidRPr="00246BC3">
        <w:t>In this study, complete ribs were sampled at the point of greatest bending, as it is a consistently identifiable location.</w:t>
      </w:r>
      <w:r w:rsidR="006A3BEE">
        <w:t xml:space="preserve"> </w:t>
      </w:r>
      <w:r w:rsidRPr="00246BC3">
        <w:t>This location was determined by placing the rib on a gridded surface, aligning the vertebral and sternal ends, and using a tangent line to mark the furthest projecting point on the cutaneous cortex (</w:t>
      </w:r>
      <w:r w:rsidRPr="008B2D17">
        <w:t xml:space="preserve">Figure </w:t>
      </w:r>
      <w:r w:rsidR="008B2D17" w:rsidRPr="008B2D17">
        <w:t>8)</w:t>
      </w:r>
      <w:r w:rsidRPr="008B2D17">
        <w:t>.</w:t>
      </w:r>
      <w:r w:rsidR="006A3BEE" w:rsidRPr="008B2D17">
        <w:t xml:space="preserve"> </w:t>
      </w:r>
      <w:r w:rsidRPr="008B2D17">
        <w:t>When rib</w:t>
      </w:r>
      <w:r w:rsidRPr="00246BC3">
        <w:t xml:space="preserve"> elements were not complete, the location of interest was restricted to the middle third of the rib, without metric assessment of the location, as is customary in rib histological methods (Crowder et al., 2012).</w:t>
      </w:r>
      <w:r w:rsidR="006A3BEE">
        <w:t xml:space="preserve"> </w:t>
      </w:r>
      <w:r w:rsidRPr="00246BC3">
        <w:t>A total of</w:t>
      </w:r>
      <w:r w:rsidR="008B2D17">
        <w:t xml:space="preserve"> 13</w:t>
      </w:r>
      <w:r w:rsidRPr="00246BC3">
        <w:t xml:space="preserve"> individuals’ ribs </w:t>
      </w:r>
      <w:r w:rsidR="008B2D17">
        <w:t xml:space="preserve">(23% of the total sample) </w:t>
      </w:r>
      <w:r w:rsidRPr="00246BC3">
        <w:t>were sampled using the latter method.</w:t>
      </w:r>
    </w:p>
    <w:p w14:paraId="02BEC002" w14:textId="77777777" w:rsidR="00045BB6" w:rsidRDefault="00045BB6" w:rsidP="00246BC3">
      <w:pPr>
        <w:spacing w:line="480" w:lineRule="auto"/>
        <w:ind w:firstLine="720"/>
        <w:contextualSpacing/>
      </w:pPr>
    </w:p>
    <w:p w14:paraId="14F05842" w14:textId="77777777" w:rsidR="000B7A35" w:rsidRDefault="000B7A35" w:rsidP="00246BC3">
      <w:pPr>
        <w:spacing w:line="480" w:lineRule="auto"/>
        <w:ind w:firstLine="720"/>
        <w:contextualSpacing/>
      </w:pPr>
    </w:p>
    <w:p w14:paraId="637690E0" w14:textId="77777777" w:rsidR="00045BB6" w:rsidRDefault="003B32D9" w:rsidP="00045BB6">
      <w:pPr>
        <w:keepNext/>
        <w:jc w:val="center"/>
      </w:pPr>
      <w:r>
        <w:rPr>
          <w:noProof/>
        </w:rPr>
        <w:drawing>
          <wp:inline distT="0" distB="0" distL="0" distR="0" wp14:anchorId="506103B6" wp14:editId="34D83216">
            <wp:extent cx="4775200" cy="2590800"/>
            <wp:effectExtent l="25400" t="25400" r="25400" b="25400"/>
            <wp:docPr id="83" name="Picture 83" descr="Rib Location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ib Location_Final cop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75200" cy="2590800"/>
                    </a:xfrm>
                    <a:prstGeom prst="rect">
                      <a:avLst/>
                    </a:prstGeom>
                    <a:noFill/>
                    <a:ln w="6350" cmpd="sng">
                      <a:solidFill>
                        <a:srgbClr val="000000"/>
                      </a:solidFill>
                      <a:miter lim="800000"/>
                      <a:headEnd/>
                      <a:tailEnd/>
                    </a:ln>
                    <a:effectLst/>
                  </pic:spPr>
                </pic:pic>
              </a:graphicData>
            </a:graphic>
          </wp:inline>
        </w:drawing>
      </w:r>
    </w:p>
    <w:p w14:paraId="56A0C45B" w14:textId="77777777" w:rsidR="00045BB6" w:rsidRDefault="00045BB6" w:rsidP="00045BB6">
      <w:pPr>
        <w:pStyle w:val="Caption"/>
        <w:jc w:val="center"/>
      </w:pPr>
      <w:bookmarkStart w:id="72" w:name="_Toc233257067"/>
      <w:r>
        <w:t xml:space="preserve">Figure </w:t>
      </w:r>
      <w:r w:rsidR="00F25FA6">
        <w:fldChar w:fldCharType="begin"/>
      </w:r>
      <w:r w:rsidR="00F25FA6">
        <w:instrText xml:space="preserve"> SEQ Figure \* ARABIC </w:instrText>
      </w:r>
      <w:r w:rsidR="00F25FA6">
        <w:fldChar w:fldCharType="separate"/>
      </w:r>
      <w:r w:rsidR="00744762">
        <w:rPr>
          <w:noProof/>
        </w:rPr>
        <w:t>5</w:t>
      </w:r>
      <w:r w:rsidR="00F25FA6">
        <w:rPr>
          <w:noProof/>
        </w:rPr>
        <w:fldChar w:fldCharType="end"/>
      </w:r>
      <w:r>
        <w:t xml:space="preserve">. </w:t>
      </w:r>
      <w:r w:rsidR="008B2D17">
        <w:t>Histological s</w:t>
      </w:r>
      <w:r w:rsidR="00CD6D1E">
        <w:t>ampling location</w:t>
      </w:r>
      <w:r w:rsidR="008B2D17">
        <w:t>s</w:t>
      </w:r>
      <w:r w:rsidR="00CD6D1E">
        <w:t xml:space="preserve"> for</w:t>
      </w:r>
      <w:r>
        <w:t xml:space="preserve"> </w:t>
      </w:r>
      <w:r w:rsidR="008B2D17">
        <w:t>femora, humeri, and rib elements</w:t>
      </w:r>
      <w:r>
        <w:t xml:space="preserve">. </w:t>
      </w:r>
      <w:r w:rsidR="008B2D17">
        <w:t xml:space="preserve"> (ADD LONG BONE PICTURE)</w:t>
      </w:r>
      <w:bookmarkEnd w:id="72"/>
    </w:p>
    <w:p w14:paraId="7099AEDF" w14:textId="77777777" w:rsidR="00045BB6" w:rsidRDefault="00045BB6" w:rsidP="00045BB6"/>
    <w:p w14:paraId="52D69CB8" w14:textId="77777777" w:rsidR="00045BB6" w:rsidRPr="00246BC3" w:rsidRDefault="00045BB6" w:rsidP="00045BB6">
      <w:pPr>
        <w:spacing w:line="480" w:lineRule="auto"/>
        <w:contextualSpacing/>
      </w:pPr>
    </w:p>
    <w:p w14:paraId="0E47147D" w14:textId="77777777" w:rsidR="00246BC3" w:rsidRDefault="00246BC3" w:rsidP="00246BC3">
      <w:pPr>
        <w:spacing w:line="480" w:lineRule="auto"/>
        <w:ind w:firstLine="720"/>
        <w:contextualSpacing/>
      </w:pPr>
      <w:r w:rsidRPr="00246BC3">
        <w:t>In order to ensure that cross-sections obtained from the bones were perpendicular to the long axis (“neutral axis”) of the elements, and therefore were not oblique or otherwise distorted, an explicit orientation protocol was followed to align elements before they were histologically sectioned.</w:t>
      </w:r>
      <w:r w:rsidR="006A3BEE">
        <w:t xml:space="preserve"> </w:t>
      </w:r>
      <w:r w:rsidRPr="00246BC3">
        <w:t>In addition, the orientation of each section needed to be maintained after removal from the diaphysis of the element; anatomical reference axes (anteroposterior and mediolateral planes) were marked on each element before sectioning to maintain anatomical orientation of the histological thin sections after sampling (</w:t>
      </w:r>
      <w:r w:rsidRPr="00A11BF8">
        <w:t xml:space="preserve">Figure </w:t>
      </w:r>
      <w:r w:rsidR="00A11BF8" w:rsidRPr="00A11BF8">
        <w:t>9</w:t>
      </w:r>
      <w:r w:rsidRPr="00A11BF8">
        <w:t>).</w:t>
      </w:r>
      <w:r w:rsidR="006A3BEE">
        <w:t xml:space="preserve"> </w:t>
      </w:r>
      <w:r w:rsidRPr="00246BC3">
        <w:t>Procedures for determining reference axes for adult long bones (Ruff and Hayes, 1983) could not be performed on the subadult remains, due to the absence of fused epiphyses.</w:t>
      </w:r>
      <w:r w:rsidR="006A3BEE">
        <w:t xml:space="preserve"> </w:t>
      </w:r>
      <w:r w:rsidRPr="00246BC3">
        <w:t>Therefore, a new method for locating reference axes in subadults was developed to be comparable with that of the adults.</w:t>
      </w:r>
      <w:r w:rsidR="006A3BEE">
        <w:t xml:space="preserve"> </w:t>
      </w:r>
      <w:r w:rsidRPr="00246BC3">
        <w:t>For long bones, this method involved making two marks where calipers touch the maximum medio-lateral (ML) diameter at the proximal and distal portions of the diaphysis.</w:t>
      </w:r>
      <w:r w:rsidR="006A3BEE">
        <w:t xml:space="preserve"> </w:t>
      </w:r>
      <w:r w:rsidRPr="00246BC3">
        <w:t>To avoid including the metaphyses, these marks were made at 80% and 20% of diaphyseal bone length, respectively, measured from the distal ends of the bones.</w:t>
      </w:r>
      <w:r w:rsidR="006A3BEE">
        <w:t xml:space="preserve"> </w:t>
      </w:r>
      <w:r w:rsidRPr="00246BC3">
        <w:t>The plane that includes all four ML marks is the frontal plane.</w:t>
      </w:r>
      <w:r w:rsidR="006A3BEE">
        <w:t xml:space="preserve"> </w:t>
      </w:r>
      <w:r w:rsidRPr="00246BC3">
        <w:t>Next, the midpoint between each set of ML marks was delineated on the anterior and posterior surfaces of both the proximal and distal portions.</w:t>
      </w:r>
      <w:r w:rsidR="006A3BEE">
        <w:t xml:space="preserve"> </w:t>
      </w:r>
      <w:r w:rsidRPr="00246BC3">
        <w:t xml:space="preserve">The plane that includes all four AP marks is the sagittal plane. </w:t>
      </w:r>
    </w:p>
    <w:p w14:paraId="57E9CA7D" w14:textId="77777777" w:rsidR="008B2D17" w:rsidRDefault="008B2D17" w:rsidP="00246BC3">
      <w:pPr>
        <w:spacing w:line="480" w:lineRule="auto"/>
        <w:ind w:firstLine="720"/>
        <w:contextualSpacing/>
      </w:pPr>
    </w:p>
    <w:p w14:paraId="3F09F766" w14:textId="77777777" w:rsidR="000A3782" w:rsidRDefault="008B2D17" w:rsidP="000A3782">
      <w:pPr>
        <w:spacing w:line="480" w:lineRule="auto"/>
        <w:contextualSpacing/>
      </w:pPr>
      <w:r>
        <w:rPr>
          <w:noProof/>
        </w:rPr>
        <w:lastRenderedPageBreak/>
        <w:drawing>
          <wp:inline distT="0" distB="0" distL="0" distR="0" wp14:anchorId="65064F14" wp14:editId="3E14B158">
            <wp:extent cx="5207000" cy="3454400"/>
            <wp:effectExtent l="25400" t="25400" r="25400" b="25400"/>
            <wp:docPr id="85" name="Picture 85" descr="Femoral Axes (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emoral Axes (Rea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7000" cy="3454400"/>
                    </a:xfrm>
                    <a:prstGeom prst="rect">
                      <a:avLst/>
                    </a:prstGeom>
                    <a:noFill/>
                    <a:ln w="6350" cmpd="sng">
                      <a:solidFill>
                        <a:srgbClr val="000000"/>
                      </a:solidFill>
                      <a:miter lim="800000"/>
                      <a:headEnd/>
                      <a:tailEnd/>
                    </a:ln>
                    <a:effectLst/>
                  </pic:spPr>
                </pic:pic>
              </a:graphicData>
            </a:graphic>
          </wp:inline>
        </w:drawing>
      </w:r>
    </w:p>
    <w:p w14:paraId="7C64E3A9" w14:textId="77777777" w:rsidR="000A3782" w:rsidRDefault="000A3782" w:rsidP="000A3782">
      <w:pPr>
        <w:keepNext/>
        <w:spacing w:line="480" w:lineRule="auto"/>
        <w:contextualSpacing/>
        <w:jc w:val="center"/>
      </w:pPr>
    </w:p>
    <w:p w14:paraId="457EC1E8" w14:textId="77777777" w:rsidR="000A3782" w:rsidRDefault="000A3782" w:rsidP="000A3782">
      <w:pPr>
        <w:pStyle w:val="Caption"/>
        <w:jc w:val="center"/>
      </w:pPr>
      <w:bookmarkStart w:id="73" w:name="_Toc233257068"/>
      <w:r>
        <w:t xml:space="preserve">Figure </w:t>
      </w:r>
      <w:r w:rsidR="00F25FA6">
        <w:fldChar w:fldCharType="begin"/>
      </w:r>
      <w:r w:rsidR="00F25FA6">
        <w:instrText xml:space="preserve"> SEQ Figure \* ARABIC </w:instrText>
      </w:r>
      <w:r w:rsidR="00F25FA6">
        <w:fldChar w:fldCharType="separate"/>
      </w:r>
      <w:r w:rsidR="00744762">
        <w:rPr>
          <w:noProof/>
        </w:rPr>
        <w:t>6</w:t>
      </w:r>
      <w:r w:rsidR="00F25FA6">
        <w:rPr>
          <w:noProof/>
        </w:rPr>
        <w:fldChar w:fldCharType="end"/>
      </w:r>
      <w:r>
        <w:t xml:space="preserve">. </w:t>
      </w:r>
      <w:r w:rsidR="008B2D17">
        <w:t>Anatomical alignment of long bones to maintain orientation of histological samples</w:t>
      </w:r>
      <w:r w:rsidR="00B4606A">
        <w:t xml:space="preserve"> after sectioning.</w:t>
      </w:r>
      <w:bookmarkEnd w:id="73"/>
    </w:p>
    <w:p w14:paraId="2AE1B055" w14:textId="77777777" w:rsidR="000A3782" w:rsidRDefault="000A3782" w:rsidP="000A3782">
      <w:pPr>
        <w:spacing w:line="480" w:lineRule="auto"/>
        <w:contextualSpacing/>
        <w:jc w:val="center"/>
      </w:pPr>
    </w:p>
    <w:p w14:paraId="2F36788F" w14:textId="77777777" w:rsidR="000A3782" w:rsidRPr="00246BC3" w:rsidRDefault="000A3782" w:rsidP="000A3782">
      <w:pPr>
        <w:spacing w:line="480" w:lineRule="auto"/>
        <w:contextualSpacing/>
        <w:jc w:val="center"/>
      </w:pPr>
    </w:p>
    <w:p w14:paraId="57BBCAF5" w14:textId="77777777" w:rsidR="00246BC3" w:rsidRDefault="00246BC3" w:rsidP="00246BC3">
      <w:pPr>
        <w:spacing w:line="480" w:lineRule="auto"/>
        <w:ind w:firstLine="720"/>
        <w:contextualSpacing/>
      </w:pPr>
      <w:r w:rsidRPr="00246BC3">
        <w:t>To ensure proper orientation in the frontal plane, each element was placed in anatomical position on a grid so that the longitudinal axis of the diaphysis was parallel to the grid.</w:t>
      </w:r>
      <w:r w:rsidR="006A3BEE">
        <w:t xml:space="preserve"> </w:t>
      </w:r>
      <w:r w:rsidRPr="00246BC3">
        <w:t>The longitudinal axis was defined as the line within the sagittal plane connecting the midpoints of the proximal and distal AP marks.</w:t>
      </w:r>
      <w:r w:rsidR="006A3BEE">
        <w:t xml:space="preserve"> </w:t>
      </w:r>
      <w:r w:rsidRPr="00246BC3">
        <w:t>To ensure proper orientation in the sagittal and transverse planes, clay was used to position the element in such a way that all four ML marks were parallel to the substrate.</w:t>
      </w:r>
      <w:r w:rsidR="006A3BEE">
        <w:t xml:space="preserve"> </w:t>
      </w:r>
      <w:r w:rsidRPr="00246BC3">
        <w:t xml:space="preserve">This task was accomplished by using a measuring triangle block, as depicted in Figure </w:t>
      </w:r>
      <w:r w:rsidR="00DD7751">
        <w:t>9</w:t>
      </w:r>
      <w:r w:rsidRPr="00246BC3">
        <w:t>, to align each ML mark equidistant from the grid.</w:t>
      </w:r>
      <w:r w:rsidR="006A3BEE">
        <w:t xml:space="preserve"> </w:t>
      </w:r>
      <w:r w:rsidRPr="00246BC3">
        <w:t xml:space="preserve">Last, the appropriate AP and ML marks were extended onto the section of bone to be removed for histological sampling, using the triangular </w:t>
      </w:r>
      <w:r w:rsidRPr="00246BC3">
        <w:lastRenderedPageBreak/>
        <w:t>block to ensure the axes did not deviate from those marked on the diaphyseal ends.</w:t>
      </w:r>
      <w:r w:rsidR="006A3BEE">
        <w:t xml:space="preserve"> </w:t>
      </w:r>
      <w:r w:rsidRPr="00246BC3">
        <w:t>The sagittal plane at the sampling location was defined by marking anterior and posterior points that fall on the lines connecting the proximal and distal AP points.</w:t>
      </w:r>
      <w:r w:rsidR="006A3BEE">
        <w:t xml:space="preserve"> </w:t>
      </w:r>
      <w:r w:rsidRPr="00246BC3">
        <w:t>Likewise, the frontal plane for the sampling location was delineated by identifying the medial and lateral points that fall on lines connecting proximal and distal ML points.</w:t>
      </w:r>
    </w:p>
    <w:p w14:paraId="5A65FE02" w14:textId="77777777" w:rsidR="000B7A35" w:rsidRPr="00246BC3" w:rsidRDefault="000B7A35" w:rsidP="00B4606A">
      <w:pPr>
        <w:spacing w:line="480" w:lineRule="auto"/>
        <w:contextualSpacing/>
      </w:pPr>
    </w:p>
    <w:p w14:paraId="15CE66E0" w14:textId="77777777" w:rsidR="00246BC3" w:rsidRDefault="00246BC3" w:rsidP="001C587B">
      <w:pPr>
        <w:pStyle w:val="Heading3"/>
        <w:rPr>
          <w:rStyle w:val="Strong"/>
          <w:b/>
          <w:bCs/>
        </w:rPr>
      </w:pPr>
      <w:bookmarkStart w:id="74" w:name="_Toc233171675"/>
      <w:r w:rsidRPr="001C587B">
        <w:rPr>
          <w:rStyle w:val="Strong"/>
          <w:b/>
          <w:bCs/>
        </w:rPr>
        <w:t>Histological Sectioning</w:t>
      </w:r>
      <w:bookmarkEnd w:id="74"/>
    </w:p>
    <w:p w14:paraId="2A4D522E" w14:textId="77777777" w:rsidR="001C587B" w:rsidRPr="001C587B" w:rsidRDefault="001C587B" w:rsidP="001C587B"/>
    <w:p w14:paraId="73566807" w14:textId="77777777" w:rsidR="00246BC3" w:rsidRPr="00246BC3" w:rsidRDefault="00246BC3" w:rsidP="00246BC3">
      <w:pPr>
        <w:spacing w:line="480" w:lineRule="auto"/>
        <w:ind w:firstLine="720"/>
        <w:contextualSpacing/>
      </w:pPr>
      <w:r w:rsidRPr="00246BC3">
        <w:t xml:space="preserve">The procedures outlined below for the production of histological thin sections are based on the author’s previous experience with human fetal and </w:t>
      </w:r>
      <w:r w:rsidR="00F02A94">
        <w:t>subadult</w:t>
      </w:r>
      <w:r w:rsidRPr="00246BC3">
        <w:t xml:space="preserve"> macaque bone histology (Eleazer, 2007), as well as the literature on histological analysis of ancient tissues (Grupe and Peters, 2006).</w:t>
      </w:r>
      <w:r w:rsidR="006A3BEE">
        <w:t xml:space="preserve"> </w:t>
      </w:r>
      <w:r w:rsidRPr="00246BC3">
        <w:t>This methodology involves the careful removal of bone wafers without damage to the remaining element.</w:t>
      </w:r>
      <w:r w:rsidR="006A3BEE">
        <w:t xml:space="preserve"> </w:t>
      </w:r>
      <w:r w:rsidRPr="00246BC3">
        <w:t>The majority of these procedures are identical to those performed on adult human archaeological bone (Grupe and Garland, 1993; Paine, 2007).</w:t>
      </w:r>
      <w:r w:rsidR="006A3BEE">
        <w:t xml:space="preserve"> </w:t>
      </w:r>
      <w:r w:rsidRPr="00246BC3">
        <w:t xml:space="preserve">Though, in certain instances, the fragile condition of </w:t>
      </w:r>
      <w:r w:rsidR="00F02A94">
        <w:t>subadult</w:t>
      </w:r>
      <w:r w:rsidRPr="00246BC3">
        <w:t xml:space="preserve"> archaeological bone requires modifications to established methods (e.g., use of Dremel tool and thicker histological sections; see below) to prevent macro- and micro-fractures on both the sampled section and the element as a whole. </w:t>
      </w:r>
    </w:p>
    <w:p w14:paraId="54E1D305" w14:textId="77777777" w:rsidR="00246BC3" w:rsidRPr="00246BC3" w:rsidRDefault="00246BC3" w:rsidP="00246BC3">
      <w:pPr>
        <w:spacing w:line="480" w:lineRule="auto"/>
        <w:ind w:firstLine="720"/>
        <w:contextualSpacing/>
        <w:rPr>
          <w:i/>
        </w:rPr>
      </w:pPr>
      <w:r w:rsidRPr="00246BC3">
        <w:t>Bone wafers of seven to ten millimeters in length were cut from each element at the locations of interest specified above using a Dremel rotary tool equipped with a fiber-reinforced cutting wheel for the more robust specimens and a diamond cutting wheel for the more fragile bones, such as ribs and the long bones of younger children.</w:t>
      </w:r>
      <w:r w:rsidR="006A3BEE">
        <w:t xml:space="preserve"> </w:t>
      </w:r>
      <w:r w:rsidRPr="00246BC3">
        <w:t>These wafers contained the cross-sectional location of interest at their midpoint.</w:t>
      </w:r>
      <w:r w:rsidR="006A3BEE">
        <w:t xml:space="preserve"> </w:t>
      </w:r>
      <w:r w:rsidRPr="00246BC3">
        <w:t xml:space="preserve">These wafers were removed precisely perpendicular to the long axis of the diaphysis, using the anatomical axes determined using the </w:t>
      </w:r>
      <w:r w:rsidRPr="00246BC3">
        <w:lastRenderedPageBreak/>
        <w:t>protocol discussed above.</w:t>
      </w:r>
      <w:r w:rsidR="006A3BEE">
        <w:t xml:space="preserve"> </w:t>
      </w:r>
      <w:r w:rsidRPr="00246BC3">
        <w:t>Seven to ten millimeter wafers maximize cutting accuracy while not compromising the area to be observed histologically, preventing cracking on both the wafer itself and the remaining skeletal element.</w:t>
      </w:r>
    </w:p>
    <w:p w14:paraId="76695808" w14:textId="77777777" w:rsidR="00246BC3" w:rsidRPr="00246BC3" w:rsidRDefault="00246BC3" w:rsidP="00246BC3">
      <w:pPr>
        <w:spacing w:line="480" w:lineRule="auto"/>
        <w:ind w:firstLine="720"/>
      </w:pPr>
      <w:r w:rsidRPr="00246BC3">
        <w:t>After extraction, the wafers were embedded in epoxy resin to stabilize them for thin sectioning following mixture ratios established by Paine (2007).</w:t>
      </w:r>
      <w:r w:rsidR="006A3BEE">
        <w:t xml:space="preserve"> </w:t>
      </w:r>
      <w:r w:rsidRPr="00246BC3">
        <w:t>A vacuum pump and dessicator were used to remove air bubbles and impregnate the entire specimen with epoxy.</w:t>
      </w:r>
      <w:r w:rsidR="006A3BEE">
        <w:t xml:space="preserve"> </w:t>
      </w:r>
      <w:r w:rsidRPr="00246BC3">
        <w:t xml:space="preserve">Thin sections were cut from these embedded wafers using a </w:t>
      </w:r>
      <w:r w:rsidRPr="00246BC3">
        <w:rPr>
          <w:rFonts w:eastAsia="Calibri"/>
        </w:rPr>
        <w:t>TechCut 4 precision low speed saw</w:t>
      </w:r>
      <w:r w:rsidRPr="00246BC3">
        <w:t xml:space="preserve"> (Allied, Inc.) equipped with a diamond wafer blade and mounted to petrographic slides using Permount</w:t>
      </w:r>
      <w:r w:rsidRPr="00246BC3">
        <w:rPr>
          <w:vertAlign w:val="superscript"/>
        </w:rPr>
        <w:t xml:space="preserve">TM </w:t>
      </w:r>
      <w:r w:rsidRPr="00246BC3">
        <w:t>mounting medium.</w:t>
      </w:r>
      <w:r w:rsidR="006A3BEE">
        <w:t xml:space="preserve"> </w:t>
      </w:r>
      <w:r w:rsidRPr="00246BC3">
        <w:t>Biomechanical axes of orientation were preserved by marking each thin section with permanent marker on the side that was mounted to the glass slide, preventing the removal of such marks during grinding.</w:t>
      </w:r>
      <w:r w:rsidR="006A3BEE">
        <w:t xml:space="preserve"> </w:t>
      </w:r>
      <w:r w:rsidRPr="00246BC3">
        <w:t>The mounted sections were ground to a thickness of 100-200 micrometers, depending on the fragility of the sample, using a Metaserv 2000 polisher machine.</w:t>
      </w:r>
      <w:r w:rsidR="006A3BEE">
        <w:t xml:space="preserve"> </w:t>
      </w:r>
      <w:r w:rsidRPr="00246BC3">
        <w:t xml:space="preserve">Histological protocol for adult cortical bone calls for thin sections less than 100 micrometers; however, the porosity and fragility of </w:t>
      </w:r>
      <w:r w:rsidR="00F02A94">
        <w:t>subadult</w:t>
      </w:r>
      <w:r w:rsidRPr="00246BC3">
        <w:t xml:space="preserve"> bone prevents the ability to produce such thin sections without damage to the specimen.</w:t>
      </w:r>
      <w:r w:rsidR="006A3BEE">
        <w:t xml:space="preserve"> </w:t>
      </w:r>
    </w:p>
    <w:p w14:paraId="4263165B" w14:textId="77777777" w:rsidR="00246BC3" w:rsidRPr="00246BC3" w:rsidRDefault="00246BC3" w:rsidP="00246BC3">
      <w:pPr>
        <w:spacing w:line="480" w:lineRule="auto"/>
        <w:ind w:firstLine="720"/>
      </w:pPr>
      <w:r w:rsidRPr="00246BC3">
        <w:t>Scratches produced during the grinding process were removed with a series of fine-grained buffing papers of increasing grit (400, 600, 1500 grit).</w:t>
      </w:r>
      <w:r w:rsidR="006A3BEE">
        <w:t xml:space="preserve"> </w:t>
      </w:r>
      <w:r w:rsidRPr="00246BC3">
        <w:t>Chemical staining (e.g., toluidine blue) of the specimens was not performed, as taphonomic changes to ancient bone tissue prevent adequate absorption of these chemicals.</w:t>
      </w:r>
      <w:r w:rsidR="006A3BEE">
        <w:t xml:space="preserve"> </w:t>
      </w:r>
      <w:r w:rsidRPr="00246BC3">
        <w:t>Such staining techniques are typically used in fresh, modern bone to detect recent remodeling events (Grupe and Peters, 2006); however, all the microscopic structures of interest to this study are clearly visible under transmitted light microscopy without bone stains, described below.</w:t>
      </w:r>
    </w:p>
    <w:p w14:paraId="6E5D66D0" w14:textId="77777777" w:rsidR="00246BC3" w:rsidRPr="00246BC3" w:rsidRDefault="00246BC3" w:rsidP="00246BC3">
      <w:pPr>
        <w:spacing w:line="480" w:lineRule="auto"/>
        <w:contextualSpacing/>
      </w:pPr>
    </w:p>
    <w:p w14:paraId="103E3DE4" w14:textId="77777777" w:rsidR="00246BC3" w:rsidRDefault="00246BC3" w:rsidP="001C587B">
      <w:pPr>
        <w:pStyle w:val="Heading3"/>
        <w:rPr>
          <w:rStyle w:val="Strong"/>
          <w:b/>
          <w:bCs/>
        </w:rPr>
      </w:pPr>
      <w:bookmarkStart w:id="75" w:name="_Toc233171676"/>
      <w:r w:rsidRPr="001C587B">
        <w:rPr>
          <w:rStyle w:val="Strong"/>
          <w:b/>
          <w:bCs/>
        </w:rPr>
        <w:lastRenderedPageBreak/>
        <w:t>Data Collection</w:t>
      </w:r>
      <w:bookmarkEnd w:id="75"/>
    </w:p>
    <w:p w14:paraId="3ED8FEEA" w14:textId="77777777" w:rsidR="001C587B" w:rsidRPr="001C587B" w:rsidRDefault="001C587B" w:rsidP="001C587B"/>
    <w:p w14:paraId="427059CD" w14:textId="6B31DC38" w:rsidR="0051526C" w:rsidRPr="001C587B" w:rsidRDefault="00246BC3" w:rsidP="0051526C">
      <w:pPr>
        <w:spacing w:line="480" w:lineRule="auto"/>
        <w:ind w:firstLine="720"/>
        <w:contextualSpacing/>
      </w:pPr>
      <w:r w:rsidRPr="00246BC3">
        <w:t>The following section describes the methodology employed when measuring the macroscopic and microscopic bone properties of the Alytus subadult individuals.</w:t>
      </w:r>
      <w:r w:rsidR="006A3BEE">
        <w:t xml:space="preserve"> </w:t>
      </w:r>
      <w:r w:rsidRPr="00246BC3">
        <w:t>All measurements were collected without prior knowledge of skeletal and dental pathology.</w:t>
      </w:r>
      <w:r w:rsidR="006A3BEE">
        <w:t xml:space="preserve"> </w:t>
      </w:r>
      <w:r w:rsidRPr="00246BC3">
        <w:t xml:space="preserve">Though the pathological assessments were conducted while collecting data in Lithuania, the metabolic stress categories for each individual were not determined until </w:t>
      </w:r>
      <w:r w:rsidRPr="00246BC3">
        <w:rPr>
          <w:i/>
        </w:rPr>
        <w:t>after</w:t>
      </w:r>
      <w:r w:rsidRPr="00246BC3">
        <w:t xml:space="preserve"> cross-sectional geometric properties and histomorphometric measurements were taken.</w:t>
      </w:r>
      <w:r w:rsidR="006A3BEE">
        <w:t xml:space="preserve"> </w:t>
      </w:r>
      <w:r w:rsidRPr="00246BC3">
        <w:t>Thus, several months had elapsed between initial pathological analysis and data collection from the histological thin sections.</w:t>
      </w:r>
    </w:p>
    <w:p w14:paraId="23038B5D" w14:textId="77777777" w:rsidR="00246BC3" w:rsidRPr="001C587B" w:rsidRDefault="00246BC3" w:rsidP="001C587B">
      <w:pPr>
        <w:pStyle w:val="Style1"/>
        <w:rPr>
          <w:rStyle w:val="Emphasis"/>
          <w:i/>
          <w:iCs w:val="0"/>
        </w:rPr>
      </w:pPr>
      <w:bookmarkStart w:id="76" w:name="_Toc233171677"/>
      <w:r w:rsidRPr="001C587B">
        <w:rPr>
          <w:rStyle w:val="Emphasis"/>
          <w:i/>
          <w:iCs w:val="0"/>
        </w:rPr>
        <w:t>Macromorphological Measurements</w:t>
      </w:r>
      <w:bookmarkEnd w:id="76"/>
    </w:p>
    <w:p w14:paraId="5A06396A" w14:textId="77777777" w:rsidR="00095BFA" w:rsidRDefault="00246BC3" w:rsidP="00095BFA">
      <w:pPr>
        <w:autoSpaceDE w:val="0"/>
        <w:autoSpaceDN w:val="0"/>
        <w:adjustRightInd w:val="0"/>
        <w:spacing w:line="480" w:lineRule="auto"/>
        <w:ind w:firstLine="720"/>
      </w:pPr>
      <w:r w:rsidRPr="00246BC3">
        <w:t xml:space="preserve">Cross-sectional measurements used in this study are listed in Table </w:t>
      </w:r>
      <w:r w:rsidR="00DD7751">
        <w:t>4</w:t>
      </w:r>
      <w:r w:rsidRPr="00246BC3">
        <w:t>.</w:t>
      </w:r>
      <w:r w:rsidR="006A3BEE">
        <w:t xml:space="preserve"> </w:t>
      </w:r>
      <w:r w:rsidRPr="00246BC3">
        <w:t xml:space="preserve">These measurements were chosen based on previous research demonstrating their relevance to both health status and mechanical strength (see </w:t>
      </w:r>
      <w:r w:rsidRPr="00DD7751">
        <w:t>Chapters 2 and 3</w:t>
      </w:r>
      <w:r w:rsidRPr="00246BC3">
        <w:t>).</w:t>
      </w:r>
      <w:r w:rsidR="006A3BEE">
        <w:t xml:space="preserve"> </w:t>
      </w:r>
      <w:r w:rsidRPr="00246BC3">
        <w:t>Strength properties typically analyzed in long bones (e.g., Imax, Imin, J, Z) were not performed on rib elements, because ribs are not loaded as beams in compression along the longitudinal axis (Cormier et al., 2005).</w:t>
      </w:r>
      <w:r w:rsidR="006A3BEE">
        <w:t xml:space="preserve"> </w:t>
      </w:r>
      <w:r w:rsidRPr="00246BC3">
        <w:t>Therefore, only estimates of rib macroscopic bone mass (i.e., CA, TA, MA) were employed.</w:t>
      </w:r>
    </w:p>
    <w:p w14:paraId="33DF12B1" w14:textId="77777777" w:rsidR="0051526C" w:rsidRDefault="0051526C" w:rsidP="00095BFA">
      <w:pPr>
        <w:autoSpaceDE w:val="0"/>
        <w:autoSpaceDN w:val="0"/>
        <w:adjustRightInd w:val="0"/>
        <w:spacing w:line="480" w:lineRule="auto"/>
        <w:ind w:firstLine="720"/>
      </w:pPr>
    </w:p>
    <w:p w14:paraId="0FDCD131" w14:textId="77777777" w:rsidR="0051526C" w:rsidRDefault="0051526C" w:rsidP="00095BFA">
      <w:pPr>
        <w:autoSpaceDE w:val="0"/>
        <w:autoSpaceDN w:val="0"/>
        <w:adjustRightInd w:val="0"/>
        <w:spacing w:line="480" w:lineRule="auto"/>
        <w:ind w:firstLine="720"/>
      </w:pPr>
    </w:p>
    <w:p w14:paraId="255203D1" w14:textId="77777777" w:rsidR="0051526C" w:rsidRDefault="0051526C" w:rsidP="00095BFA">
      <w:pPr>
        <w:autoSpaceDE w:val="0"/>
        <w:autoSpaceDN w:val="0"/>
        <w:adjustRightInd w:val="0"/>
        <w:spacing w:line="480" w:lineRule="auto"/>
        <w:ind w:firstLine="720"/>
      </w:pPr>
    </w:p>
    <w:p w14:paraId="5669398C" w14:textId="77777777" w:rsidR="0051526C" w:rsidRDefault="0051526C" w:rsidP="00095BFA">
      <w:pPr>
        <w:autoSpaceDE w:val="0"/>
        <w:autoSpaceDN w:val="0"/>
        <w:adjustRightInd w:val="0"/>
        <w:spacing w:line="480" w:lineRule="auto"/>
        <w:ind w:firstLine="720"/>
      </w:pPr>
    </w:p>
    <w:p w14:paraId="1DD19AC9" w14:textId="77777777" w:rsidR="0051526C" w:rsidRDefault="0051526C" w:rsidP="00095BFA">
      <w:pPr>
        <w:autoSpaceDE w:val="0"/>
        <w:autoSpaceDN w:val="0"/>
        <w:adjustRightInd w:val="0"/>
        <w:spacing w:line="480" w:lineRule="auto"/>
        <w:ind w:firstLine="720"/>
      </w:pPr>
    </w:p>
    <w:p w14:paraId="3BD56E0D" w14:textId="77777777" w:rsidR="00095BFA" w:rsidRDefault="00095BFA" w:rsidP="00095BFA"/>
    <w:p w14:paraId="05EBBAB3" w14:textId="77777777" w:rsidR="00095BFA" w:rsidRDefault="00095BFA" w:rsidP="000E2F0F">
      <w:pPr>
        <w:pStyle w:val="Caption"/>
        <w:keepNext/>
        <w:jc w:val="center"/>
      </w:pPr>
      <w:bookmarkStart w:id="77" w:name="_Toc233182899"/>
      <w:r>
        <w:lastRenderedPageBreak/>
        <w:t xml:space="preserve">Table </w:t>
      </w:r>
      <w:fldSimple w:instr=" SEQ Table \* ARABIC ">
        <w:r w:rsidR="00054A3E">
          <w:rPr>
            <w:noProof/>
          </w:rPr>
          <w:t>4</w:t>
        </w:r>
      </w:fldSimple>
      <w:r>
        <w:t xml:space="preserve">. </w:t>
      </w:r>
      <w:r w:rsidR="003B2948">
        <w:t>Cross-sectional properties</w:t>
      </w:r>
      <w:r w:rsidRPr="001B71B4">
        <w:t xml:space="preserve"> used to quantify </w:t>
      </w:r>
      <w:r w:rsidR="00DD7751">
        <w:t xml:space="preserve">macroscopic </w:t>
      </w:r>
      <w:r w:rsidRPr="001B71B4">
        <w:t>bone mass and bone strength</w:t>
      </w:r>
      <w:r w:rsidR="003B2948">
        <w:t>.</w:t>
      </w:r>
      <w:bookmarkEnd w:id="77"/>
    </w:p>
    <w:p w14:paraId="3F660D90" w14:textId="77777777" w:rsidR="00095BFA" w:rsidRPr="00F20A4E" w:rsidRDefault="00095BFA" w:rsidP="00095BFA"/>
    <w:tbl>
      <w:tblPr>
        <w:tblW w:w="9576" w:type="dxa"/>
        <w:jc w:val="center"/>
        <w:tblLook w:val="04A0" w:firstRow="1" w:lastRow="0" w:firstColumn="1" w:lastColumn="0" w:noHBand="0" w:noVBand="1"/>
      </w:tblPr>
      <w:tblGrid>
        <w:gridCol w:w="1443"/>
        <w:gridCol w:w="1942"/>
        <w:gridCol w:w="2439"/>
        <w:gridCol w:w="1738"/>
        <w:gridCol w:w="2014"/>
      </w:tblGrid>
      <w:tr w:rsidR="004C7C5B" w:rsidRPr="003F3E17" w14:paraId="25E3A64B" w14:textId="77777777" w:rsidTr="004C7C5B">
        <w:trPr>
          <w:trHeight w:val="108"/>
          <w:jc w:val="center"/>
        </w:trPr>
        <w:tc>
          <w:tcPr>
            <w:tcW w:w="1443" w:type="dxa"/>
            <w:tcBorders>
              <w:top w:val="single" w:sz="4" w:space="0" w:color="auto"/>
              <w:bottom w:val="single" w:sz="4" w:space="0" w:color="auto"/>
            </w:tcBorders>
            <w:vAlign w:val="center"/>
          </w:tcPr>
          <w:p w14:paraId="4923316B" w14:textId="77777777" w:rsidR="004C7C5B" w:rsidRPr="007060FE" w:rsidRDefault="004C7C5B" w:rsidP="001937A7">
            <w:pPr>
              <w:spacing w:before="20" w:after="20"/>
              <w:jc w:val="center"/>
              <w:rPr>
                <w:sz w:val="19"/>
                <w:szCs w:val="19"/>
              </w:rPr>
            </w:pPr>
            <w:r w:rsidRPr="007060FE">
              <w:rPr>
                <w:sz w:val="19"/>
                <w:szCs w:val="19"/>
              </w:rPr>
              <w:t>Bone Element</w:t>
            </w:r>
          </w:p>
        </w:tc>
        <w:tc>
          <w:tcPr>
            <w:tcW w:w="1942" w:type="dxa"/>
            <w:tcBorders>
              <w:top w:val="single" w:sz="4" w:space="0" w:color="auto"/>
              <w:bottom w:val="single" w:sz="4" w:space="0" w:color="auto"/>
            </w:tcBorders>
            <w:vAlign w:val="center"/>
          </w:tcPr>
          <w:p w14:paraId="662BA31F" w14:textId="77777777" w:rsidR="004C7C5B" w:rsidRPr="007060FE" w:rsidRDefault="004C7C5B" w:rsidP="001937A7">
            <w:pPr>
              <w:spacing w:before="20" w:after="20"/>
              <w:jc w:val="center"/>
              <w:rPr>
                <w:sz w:val="19"/>
                <w:szCs w:val="19"/>
              </w:rPr>
            </w:pPr>
            <w:r w:rsidRPr="007060FE">
              <w:rPr>
                <w:sz w:val="19"/>
                <w:szCs w:val="19"/>
              </w:rPr>
              <w:t>Measurement Type</w:t>
            </w:r>
          </w:p>
        </w:tc>
        <w:tc>
          <w:tcPr>
            <w:tcW w:w="2439" w:type="dxa"/>
            <w:tcBorders>
              <w:top w:val="single" w:sz="4" w:space="0" w:color="auto"/>
              <w:bottom w:val="single" w:sz="4" w:space="0" w:color="auto"/>
            </w:tcBorders>
            <w:vAlign w:val="center"/>
          </w:tcPr>
          <w:p w14:paraId="331DC084" w14:textId="77777777" w:rsidR="004C7C5B" w:rsidRPr="007060FE" w:rsidRDefault="004C7C5B" w:rsidP="001937A7">
            <w:pPr>
              <w:spacing w:before="20" w:after="20"/>
              <w:jc w:val="center"/>
              <w:rPr>
                <w:sz w:val="19"/>
                <w:szCs w:val="19"/>
                <w:vertAlign w:val="superscript"/>
              </w:rPr>
            </w:pPr>
            <w:r w:rsidRPr="007060FE">
              <w:rPr>
                <w:sz w:val="19"/>
                <w:szCs w:val="19"/>
              </w:rPr>
              <w:t>Measurement</w:t>
            </w:r>
          </w:p>
        </w:tc>
        <w:tc>
          <w:tcPr>
            <w:tcW w:w="1738" w:type="dxa"/>
            <w:tcBorders>
              <w:top w:val="single" w:sz="4" w:space="0" w:color="auto"/>
              <w:bottom w:val="single" w:sz="4" w:space="0" w:color="auto"/>
            </w:tcBorders>
          </w:tcPr>
          <w:p w14:paraId="176F6325" w14:textId="77777777" w:rsidR="004C7C5B" w:rsidRDefault="004C7C5B" w:rsidP="001937A7">
            <w:pPr>
              <w:spacing w:before="20" w:after="20"/>
              <w:jc w:val="center"/>
              <w:rPr>
                <w:sz w:val="19"/>
                <w:szCs w:val="19"/>
              </w:rPr>
            </w:pPr>
            <w:r>
              <w:rPr>
                <w:sz w:val="19"/>
                <w:szCs w:val="19"/>
              </w:rPr>
              <w:t>Unit</w:t>
            </w:r>
          </w:p>
        </w:tc>
        <w:tc>
          <w:tcPr>
            <w:tcW w:w="2014" w:type="dxa"/>
            <w:tcBorders>
              <w:top w:val="single" w:sz="4" w:space="0" w:color="auto"/>
              <w:bottom w:val="single" w:sz="4" w:space="0" w:color="auto"/>
            </w:tcBorders>
          </w:tcPr>
          <w:p w14:paraId="273B3818" w14:textId="77777777" w:rsidR="004C7C5B" w:rsidRPr="007060FE" w:rsidRDefault="004C7C5B" w:rsidP="001937A7">
            <w:pPr>
              <w:spacing w:before="20" w:after="20"/>
              <w:jc w:val="center"/>
              <w:rPr>
                <w:sz w:val="19"/>
                <w:szCs w:val="19"/>
              </w:rPr>
            </w:pPr>
            <w:r>
              <w:rPr>
                <w:sz w:val="19"/>
                <w:szCs w:val="19"/>
              </w:rPr>
              <w:t>Description</w:t>
            </w:r>
          </w:p>
        </w:tc>
      </w:tr>
      <w:tr w:rsidR="004C7C5B" w:rsidRPr="003F3E17" w14:paraId="7445673E" w14:textId="77777777" w:rsidTr="004C7C5B">
        <w:trPr>
          <w:trHeight w:val="135"/>
          <w:jc w:val="center"/>
        </w:trPr>
        <w:tc>
          <w:tcPr>
            <w:tcW w:w="1443" w:type="dxa"/>
            <w:tcBorders>
              <w:top w:val="single" w:sz="4" w:space="0" w:color="auto"/>
            </w:tcBorders>
            <w:vAlign w:val="center"/>
          </w:tcPr>
          <w:p w14:paraId="296F6037" w14:textId="77777777" w:rsidR="004C7C5B" w:rsidRPr="007060FE" w:rsidRDefault="004C7C5B" w:rsidP="001937A7">
            <w:pPr>
              <w:spacing w:before="20" w:after="20"/>
              <w:jc w:val="center"/>
              <w:rPr>
                <w:b/>
                <w:sz w:val="19"/>
                <w:szCs w:val="19"/>
              </w:rPr>
            </w:pPr>
            <w:r w:rsidRPr="007060FE">
              <w:rPr>
                <w:b/>
                <w:sz w:val="19"/>
                <w:szCs w:val="19"/>
              </w:rPr>
              <w:t>Femur, Humerus, Rib</w:t>
            </w:r>
          </w:p>
        </w:tc>
        <w:tc>
          <w:tcPr>
            <w:tcW w:w="1942" w:type="dxa"/>
            <w:tcBorders>
              <w:top w:val="single" w:sz="4" w:space="0" w:color="auto"/>
            </w:tcBorders>
            <w:vAlign w:val="center"/>
          </w:tcPr>
          <w:p w14:paraId="30CAF712" w14:textId="77777777" w:rsidR="004C7C5B" w:rsidRPr="001937A7"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vertAlign w:val="superscript"/>
              </w:rPr>
            </w:pPr>
            <w:r w:rsidRPr="007060FE">
              <w:rPr>
                <w:rFonts w:ascii="Times New Roman" w:hAnsi="Times New Roman"/>
                <w:sz w:val="19"/>
                <w:szCs w:val="19"/>
              </w:rPr>
              <w:t xml:space="preserve">Cross-sectional </w:t>
            </w:r>
            <w:r>
              <w:rPr>
                <w:rFonts w:ascii="Times New Roman" w:hAnsi="Times New Roman"/>
                <w:sz w:val="19"/>
                <w:szCs w:val="19"/>
              </w:rPr>
              <w:t>properties of mass</w:t>
            </w:r>
            <w:r>
              <w:rPr>
                <w:rFonts w:ascii="Times New Roman" w:hAnsi="Times New Roman"/>
                <w:sz w:val="19"/>
                <w:szCs w:val="19"/>
                <w:vertAlign w:val="superscript"/>
              </w:rPr>
              <w:t>1</w:t>
            </w:r>
          </w:p>
        </w:tc>
        <w:tc>
          <w:tcPr>
            <w:tcW w:w="2439" w:type="dxa"/>
            <w:tcBorders>
              <w:top w:val="single" w:sz="4" w:space="0" w:color="auto"/>
              <w:bottom w:val="single" w:sz="4" w:space="0" w:color="auto"/>
            </w:tcBorders>
            <w:vAlign w:val="center"/>
          </w:tcPr>
          <w:p w14:paraId="75754640"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Total S</w:t>
            </w:r>
            <w:r w:rsidRPr="007060FE">
              <w:rPr>
                <w:rFonts w:ascii="Times New Roman" w:hAnsi="Times New Roman"/>
                <w:sz w:val="19"/>
                <w:szCs w:val="19"/>
              </w:rPr>
              <w:t>ubperiosteal</w:t>
            </w:r>
          </w:p>
          <w:p w14:paraId="2F1507DA"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A</w:t>
            </w:r>
            <w:r w:rsidRPr="007060FE">
              <w:rPr>
                <w:rFonts w:ascii="Times New Roman" w:hAnsi="Times New Roman"/>
                <w:sz w:val="19"/>
                <w:szCs w:val="19"/>
              </w:rPr>
              <w:t>rea</w:t>
            </w:r>
            <w:r>
              <w:rPr>
                <w:rFonts w:ascii="Times New Roman" w:hAnsi="Times New Roman"/>
                <w:sz w:val="19"/>
                <w:szCs w:val="19"/>
              </w:rPr>
              <w:t xml:space="preserve"> </w:t>
            </w:r>
            <w:r w:rsidRPr="007060FE">
              <w:rPr>
                <w:rFonts w:ascii="Times New Roman" w:hAnsi="Times New Roman"/>
                <w:sz w:val="19"/>
                <w:szCs w:val="19"/>
              </w:rPr>
              <w:t>(TA)</w:t>
            </w:r>
          </w:p>
        </w:tc>
        <w:tc>
          <w:tcPr>
            <w:tcW w:w="1738" w:type="dxa"/>
            <w:tcBorders>
              <w:top w:val="single" w:sz="4" w:space="0" w:color="auto"/>
              <w:bottom w:val="single" w:sz="4" w:space="0" w:color="auto"/>
            </w:tcBorders>
          </w:tcPr>
          <w:p w14:paraId="54DB00BF" w14:textId="77777777" w:rsidR="004C7C5B" w:rsidRP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vertAlign w:val="superscript"/>
              </w:rPr>
            </w:pPr>
            <w:r>
              <w:rPr>
                <w:rFonts w:ascii="Times New Roman" w:hAnsi="Times New Roman"/>
                <w:sz w:val="19"/>
                <w:szCs w:val="19"/>
              </w:rPr>
              <w:t>mm</w:t>
            </w:r>
            <w:r>
              <w:rPr>
                <w:rFonts w:ascii="Times New Roman" w:hAnsi="Times New Roman"/>
                <w:sz w:val="19"/>
                <w:szCs w:val="19"/>
                <w:vertAlign w:val="superscript"/>
              </w:rPr>
              <w:t>2</w:t>
            </w:r>
          </w:p>
        </w:tc>
        <w:tc>
          <w:tcPr>
            <w:tcW w:w="2014" w:type="dxa"/>
            <w:tcBorders>
              <w:top w:val="single" w:sz="4" w:space="0" w:color="auto"/>
              <w:bottom w:val="single" w:sz="4" w:space="0" w:color="auto"/>
            </w:tcBorders>
          </w:tcPr>
          <w:p w14:paraId="70B89552"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Area within periosteal surface</w:t>
            </w:r>
          </w:p>
        </w:tc>
      </w:tr>
      <w:tr w:rsidR="004C7C5B" w:rsidRPr="003F3E17" w14:paraId="30786D9B" w14:textId="77777777" w:rsidTr="004C7C5B">
        <w:trPr>
          <w:trHeight w:val="98"/>
          <w:jc w:val="center"/>
        </w:trPr>
        <w:tc>
          <w:tcPr>
            <w:tcW w:w="1443" w:type="dxa"/>
            <w:vAlign w:val="center"/>
          </w:tcPr>
          <w:p w14:paraId="2596AA7D" w14:textId="77777777" w:rsidR="004C7C5B" w:rsidRPr="007060FE" w:rsidRDefault="004C7C5B" w:rsidP="001937A7">
            <w:pPr>
              <w:spacing w:before="20" w:after="20"/>
              <w:jc w:val="center"/>
              <w:rPr>
                <w:b/>
                <w:sz w:val="19"/>
                <w:szCs w:val="19"/>
              </w:rPr>
            </w:pPr>
          </w:p>
        </w:tc>
        <w:tc>
          <w:tcPr>
            <w:tcW w:w="1942" w:type="dxa"/>
            <w:vAlign w:val="center"/>
          </w:tcPr>
          <w:p w14:paraId="201745B8" w14:textId="77777777" w:rsidR="004C7C5B" w:rsidRPr="007060FE" w:rsidRDefault="004C7C5B" w:rsidP="001937A7">
            <w:pPr>
              <w:spacing w:before="20" w:after="20"/>
              <w:jc w:val="center"/>
              <w:rPr>
                <w:b/>
                <w:sz w:val="19"/>
                <w:szCs w:val="19"/>
              </w:rPr>
            </w:pPr>
          </w:p>
        </w:tc>
        <w:tc>
          <w:tcPr>
            <w:tcW w:w="2439" w:type="dxa"/>
            <w:tcBorders>
              <w:top w:val="single" w:sz="4" w:space="0" w:color="auto"/>
              <w:bottom w:val="single" w:sz="4" w:space="0" w:color="auto"/>
            </w:tcBorders>
            <w:vAlign w:val="center"/>
          </w:tcPr>
          <w:p w14:paraId="37DA622F" w14:textId="77777777" w:rsidR="004C7C5B" w:rsidRPr="007060FE" w:rsidRDefault="004C7C5B" w:rsidP="001937A7">
            <w:pPr>
              <w:spacing w:before="20" w:after="20"/>
              <w:jc w:val="center"/>
              <w:rPr>
                <w:b/>
                <w:sz w:val="19"/>
                <w:szCs w:val="19"/>
              </w:rPr>
            </w:pPr>
            <w:r>
              <w:rPr>
                <w:sz w:val="19"/>
                <w:szCs w:val="19"/>
              </w:rPr>
              <w:t>Medullary A</w:t>
            </w:r>
            <w:r w:rsidRPr="007060FE">
              <w:rPr>
                <w:sz w:val="19"/>
                <w:szCs w:val="19"/>
              </w:rPr>
              <w:t>rea (MA)</w:t>
            </w:r>
          </w:p>
        </w:tc>
        <w:tc>
          <w:tcPr>
            <w:tcW w:w="1738" w:type="dxa"/>
            <w:tcBorders>
              <w:top w:val="single" w:sz="4" w:space="0" w:color="auto"/>
              <w:bottom w:val="single" w:sz="4" w:space="0" w:color="auto"/>
            </w:tcBorders>
          </w:tcPr>
          <w:p w14:paraId="4FF583B5" w14:textId="77777777" w:rsidR="004C7C5B" w:rsidRDefault="004C7C5B" w:rsidP="001937A7">
            <w:pPr>
              <w:spacing w:before="20" w:after="20"/>
              <w:jc w:val="center"/>
              <w:rPr>
                <w:sz w:val="19"/>
                <w:szCs w:val="19"/>
              </w:rPr>
            </w:pPr>
            <w:r>
              <w:rPr>
                <w:sz w:val="19"/>
                <w:szCs w:val="19"/>
              </w:rPr>
              <w:t>mm</w:t>
            </w:r>
            <w:r>
              <w:rPr>
                <w:sz w:val="19"/>
                <w:szCs w:val="19"/>
                <w:vertAlign w:val="superscript"/>
              </w:rPr>
              <w:t>2</w:t>
            </w:r>
          </w:p>
        </w:tc>
        <w:tc>
          <w:tcPr>
            <w:tcW w:w="2014" w:type="dxa"/>
            <w:tcBorders>
              <w:top w:val="single" w:sz="4" w:space="0" w:color="auto"/>
              <w:bottom w:val="single" w:sz="4" w:space="0" w:color="auto"/>
            </w:tcBorders>
          </w:tcPr>
          <w:p w14:paraId="18CAA068" w14:textId="77777777" w:rsidR="004C7C5B" w:rsidRPr="007060FE" w:rsidRDefault="004C7C5B" w:rsidP="001937A7">
            <w:pPr>
              <w:spacing w:before="20" w:after="20"/>
              <w:jc w:val="center"/>
              <w:rPr>
                <w:sz w:val="19"/>
                <w:szCs w:val="19"/>
              </w:rPr>
            </w:pPr>
            <w:r>
              <w:rPr>
                <w:sz w:val="19"/>
                <w:szCs w:val="19"/>
              </w:rPr>
              <w:t>Area within medullary cavity</w:t>
            </w:r>
          </w:p>
        </w:tc>
      </w:tr>
      <w:tr w:rsidR="004C7C5B" w:rsidRPr="003F3E17" w14:paraId="1F1FC541" w14:textId="77777777" w:rsidTr="004C7C5B">
        <w:trPr>
          <w:trHeight w:val="42"/>
          <w:jc w:val="center"/>
        </w:trPr>
        <w:tc>
          <w:tcPr>
            <w:tcW w:w="1443" w:type="dxa"/>
            <w:vAlign w:val="center"/>
          </w:tcPr>
          <w:p w14:paraId="17119326" w14:textId="77777777" w:rsidR="004C7C5B" w:rsidRPr="007060FE" w:rsidRDefault="004C7C5B" w:rsidP="001937A7">
            <w:pPr>
              <w:spacing w:before="20" w:after="20"/>
              <w:jc w:val="center"/>
              <w:rPr>
                <w:b/>
                <w:sz w:val="19"/>
                <w:szCs w:val="19"/>
              </w:rPr>
            </w:pPr>
          </w:p>
        </w:tc>
        <w:tc>
          <w:tcPr>
            <w:tcW w:w="1942" w:type="dxa"/>
            <w:vAlign w:val="center"/>
          </w:tcPr>
          <w:p w14:paraId="1846E95B" w14:textId="77777777" w:rsidR="004C7C5B" w:rsidRPr="007060FE" w:rsidRDefault="004C7C5B" w:rsidP="001937A7">
            <w:pPr>
              <w:spacing w:before="20" w:after="20"/>
              <w:jc w:val="center"/>
              <w:rPr>
                <w:b/>
                <w:sz w:val="19"/>
                <w:szCs w:val="19"/>
              </w:rPr>
            </w:pPr>
          </w:p>
        </w:tc>
        <w:tc>
          <w:tcPr>
            <w:tcW w:w="2439" w:type="dxa"/>
            <w:tcBorders>
              <w:top w:val="single" w:sz="4" w:space="0" w:color="auto"/>
              <w:bottom w:val="single" w:sz="4" w:space="0" w:color="auto"/>
            </w:tcBorders>
            <w:vAlign w:val="center"/>
          </w:tcPr>
          <w:p w14:paraId="737305A6"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Cortical A</w:t>
            </w:r>
            <w:r w:rsidRPr="007060FE">
              <w:rPr>
                <w:rFonts w:ascii="Times New Roman" w:hAnsi="Times New Roman"/>
                <w:sz w:val="19"/>
                <w:szCs w:val="19"/>
              </w:rPr>
              <w:t>rea (CA)</w:t>
            </w:r>
          </w:p>
        </w:tc>
        <w:tc>
          <w:tcPr>
            <w:tcW w:w="1738" w:type="dxa"/>
            <w:tcBorders>
              <w:top w:val="single" w:sz="4" w:space="0" w:color="auto"/>
              <w:bottom w:val="single" w:sz="4" w:space="0" w:color="auto"/>
            </w:tcBorders>
          </w:tcPr>
          <w:p w14:paraId="1EAC96FC" w14:textId="77777777" w:rsidR="00F0662A" w:rsidRDefault="00F0662A"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p w14:paraId="5E2907C1"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mm</w:t>
            </w:r>
            <w:r>
              <w:rPr>
                <w:rFonts w:ascii="Times New Roman" w:hAnsi="Times New Roman"/>
                <w:sz w:val="19"/>
                <w:szCs w:val="19"/>
                <w:vertAlign w:val="superscript"/>
              </w:rPr>
              <w:t>2</w:t>
            </w:r>
          </w:p>
        </w:tc>
        <w:tc>
          <w:tcPr>
            <w:tcW w:w="2014" w:type="dxa"/>
            <w:tcBorders>
              <w:top w:val="single" w:sz="4" w:space="0" w:color="auto"/>
              <w:bottom w:val="single" w:sz="4" w:space="0" w:color="auto"/>
            </w:tcBorders>
          </w:tcPr>
          <w:p w14:paraId="671B5885"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Strength in compression and tension (TA-MA)</w:t>
            </w:r>
          </w:p>
        </w:tc>
      </w:tr>
      <w:tr w:rsidR="004C7C5B" w:rsidRPr="003F3E17" w14:paraId="685856CD" w14:textId="77777777" w:rsidTr="004C7C5B">
        <w:trPr>
          <w:trHeight w:val="42"/>
          <w:jc w:val="center"/>
        </w:trPr>
        <w:tc>
          <w:tcPr>
            <w:tcW w:w="1443" w:type="dxa"/>
            <w:tcBorders>
              <w:bottom w:val="single" w:sz="4" w:space="0" w:color="auto"/>
            </w:tcBorders>
            <w:vAlign w:val="center"/>
          </w:tcPr>
          <w:p w14:paraId="20DF0769" w14:textId="77777777" w:rsidR="004C7C5B" w:rsidRPr="007060FE" w:rsidRDefault="004C7C5B" w:rsidP="001937A7">
            <w:pPr>
              <w:spacing w:before="20" w:after="20"/>
              <w:jc w:val="center"/>
              <w:rPr>
                <w:b/>
                <w:sz w:val="19"/>
                <w:szCs w:val="19"/>
              </w:rPr>
            </w:pPr>
          </w:p>
        </w:tc>
        <w:tc>
          <w:tcPr>
            <w:tcW w:w="1942" w:type="dxa"/>
            <w:tcBorders>
              <w:bottom w:val="single" w:sz="4" w:space="0" w:color="auto"/>
            </w:tcBorders>
            <w:vAlign w:val="center"/>
          </w:tcPr>
          <w:p w14:paraId="272C14D9"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tc>
        <w:tc>
          <w:tcPr>
            <w:tcW w:w="2439" w:type="dxa"/>
            <w:tcBorders>
              <w:top w:val="single" w:sz="4" w:space="0" w:color="auto"/>
              <w:bottom w:val="single" w:sz="4" w:space="0" w:color="auto"/>
            </w:tcBorders>
            <w:vAlign w:val="center"/>
          </w:tcPr>
          <w:p w14:paraId="61288A2B"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Percent Cortical A</w:t>
            </w:r>
            <w:r w:rsidRPr="007060FE">
              <w:rPr>
                <w:rFonts w:ascii="Times New Roman" w:hAnsi="Times New Roman"/>
                <w:sz w:val="19"/>
                <w:szCs w:val="19"/>
              </w:rPr>
              <w:t>rea (%CA)</w:t>
            </w:r>
          </w:p>
        </w:tc>
        <w:tc>
          <w:tcPr>
            <w:tcW w:w="1738" w:type="dxa"/>
            <w:tcBorders>
              <w:top w:val="single" w:sz="4" w:space="0" w:color="auto"/>
              <w:bottom w:val="single" w:sz="4" w:space="0" w:color="auto"/>
            </w:tcBorders>
          </w:tcPr>
          <w:p w14:paraId="6B497C72"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tc>
        <w:tc>
          <w:tcPr>
            <w:tcW w:w="2014" w:type="dxa"/>
            <w:tcBorders>
              <w:top w:val="single" w:sz="4" w:space="0" w:color="auto"/>
              <w:bottom w:val="single" w:sz="4" w:space="0" w:color="auto"/>
            </w:tcBorders>
          </w:tcPr>
          <w:p w14:paraId="7D37FFAC"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Cortical area relative to total area (CA/TA) x 100</w:t>
            </w:r>
          </w:p>
        </w:tc>
      </w:tr>
      <w:tr w:rsidR="004C7C5B" w:rsidRPr="003F3E17" w14:paraId="5177903F" w14:textId="77777777" w:rsidTr="004C7C5B">
        <w:trPr>
          <w:trHeight w:val="42"/>
          <w:jc w:val="center"/>
        </w:trPr>
        <w:tc>
          <w:tcPr>
            <w:tcW w:w="1443" w:type="dxa"/>
            <w:tcBorders>
              <w:top w:val="single" w:sz="4" w:space="0" w:color="auto"/>
            </w:tcBorders>
            <w:vAlign w:val="center"/>
          </w:tcPr>
          <w:p w14:paraId="2006F747" w14:textId="77777777" w:rsidR="004C7C5B" w:rsidRPr="00FA6692" w:rsidRDefault="004C7C5B" w:rsidP="001937A7">
            <w:pPr>
              <w:spacing w:before="20" w:after="20"/>
              <w:jc w:val="center"/>
              <w:rPr>
                <w:b/>
                <w:sz w:val="19"/>
                <w:szCs w:val="19"/>
              </w:rPr>
            </w:pPr>
            <w:r w:rsidRPr="00FA6692">
              <w:rPr>
                <w:b/>
                <w:sz w:val="19"/>
                <w:szCs w:val="19"/>
              </w:rPr>
              <w:t>Femur, Humerus</w:t>
            </w:r>
          </w:p>
          <w:p w14:paraId="46491B7C" w14:textId="77777777" w:rsidR="004C7C5B" w:rsidRPr="007060FE" w:rsidRDefault="004C7C5B" w:rsidP="001937A7">
            <w:pPr>
              <w:spacing w:before="20" w:after="20"/>
              <w:jc w:val="center"/>
              <w:rPr>
                <w:b/>
                <w:sz w:val="19"/>
                <w:szCs w:val="19"/>
              </w:rPr>
            </w:pPr>
          </w:p>
        </w:tc>
        <w:tc>
          <w:tcPr>
            <w:tcW w:w="1942" w:type="dxa"/>
            <w:tcBorders>
              <w:top w:val="single" w:sz="4" w:space="0" w:color="auto"/>
              <w:bottom w:val="single" w:sz="4" w:space="0" w:color="000000"/>
            </w:tcBorders>
            <w:vAlign w:val="center"/>
          </w:tcPr>
          <w:p w14:paraId="7DB042D4" w14:textId="77777777" w:rsidR="004C7C5B" w:rsidRPr="001937A7"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vertAlign w:val="superscript"/>
              </w:rPr>
            </w:pPr>
            <w:r w:rsidRPr="007060FE">
              <w:rPr>
                <w:rFonts w:ascii="Times New Roman" w:hAnsi="Times New Roman"/>
                <w:sz w:val="19"/>
                <w:szCs w:val="19"/>
              </w:rPr>
              <w:t xml:space="preserve">Cross-sectional </w:t>
            </w:r>
            <w:r>
              <w:rPr>
                <w:rFonts w:ascii="Times New Roman" w:hAnsi="Times New Roman"/>
                <w:sz w:val="19"/>
                <w:szCs w:val="19"/>
              </w:rPr>
              <w:t>properties of strength</w:t>
            </w:r>
            <w:r>
              <w:rPr>
                <w:rFonts w:ascii="Times New Roman" w:hAnsi="Times New Roman"/>
                <w:sz w:val="19"/>
                <w:szCs w:val="19"/>
                <w:vertAlign w:val="superscript"/>
              </w:rPr>
              <w:t>2</w:t>
            </w:r>
          </w:p>
        </w:tc>
        <w:tc>
          <w:tcPr>
            <w:tcW w:w="2439" w:type="dxa"/>
            <w:tcBorders>
              <w:top w:val="single" w:sz="4" w:space="0" w:color="auto"/>
              <w:bottom w:val="single" w:sz="4" w:space="0" w:color="000000"/>
            </w:tcBorders>
            <w:vAlign w:val="center"/>
          </w:tcPr>
          <w:p w14:paraId="6E00B699"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 xml:space="preserve">Maximum Second Moment of Area </w:t>
            </w:r>
            <w:r w:rsidRPr="007060FE">
              <w:rPr>
                <w:rFonts w:ascii="Times New Roman" w:hAnsi="Times New Roman"/>
                <w:sz w:val="19"/>
                <w:szCs w:val="19"/>
              </w:rPr>
              <w:t>(</w:t>
            </w:r>
            <w:r>
              <w:rPr>
                <w:rFonts w:ascii="Times New Roman" w:hAnsi="Times New Roman"/>
                <w:i/>
                <w:sz w:val="19"/>
                <w:szCs w:val="19"/>
              </w:rPr>
              <w:t>I</w:t>
            </w:r>
            <w:r w:rsidRPr="00586C00">
              <w:rPr>
                <w:rFonts w:ascii="Times New Roman" w:hAnsi="Times New Roman"/>
                <w:sz w:val="19"/>
                <w:szCs w:val="19"/>
                <w:vertAlign w:val="subscript"/>
              </w:rPr>
              <w:t>M</w:t>
            </w:r>
            <w:r>
              <w:rPr>
                <w:rFonts w:ascii="Times New Roman" w:hAnsi="Times New Roman"/>
                <w:sz w:val="19"/>
                <w:szCs w:val="19"/>
                <w:vertAlign w:val="subscript"/>
              </w:rPr>
              <w:t>AX</w:t>
            </w:r>
            <w:r w:rsidRPr="007060FE">
              <w:rPr>
                <w:rFonts w:ascii="Times New Roman" w:hAnsi="Times New Roman"/>
                <w:sz w:val="19"/>
                <w:szCs w:val="19"/>
              </w:rPr>
              <w:t>)</w:t>
            </w:r>
          </w:p>
        </w:tc>
        <w:tc>
          <w:tcPr>
            <w:tcW w:w="1738" w:type="dxa"/>
            <w:tcBorders>
              <w:top w:val="single" w:sz="4" w:space="0" w:color="auto"/>
              <w:bottom w:val="single" w:sz="4" w:space="0" w:color="000000"/>
            </w:tcBorders>
          </w:tcPr>
          <w:p w14:paraId="2C6A07E4" w14:textId="77777777" w:rsidR="004C7C5B" w:rsidRDefault="00245770"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mm</w:t>
            </w:r>
            <w:r>
              <w:rPr>
                <w:rFonts w:ascii="Times New Roman" w:hAnsi="Times New Roman"/>
                <w:sz w:val="19"/>
                <w:szCs w:val="19"/>
                <w:vertAlign w:val="superscript"/>
              </w:rPr>
              <w:t>4</w:t>
            </w:r>
          </w:p>
        </w:tc>
        <w:tc>
          <w:tcPr>
            <w:tcW w:w="2014" w:type="dxa"/>
            <w:tcBorders>
              <w:top w:val="single" w:sz="4" w:space="0" w:color="auto"/>
              <w:bottom w:val="single" w:sz="4" w:space="0" w:color="000000"/>
            </w:tcBorders>
          </w:tcPr>
          <w:p w14:paraId="7ABD767D"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Maximum bending rigidity</w:t>
            </w:r>
          </w:p>
        </w:tc>
      </w:tr>
      <w:tr w:rsidR="004C7C5B" w:rsidRPr="003F3E17" w14:paraId="46A73A55" w14:textId="77777777" w:rsidTr="004C7C5B">
        <w:trPr>
          <w:trHeight w:val="42"/>
          <w:jc w:val="center"/>
        </w:trPr>
        <w:tc>
          <w:tcPr>
            <w:tcW w:w="1443" w:type="dxa"/>
            <w:vAlign w:val="center"/>
          </w:tcPr>
          <w:p w14:paraId="72E59E05" w14:textId="77777777" w:rsidR="004C7C5B" w:rsidRDefault="004C7C5B" w:rsidP="001937A7">
            <w:pPr>
              <w:spacing w:before="20" w:after="20"/>
              <w:jc w:val="center"/>
              <w:rPr>
                <w:b/>
                <w:sz w:val="19"/>
                <w:szCs w:val="19"/>
              </w:rPr>
            </w:pPr>
          </w:p>
          <w:p w14:paraId="6DEC1D8D" w14:textId="77777777" w:rsidR="004C7C5B" w:rsidRPr="007060FE" w:rsidRDefault="004C7C5B" w:rsidP="001937A7">
            <w:pPr>
              <w:spacing w:before="20" w:after="20"/>
              <w:jc w:val="center"/>
              <w:rPr>
                <w:b/>
                <w:sz w:val="19"/>
                <w:szCs w:val="19"/>
              </w:rPr>
            </w:pPr>
          </w:p>
        </w:tc>
        <w:tc>
          <w:tcPr>
            <w:tcW w:w="1942" w:type="dxa"/>
            <w:tcBorders>
              <w:top w:val="single" w:sz="4" w:space="0" w:color="000000"/>
              <w:bottom w:val="single" w:sz="4" w:space="0" w:color="000000"/>
            </w:tcBorders>
            <w:vAlign w:val="center"/>
          </w:tcPr>
          <w:p w14:paraId="16368E41"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tc>
        <w:tc>
          <w:tcPr>
            <w:tcW w:w="2439" w:type="dxa"/>
            <w:tcBorders>
              <w:top w:val="single" w:sz="4" w:space="0" w:color="000000"/>
              <w:bottom w:val="single" w:sz="4" w:space="0" w:color="000000"/>
            </w:tcBorders>
            <w:vAlign w:val="center"/>
          </w:tcPr>
          <w:p w14:paraId="45FC19F9"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Minimum Second M</w:t>
            </w:r>
            <w:r w:rsidRPr="007060FE">
              <w:rPr>
                <w:rFonts w:ascii="Times New Roman" w:hAnsi="Times New Roman"/>
                <w:sz w:val="19"/>
                <w:szCs w:val="19"/>
              </w:rPr>
              <w:t>oment</w:t>
            </w:r>
          </w:p>
          <w:p w14:paraId="737D2E6F"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vertAlign w:val="superscript"/>
              </w:rPr>
            </w:pPr>
            <w:r>
              <w:rPr>
                <w:rFonts w:ascii="Times New Roman" w:hAnsi="Times New Roman"/>
                <w:sz w:val="19"/>
                <w:szCs w:val="19"/>
              </w:rPr>
              <w:t>of A</w:t>
            </w:r>
            <w:r w:rsidRPr="007060FE">
              <w:rPr>
                <w:rFonts w:ascii="Times New Roman" w:hAnsi="Times New Roman"/>
                <w:sz w:val="19"/>
                <w:szCs w:val="19"/>
              </w:rPr>
              <w:t>rea</w:t>
            </w:r>
            <w:r>
              <w:rPr>
                <w:rFonts w:ascii="Times New Roman" w:hAnsi="Times New Roman"/>
                <w:sz w:val="19"/>
                <w:szCs w:val="19"/>
              </w:rPr>
              <w:t xml:space="preserve"> </w:t>
            </w:r>
            <w:r w:rsidRPr="007060FE">
              <w:rPr>
                <w:rFonts w:ascii="Times New Roman" w:hAnsi="Times New Roman"/>
                <w:sz w:val="19"/>
                <w:szCs w:val="19"/>
              </w:rPr>
              <w:t>(</w:t>
            </w:r>
            <w:r>
              <w:rPr>
                <w:rFonts w:ascii="Times New Roman" w:hAnsi="Times New Roman"/>
                <w:i/>
                <w:sz w:val="19"/>
                <w:szCs w:val="19"/>
              </w:rPr>
              <w:t>I</w:t>
            </w:r>
            <w:r w:rsidRPr="00586C00">
              <w:rPr>
                <w:rFonts w:ascii="Times New Roman" w:hAnsi="Times New Roman"/>
                <w:sz w:val="19"/>
                <w:szCs w:val="19"/>
                <w:vertAlign w:val="subscript"/>
              </w:rPr>
              <w:t>M</w:t>
            </w:r>
            <w:r>
              <w:rPr>
                <w:rFonts w:ascii="Times New Roman" w:hAnsi="Times New Roman"/>
                <w:sz w:val="19"/>
                <w:szCs w:val="19"/>
                <w:vertAlign w:val="subscript"/>
              </w:rPr>
              <w:t>IN</w:t>
            </w:r>
            <w:r w:rsidRPr="007060FE">
              <w:rPr>
                <w:rFonts w:ascii="Times New Roman" w:hAnsi="Times New Roman"/>
                <w:sz w:val="19"/>
                <w:szCs w:val="19"/>
              </w:rPr>
              <w:t>)</w:t>
            </w:r>
          </w:p>
        </w:tc>
        <w:tc>
          <w:tcPr>
            <w:tcW w:w="1738" w:type="dxa"/>
            <w:tcBorders>
              <w:top w:val="single" w:sz="4" w:space="0" w:color="000000"/>
              <w:bottom w:val="single" w:sz="4" w:space="0" w:color="000000"/>
            </w:tcBorders>
          </w:tcPr>
          <w:p w14:paraId="246B5562" w14:textId="77777777" w:rsidR="004C7C5B" w:rsidRDefault="00245770"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mm</w:t>
            </w:r>
            <w:r>
              <w:rPr>
                <w:rFonts w:ascii="Times New Roman" w:hAnsi="Times New Roman"/>
                <w:sz w:val="19"/>
                <w:szCs w:val="19"/>
                <w:vertAlign w:val="superscript"/>
              </w:rPr>
              <w:t>4</w:t>
            </w:r>
          </w:p>
        </w:tc>
        <w:tc>
          <w:tcPr>
            <w:tcW w:w="2014" w:type="dxa"/>
            <w:tcBorders>
              <w:top w:val="single" w:sz="4" w:space="0" w:color="000000"/>
              <w:bottom w:val="single" w:sz="4" w:space="0" w:color="000000"/>
            </w:tcBorders>
          </w:tcPr>
          <w:p w14:paraId="44B74A39"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Minimum bending rigidity</w:t>
            </w:r>
          </w:p>
        </w:tc>
      </w:tr>
      <w:tr w:rsidR="004C7C5B" w:rsidRPr="003F3E17" w14:paraId="4246D3A2" w14:textId="77777777" w:rsidTr="004C7C5B">
        <w:trPr>
          <w:trHeight w:val="42"/>
          <w:jc w:val="center"/>
        </w:trPr>
        <w:tc>
          <w:tcPr>
            <w:tcW w:w="1443" w:type="dxa"/>
            <w:vAlign w:val="center"/>
          </w:tcPr>
          <w:p w14:paraId="1875AF9D" w14:textId="77777777" w:rsidR="004C7C5B" w:rsidRDefault="004C7C5B" w:rsidP="001937A7">
            <w:pPr>
              <w:spacing w:before="20" w:after="20"/>
              <w:jc w:val="center"/>
              <w:rPr>
                <w:b/>
                <w:sz w:val="19"/>
                <w:szCs w:val="19"/>
              </w:rPr>
            </w:pPr>
          </w:p>
        </w:tc>
        <w:tc>
          <w:tcPr>
            <w:tcW w:w="1942" w:type="dxa"/>
            <w:tcBorders>
              <w:top w:val="single" w:sz="4" w:space="0" w:color="000000"/>
              <w:bottom w:val="single" w:sz="4" w:space="0" w:color="000000"/>
            </w:tcBorders>
            <w:vAlign w:val="center"/>
          </w:tcPr>
          <w:p w14:paraId="75DEE09D"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tc>
        <w:tc>
          <w:tcPr>
            <w:tcW w:w="2439" w:type="dxa"/>
            <w:tcBorders>
              <w:top w:val="single" w:sz="4" w:space="0" w:color="000000"/>
              <w:bottom w:val="single" w:sz="4" w:space="0" w:color="000000"/>
            </w:tcBorders>
            <w:vAlign w:val="center"/>
          </w:tcPr>
          <w:p w14:paraId="025BEB4A" w14:textId="77777777" w:rsidR="004C7C5B" w:rsidRPr="00025AC3"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Circularity (</w:t>
            </w:r>
            <w:r>
              <w:rPr>
                <w:rFonts w:ascii="Times New Roman" w:hAnsi="Times New Roman"/>
                <w:i/>
                <w:sz w:val="19"/>
                <w:szCs w:val="19"/>
              </w:rPr>
              <w:t>I</w:t>
            </w:r>
            <w:r w:rsidRPr="00586C00">
              <w:rPr>
                <w:rFonts w:ascii="Times New Roman" w:hAnsi="Times New Roman"/>
                <w:sz w:val="19"/>
                <w:szCs w:val="19"/>
                <w:vertAlign w:val="subscript"/>
              </w:rPr>
              <w:t>M</w:t>
            </w:r>
            <w:r>
              <w:rPr>
                <w:rFonts w:ascii="Times New Roman" w:hAnsi="Times New Roman"/>
                <w:sz w:val="19"/>
                <w:szCs w:val="19"/>
                <w:vertAlign w:val="subscript"/>
              </w:rPr>
              <w:t>AX</w:t>
            </w:r>
            <w:r>
              <w:rPr>
                <w:rFonts w:ascii="Times New Roman" w:hAnsi="Times New Roman"/>
                <w:sz w:val="19"/>
                <w:szCs w:val="19"/>
              </w:rPr>
              <w:t>:</w:t>
            </w:r>
            <w:r>
              <w:rPr>
                <w:rFonts w:ascii="Times New Roman" w:hAnsi="Times New Roman"/>
                <w:i/>
                <w:sz w:val="19"/>
                <w:szCs w:val="19"/>
              </w:rPr>
              <w:t xml:space="preserve"> I</w:t>
            </w:r>
            <w:r w:rsidRPr="00586C00">
              <w:rPr>
                <w:rFonts w:ascii="Times New Roman" w:hAnsi="Times New Roman"/>
                <w:sz w:val="19"/>
                <w:szCs w:val="19"/>
                <w:vertAlign w:val="subscript"/>
              </w:rPr>
              <w:t>M</w:t>
            </w:r>
            <w:r>
              <w:rPr>
                <w:rFonts w:ascii="Times New Roman" w:hAnsi="Times New Roman"/>
                <w:sz w:val="19"/>
                <w:szCs w:val="19"/>
                <w:vertAlign w:val="subscript"/>
              </w:rPr>
              <w:t>IN</w:t>
            </w:r>
            <w:r>
              <w:rPr>
                <w:rFonts w:ascii="Times New Roman" w:hAnsi="Times New Roman"/>
                <w:sz w:val="19"/>
                <w:szCs w:val="19"/>
              </w:rPr>
              <w:t>)</w:t>
            </w:r>
          </w:p>
        </w:tc>
        <w:tc>
          <w:tcPr>
            <w:tcW w:w="1738" w:type="dxa"/>
            <w:tcBorders>
              <w:top w:val="single" w:sz="4" w:space="0" w:color="000000"/>
              <w:bottom w:val="single" w:sz="4" w:space="0" w:color="000000"/>
            </w:tcBorders>
          </w:tcPr>
          <w:p w14:paraId="1B5E19ED" w14:textId="77777777" w:rsidR="004C7C5B" w:rsidRDefault="004C7C5B" w:rsidP="00245770">
            <w:pPr>
              <w:pStyle w:val="ColorfulList-Accent11"/>
              <w:autoSpaceDE w:val="0"/>
              <w:autoSpaceDN w:val="0"/>
              <w:adjustRightInd w:val="0"/>
              <w:spacing w:before="20" w:after="20" w:line="240" w:lineRule="auto"/>
              <w:ind w:left="0"/>
              <w:rPr>
                <w:rFonts w:ascii="Times New Roman" w:hAnsi="Times New Roman"/>
                <w:sz w:val="19"/>
                <w:szCs w:val="19"/>
              </w:rPr>
            </w:pPr>
          </w:p>
        </w:tc>
        <w:tc>
          <w:tcPr>
            <w:tcW w:w="2014" w:type="dxa"/>
            <w:tcBorders>
              <w:top w:val="single" w:sz="4" w:space="0" w:color="000000"/>
              <w:bottom w:val="single" w:sz="4" w:space="0" w:color="000000"/>
            </w:tcBorders>
          </w:tcPr>
          <w:p w14:paraId="04155ABE" w14:textId="77777777" w:rsidR="004C7C5B" w:rsidRDefault="004C7C5B" w:rsidP="00025AC3">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Ratio of maximum and minimum bending rigidities</w:t>
            </w:r>
          </w:p>
        </w:tc>
      </w:tr>
      <w:tr w:rsidR="004C7C5B" w:rsidRPr="003F3E17" w14:paraId="1B45EC5A" w14:textId="77777777" w:rsidTr="004C7C5B">
        <w:trPr>
          <w:trHeight w:val="173"/>
          <w:jc w:val="center"/>
        </w:trPr>
        <w:tc>
          <w:tcPr>
            <w:tcW w:w="1443" w:type="dxa"/>
            <w:vAlign w:val="center"/>
          </w:tcPr>
          <w:p w14:paraId="3231D8ED" w14:textId="77777777" w:rsidR="004C7C5B" w:rsidRPr="007060FE" w:rsidRDefault="004C7C5B" w:rsidP="001937A7">
            <w:pPr>
              <w:spacing w:before="20" w:after="20"/>
              <w:jc w:val="center"/>
              <w:rPr>
                <w:b/>
                <w:sz w:val="19"/>
                <w:szCs w:val="19"/>
              </w:rPr>
            </w:pPr>
          </w:p>
        </w:tc>
        <w:tc>
          <w:tcPr>
            <w:tcW w:w="1942" w:type="dxa"/>
            <w:tcBorders>
              <w:top w:val="single" w:sz="4" w:space="0" w:color="000000"/>
              <w:bottom w:val="single" w:sz="4" w:space="0" w:color="000000"/>
            </w:tcBorders>
            <w:vAlign w:val="center"/>
          </w:tcPr>
          <w:p w14:paraId="3D5BC53A"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p>
        </w:tc>
        <w:tc>
          <w:tcPr>
            <w:tcW w:w="2439" w:type="dxa"/>
            <w:tcBorders>
              <w:top w:val="single" w:sz="4" w:space="0" w:color="000000"/>
              <w:bottom w:val="single" w:sz="4" w:space="0" w:color="000000"/>
            </w:tcBorders>
            <w:vAlign w:val="center"/>
          </w:tcPr>
          <w:p w14:paraId="04AA26B4"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Polar Second Moment of Area (</w:t>
            </w:r>
            <w:r w:rsidRPr="00D42CD4">
              <w:rPr>
                <w:rFonts w:ascii="Times New Roman" w:hAnsi="Times New Roman"/>
                <w:i/>
                <w:sz w:val="19"/>
                <w:szCs w:val="19"/>
              </w:rPr>
              <w:t>J</w:t>
            </w:r>
            <w:r>
              <w:rPr>
                <w:rFonts w:ascii="Times New Roman" w:hAnsi="Times New Roman"/>
                <w:sz w:val="19"/>
                <w:szCs w:val="19"/>
              </w:rPr>
              <w:t>)</w:t>
            </w:r>
          </w:p>
        </w:tc>
        <w:tc>
          <w:tcPr>
            <w:tcW w:w="1738" w:type="dxa"/>
            <w:tcBorders>
              <w:top w:val="single" w:sz="4" w:space="0" w:color="000000"/>
              <w:bottom w:val="single" w:sz="4" w:space="0" w:color="000000"/>
            </w:tcBorders>
          </w:tcPr>
          <w:p w14:paraId="0E9B78B2" w14:textId="77777777" w:rsidR="004C7C5B" w:rsidRDefault="00245770"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mm</w:t>
            </w:r>
            <w:r>
              <w:rPr>
                <w:rFonts w:ascii="Times New Roman" w:hAnsi="Times New Roman"/>
                <w:sz w:val="19"/>
                <w:szCs w:val="19"/>
                <w:vertAlign w:val="superscript"/>
              </w:rPr>
              <w:t>4</w:t>
            </w:r>
          </w:p>
        </w:tc>
        <w:tc>
          <w:tcPr>
            <w:tcW w:w="2014" w:type="dxa"/>
            <w:tcBorders>
              <w:top w:val="single" w:sz="4" w:space="0" w:color="000000"/>
              <w:bottom w:val="single" w:sz="4" w:space="0" w:color="000000"/>
            </w:tcBorders>
          </w:tcPr>
          <w:p w14:paraId="7D720C11"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Torsional and twice average bending rigidity</w:t>
            </w:r>
          </w:p>
        </w:tc>
      </w:tr>
      <w:tr w:rsidR="004C7C5B" w:rsidRPr="003F3E17" w14:paraId="126CBBCC" w14:textId="77777777" w:rsidTr="004C7C5B">
        <w:trPr>
          <w:trHeight w:val="144"/>
          <w:jc w:val="center"/>
        </w:trPr>
        <w:tc>
          <w:tcPr>
            <w:tcW w:w="1443" w:type="dxa"/>
            <w:tcBorders>
              <w:bottom w:val="single" w:sz="4" w:space="0" w:color="000000"/>
            </w:tcBorders>
            <w:vAlign w:val="center"/>
          </w:tcPr>
          <w:p w14:paraId="6488FC0E" w14:textId="77777777" w:rsidR="004C7C5B" w:rsidRPr="007060FE" w:rsidRDefault="004C7C5B" w:rsidP="001937A7">
            <w:pPr>
              <w:spacing w:before="20" w:after="20"/>
              <w:jc w:val="center"/>
              <w:rPr>
                <w:b/>
                <w:sz w:val="19"/>
                <w:szCs w:val="19"/>
              </w:rPr>
            </w:pPr>
          </w:p>
        </w:tc>
        <w:tc>
          <w:tcPr>
            <w:tcW w:w="1942" w:type="dxa"/>
            <w:tcBorders>
              <w:top w:val="single" w:sz="4" w:space="0" w:color="000000"/>
              <w:bottom w:val="single" w:sz="4" w:space="0" w:color="000000"/>
            </w:tcBorders>
            <w:vAlign w:val="center"/>
          </w:tcPr>
          <w:p w14:paraId="763A8A3C" w14:textId="77777777" w:rsidR="004C7C5B" w:rsidRPr="007060FE" w:rsidRDefault="004C7C5B" w:rsidP="001937A7">
            <w:pPr>
              <w:spacing w:before="20" w:after="20"/>
              <w:jc w:val="center"/>
              <w:rPr>
                <w:b/>
                <w:sz w:val="19"/>
                <w:szCs w:val="19"/>
                <w:vertAlign w:val="superscript"/>
              </w:rPr>
            </w:pPr>
          </w:p>
        </w:tc>
        <w:tc>
          <w:tcPr>
            <w:tcW w:w="2439" w:type="dxa"/>
            <w:tcBorders>
              <w:top w:val="single" w:sz="4" w:space="0" w:color="000000"/>
              <w:bottom w:val="single" w:sz="4" w:space="0" w:color="000000"/>
            </w:tcBorders>
            <w:vAlign w:val="center"/>
          </w:tcPr>
          <w:p w14:paraId="3ED6283E" w14:textId="77777777" w:rsidR="004C7C5B" w:rsidRPr="007060FE"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Polar Section Modulus (</w:t>
            </w:r>
            <w:r>
              <w:rPr>
                <w:rFonts w:ascii="Times New Roman" w:hAnsi="Times New Roman"/>
                <w:i/>
                <w:sz w:val="19"/>
                <w:szCs w:val="19"/>
              </w:rPr>
              <w:t>Zp</w:t>
            </w:r>
            <w:r w:rsidRPr="007060FE">
              <w:rPr>
                <w:rFonts w:ascii="Times New Roman" w:hAnsi="Times New Roman"/>
                <w:sz w:val="19"/>
                <w:szCs w:val="19"/>
              </w:rPr>
              <w:t>)</w:t>
            </w:r>
          </w:p>
        </w:tc>
        <w:tc>
          <w:tcPr>
            <w:tcW w:w="1738" w:type="dxa"/>
            <w:tcBorders>
              <w:top w:val="single" w:sz="4" w:space="0" w:color="000000"/>
              <w:bottom w:val="single" w:sz="4" w:space="0" w:color="000000"/>
            </w:tcBorders>
          </w:tcPr>
          <w:p w14:paraId="38D2A386" w14:textId="77777777" w:rsidR="004C7C5B" w:rsidRDefault="00245770"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mm</w:t>
            </w:r>
            <w:r>
              <w:rPr>
                <w:rFonts w:ascii="Times New Roman" w:hAnsi="Times New Roman"/>
                <w:sz w:val="19"/>
                <w:szCs w:val="19"/>
                <w:vertAlign w:val="superscript"/>
              </w:rPr>
              <w:t>3</w:t>
            </w:r>
          </w:p>
        </w:tc>
        <w:tc>
          <w:tcPr>
            <w:tcW w:w="2014" w:type="dxa"/>
            <w:tcBorders>
              <w:top w:val="single" w:sz="4" w:space="0" w:color="000000"/>
              <w:bottom w:val="single" w:sz="4" w:space="0" w:color="000000"/>
            </w:tcBorders>
          </w:tcPr>
          <w:p w14:paraId="03D80CB9" w14:textId="77777777" w:rsidR="004C7C5B" w:rsidRDefault="004C7C5B" w:rsidP="001937A7">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Torsional and twice average bending strength</w:t>
            </w:r>
          </w:p>
        </w:tc>
      </w:tr>
    </w:tbl>
    <w:p w14:paraId="706D497D" w14:textId="77777777" w:rsidR="00095BFA" w:rsidRDefault="001937A7" w:rsidP="00095BFA">
      <w:pPr>
        <w:rPr>
          <w:sz w:val="19"/>
          <w:szCs w:val="19"/>
        </w:rPr>
      </w:pPr>
      <w:r>
        <w:rPr>
          <w:rFonts w:ascii="TimesNewRomanPSMT" w:hAnsi="TimesNewRomanPSMT" w:cs="TimesNewRomanPSMT"/>
          <w:sz w:val="19"/>
          <w:szCs w:val="19"/>
          <w:vertAlign w:val="superscript"/>
        </w:rPr>
        <w:t xml:space="preserve">1 </w:t>
      </w:r>
      <w:r w:rsidR="00095BFA">
        <w:rPr>
          <w:rFonts w:ascii="TimesNewRomanPSMT" w:hAnsi="TimesNewRomanPSMT" w:cs="TimesNewRomanPSMT"/>
          <w:sz w:val="19"/>
          <w:szCs w:val="19"/>
        </w:rPr>
        <w:t xml:space="preserve">Humerus and </w:t>
      </w:r>
      <w:r>
        <w:rPr>
          <w:rFonts w:ascii="TimesNewRomanPSMT" w:hAnsi="TimesNewRomanPSMT" w:cs="TimesNewRomanPSMT"/>
          <w:sz w:val="19"/>
          <w:szCs w:val="19"/>
        </w:rPr>
        <w:t xml:space="preserve">femur standardized by body mass </w:t>
      </w:r>
      <w:r w:rsidR="00095BFA">
        <w:rPr>
          <w:sz w:val="19"/>
          <w:szCs w:val="19"/>
        </w:rPr>
        <w:t xml:space="preserve">estimated from distal femoral metaphyseal ML breadth. Ribs standardized by </w:t>
      </w:r>
      <w:r>
        <w:rPr>
          <w:sz w:val="19"/>
          <w:szCs w:val="19"/>
        </w:rPr>
        <w:t>estimated stature</w:t>
      </w:r>
      <w:r w:rsidR="00095BFA">
        <w:rPr>
          <w:sz w:val="19"/>
          <w:szCs w:val="19"/>
        </w:rPr>
        <w:t xml:space="preserve"> as a body size approximation</w:t>
      </w:r>
      <w:r>
        <w:rPr>
          <w:sz w:val="19"/>
          <w:szCs w:val="19"/>
        </w:rPr>
        <w:t xml:space="preserve"> (following Ruff, 2007)</w:t>
      </w:r>
      <w:r w:rsidR="00095BFA">
        <w:rPr>
          <w:sz w:val="19"/>
          <w:szCs w:val="19"/>
        </w:rPr>
        <w:t>.</w:t>
      </w:r>
    </w:p>
    <w:p w14:paraId="2BA92C15" w14:textId="77777777" w:rsidR="00095BFA" w:rsidRDefault="001937A7" w:rsidP="00095BFA">
      <w:pPr>
        <w:rPr>
          <w:rFonts w:ascii="TimesNewRomanPSMT" w:hAnsi="TimesNewRomanPSMT" w:cs="TimesNewRomanPSMT"/>
          <w:sz w:val="19"/>
          <w:szCs w:val="19"/>
        </w:rPr>
      </w:pPr>
      <w:r>
        <w:rPr>
          <w:rFonts w:ascii="TimesNewRomanPSMT" w:hAnsi="TimesNewRomanPSMT" w:cs="TimesNewRomanPSMT"/>
          <w:sz w:val="19"/>
          <w:szCs w:val="19"/>
          <w:vertAlign w:val="superscript"/>
        </w:rPr>
        <w:t>2</w:t>
      </w:r>
      <w:r w:rsidR="00095BFA">
        <w:rPr>
          <w:rFonts w:ascii="TimesNewRomanPSMT" w:hAnsi="TimesNewRomanPSMT" w:cs="TimesNewRomanPSMT"/>
          <w:sz w:val="19"/>
          <w:szCs w:val="19"/>
        </w:rPr>
        <w:t xml:space="preserve"> Second moments of area (</w:t>
      </w:r>
      <w:r w:rsidR="00095BFA" w:rsidRPr="00D94A03">
        <w:rPr>
          <w:rFonts w:ascii="TimesNewRomanPSMT" w:hAnsi="TimesNewRomanPSMT" w:cs="TimesNewRomanPSMT"/>
          <w:i/>
          <w:sz w:val="19"/>
          <w:szCs w:val="19"/>
        </w:rPr>
        <w:t>I</w:t>
      </w:r>
      <w:r w:rsidR="00095BFA">
        <w:rPr>
          <w:rFonts w:ascii="TimesNewRomanPSMT" w:hAnsi="TimesNewRomanPSMT" w:cs="TimesNewRomanPSMT"/>
          <w:sz w:val="19"/>
          <w:szCs w:val="19"/>
        </w:rPr>
        <w:t xml:space="preserve"> and </w:t>
      </w:r>
      <w:r w:rsidR="00095BFA" w:rsidRPr="00D94A03">
        <w:rPr>
          <w:rFonts w:ascii="TimesNewRomanPSMT" w:hAnsi="TimesNewRomanPSMT" w:cs="TimesNewRomanPSMT"/>
          <w:i/>
          <w:sz w:val="19"/>
          <w:szCs w:val="19"/>
        </w:rPr>
        <w:t>J</w:t>
      </w:r>
      <w:r w:rsidR="00095BFA">
        <w:rPr>
          <w:rFonts w:ascii="TimesNewRomanPSMT" w:hAnsi="TimesNewRomanPSMT" w:cs="TimesNewRomanPSMT"/>
          <w:sz w:val="19"/>
          <w:szCs w:val="19"/>
        </w:rPr>
        <w:t>) standardized by body mass x bone length</w:t>
      </w:r>
      <w:r w:rsidR="00095BFA">
        <w:rPr>
          <w:rFonts w:ascii="TimesNewRomanPSMT" w:hAnsi="TimesNewRomanPSMT" w:cs="TimesNewRomanPSMT"/>
          <w:sz w:val="19"/>
          <w:szCs w:val="19"/>
          <w:vertAlign w:val="superscript"/>
        </w:rPr>
        <w:t>2</w:t>
      </w:r>
      <w:r w:rsidR="00095BFA">
        <w:rPr>
          <w:rFonts w:ascii="TimesNewRomanPSMT" w:hAnsi="TimesNewRomanPSMT" w:cs="TimesNewRomanPSMT"/>
          <w:sz w:val="19"/>
          <w:szCs w:val="19"/>
        </w:rPr>
        <w:t>. Section moduli (</w:t>
      </w:r>
      <w:r w:rsidR="00095BFA" w:rsidRPr="00D94A03">
        <w:rPr>
          <w:rFonts w:ascii="TimesNewRomanPSMT" w:hAnsi="TimesNewRomanPSMT" w:cs="TimesNewRomanPSMT"/>
          <w:i/>
          <w:sz w:val="19"/>
          <w:szCs w:val="19"/>
        </w:rPr>
        <w:t>Z</w:t>
      </w:r>
      <w:r w:rsidR="00095BFA">
        <w:rPr>
          <w:rFonts w:ascii="TimesNewRomanPSMT" w:hAnsi="TimesNewRomanPSMT" w:cs="TimesNewRomanPSMT"/>
          <w:sz w:val="19"/>
          <w:szCs w:val="19"/>
        </w:rPr>
        <w:t xml:space="preserve">) standardized by body mass x bone length (Ruff, 2008). </w:t>
      </w:r>
    </w:p>
    <w:p w14:paraId="140CFC38" w14:textId="77777777" w:rsidR="00095BFA" w:rsidRPr="00246BC3" w:rsidRDefault="00095BFA" w:rsidP="00095BFA">
      <w:pPr>
        <w:autoSpaceDE w:val="0"/>
        <w:autoSpaceDN w:val="0"/>
        <w:adjustRightInd w:val="0"/>
        <w:spacing w:line="480" w:lineRule="auto"/>
      </w:pPr>
    </w:p>
    <w:p w14:paraId="5134BAF9" w14:textId="77777777" w:rsidR="00246BC3" w:rsidRPr="00246BC3" w:rsidRDefault="00246BC3" w:rsidP="00246BC3">
      <w:pPr>
        <w:autoSpaceDE w:val="0"/>
        <w:autoSpaceDN w:val="0"/>
        <w:adjustRightInd w:val="0"/>
        <w:spacing w:line="480" w:lineRule="auto"/>
        <w:ind w:firstLine="720"/>
      </w:pPr>
      <w:r w:rsidRPr="00246BC3">
        <w:t>As histological sampling allows for direct measurement of both the periosteal and endosteal surfaces, traditional methods (e.g., O’Neill and Ruff, 2004) utilizing casting material, such as putty and radiographs were not necessary.</w:t>
      </w:r>
      <w:r w:rsidR="006A3BEE">
        <w:t xml:space="preserve"> </w:t>
      </w:r>
      <w:r w:rsidRPr="00246BC3">
        <w:t xml:space="preserve">Digital images of the entire cross-section of each bone section were captured at 40x magnification and 853.33 pixels/mm resolution with a Leica DMLS microscope </w:t>
      </w:r>
      <w:r w:rsidRPr="005417E7">
        <w:t>and Olympus BH-2 digital</w:t>
      </w:r>
      <w:r w:rsidRPr="00246BC3">
        <w:t xml:space="preserve"> microscope camera.</w:t>
      </w:r>
      <w:r w:rsidR="006A3BEE">
        <w:t xml:space="preserve"> </w:t>
      </w:r>
      <w:r w:rsidRPr="00246BC3">
        <w:t>Care was taken to ensure that each image contained areas of the bone that overlapped with adjacent images in the slide.</w:t>
      </w:r>
      <w:r w:rsidR="006A3BEE">
        <w:t xml:space="preserve"> </w:t>
      </w:r>
      <w:r w:rsidRPr="00246BC3">
        <w:t xml:space="preserve">These images were then stitched together on an Apple iMac (late 2011 model) using the auto-stitch feature in Adobe Photoshop CS5, which stacks overlapping images to create a high </w:t>
      </w:r>
      <w:r w:rsidRPr="00246BC3">
        <w:lastRenderedPageBreak/>
        <w:t xml:space="preserve">resolution composite image of the entire cross-section (Figure </w:t>
      </w:r>
      <w:r w:rsidR="000B3CC2">
        <w:t>10</w:t>
      </w:r>
      <w:r w:rsidRPr="00246BC3">
        <w:t>).</w:t>
      </w:r>
      <w:r w:rsidR="006A3BEE">
        <w:t xml:space="preserve"> </w:t>
      </w:r>
      <w:r w:rsidRPr="00246BC3">
        <w:t>Because the resolution of the image and calibration of the microscope is known (i.e., 853.33 pixels per mm), direct macroscopic and microscopic measurements of the composite images can be made that correspond to the true dimensions.</w:t>
      </w:r>
      <w:r w:rsidR="006A3BEE">
        <w:t xml:space="preserve"> </w:t>
      </w:r>
      <w:r w:rsidRPr="00246BC3">
        <w:t>The auto-stitch feature frequently has trouble stitching together individual images with precise accuracy, although it usually recognizes which images should be adjacent.</w:t>
      </w:r>
      <w:r w:rsidR="006A3BEE">
        <w:t xml:space="preserve"> </w:t>
      </w:r>
      <w:r w:rsidRPr="00246BC3">
        <w:t>Therefore, the individual images had to be shifted manually in Adobe Photoshop to ensure precise overlap at the microscopic level.</w:t>
      </w:r>
      <w:r w:rsidR="006A3BEE">
        <w:t xml:space="preserve"> </w:t>
      </w:r>
      <w:r w:rsidRPr="00246BC3">
        <w:t xml:space="preserve">High precision in this task is necessary because small amounts of error in the placement of successive images will compound into inaccurate cross-sectional areas and distorted microscopic features. </w:t>
      </w:r>
    </w:p>
    <w:p w14:paraId="6EF5B8FF" w14:textId="77777777" w:rsidR="00246BC3" w:rsidRDefault="00246BC3" w:rsidP="000B3CC2">
      <w:pPr>
        <w:autoSpaceDE w:val="0"/>
        <w:autoSpaceDN w:val="0"/>
        <w:adjustRightInd w:val="0"/>
        <w:spacing w:line="480" w:lineRule="auto"/>
        <w:ind w:firstLine="720"/>
      </w:pPr>
      <w:r w:rsidRPr="00246BC3">
        <w:t>While having such a composite image is convenient, the files are very large and require a computer with a significant amount of memory and processing power.</w:t>
      </w:r>
      <w:r w:rsidR="006A3BEE">
        <w:t xml:space="preserve"> </w:t>
      </w:r>
      <w:r w:rsidRPr="00246BC3">
        <w:t>Due to these constraints, the images were taken at 40x magnification to minimize composite file size while maximizing visibility of histomorphology.</w:t>
      </w:r>
      <w:r w:rsidR="006A3BEE">
        <w:t xml:space="preserve"> </w:t>
      </w:r>
      <w:r w:rsidRPr="00246BC3">
        <w:t>At this magnification, all microscopic features were clearly visible. Once completed, each composite image was manipulated in Photoshop to prepare it for cross-sectional geometrical analysis.</w:t>
      </w:r>
      <w:r w:rsidR="006A3BEE">
        <w:t xml:space="preserve"> </w:t>
      </w:r>
      <w:r w:rsidRPr="00246BC3">
        <w:t>For the humeri and femora, anteroposterior and mediolateral planes were delineated on the composite images with the line tool and followed the marks made on the section with permanent marker.</w:t>
      </w:r>
      <w:r w:rsidR="006A3BEE">
        <w:t xml:space="preserve"> </w:t>
      </w:r>
      <w:r w:rsidRPr="00246BC3">
        <w:t>The images were then rotated into anatomical position with the AP dimension vertical and the ML dimension horizontal.</w:t>
      </w:r>
      <w:r w:rsidR="006A3BEE">
        <w:t xml:space="preserve"> </w:t>
      </w:r>
      <w:r w:rsidRPr="00246BC3">
        <w:t>For all skeletal elements, the background was manually replaced with white pixels (pixel value=0) and cortical bone with black pixels (pixel value=255) in Photoshop (</w:t>
      </w:r>
      <w:r w:rsidRPr="00025AC3">
        <w:t xml:space="preserve">Figure </w:t>
      </w:r>
      <w:r w:rsidR="00025AC3" w:rsidRPr="00025AC3">
        <w:t>10</w:t>
      </w:r>
      <w:r w:rsidRPr="00025AC3">
        <w:t>).</w:t>
      </w:r>
      <w:r w:rsidR="006A3BEE" w:rsidRPr="00025AC3">
        <w:t xml:space="preserve"> </w:t>
      </w:r>
      <w:r w:rsidRPr="00025AC3">
        <w:t>Trabecular</w:t>
      </w:r>
      <w:r w:rsidRPr="00246BC3">
        <w:t xml:space="preserve"> bone was digitally erased from the images, as it is not taken into account when calculating cortical bone areas and strength properties (Agnew and Stout, 2012; Crowder, 2013). </w:t>
      </w:r>
    </w:p>
    <w:p w14:paraId="63C706F8" w14:textId="77777777" w:rsidR="00F932FA" w:rsidRDefault="00F932FA" w:rsidP="00F932FA">
      <w:pPr>
        <w:autoSpaceDE w:val="0"/>
        <w:autoSpaceDN w:val="0"/>
        <w:adjustRightInd w:val="0"/>
        <w:spacing w:line="480" w:lineRule="auto"/>
      </w:pPr>
    </w:p>
    <w:p w14:paraId="65634D81" w14:textId="77777777" w:rsidR="00F932FA" w:rsidRDefault="003B32D9" w:rsidP="00F932FA">
      <w:pPr>
        <w:keepNext/>
        <w:jc w:val="center"/>
      </w:pPr>
      <w:r>
        <w:rPr>
          <w:noProof/>
        </w:rPr>
        <w:lastRenderedPageBreak/>
        <w:drawing>
          <wp:inline distT="0" distB="0" distL="0" distR="0" wp14:anchorId="3AE45935" wp14:editId="653F10BB">
            <wp:extent cx="4254500" cy="4406900"/>
            <wp:effectExtent l="25400" t="25400" r="38100" b="38100"/>
            <wp:docPr id="86" name="Picture 86" descr="Cross-section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ross-sectionFinal cop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54500" cy="4406900"/>
                    </a:xfrm>
                    <a:prstGeom prst="rect">
                      <a:avLst/>
                    </a:prstGeom>
                    <a:noFill/>
                    <a:ln w="6350" cmpd="sng">
                      <a:solidFill>
                        <a:srgbClr val="000000"/>
                      </a:solidFill>
                      <a:miter lim="800000"/>
                      <a:headEnd/>
                      <a:tailEnd/>
                    </a:ln>
                    <a:effectLst/>
                  </pic:spPr>
                </pic:pic>
              </a:graphicData>
            </a:graphic>
          </wp:inline>
        </w:drawing>
      </w:r>
    </w:p>
    <w:p w14:paraId="2DA13FE8" w14:textId="77777777" w:rsidR="00F932FA" w:rsidRDefault="00F932FA" w:rsidP="00F932FA">
      <w:pPr>
        <w:pStyle w:val="Caption"/>
        <w:jc w:val="center"/>
      </w:pPr>
      <w:bookmarkStart w:id="78" w:name="_Toc233257069"/>
      <w:r>
        <w:t xml:space="preserve">Figure </w:t>
      </w:r>
      <w:r w:rsidR="00F25FA6">
        <w:fldChar w:fldCharType="begin"/>
      </w:r>
      <w:r w:rsidR="00F25FA6">
        <w:instrText xml:space="preserve"> SEQ Figure \* ARABIC </w:instrText>
      </w:r>
      <w:r w:rsidR="00F25FA6">
        <w:fldChar w:fldCharType="separate"/>
      </w:r>
      <w:r w:rsidR="00744762">
        <w:rPr>
          <w:noProof/>
        </w:rPr>
        <w:t>7</w:t>
      </w:r>
      <w:r w:rsidR="00F25FA6">
        <w:rPr>
          <w:noProof/>
        </w:rPr>
        <w:fldChar w:fldCharType="end"/>
      </w:r>
      <w:r>
        <w:t xml:space="preserve">. </w:t>
      </w:r>
      <w:r w:rsidR="008A28ED">
        <w:t>Methodology for processing images of bone cross-sections and defining histological regions of interest</w:t>
      </w:r>
      <w:r w:rsidR="000E2F0F">
        <w:t>.</w:t>
      </w:r>
      <w:bookmarkEnd w:id="78"/>
      <w:r w:rsidR="000E2F0F">
        <w:t xml:space="preserve"> </w:t>
      </w:r>
      <w:r w:rsidR="008A28ED">
        <w:t xml:space="preserve"> </w:t>
      </w:r>
    </w:p>
    <w:p w14:paraId="1E1D6C4B" w14:textId="77777777" w:rsidR="00F932FA" w:rsidRDefault="00B566F0" w:rsidP="00BE6CF6">
      <w:pPr>
        <w:autoSpaceDE w:val="0"/>
        <w:autoSpaceDN w:val="0"/>
        <w:adjustRightInd w:val="0"/>
        <w:rPr>
          <w:sz w:val="20"/>
          <w:szCs w:val="20"/>
        </w:rPr>
      </w:pPr>
      <w:r>
        <w:rPr>
          <w:sz w:val="20"/>
          <w:szCs w:val="20"/>
        </w:rPr>
        <w:t>A. Stitched c</w:t>
      </w:r>
      <w:r w:rsidR="000E2F0F">
        <w:rPr>
          <w:sz w:val="20"/>
          <w:szCs w:val="20"/>
        </w:rPr>
        <w:t>omposite image of individual histolog</w:t>
      </w:r>
      <w:r w:rsidR="00A85CA8">
        <w:rPr>
          <w:sz w:val="20"/>
          <w:szCs w:val="20"/>
        </w:rPr>
        <w:t xml:space="preserve">ical images overlapped to recreate </w:t>
      </w:r>
      <w:r>
        <w:rPr>
          <w:sz w:val="20"/>
          <w:szCs w:val="20"/>
        </w:rPr>
        <w:t xml:space="preserve">entire </w:t>
      </w:r>
      <w:r w:rsidR="00A85CA8">
        <w:rPr>
          <w:sz w:val="20"/>
          <w:szCs w:val="20"/>
        </w:rPr>
        <w:t xml:space="preserve">cross-section; B. Rotation of composite image into anatomical orientation and delineation of anteroposterior and mediolateral axes; C. </w:t>
      </w:r>
      <w:r w:rsidR="00BE6CF6">
        <w:rPr>
          <w:sz w:val="20"/>
          <w:szCs w:val="20"/>
        </w:rPr>
        <w:t>Image processing for calculation of cross-sectional properties; D. Rotation of composite image by theta for location of histological regions of interest.</w:t>
      </w:r>
    </w:p>
    <w:p w14:paraId="69D037E2" w14:textId="77777777" w:rsidR="00A85CA8" w:rsidRDefault="00A85CA8" w:rsidP="00A85CA8">
      <w:pPr>
        <w:autoSpaceDE w:val="0"/>
        <w:autoSpaceDN w:val="0"/>
        <w:adjustRightInd w:val="0"/>
        <w:jc w:val="center"/>
        <w:rPr>
          <w:sz w:val="20"/>
          <w:szCs w:val="20"/>
        </w:rPr>
      </w:pPr>
    </w:p>
    <w:p w14:paraId="73FCD39B" w14:textId="77777777" w:rsidR="00A85CA8" w:rsidRPr="000E2F0F" w:rsidRDefault="00A85CA8" w:rsidP="00A85CA8">
      <w:pPr>
        <w:autoSpaceDE w:val="0"/>
        <w:autoSpaceDN w:val="0"/>
        <w:adjustRightInd w:val="0"/>
        <w:jc w:val="center"/>
        <w:rPr>
          <w:sz w:val="20"/>
          <w:szCs w:val="20"/>
        </w:rPr>
      </w:pPr>
    </w:p>
    <w:p w14:paraId="454EE0D6" w14:textId="77777777" w:rsidR="00246BC3" w:rsidRPr="00246BC3" w:rsidRDefault="00246BC3" w:rsidP="00246BC3">
      <w:pPr>
        <w:autoSpaceDE w:val="0"/>
        <w:autoSpaceDN w:val="0"/>
        <w:adjustRightInd w:val="0"/>
        <w:spacing w:line="480" w:lineRule="auto"/>
        <w:ind w:firstLine="720"/>
      </w:pPr>
      <w:r w:rsidRPr="00246BC3">
        <w:t>It is acknowledged in histological studies that the removal of trabecular bone from cross-sections is inherently subjective, as the margin between trabecular bone and cortical bone is generally continuous (Agnew and Stout, 2012).</w:t>
      </w:r>
      <w:r w:rsidR="006A3BEE">
        <w:t xml:space="preserve"> </w:t>
      </w:r>
      <w:r w:rsidRPr="00246BC3">
        <w:t>In radiographic images of fresh bone, trabecular bone is removed based on a density threshold.</w:t>
      </w:r>
      <w:r w:rsidR="006A3BEE">
        <w:t xml:space="preserve"> </w:t>
      </w:r>
      <w:r w:rsidRPr="00246BC3">
        <w:t>Such methods, however, are not applicable to taphonomically altered, ancient bone.</w:t>
      </w:r>
      <w:r w:rsidR="006A3BEE">
        <w:t xml:space="preserve"> </w:t>
      </w:r>
      <w:r w:rsidRPr="00246BC3">
        <w:t xml:space="preserve">For these reasons, observer consistency in the removal of trabecular bone from cross-sections is essential. </w:t>
      </w:r>
    </w:p>
    <w:p w14:paraId="7E145192" w14:textId="77777777" w:rsidR="00246BC3" w:rsidRDefault="00246BC3" w:rsidP="001C587B">
      <w:pPr>
        <w:autoSpaceDE w:val="0"/>
        <w:autoSpaceDN w:val="0"/>
        <w:adjustRightInd w:val="0"/>
        <w:spacing w:line="480" w:lineRule="auto"/>
        <w:ind w:firstLine="720"/>
      </w:pPr>
      <w:r w:rsidRPr="00246BC3">
        <w:lastRenderedPageBreak/>
        <w:t>Cross-sectional geometrical properties were calculated from the processed images using a program written for MATLAB (see Appendix IV for the code), provided by Benjamin Auerbach.</w:t>
      </w:r>
      <w:r w:rsidR="006A3BEE">
        <w:t xml:space="preserve"> </w:t>
      </w:r>
      <w:r w:rsidRPr="00246BC3">
        <w:t>This program converts the binary image files into a two-dimensional matrix, and calculates the geometric properties of that matrix in order to determine the bone cross-sectional properties.</w:t>
      </w:r>
      <w:r w:rsidR="006A3BEE">
        <w:t xml:space="preserve"> </w:t>
      </w:r>
      <w:r w:rsidRPr="00246BC3">
        <w:t>A test of a washer with known geometric properties (available at http://www.hopkinsmedicine.org/fae/mmacro.htm) verified the accuracy of this program.</w:t>
      </w:r>
      <w:r w:rsidR="006A3BEE">
        <w:t xml:space="preserve"> </w:t>
      </w:r>
      <w:r w:rsidRPr="00246BC3">
        <w:t>The MATLAB code was used in lieu of other programs for calculating cross-sectional properties (e.g., MomentMacro; Ruff, 2008), as those moment calculators are optimally designed for use on radiographic images.</w:t>
      </w:r>
      <w:r w:rsidR="006A3BEE">
        <w:t xml:space="preserve"> </w:t>
      </w:r>
      <w:r w:rsidRPr="00246BC3">
        <w:t xml:space="preserve">In addition to calculating the geometric cross-sectional properties listed in Table </w:t>
      </w:r>
      <w:r w:rsidR="00B82408">
        <w:t>4</w:t>
      </w:r>
      <w:r w:rsidRPr="00246BC3">
        <w:t>, the MATLAB program also produced an output image of each cross-section rotated into an orientation reflecting Imax and Imin (x-axis =</w:t>
      </w:r>
      <w:r w:rsidR="006A3BEE">
        <w:t xml:space="preserve"> </w:t>
      </w:r>
      <w:r w:rsidRPr="00246BC3">
        <w:t>Imax, y-axis = Imin), which in turn was used to visually aid the manual rotation of the long bone composite images in Photoshop by the degrees specified by theta.</w:t>
      </w:r>
      <w:r w:rsidR="006A3BEE">
        <w:t xml:space="preserve"> </w:t>
      </w:r>
      <w:r w:rsidRPr="00246BC3">
        <w:t>The long bone composite images were rotated by the value of theta output by the MATLAB code to assist in the location of the histological regions of interest along Imax and Imin, described below.</w:t>
      </w:r>
      <w:r w:rsidR="006A3BEE">
        <w:t xml:space="preserve"> </w:t>
      </w:r>
      <w:r w:rsidRPr="00246BC3">
        <w:t>Once rotated, horizontal and vertical guide lines placed in Photoshop corresponded to Imax and Imin, respectively.</w:t>
      </w:r>
      <w:r w:rsidR="006A3BEE">
        <w:t xml:space="preserve"> </w:t>
      </w:r>
      <w:r w:rsidRPr="00B82408">
        <w:t>Due to lack of sufficient time and technical difficulties</w:t>
      </w:r>
      <w:r w:rsidR="00B82408">
        <w:t xml:space="preserve"> with the large file sizes and imaging software</w:t>
      </w:r>
      <w:r w:rsidRPr="00B82408">
        <w:t xml:space="preserve">, </w:t>
      </w:r>
      <w:r w:rsidR="002F1B87">
        <w:t>13</w:t>
      </w:r>
      <w:r w:rsidRPr="00B82408">
        <w:t xml:space="preserve"> cross-sections could not be analyzed for geometric properties.</w:t>
      </w:r>
      <w:r w:rsidR="006A3BEE" w:rsidRPr="00B82408">
        <w:t xml:space="preserve"> </w:t>
      </w:r>
      <w:r w:rsidRPr="00B82408">
        <w:t>The</w:t>
      </w:r>
      <w:r w:rsidRPr="00246BC3">
        <w:t xml:space="preserve"> age and stress group distribution of the final sample used in macromorphic assessment is presented in Table </w:t>
      </w:r>
      <w:r w:rsidR="00D24AFE">
        <w:t>5.</w:t>
      </w:r>
      <w:r w:rsidR="00FC3AB2">
        <w:t xml:space="preserve"> Therefore, not all of the Alytus individuals were represented in statistical comparisons by all three skeletal elements.</w:t>
      </w:r>
    </w:p>
    <w:p w14:paraId="6C8A5A74" w14:textId="77777777" w:rsidR="0096202A" w:rsidRDefault="0096202A" w:rsidP="0096202A">
      <w:pPr>
        <w:autoSpaceDE w:val="0"/>
        <w:autoSpaceDN w:val="0"/>
        <w:adjustRightInd w:val="0"/>
        <w:spacing w:line="480" w:lineRule="auto"/>
      </w:pPr>
    </w:p>
    <w:p w14:paraId="12BCFD45" w14:textId="77777777" w:rsidR="0096202A" w:rsidRDefault="0096202A" w:rsidP="0096202A">
      <w:pPr>
        <w:autoSpaceDE w:val="0"/>
        <w:autoSpaceDN w:val="0"/>
        <w:adjustRightInd w:val="0"/>
        <w:spacing w:line="480" w:lineRule="auto"/>
      </w:pPr>
    </w:p>
    <w:p w14:paraId="774CED8B" w14:textId="77777777" w:rsidR="0096202A" w:rsidRDefault="0096202A" w:rsidP="000E2F0F">
      <w:pPr>
        <w:pStyle w:val="Caption"/>
        <w:keepNext/>
        <w:jc w:val="center"/>
      </w:pPr>
      <w:bookmarkStart w:id="79" w:name="_Toc233182900"/>
      <w:r>
        <w:lastRenderedPageBreak/>
        <w:t xml:space="preserve">Table </w:t>
      </w:r>
      <w:fldSimple w:instr=" SEQ Table \* ARABIC ">
        <w:r w:rsidR="00054A3E">
          <w:rPr>
            <w:noProof/>
          </w:rPr>
          <w:t>5</w:t>
        </w:r>
      </w:fldSimple>
      <w:r>
        <w:t xml:space="preserve">. </w:t>
      </w:r>
      <w:r w:rsidRPr="00C32007">
        <w:t>Age distribution of the final sample utilized for cross-sectional geometric analyses by stress group and bone element.</w:t>
      </w:r>
      <w:bookmarkEnd w:id="79"/>
    </w:p>
    <w:p w14:paraId="5D41F783" w14:textId="77777777" w:rsidR="000E2F0F" w:rsidRPr="000E2F0F" w:rsidRDefault="000E2F0F" w:rsidP="000E2F0F"/>
    <w:tbl>
      <w:tblPr>
        <w:tblW w:w="8400" w:type="dxa"/>
        <w:jc w:val="center"/>
        <w:tblInd w:w="93" w:type="dxa"/>
        <w:tblLook w:val="04A0" w:firstRow="1" w:lastRow="0" w:firstColumn="1" w:lastColumn="0" w:noHBand="0" w:noVBand="1"/>
      </w:tblPr>
      <w:tblGrid>
        <w:gridCol w:w="1200"/>
        <w:gridCol w:w="861"/>
        <w:gridCol w:w="800"/>
        <w:gridCol w:w="800"/>
        <w:gridCol w:w="861"/>
        <w:gridCol w:w="800"/>
        <w:gridCol w:w="800"/>
        <w:gridCol w:w="861"/>
        <w:gridCol w:w="800"/>
        <w:gridCol w:w="800"/>
      </w:tblGrid>
      <w:tr w:rsidR="0096202A" w:rsidRPr="00943CCA" w14:paraId="3A346EB3" w14:textId="77777777" w:rsidTr="00F83658">
        <w:trPr>
          <w:trHeight w:val="285"/>
          <w:jc w:val="center"/>
        </w:trPr>
        <w:tc>
          <w:tcPr>
            <w:tcW w:w="1200" w:type="dxa"/>
            <w:tcBorders>
              <w:top w:val="single" w:sz="4" w:space="0" w:color="auto"/>
              <w:left w:val="nil"/>
              <w:bottom w:val="single" w:sz="4" w:space="0" w:color="auto"/>
              <w:right w:val="nil"/>
            </w:tcBorders>
            <w:shd w:val="clear" w:color="auto" w:fill="auto"/>
            <w:noWrap/>
            <w:vAlign w:val="bottom"/>
            <w:hideMark/>
          </w:tcPr>
          <w:p w14:paraId="46C14CE8" w14:textId="77777777" w:rsidR="0096202A" w:rsidRPr="00943CCA" w:rsidRDefault="0096202A" w:rsidP="00F83658">
            <w:pPr>
              <w:rPr>
                <w:b/>
                <w:bCs/>
                <w:color w:val="000000"/>
                <w:sz w:val="20"/>
                <w:szCs w:val="20"/>
              </w:rPr>
            </w:pPr>
            <w:r w:rsidRPr="00943CCA">
              <w:rPr>
                <w:b/>
                <w:bCs/>
                <w:color w:val="000000"/>
                <w:sz w:val="20"/>
                <w:szCs w:val="20"/>
              </w:rPr>
              <w:t> </w:t>
            </w:r>
          </w:p>
        </w:tc>
        <w:tc>
          <w:tcPr>
            <w:tcW w:w="2400" w:type="dxa"/>
            <w:gridSpan w:val="3"/>
            <w:tcBorders>
              <w:top w:val="single" w:sz="4" w:space="0" w:color="auto"/>
              <w:left w:val="nil"/>
              <w:bottom w:val="single" w:sz="4" w:space="0" w:color="auto"/>
              <w:right w:val="nil"/>
            </w:tcBorders>
            <w:shd w:val="clear" w:color="auto" w:fill="auto"/>
            <w:noWrap/>
            <w:vAlign w:val="bottom"/>
            <w:hideMark/>
          </w:tcPr>
          <w:p w14:paraId="00B044D7" w14:textId="77777777" w:rsidR="0096202A" w:rsidRPr="00943CCA" w:rsidRDefault="0096202A" w:rsidP="00F83658">
            <w:pPr>
              <w:jc w:val="center"/>
              <w:rPr>
                <w:b/>
                <w:bCs/>
                <w:color w:val="000000"/>
                <w:sz w:val="20"/>
                <w:szCs w:val="20"/>
              </w:rPr>
            </w:pPr>
            <w:r w:rsidRPr="00943CCA">
              <w:rPr>
                <w:b/>
                <w:bCs/>
                <w:color w:val="000000"/>
                <w:sz w:val="20"/>
                <w:szCs w:val="20"/>
              </w:rPr>
              <w:t>Femur</w:t>
            </w:r>
          </w:p>
        </w:tc>
        <w:tc>
          <w:tcPr>
            <w:tcW w:w="2400" w:type="dxa"/>
            <w:gridSpan w:val="3"/>
            <w:tcBorders>
              <w:top w:val="single" w:sz="4" w:space="0" w:color="auto"/>
              <w:left w:val="nil"/>
              <w:bottom w:val="single" w:sz="4" w:space="0" w:color="auto"/>
              <w:right w:val="nil"/>
            </w:tcBorders>
            <w:shd w:val="clear" w:color="auto" w:fill="auto"/>
            <w:noWrap/>
            <w:vAlign w:val="bottom"/>
            <w:hideMark/>
          </w:tcPr>
          <w:p w14:paraId="054D9672" w14:textId="77777777" w:rsidR="0096202A" w:rsidRPr="00943CCA" w:rsidRDefault="0096202A" w:rsidP="00F83658">
            <w:pPr>
              <w:jc w:val="center"/>
              <w:rPr>
                <w:b/>
                <w:bCs/>
                <w:color w:val="000000"/>
                <w:sz w:val="20"/>
                <w:szCs w:val="20"/>
              </w:rPr>
            </w:pPr>
            <w:r w:rsidRPr="00943CCA">
              <w:rPr>
                <w:b/>
                <w:bCs/>
                <w:color w:val="000000"/>
                <w:sz w:val="20"/>
                <w:szCs w:val="20"/>
              </w:rPr>
              <w:t>Humerus</w:t>
            </w:r>
          </w:p>
        </w:tc>
        <w:tc>
          <w:tcPr>
            <w:tcW w:w="2400" w:type="dxa"/>
            <w:gridSpan w:val="3"/>
            <w:tcBorders>
              <w:top w:val="single" w:sz="4" w:space="0" w:color="auto"/>
              <w:left w:val="nil"/>
              <w:bottom w:val="single" w:sz="4" w:space="0" w:color="auto"/>
              <w:right w:val="nil"/>
            </w:tcBorders>
            <w:shd w:val="clear" w:color="auto" w:fill="auto"/>
            <w:noWrap/>
            <w:vAlign w:val="bottom"/>
            <w:hideMark/>
          </w:tcPr>
          <w:p w14:paraId="0C913895" w14:textId="77777777" w:rsidR="0096202A" w:rsidRPr="00943CCA" w:rsidRDefault="0096202A" w:rsidP="00F83658">
            <w:pPr>
              <w:jc w:val="center"/>
              <w:rPr>
                <w:b/>
                <w:bCs/>
                <w:color w:val="000000"/>
                <w:sz w:val="20"/>
                <w:szCs w:val="20"/>
              </w:rPr>
            </w:pPr>
            <w:r w:rsidRPr="00943CCA">
              <w:rPr>
                <w:b/>
                <w:bCs/>
                <w:color w:val="000000"/>
                <w:sz w:val="20"/>
                <w:szCs w:val="20"/>
              </w:rPr>
              <w:t>Rib</w:t>
            </w:r>
          </w:p>
        </w:tc>
      </w:tr>
      <w:tr w:rsidR="0096202A" w:rsidRPr="00943CCA" w14:paraId="3E2006F6" w14:textId="77777777" w:rsidTr="00F83658">
        <w:trPr>
          <w:trHeight w:val="615"/>
          <w:jc w:val="center"/>
        </w:trPr>
        <w:tc>
          <w:tcPr>
            <w:tcW w:w="1200" w:type="dxa"/>
            <w:tcBorders>
              <w:top w:val="nil"/>
              <w:left w:val="nil"/>
              <w:bottom w:val="single" w:sz="4" w:space="0" w:color="auto"/>
              <w:right w:val="nil"/>
            </w:tcBorders>
            <w:shd w:val="clear" w:color="auto" w:fill="auto"/>
            <w:vAlign w:val="center"/>
            <w:hideMark/>
          </w:tcPr>
          <w:p w14:paraId="088796F0" w14:textId="77777777" w:rsidR="0096202A" w:rsidRPr="00943CCA" w:rsidRDefault="0096202A" w:rsidP="00F83658">
            <w:pPr>
              <w:jc w:val="center"/>
              <w:rPr>
                <w:b/>
                <w:bCs/>
                <w:color w:val="000000"/>
                <w:sz w:val="20"/>
                <w:szCs w:val="20"/>
              </w:rPr>
            </w:pPr>
            <w:r w:rsidRPr="00943CCA">
              <w:rPr>
                <w:b/>
                <w:bCs/>
                <w:color w:val="000000"/>
                <w:sz w:val="20"/>
                <w:szCs w:val="20"/>
              </w:rPr>
              <w:t>Age Categories</w:t>
            </w:r>
          </w:p>
        </w:tc>
        <w:tc>
          <w:tcPr>
            <w:tcW w:w="800" w:type="dxa"/>
            <w:tcBorders>
              <w:top w:val="nil"/>
              <w:left w:val="nil"/>
              <w:bottom w:val="single" w:sz="4" w:space="0" w:color="auto"/>
              <w:right w:val="nil"/>
            </w:tcBorders>
            <w:shd w:val="clear" w:color="auto" w:fill="auto"/>
            <w:vAlign w:val="center"/>
            <w:hideMark/>
          </w:tcPr>
          <w:p w14:paraId="54B62CEF" w14:textId="77777777" w:rsidR="0096202A" w:rsidRPr="00943CCA" w:rsidRDefault="0096202A" w:rsidP="00F83658">
            <w:pPr>
              <w:jc w:val="center"/>
              <w:rPr>
                <w:color w:val="000000"/>
                <w:sz w:val="20"/>
                <w:szCs w:val="20"/>
              </w:rPr>
            </w:pPr>
            <w:r w:rsidRPr="00943CCA">
              <w:rPr>
                <w:color w:val="000000"/>
                <w:sz w:val="20"/>
                <w:szCs w:val="20"/>
              </w:rPr>
              <w:t>Chronic Stress</w:t>
            </w:r>
          </w:p>
        </w:tc>
        <w:tc>
          <w:tcPr>
            <w:tcW w:w="800" w:type="dxa"/>
            <w:tcBorders>
              <w:top w:val="nil"/>
              <w:left w:val="nil"/>
              <w:bottom w:val="single" w:sz="4" w:space="0" w:color="auto"/>
              <w:right w:val="nil"/>
            </w:tcBorders>
            <w:shd w:val="clear" w:color="auto" w:fill="auto"/>
            <w:vAlign w:val="center"/>
            <w:hideMark/>
          </w:tcPr>
          <w:p w14:paraId="6BE6AC0E" w14:textId="77777777" w:rsidR="0096202A" w:rsidRPr="00943CCA" w:rsidRDefault="0096202A" w:rsidP="00F83658">
            <w:pPr>
              <w:jc w:val="center"/>
              <w:rPr>
                <w:color w:val="000000"/>
                <w:sz w:val="20"/>
                <w:szCs w:val="20"/>
              </w:rPr>
            </w:pPr>
            <w:r w:rsidRPr="00943CCA">
              <w:rPr>
                <w:color w:val="000000"/>
                <w:sz w:val="20"/>
                <w:szCs w:val="20"/>
              </w:rPr>
              <w:t>Acute Stress</w:t>
            </w:r>
          </w:p>
        </w:tc>
        <w:tc>
          <w:tcPr>
            <w:tcW w:w="800" w:type="dxa"/>
            <w:tcBorders>
              <w:top w:val="nil"/>
              <w:left w:val="nil"/>
              <w:bottom w:val="single" w:sz="4" w:space="0" w:color="auto"/>
              <w:right w:val="nil"/>
            </w:tcBorders>
            <w:shd w:val="clear" w:color="auto" w:fill="auto"/>
            <w:vAlign w:val="center"/>
            <w:hideMark/>
          </w:tcPr>
          <w:p w14:paraId="0B63901F" w14:textId="77777777" w:rsidR="0096202A" w:rsidRPr="00943CCA" w:rsidRDefault="0096202A" w:rsidP="00F83658">
            <w:pPr>
              <w:jc w:val="center"/>
              <w:rPr>
                <w:color w:val="000000"/>
                <w:sz w:val="20"/>
                <w:szCs w:val="20"/>
              </w:rPr>
            </w:pPr>
            <w:r w:rsidRPr="00943CCA">
              <w:rPr>
                <w:color w:val="000000"/>
                <w:sz w:val="20"/>
                <w:szCs w:val="20"/>
              </w:rPr>
              <w:t>Total</w:t>
            </w:r>
          </w:p>
        </w:tc>
        <w:tc>
          <w:tcPr>
            <w:tcW w:w="800" w:type="dxa"/>
            <w:tcBorders>
              <w:top w:val="nil"/>
              <w:left w:val="nil"/>
              <w:bottom w:val="single" w:sz="4" w:space="0" w:color="auto"/>
              <w:right w:val="nil"/>
            </w:tcBorders>
            <w:shd w:val="clear" w:color="auto" w:fill="auto"/>
            <w:vAlign w:val="center"/>
            <w:hideMark/>
          </w:tcPr>
          <w:p w14:paraId="059CB2A2" w14:textId="77777777" w:rsidR="0096202A" w:rsidRPr="00943CCA" w:rsidRDefault="0096202A" w:rsidP="00F83658">
            <w:pPr>
              <w:jc w:val="center"/>
              <w:rPr>
                <w:color w:val="000000"/>
                <w:sz w:val="20"/>
                <w:szCs w:val="20"/>
              </w:rPr>
            </w:pPr>
            <w:r w:rsidRPr="00943CCA">
              <w:rPr>
                <w:color w:val="000000"/>
                <w:sz w:val="20"/>
                <w:szCs w:val="20"/>
              </w:rPr>
              <w:t>Chronic Stress</w:t>
            </w:r>
          </w:p>
        </w:tc>
        <w:tc>
          <w:tcPr>
            <w:tcW w:w="800" w:type="dxa"/>
            <w:tcBorders>
              <w:top w:val="nil"/>
              <w:left w:val="nil"/>
              <w:bottom w:val="single" w:sz="4" w:space="0" w:color="auto"/>
              <w:right w:val="nil"/>
            </w:tcBorders>
            <w:shd w:val="clear" w:color="auto" w:fill="auto"/>
            <w:vAlign w:val="center"/>
            <w:hideMark/>
          </w:tcPr>
          <w:p w14:paraId="677D9B42" w14:textId="77777777" w:rsidR="0096202A" w:rsidRPr="00943CCA" w:rsidRDefault="0096202A" w:rsidP="00F83658">
            <w:pPr>
              <w:jc w:val="center"/>
              <w:rPr>
                <w:color w:val="000000"/>
                <w:sz w:val="20"/>
                <w:szCs w:val="20"/>
              </w:rPr>
            </w:pPr>
            <w:r w:rsidRPr="00943CCA">
              <w:rPr>
                <w:color w:val="000000"/>
                <w:sz w:val="20"/>
                <w:szCs w:val="20"/>
              </w:rPr>
              <w:t>Acute Stress</w:t>
            </w:r>
          </w:p>
        </w:tc>
        <w:tc>
          <w:tcPr>
            <w:tcW w:w="800" w:type="dxa"/>
            <w:tcBorders>
              <w:top w:val="nil"/>
              <w:left w:val="nil"/>
              <w:bottom w:val="single" w:sz="4" w:space="0" w:color="auto"/>
              <w:right w:val="nil"/>
            </w:tcBorders>
            <w:shd w:val="clear" w:color="auto" w:fill="auto"/>
            <w:vAlign w:val="center"/>
            <w:hideMark/>
          </w:tcPr>
          <w:p w14:paraId="58BA2BD6" w14:textId="77777777" w:rsidR="0096202A" w:rsidRPr="00943CCA" w:rsidRDefault="0096202A" w:rsidP="00F83658">
            <w:pPr>
              <w:jc w:val="center"/>
              <w:rPr>
                <w:color w:val="000000"/>
                <w:sz w:val="20"/>
                <w:szCs w:val="20"/>
              </w:rPr>
            </w:pPr>
            <w:r w:rsidRPr="00943CCA">
              <w:rPr>
                <w:color w:val="000000"/>
                <w:sz w:val="20"/>
                <w:szCs w:val="20"/>
              </w:rPr>
              <w:t>Total</w:t>
            </w:r>
          </w:p>
        </w:tc>
        <w:tc>
          <w:tcPr>
            <w:tcW w:w="800" w:type="dxa"/>
            <w:tcBorders>
              <w:top w:val="nil"/>
              <w:left w:val="nil"/>
              <w:bottom w:val="single" w:sz="4" w:space="0" w:color="auto"/>
              <w:right w:val="nil"/>
            </w:tcBorders>
            <w:shd w:val="clear" w:color="auto" w:fill="auto"/>
            <w:vAlign w:val="center"/>
            <w:hideMark/>
          </w:tcPr>
          <w:p w14:paraId="79308A0E" w14:textId="77777777" w:rsidR="0096202A" w:rsidRPr="00943CCA" w:rsidRDefault="0096202A" w:rsidP="00F83658">
            <w:pPr>
              <w:jc w:val="center"/>
              <w:rPr>
                <w:color w:val="000000"/>
                <w:sz w:val="20"/>
                <w:szCs w:val="20"/>
              </w:rPr>
            </w:pPr>
            <w:r w:rsidRPr="00943CCA">
              <w:rPr>
                <w:color w:val="000000"/>
                <w:sz w:val="20"/>
                <w:szCs w:val="20"/>
              </w:rPr>
              <w:t>Chronic Stress</w:t>
            </w:r>
          </w:p>
        </w:tc>
        <w:tc>
          <w:tcPr>
            <w:tcW w:w="800" w:type="dxa"/>
            <w:tcBorders>
              <w:top w:val="nil"/>
              <w:left w:val="nil"/>
              <w:bottom w:val="single" w:sz="4" w:space="0" w:color="auto"/>
              <w:right w:val="nil"/>
            </w:tcBorders>
            <w:shd w:val="clear" w:color="auto" w:fill="auto"/>
            <w:vAlign w:val="center"/>
            <w:hideMark/>
          </w:tcPr>
          <w:p w14:paraId="562D28B4" w14:textId="77777777" w:rsidR="0096202A" w:rsidRPr="00943CCA" w:rsidRDefault="0096202A" w:rsidP="00F83658">
            <w:pPr>
              <w:jc w:val="center"/>
              <w:rPr>
                <w:color w:val="000000"/>
                <w:sz w:val="20"/>
                <w:szCs w:val="20"/>
              </w:rPr>
            </w:pPr>
            <w:r w:rsidRPr="00943CCA">
              <w:rPr>
                <w:color w:val="000000"/>
                <w:sz w:val="20"/>
                <w:szCs w:val="20"/>
              </w:rPr>
              <w:t>Acute Stress</w:t>
            </w:r>
          </w:p>
        </w:tc>
        <w:tc>
          <w:tcPr>
            <w:tcW w:w="800" w:type="dxa"/>
            <w:tcBorders>
              <w:top w:val="nil"/>
              <w:left w:val="nil"/>
              <w:bottom w:val="single" w:sz="4" w:space="0" w:color="auto"/>
              <w:right w:val="nil"/>
            </w:tcBorders>
            <w:shd w:val="clear" w:color="auto" w:fill="auto"/>
            <w:vAlign w:val="center"/>
            <w:hideMark/>
          </w:tcPr>
          <w:p w14:paraId="1D7F77B4" w14:textId="77777777" w:rsidR="0096202A" w:rsidRPr="00943CCA" w:rsidRDefault="0096202A" w:rsidP="00F83658">
            <w:pPr>
              <w:jc w:val="center"/>
              <w:rPr>
                <w:color w:val="000000"/>
                <w:sz w:val="20"/>
                <w:szCs w:val="20"/>
              </w:rPr>
            </w:pPr>
            <w:r w:rsidRPr="00943CCA">
              <w:rPr>
                <w:color w:val="000000"/>
                <w:sz w:val="20"/>
                <w:szCs w:val="20"/>
              </w:rPr>
              <w:t>Total</w:t>
            </w:r>
          </w:p>
        </w:tc>
      </w:tr>
      <w:tr w:rsidR="0096202A" w:rsidRPr="00943CCA" w14:paraId="6DE656E2" w14:textId="77777777" w:rsidTr="00F83658">
        <w:trPr>
          <w:trHeight w:val="300"/>
          <w:jc w:val="center"/>
        </w:trPr>
        <w:tc>
          <w:tcPr>
            <w:tcW w:w="1200" w:type="dxa"/>
            <w:tcBorders>
              <w:top w:val="nil"/>
              <w:left w:val="nil"/>
              <w:bottom w:val="nil"/>
              <w:right w:val="nil"/>
            </w:tcBorders>
            <w:shd w:val="clear" w:color="auto" w:fill="auto"/>
            <w:noWrap/>
            <w:vAlign w:val="bottom"/>
            <w:hideMark/>
          </w:tcPr>
          <w:p w14:paraId="6DB7EBA6" w14:textId="77777777" w:rsidR="0096202A" w:rsidRPr="00943CCA" w:rsidRDefault="0096202A" w:rsidP="00F83658">
            <w:pPr>
              <w:rPr>
                <w:color w:val="000000"/>
                <w:sz w:val="20"/>
                <w:szCs w:val="20"/>
              </w:rPr>
            </w:pPr>
            <w:r w:rsidRPr="00943CCA">
              <w:rPr>
                <w:color w:val="000000"/>
                <w:sz w:val="20"/>
                <w:szCs w:val="20"/>
              </w:rPr>
              <w:t>1.0-1.99</w:t>
            </w:r>
          </w:p>
        </w:tc>
        <w:tc>
          <w:tcPr>
            <w:tcW w:w="800" w:type="dxa"/>
            <w:tcBorders>
              <w:top w:val="nil"/>
              <w:left w:val="nil"/>
              <w:bottom w:val="nil"/>
              <w:right w:val="nil"/>
            </w:tcBorders>
            <w:shd w:val="clear" w:color="auto" w:fill="auto"/>
            <w:noWrap/>
            <w:vAlign w:val="bottom"/>
            <w:hideMark/>
          </w:tcPr>
          <w:p w14:paraId="43D828CE" w14:textId="77777777" w:rsidR="0096202A" w:rsidRPr="00943CCA" w:rsidRDefault="0096202A" w:rsidP="00F83658">
            <w:pPr>
              <w:jc w:val="center"/>
              <w:rPr>
                <w:color w:val="000000"/>
                <w:sz w:val="20"/>
                <w:szCs w:val="20"/>
              </w:rPr>
            </w:pPr>
            <w:r w:rsidRPr="00943CCA">
              <w:rPr>
                <w:color w:val="000000"/>
                <w:sz w:val="20"/>
                <w:szCs w:val="20"/>
              </w:rPr>
              <w:t>3</w:t>
            </w:r>
          </w:p>
        </w:tc>
        <w:tc>
          <w:tcPr>
            <w:tcW w:w="800" w:type="dxa"/>
            <w:tcBorders>
              <w:top w:val="nil"/>
              <w:left w:val="nil"/>
              <w:bottom w:val="nil"/>
              <w:right w:val="nil"/>
            </w:tcBorders>
            <w:shd w:val="clear" w:color="auto" w:fill="auto"/>
            <w:noWrap/>
            <w:vAlign w:val="bottom"/>
            <w:hideMark/>
          </w:tcPr>
          <w:p w14:paraId="56A23715" w14:textId="77777777" w:rsidR="0096202A" w:rsidRPr="00943CCA" w:rsidRDefault="0096202A" w:rsidP="00F83658">
            <w:pPr>
              <w:jc w:val="center"/>
              <w:rPr>
                <w:color w:val="000000"/>
                <w:sz w:val="20"/>
                <w:szCs w:val="20"/>
              </w:rPr>
            </w:pPr>
            <w:r w:rsidRPr="00943CCA">
              <w:rPr>
                <w:color w:val="000000"/>
                <w:sz w:val="20"/>
                <w:szCs w:val="20"/>
              </w:rPr>
              <w:t>3</w:t>
            </w:r>
          </w:p>
        </w:tc>
        <w:tc>
          <w:tcPr>
            <w:tcW w:w="800" w:type="dxa"/>
            <w:tcBorders>
              <w:top w:val="nil"/>
              <w:left w:val="nil"/>
              <w:bottom w:val="nil"/>
              <w:right w:val="nil"/>
            </w:tcBorders>
            <w:shd w:val="clear" w:color="auto" w:fill="auto"/>
            <w:noWrap/>
            <w:vAlign w:val="bottom"/>
            <w:hideMark/>
          </w:tcPr>
          <w:p w14:paraId="28280F13"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23D71BB4" w14:textId="77777777" w:rsidR="0096202A" w:rsidRPr="00943CCA" w:rsidRDefault="0096202A" w:rsidP="00F83658">
            <w:pPr>
              <w:jc w:val="center"/>
              <w:rPr>
                <w:color w:val="000000"/>
                <w:sz w:val="20"/>
                <w:szCs w:val="20"/>
              </w:rPr>
            </w:pPr>
            <w:r w:rsidRPr="00943CCA">
              <w:rPr>
                <w:color w:val="000000"/>
                <w:sz w:val="20"/>
                <w:szCs w:val="20"/>
              </w:rPr>
              <w:t>4</w:t>
            </w:r>
          </w:p>
        </w:tc>
        <w:tc>
          <w:tcPr>
            <w:tcW w:w="800" w:type="dxa"/>
            <w:tcBorders>
              <w:top w:val="nil"/>
              <w:left w:val="nil"/>
              <w:bottom w:val="nil"/>
              <w:right w:val="nil"/>
            </w:tcBorders>
            <w:shd w:val="clear" w:color="auto" w:fill="auto"/>
            <w:noWrap/>
            <w:vAlign w:val="bottom"/>
            <w:hideMark/>
          </w:tcPr>
          <w:p w14:paraId="0E4E8D07" w14:textId="77777777" w:rsidR="0096202A" w:rsidRPr="00943CCA" w:rsidRDefault="0096202A" w:rsidP="00F83658">
            <w:pPr>
              <w:jc w:val="center"/>
              <w:rPr>
                <w:color w:val="000000"/>
                <w:sz w:val="20"/>
                <w:szCs w:val="20"/>
              </w:rPr>
            </w:pPr>
            <w:r w:rsidRPr="00943CCA">
              <w:rPr>
                <w:color w:val="000000"/>
                <w:sz w:val="20"/>
                <w:szCs w:val="20"/>
              </w:rPr>
              <w:t>5</w:t>
            </w:r>
          </w:p>
        </w:tc>
        <w:tc>
          <w:tcPr>
            <w:tcW w:w="800" w:type="dxa"/>
            <w:tcBorders>
              <w:top w:val="nil"/>
              <w:left w:val="nil"/>
              <w:bottom w:val="nil"/>
              <w:right w:val="nil"/>
            </w:tcBorders>
            <w:shd w:val="clear" w:color="auto" w:fill="auto"/>
            <w:noWrap/>
            <w:vAlign w:val="bottom"/>
            <w:hideMark/>
          </w:tcPr>
          <w:p w14:paraId="768507B4" w14:textId="77777777" w:rsidR="0096202A" w:rsidRPr="00943CCA" w:rsidRDefault="0096202A" w:rsidP="00F83658">
            <w:pPr>
              <w:jc w:val="center"/>
              <w:rPr>
                <w:color w:val="000000"/>
                <w:sz w:val="20"/>
                <w:szCs w:val="20"/>
              </w:rPr>
            </w:pPr>
            <w:r w:rsidRPr="00943CCA">
              <w:rPr>
                <w:color w:val="000000"/>
                <w:sz w:val="20"/>
                <w:szCs w:val="20"/>
              </w:rPr>
              <w:t>9</w:t>
            </w:r>
          </w:p>
        </w:tc>
        <w:tc>
          <w:tcPr>
            <w:tcW w:w="800" w:type="dxa"/>
            <w:tcBorders>
              <w:top w:val="nil"/>
              <w:left w:val="nil"/>
              <w:bottom w:val="nil"/>
              <w:right w:val="nil"/>
            </w:tcBorders>
            <w:shd w:val="clear" w:color="auto" w:fill="auto"/>
            <w:noWrap/>
            <w:vAlign w:val="bottom"/>
            <w:hideMark/>
          </w:tcPr>
          <w:p w14:paraId="68856D23" w14:textId="77777777" w:rsidR="0096202A" w:rsidRPr="00943CCA" w:rsidRDefault="0096202A" w:rsidP="00F83658">
            <w:pPr>
              <w:jc w:val="center"/>
              <w:rPr>
                <w:color w:val="000000"/>
                <w:sz w:val="20"/>
                <w:szCs w:val="20"/>
              </w:rPr>
            </w:pPr>
            <w:r w:rsidRPr="00943CCA">
              <w:rPr>
                <w:color w:val="000000"/>
                <w:sz w:val="20"/>
                <w:szCs w:val="20"/>
              </w:rPr>
              <w:t>3</w:t>
            </w:r>
          </w:p>
        </w:tc>
        <w:tc>
          <w:tcPr>
            <w:tcW w:w="800" w:type="dxa"/>
            <w:tcBorders>
              <w:top w:val="nil"/>
              <w:left w:val="nil"/>
              <w:bottom w:val="nil"/>
              <w:right w:val="nil"/>
            </w:tcBorders>
            <w:shd w:val="clear" w:color="auto" w:fill="auto"/>
            <w:noWrap/>
            <w:vAlign w:val="bottom"/>
            <w:hideMark/>
          </w:tcPr>
          <w:p w14:paraId="61B8D585" w14:textId="77777777" w:rsidR="0096202A" w:rsidRPr="00943CCA" w:rsidRDefault="0096202A" w:rsidP="00F83658">
            <w:pPr>
              <w:jc w:val="center"/>
              <w:rPr>
                <w:color w:val="000000"/>
                <w:sz w:val="20"/>
                <w:szCs w:val="20"/>
              </w:rPr>
            </w:pPr>
            <w:r w:rsidRPr="00943CCA">
              <w:rPr>
                <w:color w:val="000000"/>
                <w:sz w:val="20"/>
                <w:szCs w:val="20"/>
              </w:rPr>
              <w:t>3</w:t>
            </w:r>
          </w:p>
        </w:tc>
        <w:tc>
          <w:tcPr>
            <w:tcW w:w="800" w:type="dxa"/>
            <w:tcBorders>
              <w:top w:val="nil"/>
              <w:left w:val="nil"/>
              <w:bottom w:val="nil"/>
              <w:right w:val="nil"/>
            </w:tcBorders>
            <w:shd w:val="clear" w:color="auto" w:fill="auto"/>
            <w:noWrap/>
            <w:vAlign w:val="bottom"/>
            <w:hideMark/>
          </w:tcPr>
          <w:p w14:paraId="0AE4282F" w14:textId="77777777" w:rsidR="0096202A" w:rsidRPr="00943CCA" w:rsidRDefault="0096202A" w:rsidP="00F83658">
            <w:pPr>
              <w:jc w:val="center"/>
              <w:rPr>
                <w:color w:val="000000"/>
                <w:sz w:val="20"/>
                <w:szCs w:val="20"/>
              </w:rPr>
            </w:pPr>
            <w:r w:rsidRPr="00943CCA">
              <w:rPr>
                <w:color w:val="000000"/>
                <w:sz w:val="20"/>
                <w:szCs w:val="20"/>
              </w:rPr>
              <w:t>6</w:t>
            </w:r>
          </w:p>
        </w:tc>
      </w:tr>
      <w:tr w:rsidR="0096202A" w:rsidRPr="00943CCA" w14:paraId="3EE8C8CD" w14:textId="77777777" w:rsidTr="00F83658">
        <w:trPr>
          <w:trHeight w:val="300"/>
          <w:jc w:val="center"/>
        </w:trPr>
        <w:tc>
          <w:tcPr>
            <w:tcW w:w="1200" w:type="dxa"/>
            <w:tcBorders>
              <w:top w:val="nil"/>
              <w:left w:val="nil"/>
              <w:bottom w:val="nil"/>
              <w:right w:val="nil"/>
            </w:tcBorders>
            <w:shd w:val="clear" w:color="auto" w:fill="auto"/>
            <w:noWrap/>
            <w:vAlign w:val="bottom"/>
            <w:hideMark/>
          </w:tcPr>
          <w:p w14:paraId="38A004B4" w14:textId="77777777" w:rsidR="0096202A" w:rsidRPr="00943CCA" w:rsidRDefault="0096202A" w:rsidP="00F83658">
            <w:pPr>
              <w:rPr>
                <w:color w:val="000000"/>
                <w:sz w:val="20"/>
                <w:szCs w:val="20"/>
              </w:rPr>
            </w:pPr>
            <w:r w:rsidRPr="00943CCA">
              <w:rPr>
                <w:color w:val="000000"/>
                <w:sz w:val="20"/>
                <w:szCs w:val="20"/>
              </w:rPr>
              <w:t>2.0-2.99</w:t>
            </w:r>
          </w:p>
        </w:tc>
        <w:tc>
          <w:tcPr>
            <w:tcW w:w="800" w:type="dxa"/>
            <w:tcBorders>
              <w:top w:val="nil"/>
              <w:left w:val="nil"/>
              <w:bottom w:val="nil"/>
              <w:right w:val="nil"/>
            </w:tcBorders>
            <w:shd w:val="clear" w:color="auto" w:fill="auto"/>
            <w:noWrap/>
            <w:vAlign w:val="bottom"/>
            <w:hideMark/>
          </w:tcPr>
          <w:p w14:paraId="6DE136BE" w14:textId="77777777" w:rsidR="0096202A" w:rsidRPr="00943CCA" w:rsidRDefault="0096202A" w:rsidP="00F83658">
            <w:pPr>
              <w:jc w:val="center"/>
              <w:rPr>
                <w:color w:val="000000"/>
                <w:sz w:val="20"/>
                <w:szCs w:val="20"/>
              </w:rPr>
            </w:pPr>
            <w:r w:rsidRPr="00943CCA">
              <w:rPr>
                <w:color w:val="000000"/>
                <w:sz w:val="20"/>
                <w:szCs w:val="20"/>
              </w:rPr>
              <w:t>5</w:t>
            </w:r>
          </w:p>
        </w:tc>
        <w:tc>
          <w:tcPr>
            <w:tcW w:w="800" w:type="dxa"/>
            <w:tcBorders>
              <w:top w:val="nil"/>
              <w:left w:val="nil"/>
              <w:bottom w:val="nil"/>
              <w:right w:val="nil"/>
            </w:tcBorders>
            <w:shd w:val="clear" w:color="auto" w:fill="auto"/>
            <w:noWrap/>
            <w:vAlign w:val="bottom"/>
            <w:hideMark/>
          </w:tcPr>
          <w:p w14:paraId="73FE108E" w14:textId="77777777" w:rsidR="0096202A" w:rsidRPr="00943CCA" w:rsidRDefault="0096202A" w:rsidP="00F83658">
            <w:pPr>
              <w:jc w:val="center"/>
              <w:rPr>
                <w:color w:val="000000"/>
                <w:sz w:val="20"/>
                <w:szCs w:val="20"/>
              </w:rPr>
            </w:pPr>
            <w:r w:rsidRPr="00943CCA">
              <w:rPr>
                <w:color w:val="000000"/>
                <w:sz w:val="20"/>
                <w:szCs w:val="20"/>
              </w:rPr>
              <w:t>1</w:t>
            </w:r>
          </w:p>
        </w:tc>
        <w:tc>
          <w:tcPr>
            <w:tcW w:w="800" w:type="dxa"/>
            <w:tcBorders>
              <w:top w:val="nil"/>
              <w:left w:val="nil"/>
              <w:bottom w:val="nil"/>
              <w:right w:val="nil"/>
            </w:tcBorders>
            <w:shd w:val="clear" w:color="auto" w:fill="auto"/>
            <w:noWrap/>
            <w:vAlign w:val="bottom"/>
            <w:hideMark/>
          </w:tcPr>
          <w:p w14:paraId="74CE0966"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1F4B8AF6"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301ED16A" w14:textId="77777777" w:rsidR="0096202A" w:rsidRPr="00943CCA" w:rsidRDefault="0096202A" w:rsidP="00F83658">
            <w:pPr>
              <w:jc w:val="center"/>
              <w:rPr>
                <w:color w:val="000000"/>
                <w:sz w:val="20"/>
                <w:szCs w:val="20"/>
              </w:rPr>
            </w:pPr>
            <w:r w:rsidRPr="00943CCA">
              <w:rPr>
                <w:color w:val="000000"/>
                <w:sz w:val="20"/>
                <w:szCs w:val="20"/>
              </w:rPr>
              <w:t>1</w:t>
            </w:r>
          </w:p>
        </w:tc>
        <w:tc>
          <w:tcPr>
            <w:tcW w:w="800" w:type="dxa"/>
            <w:tcBorders>
              <w:top w:val="nil"/>
              <w:left w:val="nil"/>
              <w:bottom w:val="nil"/>
              <w:right w:val="nil"/>
            </w:tcBorders>
            <w:shd w:val="clear" w:color="auto" w:fill="auto"/>
            <w:noWrap/>
            <w:vAlign w:val="bottom"/>
            <w:hideMark/>
          </w:tcPr>
          <w:p w14:paraId="2954A561" w14:textId="77777777" w:rsidR="0096202A" w:rsidRPr="00943CCA" w:rsidRDefault="0096202A" w:rsidP="00F83658">
            <w:pPr>
              <w:jc w:val="center"/>
              <w:rPr>
                <w:color w:val="000000"/>
                <w:sz w:val="20"/>
                <w:szCs w:val="20"/>
              </w:rPr>
            </w:pPr>
            <w:r w:rsidRPr="00943CCA">
              <w:rPr>
                <w:color w:val="000000"/>
                <w:sz w:val="20"/>
                <w:szCs w:val="20"/>
              </w:rPr>
              <w:t>7</w:t>
            </w:r>
          </w:p>
        </w:tc>
        <w:tc>
          <w:tcPr>
            <w:tcW w:w="800" w:type="dxa"/>
            <w:tcBorders>
              <w:top w:val="nil"/>
              <w:left w:val="nil"/>
              <w:bottom w:val="nil"/>
              <w:right w:val="nil"/>
            </w:tcBorders>
            <w:shd w:val="clear" w:color="auto" w:fill="auto"/>
            <w:noWrap/>
            <w:vAlign w:val="bottom"/>
            <w:hideMark/>
          </w:tcPr>
          <w:p w14:paraId="2F5933DC"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0C274C8D" w14:textId="77777777" w:rsidR="0096202A" w:rsidRPr="00943CCA" w:rsidRDefault="0096202A" w:rsidP="00F83658">
            <w:pPr>
              <w:jc w:val="center"/>
              <w:rPr>
                <w:color w:val="000000"/>
                <w:sz w:val="20"/>
                <w:szCs w:val="20"/>
              </w:rPr>
            </w:pPr>
            <w:r w:rsidRPr="00943CCA">
              <w:rPr>
                <w:color w:val="000000"/>
                <w:sz w:val="20"/>
                <w:szCs w:val="20"/>
              </w:rPr>
              <w:t>1</w:t>
            </w:r>
          </w:p>
        </w:tc>
        <w:tc>
          <w:tcPr>
            <w:tcW w:w="800" w:type="dxa"/>
            <w:tcBorders>
              <w:top w:val="nil"/>
              <w:left w:val="nil"/>
              <w:bottom w:val="nil"/>
              <w:right w:val="nil"/>
            </w:tcBorders>
            <w:shd w:val="clear" w:color="auto" w:fill="auto"/>
            <w:noWrap/>
            <w:vAlign w:val="bottom"/>
            <w:hideMark/>
          </w:tcPr>
          <w:p w14:paraId="5AB07797" w14:textId="77777777" w:rsidR="0096202A" w:rsidRPr="00943CCA" w:rsidRDefault="0096202A" w:rsidP="00F83658">
            <w:pPr>
              <w:jc w:val="center"/>
              <w:rPr>
                <w:color w:val="000000"/>
                <w:sz w:val="20"/>
                <w:szCs w:val="20"/>
              </w:rPr>
            </w:pPr>
            <w:r w:rsidRPr="00943CCA">
              <w:rPr>
                <w:color w:val="000000"/>
                <w:sz w:val="20"/>
                <w:szCs w:val="20"/>
              </w:rPr>
              <w:t>7</w:t>
            </w:r>
          </w:p>
        </w:tc>
      </w:tr>
      <w:tr w:rsidR="0096202A" w:rsidRPr="00943CCA" w14:paraId="4A6298C8" w14:textId="77777777" w:rsidTr="00F83658">
        <w:trPr>
          <w:trHeight w:val="300"/>
          <w:jc w:val="center"/>
        </w:trPr>
        <w:tc>
          <w:tcPr>
            <w:tcW w:w="1200" w:type="dxa"/>
            <w:tcBorders>
              <w:top w:val="nil"/>
              <w:left w:val="nil"/>
              <w:bottom w:val="nil"/>
              <w:right w:val="nil"/>
            </w:tcBorders>
            <w:shd w:val="clear" w:color="auto" w:fill="auto"/>
            <w:noWrap/>
            <w:vAlign w:val="bottom"/>
            <w:hideMark/>
          </w:tcPr>
          <w:p w14:paraId="036C3E5D" w14:textId="77777777" w:rsidR="0096202A" w:rsidRPr="00943CCA" w:rsidRDefault="0096202A" w:rsidP="00F83658">
            <w:pPr>
              <w:rPr>
                <w:color w:val="000000"/>
                <w:sz w:val="20"/>
                <w:szCs w:val="20"/>
              </w:rPr>
            </w:pPr>
            <w:r w:rsidRPr="00943CCA">
              <w:rPr>
                <w:color w:val="000000"/>
                <w:sz w:val="20"/>
                <w:szCs w:val="20"/>
              </w:rPr>
              <w:t>3.0-6.99</w:t>
            </w:r>
          </w:p>
        </w:tc>
        <w:tc>
          <w:tcPr>
            <w:tcW w:w="800" w:type="dxa"/>
            <w:tcBorders>
              <w:top w:val="nil"/>
              <w:left w:val="nil"/>
              <w:bottom w:val="nil"/>
              <w:right w:val="nil"/>
            </w:tcBorders>
            <w:shd w:val="clear" w:color="auto" w:fill="auto"/>
            <w:noWrap/>
            <w:vAlign w:val="bottom"/>
            <w:hideMark/>
          </w:tcPr>
          <w:p w14:paraId="6AA119C0" w14:textId="77777777" w:rsidR="0096202A" w:rsidRPr="00943CCA" w:rsidRDefault="0096202A" w:rsidP="00F83658">
            <w:pPr>
              <w:jc w:val="center"/>
              <w:rPr>
                <w:color w:val="000000"/>
                <w:sz w:val="20"/>
                <w:szCs w:val="20"/>
              </w:rPr>
            </w:pPr>
            <w:r w:rsidRPr="00943CCA">
              <w:rPr>
                <w:color w:val="000000"/>
                <w:sz w:val="20"/>
                <w:szCs w:val="20"/>
              </w:rPr>
              <w:t>5</w:t>
            </w:r>
          </w:p>
        </w:tc>
        <w:tc>
          <w:tcPr>
            <w:tcW w:w="800" w:type="dxa"/>
            <w:tcBorders>
              <w:top w:val="nil"/>
              <w:left w:val="nil"/>
              <w:bottom w:val="nil"/>
              <w:right w:val="nil"/>
            </w:tcBorders>
            <w:shd w:val="clear" w:color="auto" w:fill="auto"/>
            <w:noWrap/>
            <w:vAlign w:val="bottom"/>
            <w:hideMark/>
          </w:tcPr>
          <w:p w14:paraId="4165BBC8" w14:textId="77777777" w:rsidR="0096202A" w:rsidRPr="00943CCA" w:rsidRDefault="0096202A" w:rsidP="00F83658">
            <w:pPr>
              <w:jc w:val="center"/>
              <w:rPr>
                <w:color w:val="000000"/>
                <w:sz w:val="20"/>
                <w:szCs w:val="20"/>
              </w:rPr>
            </w:pPr>
            <w:r w:rsidRPr="00943CCA">
              <w:rPr>
                <w:color w:val="000000"/>
                <w:sz w:val="20"/>
                <w:szCs w:val="20"/>
              </w:rPr>
              <w:t>9</w:t>
            </w:r>
          </w:p>
        </w:tc>
        <w:tc>
          <w:tcPr>
            <w:tcW w:w="800" w:type="dxa"/>
            <w:tcBorders>
              <w:top w:val="nil"/>
              <w:left w:val="nil"/>
              <w:bottom w:val="nil"/>
              <w:right w:val="nil"/>
            </w:tcBorders>
            <w:shd w:val="clear" w:color="auto" w:fill="auto"/>
            <w:noWrap/>
            <w:vAlign w:val="bottom"/>
            <w:hideMark/>
          </w:tcPr>
          <w:p w14:paraId="76E1CA1C" w14:textId="77777777" w:rsidR="0096202A" w:rsidRPr="00943CCA" w:rsidRDefault="0096202A" w:rsidP="00F83658">
            <w:pPr>
              <w:jc w:val="center"/>
              <w:rPr>
                <w:color w:val="000000"/>
                <w:sz w:val="20"/>
                <w:szCs w:val="20"/>
              </w:rPr>
            </w:pPr>
            <w:r w:rsidRPr="00943CCA">
              <w:rPr>
                <w:color w:val="000000"/>
                <w:sz w:val="20"/>
                <w:szCs w:val="20"/>
              </w:rPr>
              <w:t>14</w:t>
            </w:r>
          </w:p>
        </w:tc>
        <w:tc>
          <w:tcPr>
            <w:tcW w:w="800" w:type="dxa"/>
            <w:tcBorders>
              <w:top w:val="nil"/>
              <w:left w:val="nil"/>
              <w:bottom w:val="nil"/>
              <w:right w:val="nil"/>
            </w:tcBorders>
            <w:shd w:val="clear" w:color="auto" w:fill="auto"/>
            <w:noWrap/>
            <w:vAlign w:val="bottom"/>
            <w:hideMark/>
          </w:tcPr>
          <w:p w14:paraId="4F1387EF" w14:textId="77777777" w:rsidR="0096202A" w:rsidRPr="00943CCA" w:rsidRDefault="0096202A" w:rsidP="00F83658">
            <w:pPr>
              <w:jc w:val="center"/>
              <w:rPr>
                <w:color w:val="000000"/>
                <w:sz w:val="20"/>
                <w:szCs w:val="20"/>
              </w:rPr>
            </w:pPr>
            <w:r w:rsidRPr="00943CCA">
              <w:rPr>
                <w:color w:val="000000"/>
                <w:sz w:val="20"/>
                <w:szCs w:val="20"/>
              </w:rPr>
              <w:t>7</w:t>
            </w:r>
          </w:p>
        </w:tc>
        <w:tc>
          <w:tcPr>
            <w:tcW w:w="800" w:type="dxa"/>
            <w:tcBorders>
              <w:top w:val="nil"/>
              <w:left w:val="nil"/>
              <w:bottom w:val="nil"/>
              <w:right w:val="nil"/>
            </w:tcBorders>
            <w:shd w:val="clear" w:color="auto" w:fill="auto"/>
            <w:noWrap/>
            <w:vAlign w:val="bottom"/>
            <w:hideMark/>
          </w:tcPr>
          <w:p w14:paraId="3B52CE17" w14:textId="77777777" w:rsidR="0096202A" w:rsidRPr="00943CCA" w:rsidRDefault="0096202A" w:rsidP="00F83658">
            <w:pPr>
              <w:jc w:val="center"/>
              <w:rPr>
                <w:color w:val="000000"/>
                <w:sz w:val="20"/>
                <w:szCs w:val="20"/>
              </w:rPr>
            </w:pPr>
            <w:r w:rsidRPr="00943CCA">
              <w:rPr>
                <w:color w:val="000000"/>
                <w:sz w:val="20"/>
                <w:szCs w:val="20"/>
              </w:rPr>
              <w:t>10</w:t>
            </w:r>
          </w:p>
        </w:tc>
        <w:tc>
          <w:tcPr>
            <w:tcW w:w="800" w:type="dxa"/>
            <w:tcBorders>
              <w:top w:val="nil"/>
              <w:left w:val="nil"/>
              <w:bottom w:val="nil"/>
              <w:right w:val="nil"/>
            </w:tcBorders>
            <w:shd w:val="clear" w:color="auto" w:fill="auto"/>
            <w:noWrap/>
            <w:vAlign w:val="bottom"/>
            <w:hideMark/>
          </w:tcPr>
          <w:p w14:paraId="72B92244" w14:textId="77777777" w:rsidR="0096202A" w:rsidRPr="00943CCA" w:rsidRDefault="0096202A" w:rsidP="00F83658">
            <w:pPr>
              <w:jc w:val="center"/>
              <w:rPr>
                <w:color w:val="000000"/>
                <w:sz w:val="20"/>
                <w:szCs w:val="20"/>
              </w:rPr>
            </w:pPr>
            <w:r w:rsidRPr="00943CCA">
              <w:rPr>
                <w:color w:val="000000"/>
                <w:sz w:val="20"/>
                <w:szCs w:val="20"/>
              </w:rPr>
              <w:t>17</w:t>
            </w:r>
          </w:p>
        </w:tc>
        <w:tc>
          <w:tcPr>
            <w:tcW w:w="800" w:type="dxa"/>
            <w:tcBorders>
              <w:top w:val="nil"/>
              <w:left w:val="nil"/>
              <w:bottom w:val="nil"/>
              <w:right w:val="nil"/>
            </w:tcBorders>
            <w:shd w:val="clear" w:color="auto" w:fill="auto"/>
            <w:noWrap/>
            <w:vAlign w:val="bottom"/>
            <w:hideMark/>
          </w:tcPr>
          <w:p w14:paraId="436489B5" w14:textId="77777777" w:rsidR="0096202A" w:rsidRPr="00943CCA" w:rsidRDefault="0096202A" w:rsidP="00F83658">
            <w:pPr>
              <w:jc w:val="center"/>
              <w:rPr>
                <w:color w:val="000000"/>
                <w:sz w:val="20"/>
                <w:szCs w:val="20"/>
              </w:rPr>
            </w:pPr>
            <w:r w:rsidRPr="00943CCA">
              <w:rPr>
                <w:color w:val="000000"/>
                <w:sz w:val="20"/>
                <w:szCs w:val="20"/>
              </w:rPr>
              <w:t>7</w:t>
            </w:r>
          </w:p>
        </w:tc>
        <w:tc>
          <w:tcPr>
            <w:tcW w:w="800" w:type="dxa"/>
            <w:tcBorders>
              <w:top w:val="nil"/>
              <w:left w:val="nil"/>
              <w:bottom w:val="nil"/>
              <w:right w:val="nil"/>
            </w:tcBorders>
            <w:shd w:val="clear" w:color="auto" w:fill="auto"/>
            <w:noWrap/>
            <w:vAlign w:val="bottom"/>
            <w:hideMark/>
          </w:tcPr>
          <w:p w14:paraId="0303BA1A" w14:textId="77777777" w:rsidR="0096202A" w:rsidRPr="00943CCA" w:rsidRDefault="0096202A" w:rsidP="00F83658">
            <w:pPr>
              <w:jc w:val="center"/>
              <w:rPr>
                <w:color w:val="000000"/>
                <w:sz w:val="20"/>
                <w:szCs w:val="20"/>
              </w:rPr>
            </w:pPr>
            <w:r w:rsidRPr="00943CCA">
              <w:rPr>
                <w:color w:val="000000"/>
                <w:sz w:val="20"/>
                <w:szCs w:val="20"/>
              </w:rPr>
              <w:t>10</w:t>
            </w:r>
          </w:p>
        </w:tc>
        <w:tc>
          <w:tcPr>
            <w:tcW w:w="800" w:type="dxa"/>
            <w:tcBorders>
              <w:top w:val="nil"/>
              <w:left w:val="nil"/>
              <w:bottom w:val="nil"/>
              <w:right w:val="nil"/>
            </w:tcBorders>
            <w:shd w:val="clear" w:color="auto" w:fill="auto"/>
            <w:noWrap/>
            <w:vAlign w:val="bottom"/>
            <w:hideMark/>
          </w:tcPr>
          <w:p w14:paraId="410726A7" w14:textId="77777777" w:rsidR="0096202A" w:rsidRPr="00943CCA" w:rsidRDefault="0096202A" w:rsidP="00F83658">
            <w:pPr>
              <w:jc w:val="center"/>
              <w:rPr>
                <w:color w:val="000000"/>
                <w:sz w:val="20"/>
                <w:szCs w:val="20"/>
              </w:rPr>
            </w:pPr>
            <w:r w:rsidRPr="00943CCA">
              <w:rPr>
                <w:color w:val="000000"/>
                <w:sz w:val="20"/>
                <w:szCs w:val="20"/>
              </w:rPr>
              <w:t>17</w:t>
            </w:r>
          </w:p>
        </w:tc>
      </w:tr>
      <w:tr w:rsidR="0096202A" w:rsidRPr="00943CCA" w14:paraId="24D25DF1" w14:textId="77777777" w:rsidTr="00F83658">
        <w:trPr>
          <w:trHeight w:val="300"/>
          <w:jc w:val="center"/>
        </w:trPr>
        <w:tc>
          <w:tcPr>
            <w:tcW w:w="1200" w:type="dxa"/>
            <w:tcBorders>
              <w:top w:val="nil"/>
              <w:left w:val="nil"/>
              <w:bottom w:val="nil"/>
              <w:right w:val="nil"/>
            </w:tcBorders>
            <w:shd w:val="clear" w:color="auto" w:fill="auto"/>
            <w:noWrap/>
            <w:vAlign w:val="bottom"/>
            <w:hideMark/>
          </w:tcPr>
          <w:p w14:paraId="438BFF68" w14:textId="77777777" w:rsidR="0096202A" w:rsidRPr="00943CCA" w:rsidRDefault="0096202A" w:rsidP="00F83658">
            <w:pPr>
              <w:rPr>
                <w:color w:val="000000"/>
                <w:sz w:val="20"/>
                <w:szCs w:val="20"/>
              </w:rPr>
            </w:pPr>
            <w:r w:rsidRPr="00943CCA">
              <w:rPr>
                <w:color w:val="000000"/>
                <w:sz w:val="20"/>
                <w:szCs w:val="20"/>
              </w:rPr>
              <w:t>7.0-11.99</w:t>
            </w:r>
          </w:p>
        </w:tc>
        <w:tc>
          <w:tcPr>
            <w:tcW w:w="800" w:type="dxa"/>
            <w:tcBorders>
              <w:top w:val="nil"/>
              <w:left w:val="nil"/>
              <w:bottom w:val="nil"/>
              <w:right w:val="nil"/>
            </w:tcBorders>
            <w:shd w:val="clear" w:color="auto" w:fill="auto"/>
            <w:noWrap/>
            <w:vAlign w:val="bottom"/>
            <w:hideMark/>
          </w:tcPr>
          <w:p w14:paraId="6CD20EF2" w14:textId="77777777" w:rsidR="0096202A" w:rsidRPr="00943CCA" w:rsidRDefault="0096202A" w:rsidP="00F83658">
            <w:pPr>
              <w:jc w:val="center"/>
              <w:rPr>
                <w:color w:val="000000"/>
                <w:sz w:val="20"/>
                <w:szCs w:val="20"/>
              </w:rPr>
            </w:pPr>
            <w:r w:rsidRPr="00943CCA">
              <w:rPr>
                <w:color w:val="000000"/>
                <w:sz w:val="20"/>
                <w:szCs w:val="20"/>
              </w:rPr>
              <w:t>15</w:t>
            </w:r>
          </w:p>
        </w:tc>
        <w:tc>
          <w:tcPr>
            <w:tcW w:w="800" w:type="dxa"/>
            <w:tcBorders>
              <w:top w:val="nil"/>
              <w:left w:val="nil"/>
              <w:bottom w:val="nil"/>
              <w:right w:val="nil"/>
            </w:tcBorders>
            <w:shd w:val="clear" w:color="auto" w:fill="auto"/>
            <w:noWrap/>
            <w:vAlign w:val="bottom"/>
            <w:hideMark/>
          </w:tcPr>
          <w:p w14:paraId="519455C5" w14:textId="77777777" w:rsidR="0096202A" w:rsidRPr="00943CCA" w:rsidRDefault="0096202A" w:rsidP="00F83658">
            <w:pPr>
              <w:jc w:val="center"/>
              <w:rPr>
                <w:color w:val="000000"/>
                <w:sz w:val="20"/>
                <w:szCs w:val="20"/>
              </w:rPr>
            </w:pPr>
            <w:r w:rsidRPr="00943CCA">
              <w:rPr>
                <w:color w:val="000000"/>
                <w:sz w:val="20"/>
                <w:szCs w:val="20"/>
              </w:rPr>
              <w:t>1</w:t>
            </w:r>
          </w:p>
        </w:tc>
        <w:tc>
          <w:tcPr>
            <w:tcW w:w="800" w:type="dxa"/>
            <w:tcBorders>
              <w:top w:val="nil"/>
              <w:left w:val="nil"/>
              <w:bottom w:val="nil"/>
              <w:right w:val="nil"/>
            </w:tcBorders>
            <w:shd w:val="clear" w:color="auto" w:fill="auto"/>
            <w:noWrap/>
            <w:vAlign w:val="bottom"/>
            <w:hideMark/>
          </w:tcPr>
          <w:p w14:paraId="42AB4A25" w14:textId="77777777" w:rsidR="0096202A" w:rsidRPr="00943CCA" w:rsidRDefault="0096202A" w:rsidP="00F83658">
            <w:pPr>
              <w:jc w:val="center"/>
              <w:rPr>
                <w:color w:val="000000"/>
                <w:sz w:val="20"/>
                <w:szCs w:val="20"/>
              </w:rPr>
            </w:pPr>
            <w:r w:rsidRPr="00943CCA">
              <w:rPr>
                <w:color w:val="000000"/>
                <w:sz w:val="20"/>
                <w:szCs w:val="20"/>
              </w:rPr>
              <w:t>16</w:t>
            </w:r>
          </w:p>
        </w:tc>
        <w:tc>
          <w:tcPr>
            <w:tcW w:w="800" w:type="dxa"/>
            <w:tcBorders>
              <w:top w:val="nil"/>
              <w:left w:val="nil"/>
              <w:bottom w:val="nil"/>
              <w:right w:val="nil"/>
            </w:tcBorders>
            <w:shd w:val="clear" w:color="auto" w:fill="auto"/>
            <w:noWrap/>
            <w:vAlign w:val="bottom"/>
            <w:hideMark/>
          </w:tcPr>
          <w:p w14:paraId="404856A4" w14:textId="77777777" w:rsidR="0096202A" w:rsidRPr="00943CCA" w:rsidRDefault="0096202A" w:rsidP="00F83658">
            <w:pPr>
              <w:jc w:val="center"/>
              <w:rPr>
                <w:color w:val="000000"/>
                <w:sz w:val="20"/>
                <w:szCs w:val="20"/>
              </w:rPr>
            </w:pPr>
            <w:r w:rsidRPr="00943CCA">
              <w:rPr>
                <w:color w:val="000000"/>
                <w:sz w:val="20"/>
                <w:szCs w:val="20"/>
              </w:rPr>
              <w:t>14</w:t>
            </w:r>
          </w:p>
        </w:tc>
        <w:tc>
          <w:tcPr>
            <w:tcW w:w="800" w:type="dxa"/>
            <w:tcBorders>
              <w:top w:val="nil"/>
              <w:left w:val="nil"/>
              <w:bottom w:val="nil"/>
              <w:right w:val="nil"/>
            </w:tcBorders>
            <w:shd w:val="clear" w:color="auto" w:fill="auto"/>
            <w:noWrap/>
            <w:vAlign w:val="bottom"/>
            <w:hideMark/>
          </w:tcPr>
          <w:p w14:paraId="3230AC51" w14:textId="77777777" w:rsidR="0096202A" w:rsidRPr="00943CCA" w:rsidRDefault="0096202A" w:rsidP="00F83658">
            <w:pPr>
              <w:jc w:val="center"/>
              <w:rPr>
                <w:color w:val="000000"/>
                <w:sz w:val="20"/>
                <w:szCs w:val="20"/>
              </w:rPr>
            </w:pPr>
            <w:r w:rsidRPr="00943CCA">
              <w:rPr>
                <w:color w:val="000000"/>
                <w:sz w:val="20"/>
                <w:szCs w:val="20"/>
              </w:rPr>
              <w:t>2</w:t>
            </w:r>
          </w:p>
        </w:tc>
        <w:tc>
          <w:tcPr>
            <w:tcW w:w="800" w:type="dxa"/>
            <w:tcBorders>
              <w:top w:val="nil"/>
              <w:left w:val="nil"/>
              <w:bottom w:val="nil"/>
              <w:right w:val="nil"/>
            </w:tcBorders>
            <w:shd w:val="clear" w:color="auto" w:fill="auto"/>
            <w:noWrap/>
            <w:vAlign w:val="bottom"/>
            <w:hideMark/>
          </w:tcPr>
          <w:p w14:paraId="104F77FF" w14:textId="77777777" w:rsidR="0096202A" w:rsidRPr="00943CCA" w:rsidRDefault="0096202A" w:rsidP="00F83658">
            <w:pPr>
              <w:jc w:val="center"/>
              <w:rPr>
                <w:color w:val="000000"/>
                <w:sz w:val="20"/>
                <w:szCs w:val="20"/>
              </w:rPr>
            </w:pPr>
            <w:r w:rsidRPr="00943CCA">
              <w:rPr>
                <w:color w:val="000000"/>
                <w:sz w:val="20"/>
                <w:szCs w:val="20"/>
              </w:rPr>
              <w:t>16</w:t>
            </w:r>
          </w:p>
        </w:tc>
        <w:tc>
          <w:tcPr>
            <w:tcW w:w="800" w:type="dxa"/>
            <w:tcBorders>
              <w:top w:val="nil"/>
              <w:left w:val="nil"/>
              <w:bottom w:val="nil"/>
              <w:right w:val="nil"/>
            </w:tcBorders>
            <w:shd w:val="clear" w:color="auto" w:fill="auto"/>
            <w:noWrap/>
            <w:vAlign w:val="bottom"/>
            <w:hideMark/>
          </w:tcPr>
          <w:p w14:paraId="53BB1993" w14:textId="77777777" w:rsidR="0096202A" w:rsidRPr="00943CCA" w:rsidRDefault="0096202A" w:rsidP="00F83658">
            <w:pPr>
              <w:jc w:val="center"/>
              <w:rPr>
                <w:color w:val="000000"/>
                <w:sz w:val="20"/>
                <w:szCs w:val="20"/>
              </w:rPr>
            </w:pPr>
            <w:r w:rsidRPr="00943CCA">
              <w:rPr>
                <w:color w:val="000000"/>
                <w:sz w:val="20"/>
                <w:szCs w:val="20"/>
              </w:rPr>
              <w:t>17</w:t>
            </w:r>
          </w:p>
        </w:tc>
        <w:tc>
          <w:tcPr>
            <w:tcW w:w="800" w:type="dxa"/>
            <w:tcBorders>
              <w:top w:val="nil"/>
              <w:left w:val="nil"/>
              <w:bottom w:val="nil"/>
              <w:right w:val="nil"/>
            </w:tcBorders>
            <w:shd w:val="clear" w:color="auto" w:fill="auto"/>
            <w:noWrap/>
            <w:vAlign w:val="bottom"/>
            <w:hideMark/>
          </w:tcPr>
          <w:p w14:paraId="4BD0EF1F" w14:textId="77777777" w:rsidR="0096202A" w:rsidRPr="00943CCA" w:rsidRDefault="0096202A" w:rsidP="00F83658">
            <w:pPr>
              <w:jc w:val="center"/>
              <w:rPr>
                <w:color w:val="000000"/>
                <w:sz w:val="20"/>
                <w:szCs w:val="20"/>
              </w:rPr>
            </w:pPr>
            <w:r w:rsidRPr="00943CCA">
              <w:rPr>
                <w:color w:val="000000"/>
                <w:sz w:val="20"/>
                <w:szCs w:val="20"/>
              </w:rPr>
              <w:t>2</w:t>
            </w:r>
          </w:p>
        </w:tc>
        <w:tc>
          <w:tcPr>
            <w:tcW w:w="800" w:type="dxa"/>
            <w:tcBorders>
              <w:top w:val="nil"/>
              <w:left w:val="nil"/>
              <w:bottom w:val="nil"/>
              <w:right w:val="nil"/>
            </w:tcBorders>
            <w:shd w:val="clear" w:color="auto" w:fill="auto"/>
            <w:noWrap/>
            <w:vAlign w:val="bottom"/>
            <w:hideMark/>
          </w:tcPr>
          <w:p w14:paraId="2972667C" w14:textId="77777777" w:rsidR="0096202A" w:rsidRPr="00943CCA" w:rsidRDefault="0096202A" w:rsidP="00F83658">
            <w:pPr>
              <w:jc w:val="center"/>
              <w:rPr>
                <w:color w:val="000000"/>
                <w:sz w:val="20"/>
                <w:szCs w:val="20"/>
              </w:rPr>
            </w:pPr>
            <w:r w:rsidRPr="00943CCA">
              <w:rPr>
                <w:color w:val="000000"/>
                <w:sz w:val="20"/>
                <w:szCs w:val="20"/>
              </w:rPr>
              <w:t>19</w:t>
            </w:r>
          </w:p>
        </w:tc>
      </w:tr>
      <w:tr w:rsidR="0096202A" w:rsidRPr="00943CCA" w14:paraId="430C6955" w14:textId="77777777" w:rsidTr="00F83658">
        <w:trPr>
          <w:trHeight w:val="300"/>
          <w:jc w:val="center"/>
        </w:trPr>
        <w:tc>
          <w:tcPr>
            <w:tcW w:w="1200" w:type="dxa"/>
            <w:tcBorders>
              <w:top w:val="nil"/>
              <w:left w:val="nil"/>
              <w:bottom w:val="nil"/>
              <w:right w:val="nil"/>
            </w:tcBorders>
            <w:shd w:val="clear" w:color="auto" w:fill="auto"/>
            <w:noWrap/>
            <w:vAlign w:val="bottom"/>
            <w:hideMark/>
          </w:tcPr>
          <w:p w14:paraId="356AB78D" w14:textId="77777777" w:rsidR="0096202A" w:rsidRPr="00943CCA" w:rsidRDefault="0096202A" w:rsidP="00F83658">
            <w:pPr>
              <w:rPr>
                <w:color w:val="000000"/>
                <w:sz w:val="20"/>
                <w:szCs w:val="20"/>
              </w:rPr>
            </w:pPr>
            <w:r w:rsidRPr="00943CCA">
              <w:rPr>
                <w:color w:val="000000"/>
                <w:sz w:val="20"/>
                <w:szCs w:val="20"/>
              </w:rPr>
              <w:t>12.0-13.99</w:t>
            </w:r>
          </w:p>
        </w:tc>
        <w:tc>
          <w:tcPr>
            <w:tcW w:w="800" w:type="dxa"/>
            <w:tcBorders>
              <w:top w:val="nil"/>
              <w:left w:val="nil"/>
              <w:bottom w:val="nil"/>
              <w:right w:val="nil"/>
            </w:tcBorders>
            <w:shd w:val="clear" w:color="auto" w:fill="auto"/>
            <w:noWrap/>
            <w:vAlign w:val="bottom"/>
            <w:hideMark/>
          </w:tcPr>
          <w:p w14:paraId="5A105D42"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40D6A04B" w14:textId="77777777" w:rsidR="0096202A" w:rsidRPr="00943CCA" w:rsidRDefault="0096202A" w:rsidP="00F83658">
            <w:pPr>
              <w:jc w:val="center"/>
              <w:rPr>
                <w:color w:val="000000"/>
                <w:sz w:val="20"/>
                <w:szCs w:val="20"/>
              </w:rPr>
            </w:pPr>
            <w:r w:rsidRPr="00943CCA">
              <w:rPr>
                <w:color w:val="000000"/>
                <w:sz w:val="20"/>
                <w:szCs w:val="20"/>
              </w:rPr>
              <w:t>0</w:t>
            </w:r>
          </w:p>
        </w:tc>
        <w:tc>
          <w:tcPr>
            <w:tcW w:w="800" w:type="dxa"/>
            <w:tcBorders>
              <w:top w:val="nil"/>
              <w:left w:val="nil"/>
              <w:bottom w:val="nil"/>
              <w:right w:val="nil"/>
            </w:tcBorders>
            <w:shd w:val="clear" w:color="auto" w:fill="auto"/>
            <w:noWrap/>
            <w:vAlign w:val="bottom"/>
            <w:hideMark/>
          </w:tcPr>
          <w:p w14:paraId="04D025A1" w14:textId="77777777" w:rsidR="0096202A" w:rsidRPr="00943CCA" w:rsidRDefault="0096202A" w:rsidP="00F83658">
            <w:pPr>
              <w:jc w:val="center"/>
              <w:rPr>
                <w:color w:val="000000"/>
                <w:sz w:val="20"/>
                <w:szCs w:val="20"/>
              </w:rPr>
            </w:pPr>
            <w:r w:rsidRPr="00943CCA">
              <w:rPr>
                <w:color w:val="000000"/>
                <w:sz w:val="20"/>
                <w:szCs w:val="20"/>
              </w:rPr>
              <w:t>6</w:t>
            </w:r>
          </w:p>
        </w:tc>
        <w:tc>
          <w:tcPr>
            <w:tcW w:w="800" w:type="dxa"/>
            <w:tcBorders>
              <w:top w:val="nil"/>
              <w:left w:val="nil"/>
              <w:bottom w:val="nil"/>
              <w:right w:val="nil"/>
            </w:tcBorders>
            <w:shd w:val="clear" w:color="auto" w:fill="auto"/>
            <w:noWrap/>
            <w:vAlign w:val="bottom"/>
            <w:hideMark/>
          </w:tcPr>
          <w:p w14:paraId="404056CC" w14:textId="77777777" w:rsidR="0096202A" w:rsidRPr="00943CCA" w:rsidRDefault="0096202A" w:rsidP="00F83658">
            <w:pPr>
              <w:jc w:val="center"/>
              <w:rPr>
                <w:color w:val="000000"/>
                <w:sz w:val="20"/>
                <w:szCs w:val="20"/>
              </w:rPr>
            </w:pPr>
            <w:r w:rsidRPr="00943CCA">
              <w:rPr>
                <w:color w:val="000000"/>
                <w:sz w:val="20"/>
                <w:szCs w:val="20"/>
              </w:rPr>
              <w:t>7</w:t>
            </w:r>
          </w:p>
        </w:tc>
        <w:tc>
          <w:tcPr>
            <w:tcW w:w="800" w:type="dxa"/>
            <w:tcBorders>
              <w:top w:val="nil"/>
              <w:left w:val="nil"/>
              <w:bottom w:val="nil"/>
              <w:right w:val="nil"/>
            </w:tcBorders>
            <w:shd w:val="clear" w:color="auto" w:fill="auto"/>
            <w:noWrap/>
            <w:vAlign w:val="bottom"/>
            <w:hideMark/>
          </w:tcPr>
          <w:p w14:paraId="7F4EAA9F" w14:textId="77777777" w:rsidR="0096202A" w:rsidRPr="00943CCA" w:rsidRDefault="0096202A" w:rsidP="00F83658">
            <w:pPr>
              <w:jc w:val="center"/>
              <w:rPr>
                <w:color w:val="000000"/>
                <w:sz w:val="20"/>
                <w:szCs w:val="20"/>
              </w:rPr>
            </w:pPr>
            <w:r w:rsidRPr="00943CCA">
              <w:rPr>
                <w:color w:val="000000"/>
                <w:sz w:val="20"/>
                <w:szCs w:val="20"/>
              </w:rPr>
              <w:t>0</w:t>
            </w:r>
          </w:p>
        </w:tc>
        <w:tc>
          <w:tcPr>
            <w:tcW w:w="800" w:type="dxa"/>
            <w:tcBorders>
              <w:top w:val="nil"/>
              <w:left w:val="nil"/>
              <w:bottom w:val="nil"/>
              <w:right w:val="nil"/>
            </w:tcBorders>
            <w:shd w:val="clear" w:color="auto" w:fill="auto"/>
            <w:noWrap/>
            <w:vAlign w:val="bottom"/>
            <w:hideMark/>
          </w:tcPr>
          <w:p w14:paraId="07F47FCA" w14:textId="77777777" w:rsidR="0096202A" w:rsidRPr="00943CCA" w:rsidRDefault="0096202A" w:rsidP="00F83658">
            <w:pPr>
              <w:jc w:val="center"/>
              <w:rPr>
                <w:color w:val="000000"/>
                <w:sz w:val="20"/>
                <w:szCs w:val="20"/>
              </w:rPr>
            </w:pPr>
            <w:r w:rsidRPr="00943CCA">
              <w:rPr>
                <w:color w:val="000000"/>
                <w:sz w:val="20"/>
                <w:szCs w:val="20"/>
              </w:rPr>
              <w:t>7</w:t>
            </w:r>
          </w:p>
        </w:tc>
        <w:tc>
          <w:tcPr>
            <w:tcW w:w="800" w:type="dxa"/>
            <w:tcBorders>
              <w:top w:val="nil"/>
              <w:left w:val="nil"/>
              <w:bottom w:val="nil"/>
              <w:right w:val="nil"/>
            </w:tcBorders>
            <w:shd w:val="clear" w:color="auto" w:fill="auto"/>
            <w:noWrap/>
            <w:vAlign w:val="bottom"/>
            <w:hideMark/>
          </w:tcPr>
          <w:p w14:paraId="49D71CC2" w14:textId="77777777" w:rsidR="0096202A" w:rsidRPr="00943CCA" w:rsidRDefault="0096202A" w:rsidP="00F83658">
            <w:pPr>
              <w:jc w:val="center"/>
              <w:rPr>
                <w:color w:val="000000"/>
                <w:sz w:val="20"/>
                <w:szCs w:val="20"/>
              </w:rPr>
            </w:pPr>
            <w:r w:rsidRPr="00943CCA">
              <w:rPr>
                <w:color w:val="000000"/>
                <w:sz w:val="20"/>
                <w:szCs w:val="20"/>
              </w:rPr>
              <w:t>5</w:t>
            </w:r>
          </w:p>
        </w:tc>
        <w:tc>
          <w:tcPr>
            <w:tcW w:w="800" w:type="dxa"/>
            <w:tcBorders>
              <w:top w:val="nil"/>
              <w:left w:val="nil"/>
              <w:bottom w:val="nil"/>
              <w:right w:val="nil"/>
            </w:tcBorders>
            <w:shd w:val="clear" w:color="auto" w:fill="auto"/>
            <w:noWrap/>
            <w:vAlign w:val="bottom"/>
            <w:hideMark/>
          </w:tcPr>
          <w:p w14:paraId="5C77170A" w14:textId="77777777" w:rsidR="0096202A" w:rsidRPr="00943CCA" w:rsidRDefault="0096202A" w:rsidP="00F83658">
            <w:pPr>
              <w:jc w:val="center"/>
              <w:rPr>
                <w:color w:val="000000"/>
                <w:sz w:val="20"/>
                <w:szCs w:val="20"/>
              </w:rPr>
            </w:pPr>
            <w:r w:rsidRPr="00943CCA">
              <w:rPr>
                <w:color w:val="000000"/>
                <w:sz w:val="20"/>
                <w:szCs w:val="20"/>
              </w:rPr>
              <w:t>0</w:t>
            </w:r>
          </w:p>
        </w:tc>
        <w:tc>
          <w:tcPr>
            <w:tcW w:w="800" w:type="dxa"/>
            <w:tcBorders>
              <w:top w:val="nil"/>
              <w:left w:val="nil"/>
              <w:bottom w:val="nil"/>
              <w:right w:val="nil"/>
            </w:tcBorders>
            <w:shd w:val="clear" w:color="auto" w:fill="auto"/>
            <w:noWrap/>
            <w:vAlign w:val="bottom"/>
            <w:hideMark/>
          </w:tcPr>
          <w:p w14:paraId="5FBBCF4B" w14:textId="77777777" w:rsidR="0096202A" w:rsidRPr="00943CCA" w:rsidRDefault="0096202A" w:rsidP="00F83658">
            <w:pPr>
              <w:jc w:val="center"/>
              <w:rPr>
                <w:color w:val="000000"/>
                <w:sz w:val="20"/>
                <w:szCs w:val="20"/>
              </w:rPr>
            </w:pPr>
            <w:r w:rsidRPr="00943CCA">
              <w:rPr>
                <w:color w:val="000000"/>
                <w:sz w:val="20"/>
                <w:szCs w:val="20"/>
              </w:rPr>
              <w:t>5</w:t>
            </w:r>
          </w:p>
        </w:tc>
      </w:tr>
      <w:tr w:rsidR="0096202A" w:rsidRPr="00943CCA" w14:paraId="18023818" w14:textId="77777777" w:rsidTr="00F83658">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14:paraId="4E31A9BC" w14:textId="77777777" w:rsidR="0096202A" w:rsidRPr="00943CCA" w:rsidRDefault="0096202A" w:rsidP="00F83658">
            <w:pPr>
              <w:rPr>
                <w:color w:val="000000"/>
                <w:sz w:val="20"/>
                <w:szCs w:val="20"/>
              </w:rPr>
            </w:pPr>
            <w:r w:rsidRPr="00943CCA">
              <w:rPr>
                <w:color w:val="000000"/>
                <w:sz w:val="20"/>
                <w:szCs w:val="20"/>
              </w:rPr>
              <w:t>Total</w:t>
            </w:r>
          </w:p>
        </w:tc>
        <w:tc>
          <w:tcPr>
            <w:tcW w:w="800" w:type="dxa"/>
            <w:tcBorders>
              <w:top w:val="single" w:sz="4" w:space="0" w:color="auto"/>
              <w:left w:val="nil"/>
              <w:bottom w:val="single" w:sz="4" w:space="0" w:color="auto"/>
              <w:right w:val="nil"/>
            </w:tcBorders>
            <w:shd w:val="clear" w:color="auto" w:fill="auto"/>
            <w:noWrap/>
            <w:vAlign w:val="bottom"/>
            <w:hideMark/>
          </w:tcPr>
          <w:p w14:paraId="6249728D" w14:textId="77777777" w:rsidR="0096202A" w:rsidRPr="00943CCA" w:rsidRDefault="0096202A" w:rsidP="00F83658">
            <w:pPr>
              <w:jc w:val="center"/>
              <w:rPr>
                <w:color w:val="000000"/>
                <w:sz w:val="20"/>
                <w:szCs w:val="20"/>
              </w:rPr>
            </w:pPr>
            <w:r w:rsidRPr="00943CCA">
              <w:rPr>
                <w:color w:val="000000"/>
                <w:sz w:val="20"/>
                <w:szCs w:val="20"/>
              </w:rPr>
              <w:t>34</w:t>
            </w:r>
          </w:p>
        </w:tc>
        <w:tc>
          <w:tcPr>
            <w:tcW w:w="800" w:type="dxa"/>
            <w:tcBorders>
              <w:top w:val="single" w:sz="4" w:space="0" w:color="auto"/>
              <w:left w:val="nil"/>
              <w:bottom w:val="single" w:sz="4" w:space="0" w:color="auto"/>
              <w:right w:val="nil"/>
            </w:tcBorders>
            <w:shd w:val="clear" w:color="auto" w:fill="auto"/>
            <w:noWrap/>
            <w:vAlign w:val="bottom"/>
            <w:hideMark/>
          </w:tcPr>
          <w:p w14:paraId="36BC8296" w14:textId="77777777" w:rsidR="0096202A" w:rsidRPr="00943CCA" w:rsidRDefault="0096202A" w:rsidP="00F83658">
            <w:pPr>
              <w:jc w:val="center"/>
              <w:rPr>
                <w:color w:val="000000"/>
                <w:sz w:val="20"/>
                <w:szCs w:val="20"/>
              </w:rPr>
            </w:pPr>
            <w:r w:rsidRPr="00943CCA">
              <w:rPr>
                <w:color w:val="000000"/>
                <w:sz w:val="20"/>
                <w:szCs w:val="20"/>
              </w:rPr>
              <w:t>48</w:t>
            </w:r>
          </w:p>
        </w:tc>
        <w:tc>
          <w:tcPr>
            <w:tcW w:w="800" w:type="dxa"/>
            <w:tcBorders>
              <w:top w:val="single" w:sz="4" w:space="0" w:color="auto"/>
              <w:left w:val="nil"/>
              <w:bottom w:val="single" w:sz="4" w:space="0" w:color="auto"/>
              <w:right w:val="nil"/>
            </w:tcBorders>
            <w:shd w:val="clear" w:color="auto" w:fill="auto"/>
            <w:noWrap/>
            <w:vAlign w:val="bottom"/>
            <w:hideMark/>
          </w:tcPr>
          <w:p w14:paraId="78EA7587" w14:textId="77777777" w:rsidR="0096202A" w:rsidRPr="00943CCA" w:rsidRDefault="0096202A" w:rsidP="00F83658">
            <w:pPr>
              <w:jc w:val="center"/>
              <w:rPr>
                <w:color w:val="000000"/>
                <w:sz w:val="20"/>
                <w:szCs w:val="20"/>
              </w:rPr>
            </w:pPr>
            <w:r w:rsidRPr="00943CCA">
              <w:rPr>
                <w:color w:val="000000"/>
                <w:sz w:val="20"/>
                <w:szCs w:val="20"/>
              </w:rPr>
              <w:t>48</w:t>
            </w:r>
          </w:p>
        </w:tc>
        <w:tc>
          <w:tcPr>
            <w:tcW w:w="800" w:type="dxa"/>
            <w:tcBorders>
              <w:top w:val="single" w:sz="4" w:space="0" w:color="auto"/>
              <w:left w:val="nil"/>
              <w:bottom w:val="single" w:sz="4" w:space="0" w:color="auto"/>
              <w:right w:val="nil"/>
            </w:tcBorders>
            <w:shd w:val="clear" w:color="auto" w:fill="auto"/>
            <w:noWrap/>
            <w:vAlign w:val="bottom"/>
            <w:hideMark/>
          </w:tcPr>
          <w:p w14:paraId="55ABAF5B" w14:textId="77777777" w:rsidR="0096202A" w:rsidRPr="00943CCA" w:rsidRDefault="0096202A" w:rsidP="00F83658">
            <w:pPr>
              <w:jc w:val="center"/>
              <w:rPr>
                <w:color w:val="000000"/>
                <w:sz w:val="20"/>
                <w:szCs w:val="20"/>
              </w:rPr>
            </w:pPr>
            <w:r w:rsidRPr="00943CCA">
              <w:rPr>
                <w:color w:val="000000"/>
                <w:sz w:val="20"/>
                <w:szCs w:val="20"/>
              </w:rPr>
              <w:t>38</w:t>
            </w:r>
          </w:p>
        </w:tc>
        <w:tc>
          <w:tcPr>
            <w:tcW w:w="800" w:type="dxa"/>
            <w:tcBorders>
              <w:top w:val="single" w:sz="4" w:space="0" w:color="auto"/>
              <w:left w:val="nil"/>
              <w:bottom w:val="single" w:sz="4" w:space="0" w:color="auto"/>
              <w:right w:val="nil"/>
            </w:tcBorders>
            <w:shd w:val="clear" w:color="auto" w:fill="auto"/>
            <w:noWrap/>
            <w:vAlign w:val="bottom"/>
            <w:hideMark/>
          </w:tcPr>
          <w:p w14:paraId="367324E1" w14:textId="77777777" w:rsidR="0096202A" w:rsidRPr="00943CCA" w:rsidRDefault="0096202A" w:rsidP="00F83658">
            <w:pPr>
              <w:jc w:val="center"/>
              <w:rPr>
                <w:color w:val="000000"/>
                <w:sz w:val="20"/>
                <w:szCs w:val="20"/>
              </w:rPr>
            </w:pPr>
            <w:r w:rsidRPr="00943CCA">
              <w:rPr>
                <w:color w:val="000000"/>
                <w:sz w:val="20"/>
                <w:szCs w:val="20"/>
              </w:rPr>
              <w:t>18</w:t>
            </w:r>
          </w:p>
        </w:tc>
        <w:tc>
          <w:tcPr>
            <w:tcW w:w="800" w:type="dxa"/>
            <w:tcBorders>
              <w:top w:val="single" w:sz="4" w:space="0" w:color="auto"/>
              <w:left w:val="nil"/>
              <w:bottom w:val="single" w:sz="4" w:space="0" w:color="auto"/>
              <w:right w:val="nil"/>
            </w:tcBorders>
            <w:shd w:val="clear" w:color="auto" w:fill="auto"/>
            <w:noWrap/>
            <w:vAlign w:val="bottom"/>
            <w:hideMark/>
          </w:tcPr>
          <w:p w14:paraId="7A5A9803" w14:textId="77777777" w:rsidR="0096202A" w:rsidRPr="00943CCA" w:rsidRDefault="0096202A" w:rsidP="00F83658">
            <w:pPr>
              <w:jc w:val="center"/>
              <w:rPr>
                <w:color w:val="000000"/>
                <w:sz w:val="20"/>
                <w:szCs w:val="20"/>
              </w:rPr>
            </w:pPr>
            <w:r w:rsidRPr="00943CCA">
              <w:rPr>
                <w:color w:val="000000"/>
                <w:sz w:val="20"/>
                <w:szCs w:val="20"/>
              </w:rPr>
              <w:t>56</w:t>
            </w:r>
          </w:p>
        </w:tc>
        <w:tc>
          <w:tcPr>
            <w:tcW w:w="800" w:type="dxa"/>
            <w:tcBorders>
              <w:top w:val="single" w:sz="4" w:space="0" w:color="auto"/>
              <w:left w:val="nil"/>
              <w:bottom w:val="single" w:sz="4" w:space="0" w:color="auto"/>
              <w:right w:val="nil"/>
            </w:tcBorders>
            <w:shd w:val="clear" w:color="auto" w:fill="auto"/>
            <w:noWrap/>
            <w:vAlign w:val="bottom"/>
            <w:hideMark/>
          </w:tcPr>
          <w:p w14:paraId="0086A7DA" w14:textId="77777777" w:rsidR="0096202A" w:rsidRPr="00943CCA" w:rsidRDefault="0096202A" w:rsidP="00F83658">
            <w:pPr>
              <w:jc w:val="center"/>
              <w:rPr>
                <w:color w:val="000000"/>
                <w:sz w:val="20"/>
                <w:szCs w:val="20"/>
              </w:rPr>
            </w:pPr>
            <w:r w:rsidRPr="00943CCA">
              <w:rPr>
                <w:color w:val="000000"/>
                <w:sz w:val="20"/>
                <w:szCs w:val="20"/>
              </w:rPr>
              <w:t>38</w:t>
            </w:r>
          </w:p>
        </w:tc>
        <w:tc>
          <w:tcPr>
            <w:tcW w:w="800" w:type="dxa"/>
            <w:tcBorders>
              <w:top w:val="single" w:sz="4" w:space="0" w:color="auto"/>
              <w:left w:val="nil"/>
              <w:bottom w:val="single" w:sz="4" w:space="0" w:color="auto"/>
              <w:right w:val="nil"/>
            </w:tcBorders>
            <w:shd w:val="clear" w:color="auto" w:fill="auto"/>
            <w:noWrap/>
            <w:vAlign w:val="bottom"/>
            <w:hideMark/>
          </w:tcPr>
          <w:p w14:paraId="48E1F3F1" w14:textId="77777777" w:rsidR="0096202A" w:rsidRPr="00943CCA" w:rsidRDefault="0096202A" w:rsidP="00F83658">
            <w:pPr>
              <w:jc w:val="center"/>
              <w:rPr>
                <w:color w:val="000000"/>
                <w:sz w:val="20"/>
                <w:szCs w:val="20"/>
              </w:rPr>
            </w:pPr>
            <w:r w:rsidRPr="00943CCA">
              <w:rPr>
                <w:color w:val="000000"/>
                <w:sz w:val="20"/>
                <w:szCs w:val="20"/>
              </w:rPr>
              <w:t>16</w:t>
            </w:r>
          </w:p>
        </w:tc>
        <w:tc>
          <w:tcPr>
            <w:tcW w:w="800" w:type="dxa"/>
            <w:tcBorders>
              <w:top w:val="single" w:sz="4" w:space="0" w:color="auto"/>
              <w:left w:val="nil"/>
              <w:bottom w:val="single" w:sz="4" w:space="0" w:color="auto"/>
              <w:right w:val="nil"/>
            </w:tcBorders>
            <w:shd w:val="clear" w:color="auto" w:fill="auto"/>
            <w:noWrap/>
            <w:vAlign w:val="bottom"/>
            <w:hideMark/>
          </w:tcPr>
          <w:p w14:paraId="1F5842AA" w14:textId="77777777" w:rsidR="0096202A" w:rsidRPr="00943CCA" w:rsidRDefault="0096202A" w:rsidP="00F83658">
            <w:pPr>
              <w:jc w:val="center"/>
              <w:rPr>
                <w:color w:val="000000"/>
                <w:sz w:val="20"/>
                <w:szCs w:val="20"/>
              </w:rPr>
            </w:pPr>
            <w:r w:rsidRPr="00943CCA">
              <w:rPr>
                <w:color w:val="000000"/>
                <w:sz w:val="20"/>
                <w:szCs w:val="20"/>
              </w:rPr>
              <w:t>54</w:t>
            </w:r>
          </w:p>
        </w:tc>
      </w:tr>
    </w:tbl>
    <w:p w14:paraId="282EBD5F" w14:textId="77777777" w:rsidR="0096202A" w:rsidRPr="00943CCA" w:rsidRDefault="0096202A" w:rsidP="0096202A">
      <w:pPr>
        <w:rPr>
          <w:sz w:val="20"/>
          <w:szCs w:val="20"/>
        </w:rPr>
      </w:pPr>
    </w:p>
    <w:p w14:paraId="2423B862" w14:textId="77777777" w:rsidR="0096202A" w:rsidRPr="001C587B" w:rsidRDefault="0096202A" w:rsidP="0096202A">
      <w:pPr>
        <w:autoSpaceDE w:val="0"/>
        <w:autoSpaceDN w:val="0"/>
        <w:adjustRightInd w:val="0"/>
        <w:spacing w:line="480" w:lineRule="auto"/>
      </w:pPr>
    </w:p>
    <w:p w14:paraId="09655D66" w14:textId="77777777" w:rsidR="00246BC3" w:rsidRPr="001C587B" w:rsidRDefault="00246BC3" w:rsidP="001C587B">
      <w:pPr>
        <w:pStyle w:val="Style1"/>
        <w:rPr>
          <w:rStyle w:val="Emphasis"/>
          <w:i/>
          <w:iCs w:val="0"/>
        </w:rPr>
      </w:pPr>
      <w:bookmarkStart w:id="80" w:name="_Toc233171678"/>
      <w:r w:rsidRPr="001C587B">
        <w:rPr>
          <w:rStyle w:val="Emphasis"/>
          <w:i/>
          <w:iCs w:val="0"/>
        </w:rPr>
        <w:t>Histomorphological Measurements</w:t>
      </w:r>
      <w:bookmarkEnd w:id="80"/>
      <w:r w:rsidRPr="001C587B">
        <w:rPr>
          <w:rStyle w:val="Emphasis"/>
          <w:i/>
          <w:iCs w:val="0"/>
        </w:rPr>
        <w:t xml:space="preserve"> </w:t>
      </w:r>
    </w:p>
    <w:p w14:paraId="10BCC4B6" w14:textId="77777777" w:rsidR="003B2948" w:rsidRDefault="00246BC3" w:rsidP="003B2948">
      <w:pPr>
        <w:spacing w:line="480" w:lineRule="auto"/>
        <w:ind w:firstLine="720"/>
        <w:contextualSpacing/>
      </w:pPr>
      <w:r w:rsidRPr="00246BC3">
        <w:t xml:space="preserve">The histomorphological properties measured for this project are listed in Table </w:t>
      </w:r>
      <w:r w:rsidR="00FC3AB2">
        <w:t>6</w:t>
      </w:r>
      <w:r w:rsidRPr="00246BC3">
        <w:t>.</w:t>
      </w:r>
      <w:r w:rsidR="006A3BEE">
        <w:t xml:space="preserve"> </w:t>
      </w:r>
      <w:r w:rsidRPr="00246BC3">
        <w:t>These measurements were selected to best reflect microscopic bone mass and remodeling rates and their validity in representing histomorphological variation (Crowder, 2013).</w:t>
      </w:r>
      <w:r w:rsidR="006A3BEE">
        <w:t xml:space="preserve"> </w:t>
      </w:r>
      <w:r w:rsidR="00A724E7">
        <w:t>Some m</w:t>
      </w:r>
      <w:r w:rsidR="000B3CC2">
        <w:t xml:space="preserve">easurements </w:t>
      </w:r>
      <w:r w:rsidR="00A724E7">
        <w:t>frequently collected in histomorphometric studies</w:t>
      </w:r>
      <w:r w:rsidR="005023EB">
        <w:t xml:space="preserve"> to infer remodeling rates</w:t>
      </w:r>
      <w:r w:rsidR="00A724E7">
        <w:t xml:space="preserve">, </w:t>
      </w:r>
      <w:r w:rsidR="000B3CC2">
        <w:t xml:space="preserve">such as the number of </w:t>
      </w:r>
      <w:r w:rsidR="009C1A42">
        <w:t>certain osteon types (i.e., intact, fragmented, zonal, Type II)</w:t>
      </w:r>
      <w:r w:rsidR="0000290F">
        <w:t xml:space="preserve"> and osteon population density</w:t>
      </w:r>
      <w:r w:rsidR="00A724E7">
        <w:t>, were not analyzed</w:t>
      </w:r>
      <w:r w:rsidR="0000290F">
        <w:t xml:space="preserve"> </w:t>
      </w:r>
      <w:r w:rsidR="009C1A42">
        <w:t xml:space="preserve">here </w:t>
      </w:r>
      <w:r w:rsidR="00A724E7">
        <w:t xml:space="preserve">because </w:t>
      </w:r>
      <w:r w:rsidR="0096596C">
        <w:t>frequency data</w:t>
      </w:r>
      <w:r w:rsidR="0000290F">
        <w:t xml:space="preserve"> are likely to differ based on the amount of cortical bone present within the cross-section. </w:t>
      </w:r>
      <w:r w:rsidR="00A724E7">
        <w:t>U</w:t>
      </w:r>
      <w:r w:rsidR="006A1996">
        <w:t xml:space="preserve">tilization </w:t>
      </w:r>
      <w:r w:rsidR="00A724E7">
        <w:t xml:space="preserve">of such data </w:t>
      </w:r>
      <w:r w:rsidR="006A1996">
        <w:t>may lead to spurious results when</w:t>
      </w:r>
      <w:r w:rsidR="0096596C">
        <w:t xml:space="preserve"> compare</w:t>
      </w:r>
      <w:r w:rsidR="006A1996">
        <w:t>d</w:t>
      </w:r>
      <w:r w:rsidR="0096596C">
        <w:t xml:space="preserve"> across skeletal elements with different absolute and relative cortical areas</w:t>
      </w:r>
      <w:r w:rsidR="006C3134">
        <w:t xml:space="preserve"> </w:t>
      </w:r>
      <w:r w:rsidR="006A1996">
        <w:t xml:space="preserve">and between individuals of varying metabolic status. </w:t>
      </w:r>
      <w:r w:rsidR="00DF698C">
        <w:t>In this study,</w:t>
      </w:r>
      <w:r w:rsidR="0000290F">
        <w:t xml:space="preserve"> the average size and total area </w:t>
      </w:r>
      <w:r w:rsidR="00D10BC4">
        <w:t>of histological structures</w:t>
      </w:r>
      <w:r w:rsidR="00DF698C">
        <w:t xml:space="preserve"> are analyze</w:t>
      </w:r>
      <w:r w:rsidR="00D10BC4">
        <w:t xml:space="preserve">d relative to the area of bone investigated </w:t>
      </w:r>
      <w:r w:rsidR="0000290F">
        <w:t>to represent microscopic bone mass</w:t>
      </w:r>
      <w:r w:rsidR="006C3134">
        <w:t xml:space="preserve"> within each bone</w:t>
      </w:r>
      <w:r w:rsidR="00DF698C">
        <w:t xml:space="preserve">. </w:t>
      </w:r>
      <w:r w:rsidRPr="00246BC3">
        <w:t>All measurements were taken from the digital composite images of the histological sections, described above, using ImageJ software.</w:t>
      </w:r>
      <w:r w:rsidR="006A3BEE">
        <w:t xml:space="preserve"> </w:t>
      </w:r>
      <w:r w:rsidR="005E393A">
        <w:t xml:space="preserve">The entire bone cross-section was measured for rib sections; however, </w:t>
      </w:r>
      <w:r w:rsidRPr="00246BC3">
        <w:t xml:space="preserve">regions of interest were </w:t>
      </w:r>
      <w:r w:rsidRPr="00246BC3">
        <w:lastRenderedPageBreak/>
        <w:t>selected on humeri and femora to strategically sample specific locations in the cross-sections that correspond with axes of mechanical loading.</w:t>
      </w:r>
      <w:r w:rsidR="006A3BEE">
        <w:t xml:space="preserve"> </w:t>
      </w:r>
      <w:r w:rsidR="00B566F0">
        <w:t>T</w:t>
      </w:r>
      <w:r w:rsidRPr="00246BC3">
        <w:t xml:space="preserve">he specific methodology employed </w:t>
      </w:r>
      <w:r w:rsidR="00B566F0">
        <w:t xml:space="preserve">in analyzing the regions of interest </w:t>
      </w:r>
      <w:r w:rsidRPr="00246BC3">
        <w:t>is outlined below.</w:t>
      </w:r>
    </w:p>
    <w:p w14:paraId="34D32580" w14:textId="77777777" w:rsidR="003B2948" w:rsidRPr="00246BC3" w:rsidRDefault="003B2948" w:rsidP="005E393A">
      <w:pPr>
        <w:spacing w:line="480" w:lineRule="auto"/>
        <w:contextualSpacing/>
      </w:pPr>
    </w:p>
    <w:p w14:paraId="23527FDC" w14:textId="77777777" w:rsidR="00FD0C4C" w:rsidRDefault="00FD0C4C">
      <w:pPr>
        <w:rPr>
          <w:b/>
          <w:bCs/>
          <w:szCs w:val="20"/>
        </w:rPr>
      </w:pPr>
      <w:bookmarkStart w:id="81" w:name="_Toc233182901"/>
      <w:r>
        <w:br w:type="page"/>
      </w:r>
    </w:p>
    <w:p w14:paraId="2EFFE507" w14:textId="77777777" w:rsidR="00F932FA" w:rsidRDefault="00F932FA" w:rsidP="000E2F0F">
      <w:pPr>
        <w:pStyle w:val="Caption"/>
        <w:keepNext/>
        <w:jc w:val="center"/>
      </w:pPr>
      <w:r>
        <w:lastRenderedPageBreak/>
        <w:t xml:space="preserve">Table </w:t>
      </w:r>
      <w:fldSimple w:instr=" SEQ Table \* ARABIC ">
        <w:r w:rsidR="00054A3E">
          <w:rPr>
            <w:noProof/>
          </w:rPr>
          <w:t>6</w:t>
        </w:r>
      </w:fldSimple>
      <w:r>
        <w:t xml:space="preserve">. </w:t>
      </w:r>
      <w:r w:rsidR="00FC3AB2">
        <w:t>Histomorphometric</w:t>
      </w:r>
      <w:r w:rsidRPr="007A411C">
        <w:t xml:space="preserve"> measurements used to quantify microscopic bone mass</w:t>
      </w:r>
      <w:r>
        <w:t xml:space="preserve"> and remodeling.</w:t>
      </w:r>
      <w:bookmarkEnd w:id="81"/>
    </w:p>
    <w:p w14:paraId="2A0209AC" w14:textId="77777777" w:rsidR="00F932FA" w:rsidRPr="00A41BBF" w:rsidRDefault="00F932FA" w:rsidP="00F932FA"/>
    <w:tbl>
      <w:tblPr>
        <w:tblW w:w="8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8"/>
        <w:gridCol w:w="4467"/>
        <w:gridCol w:w="1704"/>
      </w:tblGrid>
      <w:tr w:rsidR="00FC3AB2" w:rsidRPr="000E2F0F" w14:paraId="53B7DF2E" w14:textId="77777777" w:rsidTr="00245770">
        <w:trPr>
          <w:trHeight w:val="297"/>
          <w:jc w:val="center"/>
        </w:trPr>
        <w:tc>
          <w:tcPr>
            <w:tcW w:w="1918" w:type="dxa"/>
            <w:tcBorders>
              <w:top w:val="single" w:sz="4" w:space="0" w:color="000000"/>
              <w:left w:val="nil"/>
              <w:bottom w:val="single" w:sz="4" w:space="0" w:color="000000"/>
              <w:right w:val="nil"/>
            </w:tcBorders>
          </w:tcPr>
          <w:p w14:paraId="2B39D3F1" w14:textId="77777777" w:rsidR="00FC3AB2" w:rsidRPr="00FD0C4C" w:rsidRDefault="00FC3AB2" w:rsidP="00F83658">
            <w:pPr>
              <w:rPr>
                <w:b/>
                <w:sz w:val="20"/>
                <w:szCs w:val="20"/>
              </w:rPr>
            </w:pPr>
            <w:r w:rsidRPr="00FD0C4C">
              <w:rPr>
                <w:b/>
                <w:sz w:val="20"/>
                <w:szCs w:val="20"/>
              </w:rPr>
              <w:t>Measurement</w:t>
            </w:r>
          </w:p>
        </w:tc>
        <w:tc>
          <w:tcPr>
            <w:tcW w:w="4467" w:type="dxa"/>
            <w:tcBorders>
              <w:top w:val="single" w:sz="4" w:space="0" w:color="000000"/>
              <w:left w:val="nil"/>
              <w:bottom w:val="single" w:sz="4" w:space="0" w:color="000000"/>
              <w:right w:val="nil"/>
            </w:tcBorders>
          </w:tcPr>
          <w:p w14:paraId="648490D3" w14:textId="77777777" w:rsidR="00FC3AB2" w:rsidRPr="00FD0C4C" w:rsidRDefault="00FC3AB2" w:rsidP="00F83658">
            <w:pPr>
              <w:rPr>
                <w:b/>
                <w:sz w:val="20"/>
                <w:szCs w:val="20"/>
              </w:rPr>
            </w:pPr>
            <w:r w:rsidRPr="00FD0C4C">
              <w:rPr>
                <w:b/>
                <w:sz w:val="20"/>
                <w:szCs w:val="20"/>
              </w:rPr>
              <w:t>Description</w:t>
            </w:r>
          </w:p>
        </w:tc>
        <w:tc>
          <w:tcPr>
            <w:tcW w:w="1704" w:type="dxa"/>
            <w:tcBorders>
              <w:top w:val="single" w:sz="4" w:space="0" w:color="000000"/>
              <w:left w:val="nil"/>
              <w:bottom w:val="single" w:sz="4" w:space="0" w:color="000000"/>
              <w:right w:val="nil"/>
            </w:tcBorders>
          </w:tcPr>
          <w:p w14:paraId="4CB4EB68" w14:textId="77777777" w:rsidR="00FC3AB2" w:rsidRPr="00FD0C4C" w:rsidRDefault="00FC3AB2" w:rsidP="00F83658">
            <w:pPr>
              <w:jc w:val="center"/>
              <w:rPr>
                <w:b/>
                <w:sz w:val="20"/>
                <w:szCs w:val="20"/>
              </w:rPr>
            </w:pPr>
            <w:r w:rsidRPr="00FD0C4C">
              <w:rPr>
                <w:b/>
                <w:sz w:val="20"/>
                <w:szCs w:val="20"/>
              </w:rPr>
              <w:t>Reference</w:t>
            </w:r>
          </w:p>
        </w:tc>
      </w:tr>
      <w:tr w:rsidR="00703223" w:rsidRPr="000E2F0F" w14:paraId="31BFE40E" w14:textId="77777777" w:rsidTr="00245770">
        <w:trPr>
          <w:trHeight w:val="575"/>
          <w:jc w:val="center"/>
        </w:trPr>
        <w:tc>
          <w:tcPr>
            <w:tcW w:w="1918" w:type="dxa"/>
            <w:tcBorders>
              <w:left w:val="nil"/>
              <w:right w:val="nil"/>
            </w:tcBorders>
          </w:tcPr>
          <w:p w14:paraId="4FF9BEDA" w14:textId="77777777" w:rsidR="00703223" w:rsidRPr="00FD0C4C" w:rsidRDefault="00703223" w:rsidP="00A724E7">
            <w:pPr>
              <w:rPr>
                <w:i/>
                <w:sz w:val="20"/>
                <w:szCs w:val="20"/>
              </w:rPr>
            </w:pPr>
            <w:r w:rsidRPr="00FD0C4C">
              <w:rPr>
                <w:i/>
                <w:sz w:val="20"/>
                <w:szCs w:val="20"/>
              </w:rPr>
              <w:t>Mean Intact Osteon Size (Avg On.Ar)</w:t>
            </w:r>
          </w:p>
        </w:tc>
        <w:tc>
          <w:tcPr>
            <w:tcW w:w="4467" w:type="dxa"/>
            <w:tcBorders>
              <w:left w:val="nil"/>
              <w:right w:val="nil"/>
            </w:tcBorders>
          </w:tcPr>
          <w:p w14:paraId="3B1B948D" w14:textId="77777777" w:rsidR="00703223" w:rsidRPr="00FD0C4C" w:rsidRDefault="00703223" w:rsidP="00703223">
            <w:pPr>
              <w:pStyle w:val="ColorfulList-Accent11"/>
              <w:ind w:left="0"/>
              <w:rPr>
                <w:rFonts w:ascii="Times New Roman" w:hAnsi="Times New Roman"/>
                <w:sz w:val="20"/>
                <w:szCs w:val="20"/>
              </w:rPr>
            </w:pPr>
            <w:r w:rsidRPr="00FD0C4C">
              <w:rPr>
                <w:rFonts w:ascii="Times New Roman" w:hAnsi="Times New Roman"/>
                <w:sz w:val="20"/>
                <w:szCs w:val="20"/>
              </w:rPr>
              <w:t xml:space="preserve">The average area of intact secondary osteons, excluding fragmented osteons. </w:t>
            </w:r>
          </w:p>
        </w:tc>
        <w:tc>
          <w:tcPr>
            <w:tcW w:w="1704" w:type="dxa"/>
            <w:tcBorders>
              <w:left w:val="nil"/>
              <w:right w:val="nil"/>
            </w:tcBorders>
          </w:tcPr>
          <w:p w14:paraId="2C1EB985" w14:textId="77777777" w:rsidR="00703223" w:rsidRPr="00FD0C4C" w:rsidRDefault="00703223" w:rsidP="000479B3">
            <w:pPr>
              <w:pStyle w:val="ColorfulList-Accent11"/>
              <w:ind w:left="0"/>
              <w:jc w:val="center"/>
              <w:rPr>
                <w:rFonts w:ascii="Times New Roman" w:hAnsi="Times New Roman"/>
                <w:sz w:val="20"/>
                <w:szCs w:val="20"/>
              </w:rPr>
            </w:pPr>
            <w:r w:rsidRPr="00FD0C4C">
              <w:rPr>
                <w:rFonts w:ascii="Times New Roman" w:hAnsi="Times New Roman"/>
                <w:sz w:val="20"/>
                <w:szCs w:val="20"/>
              </w:rPr>
              <w:t>Pfeiffer et al. (2006)</w:t>
            </w:r>
          </w:p>
        </w:tc>
      </w:tr>
      <w:tr w:rsidR="00FC3AB2" w:rsidRPr="000E2F0F" w14:paraId="49733FD1" w14:textId="77777777" w:rsidTr="00245770">
        <w:trPr>
          <w:trHeight w:val="575"/>
          <w:jc w:val="center"/>
        </w:trPr>
        <w:tc>
          <w:tcPr>
            <w:tcW w:w="1918" w:type="dxa"/>
            <w:tcBorders>
              <w:left w:val="nil"/>
              <w:right w:val="nil"/>
            </w:tcBorders>
          </w:tcPr>
          <w:p w14:paraId="299CC487" w14:textId="77777777" w:rsidR="00FC3AB2" w:rsidRPr="00FD0C4C" w:rsidRDefault="008834EA" w:rsidP="00A724E7">
            <w:pPr>
              <w:rPr>
                <w:i/>
                <w:sz w:val="20"/>
                <w:szCs w:val="20"/>
              </w:rPr>
            </w:pPr>
            <w:r w:rsidRPr="00FD0C4C">
              <w:rPr>
                <w:i/>
                <w:sz w:val="20"/>
                <w:szCs w:val="20"/>
              </w:rPr>
              <w:t xml:space="preserve">Mean </w:t>
            </w:r>
            <w:r w:rsidR="00FC3AB2" w:rsidRPr="00FD0C4C">
              <w:rPr>
                <w:i/>
                <w:sz w:val="20"/>
                <w:szCs w:val="20"/>
              </w:rPr>
              <w:t xml:space="preserve">Fragmented Osteon </w:t>
            </w:r>
            <w:r w:rsidR="00A724E7" w:rsidRPr="00FD0C4C">
              <w:rPr>
                <w:i/>
                <w:sz w:val="20"/>
                <w:szCs w:val="20"/>
              </w:rPr>
              <w:t xml:space="preserve">Size (Avg </w:t>
            </w:r>
            <w:r w:rsidR="00FC3AB2" w:rsidRPr="00FD0C4C">
              <w:rPr>
                <w:i/>
                <w:sz w:val="20"/>
                <w:szCs w:val="20"/>
              </w:rPr>
              <w:t>On.Fg)</w:t>
            </w:r>
          </w:p>
        </w:tc>
        <w:tc>
          <w:tcPr>
            <w:tcW w:w="4467" w:type="dxa"/>
            <w:tcBorders>
              <w:left w:val="nil"/>
              <w:right w:val="nil"/>
            </w:tcBorders>
          </w:tcPr>
          <w:p w14:paraId="7E2C47E8" w14:textId="77777777" w:rsidR="00FC3AB2" w:rsidRPr="00FD0C4C" w:rsidRDefault="00FC3AB2" w:rsidP="00703223">
            <w:pPr>
              <w:pStyle w:val="ColorfulList-Accent11"/>
              <w:autoSpaceDE w:val="0"/>
              <w:autoSpaceDN w:val="0"/>
              <w:adjustRightInd w:val="0"/>
              <w:spacing w:after="0" w:line="240" w:lineRule="auto"/>
              <w:ind w:left="0"/>
              <w:rPr>
                <w:rFonts w:ascii="Times New Roman" w:hAnsi="Times New Roman"/>
                <w:sz w:val="20"/>
                <w:szCs w:val="20"/>
              </w:rPr>
            </w:pPr>
            <w:r w:rsidRPr="00FD0C4C">
              <w:rPr>
                <w:rFonts w:ascii="Times New Roman" w:hAnsi="Times New Roman"/>
                <w:sz w:val="20"/>
                <w:szCs w:val="20"/>
              </w:rPr>
              <w:t xml:space="preserve">The </w:t>
            </w:r>
            <w:r w:rsidR="00A724E7" w:rsidRPr="00FD0C4C">
              <w:rPr>
                <w:rFonts w:ascii="Times New Roman" w:hAnsi="Times New Roman"/>
                <w:sz w:val="20"/>
                <w:szCs w:val="20"/>
              </w:rPr>
              <w:t xml:space="preserve">average </w:t>
            </w:r>
            <w:r w:rsidR="00703223" w:rsidRPr="00FD0C4C">
              <w:rPr>
                <w:rFonts w:ascii="Times New Roman" w:hAnsi="Times New Roman"/>
                <w:sz w:val="20"/>
                <w:szCs w:val="20"/>
              </w:rPr>
              <w:t>area</w:t>
            </w:r>
            <w:r w:rsidR="00A724E7" w:rsidRPr="00FD0C4C">
              <w:rPr>
                <w:rFonts w:ascii="Times New Roman" w:hAnsi="Times New Roman"/>
                <w:sz w:val="20"/>
                <w:szCs w:val="20"/>
              </w:rPr>
              <w:t xml:space="preserve"> of</w:t>
            </w:r>
            <w:r w:rsidRPr="00FD0C4C">
              <w:rPr>
                <w:rFonts w:ascii="Times New Roman" w:hAnsi="Times New Roman"/>
                <w:sz w:val="20"/>
                <w:szCs w:val="20"/>
              </w:rPr>
              <w:t xml:space="preserve"> osteons fragmented by the creation of additional osteons (less than 90% of the Haversian canal remains intact).</w:t>
            </w:r>
          </w:p>
        </w:tc>
        <w:tc>
          <w:tcPr>
            <w:tcW w:w="1704" w:type="dxa"/>
            <w:tcBorders>
              <w:left w:val="nil"/>
              <w:right w:val="nil"/>
            </w:tcBorders>
          </w:tcPr>
          <w:p w14:paraId="03CF7975" w14:textId="77777777" w:rsidR="00FC3AB2" w:rsidRPr="00FD0C4C" w:rsidRDefault="00FC3AB2" w:rsidP="000479B3">
            <w:pPr>
              <w:pStyle w:val="ColorfulList-Accent11"/>
              <w:autoSpaceDE w:val="0"/>
              <w:autoSpaceDN w:val="0"/>
              <w:adjustRightInd w:val="0"/>
              <w:spacing w:after="0" w:line="240" w:lineRule="auto"/>
              <w:ind w:left="0"/>
              <w:jc w:val="center"/>
              <w:rPr>
                <w:rFonts w:ascii="Times New Roman" w:hAnsi="Times New Roman"/>
                <w:sz w:val="20"/>
                <w:szCs w:val="20"/>
              </w:rPr>
            </w:pPr>
            <w:r w:rsidRPr="00FD0C4C">
              <w:rPr>
                <w:rFonts w:ascii="Times New Roman" w:hAnsi="Times New Roman"/>
                <w:sz w:val="20"/>
                <w:szCs w:val="20"/>
              </w:rPr>
              <w:t>Stout (1989)</w:t>
            </w:r>
          </w:p>
        </w:tc>
      </w:tr>
      <w:tr w:rsidR="008834EA" w:rsidRPr="000E2F0F" w14:paraId="79AA60EC" w14:textId="77777777" w:rsidTr="00245770">
        <w:trPr>
          <w:trHeight w:val="134"/>
          <w:jc w:val="center"/>
        </w:trPr>
        <w:tc>
          <w:tcPr>
            <w:tcW w:w="1918" w:type="dxa"/>
            <w:tcBorders>
              <w:left w:val="nil"/>
              <w:right w:val="nil"/>
            </w:tcBorders>
          </w:tcPr>
          <w:p w14:paraId="6564053F" w14:textId="77777777" w:rsidR="008834EA" w:rsidRPr="00FD0C4C" w:rsidRDefault="008834EA" w:rsidP="008834EA">
            <w:pPr>
              <w:autoSpaceDE w:val="0"/>
              <w:autoSpaceDN w:val="0"/>
              <w:adjustRightInd w:val="0"/>
              <w:rPr>
                <w:i/>
                <w:sz w:val="20"/>
                <w:szCs w:val="20"/>
              </w:rPr>
            </w:pPr>
            <w:r w:rsidRPr="00FD0C4C">
              <w:rPr>
                <w:i/>
                <w:sz w:val="20"/>
                <w:szCs w:val="20"/>
              </w:rPr>
              <w:t xml:space="preserve">Mean </w:t>
            </w:r>
            <w:r w:rsidR="00260FD2" w:rsidRPr="00FD0C4C">
              <w:rPr>
                <w:i/>
                <w:sz w:val="20"/>
                <w:szCs w:val="20"/>
              </w:rPr>
              <w:t xml:space="preserve">Haversian Canal </w:t>
            </w:r>
            <w:r w:rsidR="00703223" w:rsidRPr="00FD0C4C">
              <w:rPr>
                <w:i/>
                <w:sz w:val="20"/>
                <w:szCs w:val="20"/>
              </w:rPr>
              <w:t>Size</w:t>
            </w:r>
            <w:r w:rsidR="00260FD2" w:rsidRPr="00FD0C4C">
              <w:rPr>
                <w:i/>
                <w:sz w:val="20"/>
                <w:szCs w:val="20"/>
              </w:rPr>
              <w:t xml:space="preserve"> (Avg HC.Ar)</w:t>
            </w:r>
          </w:p>
          <w:p w14:paraId="492A374D" w14:textId="77777777" w:rsidR="008834EA" w:rsidRPr="00FD0C4C" w:rsidRDefault="008834EA" w:rsidP="008834EA">
            <w:pPr>
              <w:autoSpaceDE w:val="0"/>
              <w:autoSpaceDN w:val="0"/>
              <w:adjustRightInd w:val="0"/>
              <w:rPr>
                <w:i/>
                <w:sz w:val="20"/>
                <w:szCs w:val="20"/>
              </w:rPr>
            </w:pPr>
          </w:p>
        </w:tc>
        <w:tc>
          <w:tcPr>
            <w:tcW w:w="4467" w:type="dxa"/>
            <w:tcBorders>
              <w:left w:val="nil"/>
              <w:right w:val="nil"/>
            </w:tcBorders>
          </w:tcPr>
          <w:p w14:paraId="739850A6" w14:textId="77777777" w:rsidR="008834EA" w:rsidRPr="00FD0C4C" w:rsidRDefault="008834EA" w:rsidP="00260FD2">
            <w:pPr>
              <w:rPr>
                <w:sz w:val="20"/>
                <w:szCs w:val="20"/>
              </w:rPr>
            </w:pPr>
            <w:r w:rsidRPr="00FD0C4C">
              <w:rPr>
                <w:sz w:val="20"/>
                <w:szCs w:val="20"/>
              </w:rPr>
              <w:t xml:space="preserve">The average area of </w:t>
            </w:r>
            <w:r w:rsidR="00260FD2" w:rsidRPr="00FD0C4C">
              <w:rPr>
                <w:sz w:val="20"/>
                <w:szCs w:val="20"/>
              </w:rPr>
              <w:t>Haversian canals</w:t>
            </w:r>
            <w:r w:rsidRPr="00FD0C4C">
              <w:rPr>
                <w:sz w:val="20"/>
                <w:szCs w:val="20"/>
              </w:rPr>
              <w:t xml:space="preserve"> contained within intact osteons</w:t>
            </w:r>
            <w:r w:rsidR="00260FD2" w:rsidRPr="00FD0C4C">
              <w:rPr>
                <w:sz w:val="20"/>
                <w:szCs w:val="20"/>
              </w:rPr>
              <w:t>.</w:t>
            </w:r>
            <w:r w:rsidRPr="00FD0C4C">
              <w:rPr>
                <w:sz w:val="20"/>
                <w:szCs w:val="20"/>
              </w:rPr>
              <w:t xml:space="preserve"> </w:t>
            </w:r>
          </w:p>
        </w:tc>
        <w:tc>
          <w:tcPr>
            <w:tcW w:w="1704" w:type="dxa"/>
            <w:tcBorders>
              <w:left w:val="nil"/>
              <w:right w:val="nil"/>
            </w:tcBorders>
          </w:tcPr>
          <w:p w14:paraId="355ADBAE" w14:textId="77777777" w:rsidR="008834EA" w:rsidRPr="00FD0C4C" w:rsidRDefault="008834EA" w:rsidP="000479B3">
            <w:pPr>
              <w:jc w:val="center"/>
              <w:rPr>
                <w:sz w:val="20"/>
                <w:szCs w:val="20"/>
              </w:rPr>
            </w:pPr>
            <w:r w:rsidRPr="00FD0C4C">
              <w:rPr>
                <w:sz w:val="20"/>
                <w:szCs w:val="20"/>
              </w:rPr>
              <w:t>Pfeiffer et al. (2006)</w:t>
            </w:r>
          </w:p>
        </w:tc>
      </w:tr>
      <w:tr w:rsidR="00260FD2" w:rsidRPr="000E2F0F" w14:paraId="7085BCE8" w14:textId="77777777" w:rsidTr="00245770">
        <w:trPr>
          <w:trHeight w:val="134"/>
          <w:jc w:val="center"/>
        </w:trPr>
        <w:tc>
          <w:tcPr>
            <w:tcW w:w="1918" w:type="dxa"/>
            <w:tcBorders>
              <w:left w:val="nil"/>
              <w:right w:val="nil"/>
            </w:tcBorders>
          </w:tcPr>
          <w:p w14:paraId="18553F37" w14:textId="77777777" w:rsidR="00260FD2" w:rsidRPr="00FD0C4C" w:rsidRDefault="00260FD2" w:rsidP="000E2F0F">
            <w:pPr>
              <w:autoSpaceDE w:val="0"/>
              <w:autoSpaceDN w:val="0"/>
              <w:adjustRightInd w:val="0"/>
              <w:rPr>
                <w:i/>
                <w:sz w:val="20"/>
                <w:szCs w:val="20"/>
              </w:rPr>
            </w:pPr>
            <w:r w:rsidRPr="00FD0C4C">
              <w:rPr>
                <w:i/>
                <w:sz w:val="20"/>
                <w:szCs w:val="20"/>
              </w:rPr>
              <w:t xml:space="preserve">Mean Osteon Cortical </w:t>
            </w:r>
            <w:r w:rsidR="00703223" w:rsidRPr="00FD0C4C">
              <w:rPr>
                <w:i/>
                <w:sz w:val="20"/>
                <w:szCs w:val="20"/>
              </w:rPr>
              <w:t xml:space="preserve">Size </w:t>
            </w:r>
            <w:r w:rsidRPr="00FD0C4C">
              <w:rPr>
                <w:i/>
                <w:sz w:val="20"/>
                <w:szCs w:val="20"/>
              </w:rPr>
              <w:t>(Avg On.CAr)</w:t>
            </w:r>
          </w:p>
          <w:p w14:paraId="1966CFAA" w14:textId="77777777" w:rsidR="00260FD2" w:rsidRPr="00FD0C4C" w:rsidRDefault="00260FD2" w:rsidP="00F83658">
            <w:pPr>
              <w:autoSpaceDE w:val="0"/>
              <w:autoSpaceDN w:val="0"/>
              <w:adjustRightInd w:val="0"/>
              <w:rPr>
                <w:i/>
                <w:sz w:val="20"/>
                <w:szCs w:val="20"/>
              </w:rPr>
            </w:pPr>
          </w:p>
        </w:tc>
        <w:tc>
          <w:tcPr>
            <w:tcW w:w="4467" w:type="dxa"/>
            <w:tcBorders>
              <w:left w:val="nil"/>
              <w:right w:val="nil"/>
            </w:tcBorders>
          </w:tcPr>
          <w:p w14:paraId="18396675" w14:textId="0D821D9D" w:rsidR="00260FD2" w:rsidRPr="00FD0C4C" w:rsidRDefault="00260FD2" w:rsidP="00F83658">
            <w:pPr>
              <w:rPr>
                <w:sz w:val="20"/>
                <w:szCs w:val="20"/>
              </w:rPr>
            </w:pPr>
            <w:r w:rsidRPr="00FD0C4C">
              <w:rPr>
                <w:sz w:val="20"/>
                <w:szCs w:val="20"/>
              </w:rPr>
              <w:t>The average area of cortical bone contained within intact osteons (On.Ar-H</w:t>
            </w:r>
            <w:r w:rsidR="00C05913">
              <w:rPr>
                <w:sz w:val="20"/>
                <w:szCs w:val="20"/>
              </w:rPr>
              <w:t>C</w:t>
            </w:r>
            <w:r w:rsidRPr="00FD0C4C">
              <w:rPr>
                <w:sz w:val="20"/>
                <w:szCs w:val="20"/>
              </w:rPr>
              <w:t xml:space="preserve">.Ar). </w:t>
            </w:r>
          </w:p>
        </w:tc>
        <w:tc>
          <w:tcPr>
            <w:tcW w:w="1704" w:type="dxa"/>
            <w:tcBorders>
              <w:left w:val="nil"/>
              <w:right w:val="nil"/>
            </w:tcBorders>
          </w:tcPr>
          <w:p w14:paraId="6D1C44BB" w14:textId="77777777" w:rsidR="00260FD2" w:rsidRPr="00FD0C4C" w:rsidRDefault="00260FD2" w:rsidP="000479B3">
            <w:pPr>
              <w:jc w:val="center"/>
              <w:rPr>
                <w:sz w:val="20"/>
                <w:szCs w:val="20"/>
              </w:rPr>
            </w:pPr>
            <w:r w:rsidRPr="00FD0C4C">
              <w:rPr>
                <w:sz w:val="20"/>
                <w:szCs w:val="20"/>
              </w:rPr>
              <w:t>Pfeiffer et al. (2006)</w:t>
            </w:r>
          </w:p>
        </w:tc>
      </w:tr>
      <w:tr w:rsidR="00703223" w:rsidRPr="000E2F0F" w14:paraId="1EB8F727" w14:textId="77777777" w:rsidTr="00245770">
        <w:trPr>
          <w:trHeight w:val="134"/>
          <w:jc w:val="center"/>
        </w:trPr>
        <w:tc>
          <w:tcPr>
            <w:tcW w:w="1918" w:type="dxa"/>
            <w:tcBorders>
              <w:left w:val="nil"/>
              <w:bottom w:val="single" w:sz="4" w:space="0" w:color="000000"/>
              <w:right w:val="nil"/>
            </w:tcBorders>
          </w:tcPr>
          <w:p w14:paraId="55ACFD9A" w14:textId="77777777" w:rsidR="00703223" w:rsidRPr="00FD0C4C" w:rsidRDefault="00703223" w:rsidP="000E2F0F">
            <w:pPr>
              <w:autoSpaceDE w:val="0"/>
              <w:autoSpaceDN w:val="0"/>
              <w:adjustRightInd w:val="0"/>
              <w:rPr>
                <w:i/>
                <w:sz w:val="20"/>
                <w:szCs w:val="20"/>
              </w:rPr>
            </w:pPr>
            <w:r w:rsidRPr="00FD0C4C">
              <w:rPr>
                <w:i/>
                <w:sz w:val="20"/>
                <w:szCs w:val="20"/>
              </w:rPr>
              <w:t>Mean Resorption Space Size (Avg RS.Ar)</w:t>
            </w:r>
          </w:p>
          <w:p w14:paraId="6889D762" w14:textId="77777777" w:rsidR="00703223" w:rsidRPr="00FD0C4C" w:rsidRDefault="00703223" w:rsidP="00F83658">
            <w:pPr>
              <w:rPr>
                <w:i/>
                <w:sz w:val="20"/>
                <w:szCs w:val="20"/>
              </w:rPr>
            </w:pPr>
          </w:p>
        </w:tc>
        <w:tc>
          <w:tcPr>
            <w:tcW w:w="4467" w:type="dxa"/>
            <w:tcBorders>
              <w:left w:val="nil"/>
              <w:bottom w:val="single" w:sz="4" w:space="0" w:color="000000"/>
              <w:right w:val="nil"/>
            </w:tcBorders>
          </w:tcPr>
          <w:p w14:paraId="0B18ADA9" w14:textId="77777777" w:rsidR="00703223" w:rsidRPr="00FD0C4C" w:rsidRDefault="00703223" w:rsidP="00703223">
            <w:pPr>
              <w:pStyle w:val="ColorfulList-Accent11"/>
              <w:ind w:left="0"/>
              <w:rPr>
                <w:rFonts w:ascii="Times New Roman" w:hAnsi="Times New Roman"/>
                <w:sz w:val="20"/>
                <w:szCs w:val="20"/>
              </w:rPr>
            </w:pPr>
            <w:r w:rsidRPr="00FD0C4C">
              <w:rPr>
                <w:rFonts w:ascii="Times New Roman" w:hAnsi="Times New Roman"/>
                <w:sz w:val="20"/>
                <w:szCs w:val="20"/>
              </w:rPr>
              <w:t>The average area of resorption spaces.</w:t>
            </w:r>
          </w:p>
        </w:tc>
        <w:tc>
          <w:tcPr>
            <w:tcW w:w="1704" w:type="dxa"/>
            <w:tcBorders>
              <w:left w:val="nil"/>
              <w:bottom w:val="single" w:sz="4" w:space="0" w:color="000000"/>
              <w:right w:val="nil"/>
            </w:tcBorders>
          </w:tcPr>
          <w:p w14:paraId="4CCAE4D1" w14:textId="77777777" w:rsidR="00703223" w:rsidRPr="00FD0C4C" w:rsidRDefault="00703223" w:rsidP="000479B3">
            <w:pPr>
              <w:pStyle w:val="ColorfulList-Accent11"/>
              <w:ind w:left="0"/>
              <w:jc w:val="center"/>
              <w:rPr>
                <w:rFonts w:ascii="Times New Roman" w:hAnsi="Times New Roman"/>
                <w:sz w:val="20"/>
                <w:szCs w:val="20"/>
              </w:rPr>
            </w:pPr>
          </w:p>
        </w:tc>
      </w:tr>
      <w:tr w:rsidR="00703223" w:rsidRPr="000E2F0F" w14:paraId="64843A47" w14:textId="77777777" w:rsidTr="00245770">
        <w:trPr>
          <w:trHeight w:val="530"/>
          <w:jc w:val="center"/>
        </w:trPr>
        <w:tc>
          <w:tcPr>
            <w:tcW w:w="1918" w:type="dxa"/>
            <w:tcBorders>
              <w:top w:val="nil"/>
              <w:left w:val="nil"/>
              <w:right w:val="nil"/>
            </w:tcBorders>
          </w:tcPr>
          <w:p w14:paraId="38EE42C0" w14:textId="77777777" w:rsidR="00703223" w:rsidRPr="00FD0C4C" w:rsidRDefault="00703223" w:rsidP="00703223">
            <w:pPr>
              <w:autoSpaceDE w:val="0"/>
              <w:autoSpaceDN w:val="0"/>
              <w:adjustRightInd w:val="0"/>
              <w:rPr>
                <w:i/>
                <w:sz w:val="20"/>
                <w:szCs w:val="20"/>
              </w:rPr>
            </w:pPr>
            <w:r w:rsidRPr="00FD0C4C">
              <w:rPr>
                <w:i/>
                <w:sz w:val="20"/>
                <w:szCs w:val="20"/>
              </w:rPr>
              <w:t>Mean Pore Size (</w:t>
            </w:r>
            <w:r w:rsidR="005946AB" w:rsidRPr="00FD0C4C">
              <w:rPr>
                <w:i/>
                <w:sz w:val="20"/>
                <w:szCs w:val="20"/>
              </w:rPr>
              <w:t>Avg</w:t>
            </w:r>
            <w:r w:rsidRPr="00FD0C4C">
              <w:rPr>
                <w:i/>
                <w:sz w:val="20"/>
                <w:szCs w:val="20"/>
              </w:rPr>
              <w:t xml:space="preserve"> Por.Ar)</w:t>
            </w:r>
          </w:p>
        </w:tc>
        <w:tc>
          <w:tcPr>
            <w:tcW w:w="4467" w:type="dxa"/>
            <w:tcBorders>
              <w:top w:val="nil"/>
              <w:left w:val="nil"/>
              <w:right w:val="nil"/>
            </w:tcBorders>
          </w:tcPr>
          <w:p w14:paraId="27838057" w14:textId="77777777" w:rsidR="00703223" w:rsidRPr="00FD0C4C" w:rsidRDefault="00703223" w:rsidP="00703223">
            <w:pPr>
              <w:pStyle w:val="ColorfulList-Accent11"/>
              <w:autoSpaceDE w:val="0"/>
              <w:autoSpaceDN w:val="0"/>
              <w:adjustRightInd w:val="0"/>
              <w:spacing w:after="0" w:line="240" w:lineRule="auto"/>
              <w:ind w:left="0"/>
              <w:rPr>
                <w:rFonts w:ascii="Times New Roman" w:hAnsi="Times New Roman"/>
                <w:sz w:val="20"/>
                <w:szCs w:val="20"/>
                <w:lang w:bidi="ar-SA"/>
              </w:rPr>
            </w:pPr>
            <w:r w:rsidRPr="00FD0C4C">
              <w:rPr>
                <w:rFonts w:ascii="Times New Roman" w:hAnsi="Times New Roman"/>
                <w:sz w:val="20"/>
                <w:szCs w:val="20"/>
              </w:rPr>
              <w:t xml:space="preserve">The average area of porous structures (e.g., resorption spaces, Haversian canals) present within the cross-section. </w:t>
            </w:r>
          </w:p>
        </w:tc>
        <w:tc>
          <w:tcPr>
            <w:tcW w:w="1704" w:type="dxa"/>
            <w:tcBorders>
              <w:top w:val="nil"/>
              <w:left w:val="nil"/>
              <w:right w:val="nil"/>
            </w:tcBorders>
          </w:tcPr>
          <w:p w14:paraId="7ADF531B" w14:textId="77777777" w:rsidR="00703223" w:rsidRPr="00FD0C4C" w:rsidRDefault="00703223" w:rsidP="000479B3">
            <w:pPr>
              <w:pStyle w:val="ColorfulList-Accent11"/>
              <w:autoSpaceDE w:val="0"/>
              <w:autoSpaceDN w:val="0"/>
              <w:adjustRightInd w:val="0"/>
              <w:spacing w:after="0" w:line="240" w:lineRule="auto"/>
              <w:ind w:left="0"/>
              <w:jc w:val="center"/>
              <w:rPr>
                <w:rFonts w:ascii="Times New Roman" w:hAnsi="Times New Roman"/>
                <w:sz w:val="20"/>
                <w:szCs w:val="20"/>
              </w:rPr>
            </w:pPr>
            <w:r w:rsidRPr="00FD0C4C">
              <w:rPr>
                <w:rFonts w:ascii="Times New Roman" w:hAnsi="Times New Roman"/>
                <w:sz w:val="20"/>
                <w:szCs w:val="20"/>
              </w:rPr>
              <w:t>Streeter (2005)</w:t>
            </w:r>
          </w:p>
        </w:tc>
      </w:tr>
      <w:tr w:rsidR="005946AB" w:rsidRPr="000E2F0F" w14:paraId="0D99C3F1" w14:textId="77777777" w:rsidTr="00245770">
        <w:trPr>
          <w:trHeight w:val="548"/>
          <w:jc w:val="center"/>
        </w:trPr>
        <w:tc>
          <w:tcPr>
            <w:tcW w:w="1918" w:type="dxa"/>
            <w:tcBorders>
              <w:top w:val="nil"/>
              <w:left w:val="nil"/>
              <w:bottom w:val="single" w:sz="4" w:space="0" w:color="000000"/>
              <w:right w:val="nil"/>
            </w:tcBorders>
          </w:tcPr>
          <w:p w14:paraId="3FBC9F38" w14:textId="77777777" w:rsidR="005946AB" w:rsidRPr="00FD0C4C" w:rsidRDefault="005946AB" w:rsidP="005946AB">
            <w:pPr>
              <w:rPr>
                <w:sz w:val="20"/>
                <w:szCs w:val="20"/>
              </w:rPr>
            </w:pPr>
            <w:r w:rsidRPr="00FD0C4C">
              <w:rPr>
                <w:i/>
                <w:sz w:val="20"/>
                <w:szCs w:val="20"/>
              </w:rPr>
              <w:t>Intact Osteon Area (Total On.Ar)</w:t>
            </w:r>
          </w:p>
        </w:tc>
        <w:tc>
          <w:tcPr>
            <w:tcW w:w="4467" w:type="dxa"/>
            <w:tcBorders>
              <w:top w:val="nil"/>
              <w:left w:val="nil"/>
              <w:bottom w:val="single" w:sz="4" w:space="0" w:color="000000"/>
              <w:right w:val="nil"/>
            </w:tcBorders>
          </w:tcPr>
          <w:p w14:paraId="4234F0A0" w14:textId="77777777" w:rsidR="005946AB" w:rsidRPr="00FD0C4C" w:rsidRDefault="005946AB" w:rsidP="005946AB">
            <w:pPr>
              <w:pStyle w:val="ColorfulList-Accent11"/>
              <w:ind w:left="0"/>
              <w:rPr>
                <w:rFonts w:ascii="Times New Roman" w:hAnsi="Times New Roman"/>
                <w:sz w:val="20"/>
                <w:szCs w:val="20"/>
              </w:rPr>
            </w:pPr>
            <w:r w:rsidRPr="00FD0C4C">
              <w:rPr>
                <w:rFonts w:ascii="Times New Roman" w:hAnsi="Times New Roman"/>
                <w:sz w:val="20"/>
                <w:szCs w:val="20"/>
              </w:rPr>
              <w:t xml:space="preserve">The total area of intact secondary osteons, excluding fragmented osteons, within the cross-section. </w:t>
            </w:r>
          </w:p>
        </w:tc>
        <w:tc>
          <w:tcPr>
            <w:tcW w:w="1704" w:type="dxa"/>
            <w:tcBorders>
              <w:top w:val="nil"/>
              <w:left w:val="nil"/>
              <w:bottom w:val="single" w:sz="4" w:space="0" w:color="000000"/>
              <w:right w:val="nil"/>
            </w:tcBorders>
          </w:tcPr>
          <w:p w14:paraId="03FFF655" w14:textId="77777777" w:rsidR="005946AB" w:rsidRPr="00FD0C4C" w:rsidRDefault="005946AB" w:rsidP="000479B3">
            <w:pPr>
              <w:pStyle w:val="ColorfulList-Accent11"/>
              <w:ind w:left="0"/>
              <w:jc w:val="center"/>
              <w:rPr>
                <w:rFonts w:ascii="Times New Roman" w:hAnsi="Times New Roman"/>
                <w:sz w:val="20"/>
                <w:szCs w:val="20"/>
              </w:rPr>
            </w:pPr>
            <w:r w:rsidRPr="00FD0C4C">
              <w:rPr>
                <w:rFonts w:ascii="Times New Roman" w:hAnsi="Times New Roman"/>
                <w:sz w:val="20"/>
                <w:szCs w:val="20"/>
              </w:rPr>
              <w:t>Pfeiffer et al. (2006)</w:t>
            </w:r>
          </w:p>
        </w:tc>
      </w:tr>
      <w:tr w:rsidR="005946AB" w:rsidRPr="000E2F0F" w14:paraId="047773C7" w14:textId="77777777" w:rsidTr="00245770">
        <w:trPr>
          <w:trHeight w:val="134"/>
          <w:jc w:val="center"/>
        </w:trPr>
        <w:tc>
          <w:tcPr>
            <w:tcW w:w="1918" w:type="dxa"/>
            <w:tcBorders>
              <w:left w:val="nil"/>
              <w:bottom w:val="single" w:sz="4" w:space="0" w:color="000000"/>
              <w:right w:val="nil"/>
            </w:tcBorders>
          </w:tcPr>
          <w:p w14:paraId="5EFEBCB5" w14:textId="77777777" w:rsidR="005946AB" w:rsidRPr="00FD0C4C" w:rsidRDefault="005946AB" w:rsidP="005946AB">
            <w:pPr>
              <w:rPr>
                <w:sz w:val="20"/>
                <w:szCs w:val="20"/>
              </w:rPr>
            </w:pPr>
            <w:r w:rsidRPr="00FD0C4C">
              <w:rPr>
                <w:i/>
                <w:sz w:val="20"/>
                <w:szCs w:val="20"/>
              </w:rPr>
              <w:t>Fragmented Osteon Area (Total On.Fg)</w:t>
            </w:r>
          </w:p>
        </w:tc>
        <w:tc>
          <w:tcPr>
            <w:tcW w:w="4467" w:type="dxa"/>
            <w:tcBorders>
              <w:left w:val="nil"/>
              <w:bottom w:val="single" w:sz="4" w:space="0" w:color="000000"/>
              <w:right w:val="nil"/>
            </w:tcBorders>
          </w:tcPr>
          <w:p w14:paraId="6D9A4285" w14:textId="77777777" w:rsidR="005946AB" w:rsidRPr="00FD0C4C" w:rsidRDefault="005946AB" w:rsidP="005946AB">
            <w:pPr>
              <w:pStyle w:val="ColorfulList-Accent11"/>
              <w:ind w:left="0"/>
              <w:rPr>
                <w:rFonts w:ascii="Times New Roman" w:hAnsi="Times New Roman"/>
                <w:i/>
                <w:sz w:val="20"/>
                <w:szCs w:val="20"/>
              </w:rPr>
            </w:pPr>
            <w:r w:rsidRPr="00FD0C4C">
              <w:rPr>
                <w:rFonts w:ascii="Times New Roman" w:hAnsi="Times New Roman"/>
                <w:sz w:val="20"/>
                <w:szCs w:val="20"/>
              </w:rPr>
              <w:t>The total area of osteons fragmented by the creation of additional osteons (less than 90% of the Haversian canal remains intact) within the cross-section.</w:t>
            </w:r>
          </w:p>
        </w:tc>
        <w:tc>
          <w:tcPr>
            <w:tcW w:w="1704" w:type="dxa"/>
            <w:tcBorders>
              <w:left w:val="nil"/>
              <w:bottom w:val="single" w:sz="4" w:space="0" w:color="000000"/>
              <w:right w:val="nil"/>
            </w:tcBorders>
          </w:tcPr>
          <w:p w14:paraId="51F6CF31" w14:textId="77777777" w:rsidR="005946AB" w:rsidRPr="00FD0C4C" w:rsidRDefault="005946AB" w:rsidP="000479B3">
            <w:pPr>
              <w:pStyle w:val="ColorfulList-Accent11"/>
              <w:ind w:left="0"/>
              <w:jc w:val="center"/>
              <w:rPr>
                <w:rFonts w:ascii="Times New Roman" w:hAnsi="Times New Roman"/>
                <w:sz w:val="20"/>
                <w:szCs w:val="20"/>
              </w:rPr>
            </w:pPr>
            <w:r w:rsidRPr="00FD0C4C">
              <w:rPr>
                <w:rFonts w:ascii="Times New Roman" w:hAnsi="Times New Roman"/>
                <w:sz w:val="20"/>
                <w:szCs w:val="20"/>
              </w:rPr>
              <w:t>Stout (1989)</w:t>
            </w:r>
          </w:p>
        </w:tc>
      </w:tr>
      <w:tr w:rsidR="005946AB" w:rsidRPr="000E2F0F" w14:paraId="483BC5F9" w14:textId="77777777" w:rsidTr="00245770">
        <w:trPr>
          <w:trHeight w:val="134"/>
          <w:jc w:val="center"/>
        </w:trPr>
        <w:tc>
          <w:tcPr>
            <w:tcW w:w="1918" w:type="dxa"/>
            <w:tcBorders>
              <w:left w:val="nil"/>
              <w:right w:val="nil"/>
            </w:tcBorders>
          </w:tcPr>
          <w:p w14:paraId="75A15F20" w14:textId="77777777" w:rsidR="005946AB" w:rsidRPr="00FD0C4C" w:rsidRDefault="005946AB" w:rsidP="000E2F0F">
            <w:pPr>
              <w:autoSpaceDE w:val="0"/>
              <w:autoSpaceDN w:val="0"/>
              <w:adjustRightInd w:val="0"/>
              <w:rPr>
                <w:i/>
                <w:sz w:val="20"/>
                <w:szCs w:val="20"/>
              </w:rPr>
            </w:pPr>
            <w:r w:rsidRPr="00FD0C4C">
              <w:rPr>
                <w:i/>
                <w:sz w:val="20"/>
                <w:szCs w:val="20"/>
              </w:rPr>
              <w:t>Haversian Canal Area (Total HC.Ar)</w:t>
            </w:r>
          </w:p>
          <w:p w14:paraId="4ACB338E" w14:textId="77777777" w:rsidR="005946AB" w:rsidRPr="00FD0C4C" w:rsidRDefault="005946AB" w:rsidP="00F83658">
            <w:pPr>
              <w:autoSpaceDE w:val="0"/>
              <w:autoSpaceDN w:val="0"/>
              <w:adjustRightInd w:val="0"/>
              <w:rPr>
                <w:i/>
                <w:sz w:val="20"/>
                <w:szCs w:val="20"/>
              </w:rPr>
            </w:pPr>
          </w:p>
        </w:tc>
        <w:tc>
          <w:tcPr>
            <w:tcW w:w="4467" w:type="dxa"/>
            <w:tcBorders>
              <w:left w:val="nil"/>
              <w:right w:val="nil"/>
            </w:tcBorders>
          </w:tcPr>
          <w:p w14:paraId="70859BD6" w14:textId="77777777" w:rsidR="005946AB" w:rsidRPr="00FD0C4C" w:rsidRDefault="005946AB" w:rsidP="005946AB">
            <w:pPr>
              <w:rPr>
                <w:sz w:val="20"/>
                <w:szCs w:val="20"/>
              </w:rPr>
            </w:pPr>
            <w:r w:rsidRPr="00FD0C4C">
              <w:rPr>
                <w:sz w:val="20"/>
                <w:szCs w:val="20"/>
              </w:rPr>
              <w:t xml:space="preserve">The total area of Haversian canals contained within intact osteons within the cross-section. </w:t>
            </w:r>
          </w:p>
        </w:tc>
        <w:tc>
          <w:tcPr>
            <w:tcW w:w="1704" w:type="dxa"/>
            <w:tcBorders>
              <w:left w:val="nil"/>
              <w:right w:val="nil"/>
            </w:tcBorders>
          </w:tcPr>
          <w:p w14:paraId="50B844FF" w14:textId="77777777" w:rsidR="005946AB" w:rsidRPr="00FD0C4C" w:rsidRDefault="005946AB" w:rsidP="000479B3">
            <w:pPr>
              <w:jc w:val="center"/>
              <w:rPr>
                <w:sz w:val="20"/>
                <w:szCs w:val="20"/>
              </w:rPr>
            </w:pPr>
            <w:r w:rsidRPr="00FD0C4C">
              <w:rPr>
                <w:sz w:val="20"/>
                <w:szCs w:val="20"/>
              </w:rPr>
              <w:t>Pfeiffer et al. (2006)</w:t>
            </w:r>
          </w:p>
        </w:tc>
      </w:tr>
      <w:tr w:rsidR="005946AB" w:rsidRPr="000E2F0F" w14:paraId="4DE3AC14" w14:textId="77777777" w:rsidTr="00245770">
        <w:trPr>
          <w:trHeight w:val="134"/>
          <w:jc w:val="center"/>
        </w:trPr>
        <w:tc>
          <w:tcPr>
            <w:tcW w:w="1918" w:type="dxa"/>
            <w:tcBorders>
              <w:left w:val="nil"/>
              <w:right w:val="nil"/>
            </w:tcBorders>
          </w:tcPr>
          <w:p w14:paraId="3826CB68" w14:textId="77777777" w:rsidR="005946AB" w:rsidRPr="00FD0C4C" w:rsidRDefault="005946AB" w:rsidP="000E2F0F">
            <w:pPr>
              <w:autoSpaceDE w:val="0"/>
              <w:autoSpaceDN w:val="0"/>
              <w:adjustRightInd w:val="0"/>
              <w:rPr>
                <w:i/>
                <w:sz w:val="20"/>
                <w:szCs w:val="20"/>
              </w:rPr>
            </w:pPr>
            <w:r w:rsidRPr="00FD0C4C">
              <w:rPr>
                <w:i/>
                <w:sz w:val="20"/>
                <w:szCs w:val="20"/>
              </w:rPr>
              <w:t>Osteon Cortical Area (Total On.CAr)</w:t>
            </w:r>
          </w:p>
          <w:p w14:paraId="4356287A" w14:textId="77777777" w:rsidR="005946AB" w:rsidRPr="00FD0C4C" w:rsidRDefault="005946AB" w:rsidP="00F83658">
            <w:pPr>
              <w:autoSpaceDE w:val="0"/>
              <w:autoSpaceDN w:val="0"/>
              <w:adjustRightInd w:val="0"/>
              <w:rPr>
                <w:i/>
                <w:sz w:val="20"/>
                <w:szCs w:val="20"/>
              </w:rPr>
            </w:pPr>
          </w:p>
        </w:tc>
        <w:tc>
          <w:tcPr>
            <w:tcW w:w="4467" w:type="dxa"/>
            <w:tcBorders>
              <w:left w:val="nil"/>
              <w:right w:val="nil"/>
            </w:tcBorders>
          </w:tcPr>
          <w:p w14:paraId="5B5BA609" w14:textId="53B6C6BB" w:rsidR="005946AB" w:rsidRPr="00FD0C4C" w:rsidRDefault="005946AB" w:rsidP="005946AB">
            <w:pPr>
              <w:pStyle w:val="ColorfulList-Accent11"/>
              <w:autoSpaceDE w:val="0"/>
              <w:autoSpaceDN w:val="0"/>
              <w:adjustRightInd w:val="0"/>
              <w:spacing w:after="0" w:line="240" w:lineRule="auto"/>
              <w:ind w:left="0"/>
              <w:rPr>
                <w:rFonts w:ascii="Times New Roman" w:hAnsi="Times New Roman"/>
                <w:i/>
                <w:sz w:val="20"/>
                <w:szCs w:val="20"/>
              </w:rPr>
            </w:pPr>
            <w:r w:rsidRPr="00FD0C4C">
              <w:rPr>
                <w:rFonts w:ascii="Times New Roman" w:hAnsi="Times New Roman"/>
                <w:sz w:val="20"/>
                <w:szCs w:val="20"/>
              </w:rPr>
              <w:t>The total area of cortical bone contained within intact osteons (On.Ar-H</w:t>
            </w:r>
            <w:r w:rsidR="00C05913">
              <w:rPr>
                <w:rFonts w:ascii="Times New Roman" w:hAnsi="Times New Roman"/>
                <w:sz w:val="20"/>
                <w:szCs w:val="20"/>
              </w:rPr>
              <w:t>C</w:t>
            </w:r>
            <w:r w:rsidRPr="00FD0C4C">
              <w:rPr>
                <w:rFonts w:ascii="Times New Roman" w:hAnsi="Times New Roman"/>
                <w:sz w:val="20"/>
                <w:szCs w:val="20"/>
              </w:rPr>
              <w:t xml:space="preserve">.Ar) within the cross-section. </w:t>
            </w:r>
          </w:p>
        </w:tc>
        <w:tc>
          <w:tcPr>
            <w:tcW w:w="1704" w:type="dxa"/>
            <w:tcBorders>
              <w:left w:val="nil"/>
              <w:right w:val="nil"/>
            </w:tcBorders>
          </w:tcPr>
          <w:p w14:paraId="65FD9FAD" w14:textId="77777777" w:rsidR="005946AB" w:rsidRPr="00FD0C4C" w:rsidRDefault="005946AB" w:rsidP="000479B3">
            <w:pPr>
              <w:pStyle w:val="ColorfulList-Accent11"/>
              <w:autoSpaceDE w:val="0"/>
              <w:autoSpaceDN w:val="0"/>
              <w:adjustRightInd w:val="0"/>
              <w:spacing w:after="0" w:line="240" w:lineRule="auto"/>
              <w:ind w:left="0"/>
              <w:jc w:val="center"/>
              <w:rPr>
                <w:rFonts w:ascii="Times New Roman" w:hAnsi="Times New Roman"/>
                <w:sz w:val="20"/>
                <w:szCs w:val="20"/>
              </w:rPr>
            </w:pPr>
            <w:r w:rsidRPr="00FD0C4C">
              <w:rPr>
                <w:rFonts w:ascii="Times New Roman" w:hAnsi="Times New Roman"/>
                <w:sz w:val="20"/>
                <w:szCs w:val="20"/>
              </w:rPr>
              <w:t>Pfeiffer et al. (2006)</w:t>
            </w:r>
          </w:p>
        </w:tc>
      </w:tr>
      <w:tr w:rsidR="005946AB" w:rsidRPr="000E2F0F" w14:paraId="2719A300" w14:textId="77777777" w:rsidTr="00245770">
        <w:trPr>
          <w:trHeight w:val="134"/>
          <w:jc w:val="center"/>
        </w:trPr>
        <w:tc>
          <w:tcPr>
            <w:tcW w:w="1918" w:type="dxa"/>
            <w:tcBorders>
              <w:left w:val="nil"/>
              <w:bottom w:val="single" w:sz="4" w:space="0" w:color="000000"/>
              <w:right w:val="nil"/>
            </w:tcBorders>
          </w:tcPr>
          <w:p w14:paraId="324D5B40" w14:textId="77777777" w:rsidR="005946AB" w:rsidRPr="00FD0C4C" w:rsidRDefault="005946AB" w:rsidP="000E2F0F">
            <w:pPr>
              <w:autoSpaceDE w:val="0"/>
              <w:autoSpaceDN w:val="0"/>
              <w:adjustRightInd w:val="0"/>
              <w:rPr>
                <w:i/>
                <w:sz w:val="20"/>
                <w:szCs w:val="20"/>
              </w:rPr>
            </w:pPr>
            <w:r w:rsidRPr="00FD0C4C">
              <w:rPr>
                <w:i/>
                <w:sz w:val="20"/>
                <w:szCs w:val="20"/>
              </w:rPr>
              <w:t xml:space="preserve">Resorption Space </w:t>
            </w:r>
            <w:r w:rsidR="000E2F0F" w:rsidRPr="00FD0C4C">
              <w:rPr>
                <w:i/>
                <w:sz w:val="20"/>
                <w:szCs w:val="20"/>
              </w:rPr>
              <w:t>Area</w:t>
            </w:r>
            <w:r w:rsidRPr="00FD0C4C">
              <w:rPr>
                <w:i/>
                <w:sz w:val="20"/>
                <w:szCs w:val="20"/>
              </w:rPr>
              <w:t xml:space="preserve"> (Total RS.Ar)</w:t>
            </w:r>
          </w:p>
          <w:p w14:paraId="5CB273E0" w14:textId="77777777" w:rsidR="005946AB" w:rsidRPr="00FD0C4C" w:rsidRDefault="005946AB" w:rsidP="00F83658">
            <w:pPr>
              <w:autoSpaceDE w:val="0"/>
              <w:autoSpaceDN w:val="0"/>
              <w:adjustRightInd w:val="0"/>
              <w:rPr>
                <w:i/>
                <w:sz w:val="20"/>
                <w:szCs w:val="20"/>
              </w:rPr>
            </w:pPr>
          </w:p>
        </w:tc>
        <w:tc>
          <w:tcPr>
            <w:tcW w:w="4467" w:type="dxa"/>
            <w:tcBorders>
              <w:left w:val="nil"/>
              <w:bottom w:val="single" w:sz="4" w:space="0" w:color="000000"/>
              <w:right w:val="nil"/>
            </w:tcBorders>
          </w:tcPr>
          <w:p w14:paraId="4514391C" w14:textId="77777777" w:rsidR="005946AB" w:rsidRPr="00FD0C4C" w:rsidRDefault="005946AB" w:rsidP="005946AB">
            <w:pPr>
              <w:rPr>
                <w:sz w:val="20"/>
                <w:szCs w:val="20"/>
              </w:rPr>
            </w:pPr>
            <w:r w:rsidRPr="00FD0C4C">
              <w:rPr>
                <w:sz w:val="20"/>
                <w:szCs w:val="20"/>
              </w:rPr>
              <w:t>The total area of resorption spaces within the cross-section.</w:t>
            </w:r>
          </w:p>
        </w:tc>
        <w:tc>
          <w:tcPr>
            <w:tcW w:w="1704" w:type="dxa"/>
            <w:tcBorders>
              <w:left w:val="nil"/>
              <w:bottom w:val="single" w:sz="4" w:space="0" w:color="000000"/>
              <w:right w:val="nil"/>
            </w:tcBorders>
          </w:tcPr>
          <w:p w14:paraId="33DFADC1" w14:textId="77777777" w:rsidR="005946AB" w:rsidRPr="00FD0C4C" w:rsidRDefault="005946AB" w:rsidP="000479B3">
            <w:pPr>
              <w:jc w:val="center"/>
              <w:rPr>
                <w:sz w:val="20"/>
                <w:szCs w:val="20"/>
              </w:rPr>
            </w:pPr>
          </w:p>
        </w:tc>
      </w:tr>
      <w:tr w:rsidR="005946AB" w:rsidRPr="000E2F0F" w14:paraId="79A0ADD3" w14:textId="77777777" w:rsidTr="00245770">
        <w:trPr>
          <w:trHeight w:val="83"/>
          <w:jc w:val="center"/>
        </w:trPr>
        <w:tc>
          <w:tcPr>
            <w:tcW w:w="1918" w:type="dxa"/>
            <w:tcBorders>
              <w:left w:val="nil"/>
              <w:right w:val="nil"/>
            </w:tcBorders>
          </w:tcPr>
          <w:p w14:paraId="1D8F0155" w14:textId="77777777" w:rsidR="005946AB" w:rsidRPr="00FD0C4C" w:rsidRDefault="005946AB" w:rsidP="005946AB">
            <w:pPr>
              <w:autoSpaceDE w:val="0"/>
              <w:autoSpaceDN w:val="0"/>
              <w:adjustRightInd w:val="0"/>
              <w:rPr>
                <w:i/>
                <w:sz w:val="20"/>
                <w:szCs w:val="20"/>
              </w:rPr>
            </w:pPr>
            <w:r w:rsidRPr="00FD0C4C">
              <w:rPr>
                <w:i/>
                <w:sz w:val="20"/>
                <w:szCs w:val="20"/>
              </w:rPr>
              <w:t>Porosity (Total Por.Ar)</w:t>
            </w:r>
          </w:p>
        </w:tc>
        <w:tc>
          <w:tcPr>
            <w:tcW w:w="4467" w:type="dxa"/>
            <w:tcBorders>
              <w:left w:val="nil"/>
              <w:right w:val="nil"/>
            </w:tcBorders>
          </w:tcPr>
          <w:p w14:paraId="1232D48D" w14:textId="77777777" w:rsidR="005946AB" w:rsidRPr="00FD0C4C" w:rsidRDefault="005946AB" w:rsidP="005946AB">
            <w:pPr>
              <w:rPr>
                <w:sz w:val="20"/>
                <w:szCs w:val="20"/>
              </w:rPr>
            </w:pPr>
            <w:r w:rsidRPr="00FD0C4C">
              <w:rPr>
                <w:sz w:val="20"/>
                <w:szCs w:val="20"/>
              </w:rPr>
              <w:t xml:space="preserve">The total area of porous structures (e.g., resorption spaces, Haversian canals) present within the cross-section. </w:t>
            </w:r>
          </w:p>
        </w:tc>
        <w:tc>
          <w:tcPr>
            <w:tcW w:w="1704" w:type="dxa"/>
            <w:tcBorders>
              <w:left w:val="nil"/>
              <w:right w:val="nil"/>
            </w:tcBorders>
          </w:tcPr>
          <w:p w14:paraId="4310E151" w14:textId="77777777" w:rsidR="005946AB" w:rsidRPr="00FD0C4C" w:rsidRDefault="005946AB" w:rsidP="000479B3">
            <w:pPr>
              <w:jc w:val="center"/>
              <w:rPr>
                <w:sz w:val="20"/>
                <w:szCs w:val="20"/>
              </w:rPr>
            </w:pPr>
            <w:r w:rsidRPr="00FD0C4C">
              <w:rPr>
                <w:sz w:val="20"/>
                <w:szCs w:val="20"/>
              </w:rPr>
              <w:t>Streeter (2005)</w:t>
            </w:r>
          </w:p>
        </w:tc>
      </w:tr>
      <w:tr w:rsidR="00A724E7" w:rsidRPr="000E2F0F" w14:paraId="15B214F7" w14:textId="77777777" w:rsidTr="00245770">
        <w:trPr>
          <w:trHeight w:val="83"/>
          <w:jc w:val="center"/>
        </w:trPr>
        <w:tc>
          <w:tcPr>
            <w:tcW w:w="1918" w:type="dxa"/>
            <w:tcBorders>
              <w:left w:val="nil"/>
              <w:bottom w:val="single" w:sz="4" w:space="0" w:color="000000"/>
              <w:right w:val="nil"/>
            </w:tcBorders>
          </w:tcPr>
          <w:p w14:paraId="243969D8" w14:textId="77777777" w:rsidR="00A724E7" w:rsidRPr="00FD0C4C" w:rsidRDefault="00A724E7" w:rsidP="00F83658">
            <w:pPr>
              <w:autoSpaceDE w:val="0"/>
              <w:autoSpaceDN w:val="0"/>
              <w:adjustRightInd w:val="0"/>
              <w:rPr>
                <w:i/>
                <w:sz w:val="20"/>
                <w:szCs w:val="20"/>
              </w:rPr>
            </w:pPr>
            <w:r w:rsidRPr="00FD0C4C">
              <w:rPr>
                <w:i/>
                <w:sz w:val="20"/>
                <w:szCs w:val="20"/>
              </w:rPr>
              <w:t>Osteonal Bone Area (Total On.B.Ar)</w:t>
            </w:r>
          </w:p>
        </w:tc>
        <w:tc>
          <w:tcPr>
            <w:tcW w:w="4467" w:type="dxa"/>
            <w:tcBorders>
              <w:left w:val="nil"/>
              <w:bottom w:val="single" w:sz="4" w:space="0" w:color="000000"/>
              <w:right w:val="nil"/>
            </w:tcBorders>
          </w:tcPr>
          <w:p w14:paraId="499E566A" w14:textId="77777777" w:rsidR="00A724E7" w:rsidRPr="00FD0C4C" w:rsidRDefault="00A724E7" w:rsidP="00F83658">
            <w:pPr>
              <w:rPr>
                <w:sz w:val="20"/>
                <w:szCs w:val="20"/>
              </w:rPr>
            </w:pPr>
            <w:r w:rsidRPr="00FD0C4C">
              <w:rPr>
                <w:sz w:val="20"/>
                <w:szCs w:val="20"/>
              </w:rPr>
              <w:t>The total area of osteonal bone, including intact and fragmented osteons (Total On.Ar + Total On.Fg.Ar)</w:t>
            </w:r>
          </w:p>
        </w:tc>
        <w:tc>
          <w:tcPr>
            <w:tcW w:w="1704" w:type="dxa"/>
            <w:tcBorders>
              <w:left w:val="nil"/>
              <w:bottom w:val="single" w:sz="4" w:space="0" w:color="000000"/>
              <w:right w:val="nil"/>
            </w:tcBorders>
          </w:tcPr>
          <w:p w14:paraId="5A65FD45" w14:textId="77777777" w:rsidR="00A724E7" w:rsidRPr="00FD0C4C" w:rsidRDefault="00FB4751" w:rsidP="000479B3">
            <w:pPr>
              <w:jc w:val="center"/>
              <w:rPr>
                <w:sz w:val="20"/>
                <w:szCs w:val="20"/>
              </w:rPr>
            </w:pPr>
            <w:r w:rsidRPr="00FD0C4C">
              <w:rPr>
                <w:sz w:val="20"/>
                <w:szCs w:val="20"/>
              </w:rPr>
              <w:t>Ahlqvist and Damsten (1969)</w:t>
            </w:r>
          </w:p>
        </w:tc>
      </w:tr>
    </w:tbl>
    <w:p w14:paraId="6BDAF37C" w14:textId="77777777" w:rsidR="00F932FA" w:rsidRDefault="00F932FA" w:rsidP="00F932FA"/>
    <w:p w14:paraId="49BBDF3F" w14:textId="77777777" w:rsidR="00246BC3" w:rsidRPr="00246BC3" w:rsidRDefault="00246BC3" w:rsidP="00F932FA">
      <w:pPr>
        <w:spacing w:line="480" w:lineRule="auto"/>
        <w:contextualSpacing/>
      </w:pPr>
    </w:p>
    <w:p w14:paraId="47704FD3" w14:textId="77777777" w:rsidR="00246BC3" w:rsidRPr="00246BC3" w:rsidRDefault="00246BC3" w:rsidP="00246BC3">
      <w:pPr>
        <w:spacing w:line="480" w:lineRule="auto"/>
        <w:ind w:firstLine="720"/>
        <w:contextualSpacing/>
      </w:pPr>
      <w:r w:rsidRPr="00246BC3">
        <w:rPr>
          <w:b/>
        </w:rPr>
        <w:lastRenderedPageBreak/>
        <w:t>Humeri and Femora.</w:t>
      </w:r>
      <w:r w:rsidRPr="00246BC3">
        <w:t xml:space="preserve"> Within the long bone elements, measurements were taken at four regions of interest (ROI), two each along the maximum (Imax) and minimum (Imin) axes of bending, respectively (Figure </w:t>
      </w:r>
      <w:r w:rsidR="00FD0C4C">
        <w:t>10</w:t>
      </w:r>
      <w:r w:rsidRPr="00246BC3">
        <w:t>).</w:t>
      </w:r>
      <w:r w:rsidR="006A3BEE">
        <w:t xml:space="preserve"> </w:t>
      </w:r>
      <w:r w:rsidRPr="00246BC3">
        <w:t>Each rectangular ROI represents 3% of cortical area for the particular cross-section, maintains an aspect ratio of 2.18:1 across all elements, and was placed in the center of each cortex so that the Imax or Imin axis bisected the ROI.</w:t>
      </w:r>
      <w:r w:rsidR="006A3BEE">
        <w:t xml:space="preserve"> </w:t>
      </w:r>
      <w:r w:rsidRPr="00246BC3">
        <w:t>Previous research has demonstrated that ROIs containing 3% of cortical area in the anterior cortex of adult femora contained 95% of variation in histomorphometry (Iwaniec et al., 1998).</w:t>
      </w:r>
      <w:r w:rsidR="006A3BEE">
        <w:t xml:space="preserve"> </w:t>
      </w:r>
      <w:r w:rsidRPr="00246BC3">
        <w:t>A large rectangular ROI was chosen for subadult long bones over previously established adult ROIs (see Robling and Stout, 2000 for discussion) due to the unique distribution of intracortical osteonal structures during growth.</w:t>
      </w:r>
      <w:r w:rsidR="006A3BEE">
        <w:t xml:space="preserve"> </w:t>
      </w:r>
      <w:r w:rsidRPr="00246BC3">
        <w:t>The shape and size of the rectangular ROIs, and its location in the center of the cortex, avoids inclusion of the endosteal and periosteal portions of the cortex that frequently contain unremodelled interstial lamellae in immature individuals, especially the youngest ones (Lazenby, 1986; Goldman et al., 2009).</w:t>
      </w:r>
      <w:r w:rsidR="006A3BEE">
        <w:t xml:space="preserve"> </w:t>
      </w:r>
      <w:r w:rsidRPr="00246BC3">
        <w:t xml:space="preserve">Inclusion of these areas would have potentially diminished the amount of histological data for younger subadults and introduced age bias in </w:t>
      </w:r>
      <w:r w:rsidR="003A19BC">
        <w:t>the amount of osteonal bone included in the region of interest</w:t>
      </w:r>
      <w:r w:rsidRPr="00246BC3">
        <w:t xml:space="preserve">. </w:t>
      </w:r>
    </w:p>
    <w:p w14:paraId="3AB3269F" w14:textId="77777777" w:rsidR="00246BC3" w:rsidRPr="00246BC3" w:rsidRDefault="00246BC3" w:rsidP="00246BC3">
      <w:pPr>
        <w:spacing w:line="480" w:lineRule="auto"/>
        <w:ind w:firstLine="720"/>
        <w:contextualSpacing/>
      </w:pPr>
      <w:r w:rsidRPr="00246BC3">
        <w:t>Images of the ROIs were captured from the stitched composite images and analyzed in ImageJ.</w:t>
      </w:r>
      <w:r w:rsidR="006A3BEE">
        <w:t xml:space="preserve"> </w:t>
      </w:r>
      <w:r w:rsidRPr="00246BC3">
        <w:t xml:space="preserve">ROIs </w:t>
      </w:r>
      <w:r w:rsidR="003A19BC">
        <w:t>containing</w:t>
      </w:r>
      <w:r w:rsidRPr="00246BC3">
        <w:t xml:space="preserve"> significant diagenetic change that obliterated osteonal structure</w:t>
      </w:r>
      <w:r w:rsidR="003A19BC">
        <w:t>s</w:t>
      </w:r>
      <w:r w:rsidRPr="00246BC3">
        <w:t xml:space="preserve"> were eliminated from analysis; this constituted </w:t>
      </w:r>
      <w:r w:rsidR="00456D88">
        <w:t>2</w:t>
      </w:r>
      <w:r w:rsidRPr="00246BC3">
        <w:t xml:space="preserve">% of the femoral </w:t>
      </w:r>
      <w:r w:rsidR="00456D88">
        <w:t xml:space="preserve">regions of interest </w:t>
      </w:r>
      <w:r w:rsidRPr="00246BC3">
        <w:t xml:space="preserve">and </w:t>
      </w:r>
      <w:r w:rsidR="00456D88">
        <w:t>4</w:t>
      </w:r>
      <w:r w:rsidRPr="00246BC3">
        <w:t>%</w:t>
      </w:r>
      <w:r w:rsidR="00456D88">
        <w:t xml:space="preserve"> </w:t>
      </w:r>
      <w:r w:rsidRPr="00246BC3">
        <w:t xml:space="preserve">of the humeral </w:t>
      </w:r>
      <w:r w:rsidR="00456D88">
        <w:t>regions of interest</w:t>
      </w:r>
      <w:r w:rsidRPr="00246BC3">
        <w:t>.</w:t>
      </w:r>
      <w:r w:rsidR="006A3BEE">
        <w:t xml:space="preserve"> </w:t>
      </w:r>
      <w:r w:rsidRPr="00246BC3">
        <w:t>In some cases, entire long bone elements were eliminated from analysis, and in other cases only portions of the cross-section could be measured.</w:t>
      </w:r>
      <w:r w:rsidR="006A3BEE">
        <w:t xml:space="preserve"> </w:t>
      </w:r>
      <w:r w:rsidR="006939E0">
        <w:t xml:space="preserve">When only portions could be measured, measurements were standardized by the area occupied by non-diagenetic bone (see </w:t>
      </w:r>
      <w:r w:rsidR="006939E0" w:rsidRPr="006939E0">
        <w:rPr>
          <w:i/>
        </w:rPr>
        <w:t>Size Standardization</w:t>
      </w:r>
      <w:r w:rsidR="006939E0">
        <w:t xml:space="preserve">). </w:t>
      </w:r>
    </w:p>
    <w:p w14:paraId="05DD7ADB" w14:textId="77777777" w:rsidR="00246BC3" w:rsidRPr="00246BC3" w:rsidRDefault="00246BC3" w:rsidP="00246BC3">
      <w:pPr>
        <w:spacing w:line="480" w:lineRule="auto"/>
        <w:ind w:firstLine="360"/>
        <w:contextualSpacing/>
      </w:pPr>
      <w:r w:rsidRPr="00246BC3">
        <w:t xml:space="preserve"> </w:t>
      </w:r>
    </w:p>
    <w:p w14:paraId="1CBED5EA" w14:textId="77777777" w:rsidR="00246BC3" w:rsidRPr="00246BC3" w:rsidRDefault="00246BC3" w:rsidP="00246BC3">
      <w:pPr>
        <w:spacing w:line="480" w:lineRule="auto"/>
        <w:ind w:firstLine="720"/>
        <w:contextualSpacing/>
      </w:pPr>
      <w:r w:rsidRPr="00246BC3">
        <w:rPr>
          <w:b/>
        </w:rPr>
        <w:lastRenderedPageBreak/>
        <w:t>Ribs.</w:t>
      </w:r>
      <w:r w:rsidR="006A3BEE">
        <w:t xml:space="preserve"> </w:t>
      </w:r>
      <w:r w:rsidRPr="00246BC3">
        <w:t>Because ribs are not modeled as beams loaded in compression like long bones are, ROIs along Imax</w:t>
      </w:r>
      <w:r w:rsidR="00377FBC">
        <w:t xml:space="preserve"> and Imin could not be utilized;</w:t>
      </w:r>
      <w:r w:rsidRPr="00246BC3">
        <w:t xml:space="preserve"> and thus, the entire cross-section of each rib was analyzed for histological properties.</w:t>
      </w:r>
      <w:r w:rsidR="006A3BEE">
        <w:t xml:space="preserve"> </w:t>
      </w:r>
      <w:r w:rsidRPr="00246BC3">
        <w:t xml:space="preserve">This method is typically employed when estimating age and investigating metabolic effects from rib cortical histomorphometry (Robling and Stout, 2008; Crowder et al., 2012). </w:t>
      </w:r>
    </w:p>
    <w:p w14:paraId="602127E1" w14:textId="77777777" w:rsidR="00246BC3" w:rsidRPr="00246BC3" w:rsidRDefault="00246BC3" w:rsidP="00246BC3">
      <w:pPr>
        <w:spacing w:line="480" w:lineRule="auto"/>
        <w:ind w:firstLine="720"/>
        <w:contextualSpacing/>
      </w:pPr>
      <w:r w:rsidRPr="00246BC3">
        <w:t>In this study, histological structures were measured in one section of each rib element.</w:t>
      </w:r>
      <w:r w:rsidR="006A3BEE">
        <w:t xml:space="preserve"> </w:t>
      </w:r>
      <w:r w:rsidRPr="00246BC3">
        <w:t>Frost (1969) recommends measuring osteonal structures in at least 50 mm</w:t>
      </w:r>
      <w:r w:rsidRPr="00246BC3">
        <w:rPr>
          <w:vertAlign w:val="superscript"/>
        </w:rPr>
        <w:t>2</w:t>
      </w:r>
      <w:r w:rsidRPr="00246BC3">
        <w:t xml:space="preserve"> of adult rib cortical bone, often requiring multiple thin sections from the same rib element, especially if the sample contains diagenesis (Stout and Paine, 1992).</w:t>
      </w:r>
      <w:r w:rsidR="006A3BEE">
        <w:t xml:space="preserve"> </w:t>
      </w:r>
      <w:r w:rsidRPr="00246BC3">
        <w:t>This methodology cannot be readily applied to younger individuals, as their rib cortical thicknesses and areas are typically smaller than in adults, and it would take increasingly more rib sections in the youngest individuals to meet the protocols set out by Frost.</w:t>
      </w:r>
      <w:r w:rsidR="006A3BEE">
        <w:t xml:space="preserve"> </w:t>
      </w:r>
      <w:r w:rsidRPr="00246BC3">
        <w:t>Moreover, such an analysis would include a disproportionately larger percentage of rib sections along the rib’s length for younger individuals (as they have smaller ribs) relative to older individuals, causing potential variation in histomorphometric properties along the rib’s length to affect comparisons across individuals.</w:t>
      </w:r>
      <w:r w:rsidR="006A3BEE">
        <w:t xml:space="preserve"> </w:t>
      </w:r>
      <w:r w:rsidRPr="00246BC3">
        <w:t>Thus, this method had to be modified to account for these discrepancies.</w:t>
      </w:r>
    </w:p>
    <w:p w14:paraId="7303D394" w14:textId="77777777" w:rsidR="00377FBC" w:rsidRPr="00246BC3" w:rsidRDefault="00246BC3" w:rsidP="00377FBC">
      <w:pPr>
        <w:spacing w:line="480" w:lineRule="auto"/>
        <w:ind w:firstLine="720"/>
        <w:contextualSpacing/>
      </w:pPr>
      <w:r w:rsidRPr="00246BC3">
        <w:t xml:space="preserve">In some cases, </w:t>
      </w:r>
      <w:r w:rsidR="00D9350B">
        <w:t xml:space="preserve">extensive </w:t>
      </w:r>
      <w:r w:rsidRPr="00246BC3">
        <w:t xml:space="preserve">diagenetic change prevented measurement of </w:t>
      </w:r>
      <w:r w:rsidR="00D9350B">
        <w:t>any portion of the</w:t>
      </w:r>
      <w:r w:rsidRPr="00246BC3">
        <w:t xml:space="preserve"> rib cross-section</w:t>
      </w:r>
      <w:r w:rsidR="00377FBC">
        <w:t>, and these sections were excluded from analyses</w:t>
      </w:r>
      <w:r w:rsidRPr="00246BC3">
        <w:t>.</w:t>
      </w:r>
      <w:r w:rsidR="006A3BEE">
        <w:t xml:space="preserve"> </w:t>
      </w:r>
      <w:r w:rsidRPr="00246BC3">
        <w:t>Diagenesis is more common in adult rib elements relative to other adult skeletal elements, due to th</w:t>
      </w:r>
      <w:r w:rsidR="00377FBC">
        <w:t>eir thin cortical shell</w:t>
      </w:r>
      <w:r w:rsidRPr="00246BC3">
        <w:t>.</w:t>
      </w:r>
      <w:r w:rsidR="006A3BEE">
        <w:t xml:space="preserve"> </w:t>
      </w:r>
      <w:r w:rsidRPr="00246BC3">
        <w:t>Diagenesis is also more frequent in subadult bone, in general, relative to adult bone, due to increased fragility and porosity (Hanson and Buikstra, 1987).</w:t>
      </w:r>
      <w:r w:rsidR="006A3BEE">
        <w:t xml:space="preserve"> </w:t>
      </w:r>
      <w:r w:rsidRPr="00246BC3">
        <w:t>The Alytus subadult rib elements contained significant obliteration of microscopic structure due to diagenetic change, and</w:t>
      </w:r>
      <w:r w:rsidR="00377FBC">
        <w:t xml:space="preserve"> 22 sections</w:t>
      </w:r>
      <w:r w:rsidRPr="00246BC3">
        <w:t xml:space="preserve"> </w:t>
      </w:r>
      <w:r w:rsidR="00D9350B">
        <w:t xml:space="preserve">(39%) </w:t>
      </w:r>
      <w:r w:rsidRPr="00246BC3">
        <w:t>had to be excluded from analyses.</w:t>
      </w:r>
      <w:r w:rsidR="006A3BEE">
        <w:t xml:space="preserve"> </w:t>
      </w:r>
      <w:r w:rsidR="00D9350B">
        <w:t xml:space="preserve">Of the remaining elements, </w:t>
      </w:r>
      <w:r w:rsidR="003E7B8D">
        <w:t xml:space="preserve">25 </w:t>
      </w:r>
      <w:r w:rsidRPr="00246BC3">
        <w:t xml:space="preserve">ribs </w:t>
      </w:r>
      <w:r w:rsidR="003E7B8D">
        <w:t xml:space="preserve">(71%) </w:t>
      </w:r>
      <w:r w:rsidRPr="00246BC3">
        <w:t xml:space="preserve">were </w:t>
      </w:r>
      <w:r w:rsidRPr="00246BC3">
        <w:lastRenderedPageBreak/>
        <w:t xml:space="preserve">found to have good to excellent preservation, and </w:t>
      </w:r>
      <w:r w:rsidR="003E7B8D">
        <w:t>10 (29%)</w:t>
      </w:r>
      <w:r w:rsidRPr="00246BC3">
        <w:t xml:space="preserve"> </w:t>
      </w:r>
      <w:r w:rsidR="003E7B8D">
        <w:t xml:space="preserve">were </w:t>
      </w:r>
      <w:r w:rsidRPr="00246BC3">
        <w:t>unaffected by taphonomy.</w:t>
      </w:r>
      <w:r w:rsidR="006A3BEE">
        <w:t xml:space="preserve"> </w:t>
      </w:r>
      <w:r w:rsidRPr="00246BC3">
        <w:t>To include the maximum amount of information possible, the portions of each rib section that were free from diagenesis were measured and analyzed as a percentage of non-diagenetic rib cortical area.</w:t>
      </w:r>
      <w:r w:rsidR="006A3BEE">
        <w:t xml:space="preserve"> </w:t>
      </w:r>
      <w:r w:rsidRPr="00246BC3">
        <w:t xml:space="preserve">For ribs containing portions of diagenesis, these regions were measured with ImageJ and subtracted from total rib cortical area when standardizing </w:t>
      </w:r>
      <w:r w:rsidR="005B113F">
        <w:t>histological measurements (</w:t>
      </w:r>
      <w:r w:rsidR="005B113F" w:rsidRPr="005B113F">
        <w:t xml:space="preserve">see </w:t>
      </w:r>
      <w:r w:rsidRPr="005B113F">
        <w:rPr>
          <w:i/>
        </w:rPr>
        <w:t>Size S</w:t>
      </w:r>
      <w:r w:rsidR="005B113F" w:rsidRPr="005B113F">
        <w:rPr>
          <w:i/>
        </w:rPr>
        <w:t>tandardization</w:t>
      </w:r>
      <w:r w:rsidRPr="00246BC3">
        <w:t>).</w:t>
      </w:r>
      <w:r w:rsidR="006A3BEE">
        <w:t xml:space="preserve"> </w:t>
      </w:r>
      <w:r w:rsidRPr="00246BC3">
        <w:t>While this technique involves analysis of different proportions of cortical bone across individuals, it mimics current methods for adult ribs, which also account for taphonomic effects (Crowder et al., 2012).</w:t>
      </w:r>
      <w:r w:rsidR="006A3BEE">
        <w:t xml:space="preserve"> </w:t>
      </w:r>
      <w:r w:rsidRPr="00246BC3">
        <w:t xml:space="preserve">On average, </w:t>
      </w:r>
      <w:r w:rsidR="005B113F">
        <w:t>7</w:t>
      </w:r>
      <w:r w:rsidRPr="005B113F">
        <w:t>%</w:t>
      </w:r>
      <w:r w:rsidRPr="00246BC3">
        <w:t xml:space="preserve"> of rib cortical area was excluded on the basis of diagenetic change.</w:t>
      </w:r>
      <w:r w:rsidR="006A3BEE">
        <w:t xml:space="preserve"> </w:t>
      </w:r>
      <w:r w:rsidR="00377FBC" w:rsidRPr="006939E0">
        <w:t>The</w:t>
      </w:r>
      <w:r w:rsidR="00377FBC" w:rsidRPr="00246BC3">
        <w:t xml:space="preserve"> age and stress group distribution of the final sample utilized in histological analyses is presented in Table </w:t>
      </w:r>
      <w:r w:rsidR="00377FBC">
        <w:t>7</w:t>
      </w:r>
      <w:r w:rsidR="00377FBC" w:rsidRPr="00246BC3">
        <w:t>.</w:t>
      </w:r>
    </w:p>
    <w:p w14:paraId="74D8C3BB" w14:textId="77777777" w:rsidR="00E7175C" w:rsidRDefault="00E7175C" w:rsidP="00E7175C"/>
    <w:p w14:paraId="3AD9DD96" w14:textId="77777777" w:rsidR="00EA6CF2" w:rsidRDefault="00EA6CF2" w:rsidP="00E7175C"/>
    <w:p w14:paraId="531698AF" w14:textId="77777777" w:rsidR="00E7175C" w:rsidRDefault="00E7175C" w:rsidP="00EA6CF2">
      <w:pPr>
        <w:pStyle w:val="Caption"/>
        <w:keepNext/>
        <w:jc w:val="center"/>
      </w:pPr>
      <w:bookmarkStart w:id="82" w:name="_Toc233182902"/>
      <w:r>
        <w:t xml:space="preserve">Table </w:t>
      </w:r>
      <w:fldSimple w:instr=" SEQ Table \* ARABIC ">
        <w:r w:rsidR="00054A3E">
          <w:rPr>
            <w:noProof/>
          </w:rPr>
          <w:t>7</w:t>
        </w:r>
      </w:fldSimple>
      <w:r>
        <w:t xml:space="preserve">. </w:t>
      </w:r>
      <w:r w:rsidRPr="00B56C6D">
        <w:t>Age distribution of the final sample utilized for histomorphometric analyses by stress group and bone element.</w:t>
      </w:r>
      <w:bookmarkEnd w:id="82"/>
    </w:p>
    <w:p w14:paraId="24EC5F92" w14:textId="77777777" w:rsidR="00E7175C" w:rsidRPr="00E7175C" w:rsidRDefault="00E7175C" w:rsidP="00E7175C"/>
    <w:tbl>
      <w:tblPr>
        <w:tblW w:w="9513" w:type="dxa"/>
        <w:jc w:val="center"/>
        <w:tblInd w:w="93" w:type="dxa"/>
        <w:tblLook w:val="04A0" w:firstRow="1" w:lastRow="0" w:firstColumn="1" w:lastColumn="0" w:noHBand="0" w:noVBand="1"/>
      </w:tblPr>
      <w:tblGrid>
        <w:gridCol w:w="1218"/>
        <w:gridCol w:w="925"/>
        <w:gridCol w:w="920"/>
        <w:gridCol w:w="920"/>
        <w:gridCol w:w="925"/>
        <w:gridCol w:w="920"/>
        <w:gridCol w:w="920"/>
        <w:gridCol w:w="925"/>
        <w:gridCol w:w="920"/>
        <w:gridCol w:w="920"/>
      </w:tblGrid>
      <w:tr w:rsidR="00E7175C" w14:paraId="5302CBD7" w14:textId="77777777" w:rsidTr="000B7A35">
        <w:trPr>
          <w:trHeight w:val="285"/>
          <w:jc w:val="center"/>
        </w:trPr>
        <w:tc>
          <w:tcPr>
            <w:tcW w:w="1218" w:type="dxa"/>
            <w:tcBorders>
              <w:top w:val="single" w:sz="4" w:space="0" w:color="auto"/>
              <w:left w:val="nil"/>
              <w:bottom w:val="single" w:sz="4" w:space="0" w:color="auto"/>
              <w:right w:val="nil"/>
            </w:tcBorders>
            <w:shd w:val="clear" w:color="auto" w:fill="auto"/>
            <w:noWrap/>
            <w:vAlign w:val="bottom"/>
            <w:hideMark/>
          </w:tcPr>
          <w:p w14:paraId="1B1B3065" w14:textId="77777777" w:rsidR="00E7175C" w:rsidRDefault="00E7175C" w:rsidP="000B7A35">
            <w:pPr>
              <w:rPr>
                <w:b/>
                <w:bCs/>
                <w:color w:val="000000"/>
                <w:sz w:val="22"/>
                <w:szCs w:val="22"/>
              </w:rPr>
            </w:pPr>
            <w:r>
              <w:rPr>
                <w:b/>
                <w:bCs/>
                <w:color w:val="000000"/>
                <w:sz w:val="22"/>
                <w:szCs w:val="22"/>
              </w:rPr>
              <w:t> </w:t>
            </w:r>
          </w:p>
        </w:tc>
        <w:tc>
          <w:tcPr>
            <w:tcW w:w="2765" w:type="dxa"/>
            <w:gridSpan w:val="3"/>
            <w:tcBorders>
              <w:top w:val="single" w:sz="4" w:space="0" w:color="auto"/>
              <w:left w:val="nil"/>
              <w:bottom w:val="single" w:sz="4" w:space="0" w:color="auto"/>
              <w:right w:val="nil"/>
            </w:tcBorders>
            <w:shd w:val="clear" w:color="auto" w:fill="auto"/>
            <w:noWrap/>
            <w:vAlign w:val="bottom"/>
            <w:hideMark/>
          </w:tcPr>
          <w:p w14:paraId="7D1C49AF" w14:textId="77777777" w:rsidR="00E7175C" w:rsidRDefault="00E7175C" w:rsidP="000B7A35">
            <w:pPr>
              <w:jc w:val="center"/>
              <w:rPr>
                <w:b/>
                <w:bCs/>
                <w:color w:val="000000"/>
                <w:sz w:val="22"/>
                <w:szCs w:val="22"/>
              </w:rPr>
            </w:pPr>
            <w:r>
              <w:rPr>
                <w:b/>
                <w:bCs/>
                <w:color w:val="000000"/>
                <w:sz w:val="22"/>
                <w:szCs w:val="22"/>
              </w:rPr>
              <w:t>Femur</w:t>
            </w:r>
          </w:p>
        </w:tc>
        <w:tc>
          <w:tcPr>
            <w:tcW w:w="2765" w:type="dxa"/>
            <w:gridSpan w:val="3"/>
            <w:tcBorders>
              <w:top w:val="single" w:sz="4" w:space="0" w:color="auto"/>
              <w:left w:val="nil"/>
              <w:bottom w:val="single" w:sz="4" w:space="0" w:color="auto"/>
              <w:right w:val="nil"/>
            </w:tcBorders>
            <w:shd w:val="clear" w:color="auto" w:fill="auto"/>
            <w:noWrap/>
            <w:vAlign w:val="bottom"/>
            <w:hideMark/>
          </w:tcPr>
          <w:p w14:paraId="4143CB37" w14:textId="77777777" w:rsidR="00E7175C" w:rsidRDefault="00E7175C" w:rsidP="000B7A35">
            <w:pPr>
              <w:jc w:val="center"/>
              <w:rPr>
                <w:b/>
                <w:bCs/>
                <w:color w:val="000000"/>
                <w:sz w:val="22"/>
                <w:szCs w:val="22"/>
              </w:rPr>
            </w:pPr>
            <w:r>
              <w:rPr>
                <w:b/>
                <w:bCs/>
                <w:color w:val="000000"/>
                <w:sz w:val="22"/>
                <w:szCs w:val="22"/>
              </w:rPr>
              <w:t>Humerus</w:t>
            </w:r>
          </w:p>
        </w:tc>
        <w:tc>
          <w:tcPr>
            <w:tcW w:w="2765" w:type="dxa"/>
            <w:gridSpan w:val="3"/>
            <w:tcBorders>
              <w:top w:val="single" w:sz="4" w:space="0" w:color="auto"/>
              <w:left w:val="nil"/>
              <w:bottom w:val="single" w:sz="4" w:space="0" w:color="auto"/>
              <w:right w:val="nil"/>
            </w:tcBorders>
            <w:shd w:val="clear" w:color="auto" w:fill="auto"/>
            <w:noWrap/>
            <w:vAlign w:val="bottom"/>
            <w:hideMark/>
          </w:tcPr>
          <w:p w14:paraId="60D7D492" w14:textId="77777777" w:rsidR="00E7175C" w:rsidRDefault="00E7175C" w:rsidP="000B7A35">
            <w:pPr>
              <w:jc w:val="center"/>
              <w:rPr>
                <w:b/>
                <w:bCs/>
                <w:color w:val="000000"/>
                <w:sz w:val="22"/>
                <w:szCs w:val="22"/>
              </w:rPr>
            </w:pPr>
            <w:r>
              <w:rPr>
                <w:b/>
                <w:bCs/>
                <w:color w:val="000000"/>
                <w:sz w:val="22"/>
                <w:szCs w:val="22"/>
              </w:rPr>
              <w:t>Rib</w:t>
            </w:r>
          </w:p>
        </w:tc>
      </w:tr>
      <w:tr w:rsidR="00E7175C" w14:paraId="274A40C2" w14:textId="77777777" w:rsidTr="000B7A35">
        <w:trPr>
          <w:trHeight w:val="645"/>
          <w:jc w:val="center"/>
        </w:trPr>
        <w:tc>
          <w:tcPr>
            <w:tcW w:w="1218" w:type="dxa"/>
            <w:tcBorders>
              <w:top w:val="nil"/>
              <w:left w:val="nil"/>
              <w:bottom w:val="single" w:sz="4" w:space="0" w:color="auto"/>
              <w:right w:val="nil"/>
            </w:tcBorders>
            <w:shd w:val="clear" w:color="auto" w:fill="auto"/>
            <w:vAlign w:val="center"/>
            <w:hideMark/>
          </w:tcPr>
          <w:p w14:paraId="2D52D90A" w14:textId="77777777" w:rsidR="00E7175C" w:rsidRDefault="00E7175C" w:rsidP="000B7A35">
            <w:pPr>
              <w:jc w:val="center"/>
              <w:rPr>
                <w:b/>
                <w:bCs/>
                <w:color w:val="000000"/>
                <w:sz w:val="22"/>
                <w:szCs w:val="22"/>
              </w:rPr>
            </w:pPr>
            <w:r>
              <w:rPr>
                <w:b/>
                <w:bCs/>
                <w:color w:val="000000"/>
                <w:sz w:val="22"/>
                <w:szCs w:val="22"/>
              </w:rPr>
              <w:t>Age Categories</w:t>
            </w:r>
          </w:p>
        </w:tc>
        <w:tc>
          <w:tcPr>
            <w:tcW w:w="925" w:type="dxa"/>
            <w:tcBorders>
              <w:top w:val="nil"/>
              <w:left w:val="nil"/>
              <w:bottom w:val="single" w:sz="4" w:space="0" w:color="auto"/>
              <w:right w:val="nil"/>
            </w:tcBorders>
            <w:shd w:val="clear" w:color="auto" w:fill="auto"/>
            <w:vAlign w:val="center"/>
            <w:hideMark/>
          </w:tcPr>
          <w:p w14:paraId="5E5D179E" w14:textId="77777777" w:rsidR="00E7175C" w:rsidRDefault="00E7175C" w:rsidP="000B7A35">
            <w:pPr>
              <w:jc w:val="center"/>
              <w:rPr>
                <w:color w:val="000000"/>
                <w:sz w:val="22"/>
                <w:szCs w:val="22"/>
              </w:rPr>
            </w:pPr>
            <w:r>
              <w:rPr>
                <w:color w:val="000000"/>
                <w:sz w:val="22"/>
                <w:szCs w:val="22"/>
              </w:rPr>
              <w:t>Chronic Stress</w:t>
            </w:r>
          </w:p>
        </w:tc>
        <w:tc>
          <w:tcPr>
            <w:tcW w:w="920" w:type="dxa"/>
            <w:tcBorders>
              <w:top w:val="nil"/>
              <w:left w:val="nil"/>
              <w:bottom w:val="single" w:sz="4" w:space="0" w:color="auto"/>
              <w:right w:val="nil"/>
            </w:tcBorders>
            <w:shd w:val="clear" w:color="auto" w:fill="auto"/>
            <w:vAlign w:val="center"/>
            <w:hideMark/>
          </w:tcPr>
          <w:p w14:paraId="345FF113" w14:textId="77777777" w:rsidR="00E7175C" w:rsidRDefault="00E7175C" w:rsidP="000B7A35">
            <w:pPr>
              <w:jc w:val="center"/>
              <w:rPr>
                <w:color w:val="000000"/>
                <w:sz w:val="22"/>
                <w:szCs w:val="22"/>
              </w:rPr>
            </w:pPr>
            <w:r>
              <w:rPr>
                <w:color w:val="000000"/>
                <w:sz w:val="22"/>
                <w:szCs w:val="22"/>
              </w:rPr>
              <w:t>Acute Stress</w:t>
            </w:r>
          </w:p>
        </w:tc>
        <w:tc>
          <w:tcPr>
            <w:tcW w:w="920" w:type="dxa"/>
            <w:tcBorders>
              <w:top w:val="nil"/>
              <w:left w:val="nil"/>
              <w:bottom w:val="single" w:sz="4" w:space="0" w:color="auto"/>
              <w:right w:val="nil"/>
            </w:tcBorders>
            <w:shd w:val="clear" w:color="auto" w:fill="auto"/>
            <w:vAlign w:val="center"/>
            <w:hideMark/>
          </w:tcPr>
          <w:p w14:paraId="5FB03639" w14:textId="77777777" w:rsidR="00E7175C" w:rsidRDefault="00E7175C" w:rsidP="000B7A35">
            <w:pPr>
              <w:jc w:val="center"/>
              <w:rPr>
                <w:color w:val="000000"/>
                <w:sz w:val="22"/>
                <w:szCs w:val="22"/>
              </w:rPr>
            </w:pPr>
            <w:r>
              <w:rPr>
                <w:color w:val="000000"/>
                <w:sz w:val="22"/>
                <w:szCs w:val="22"/>
              </w:rPr>
              <w:t>Total</w:t>
            </w:r>
          </w:p>
        </w:tc>
        <w:tc>
          <w:tcPr>
            <w:tcW w:w="925" w:type="dxa"/>
            <w:tcBorders>
              <w:top w:val="nil"/>
              <w:left w:val="nil"/>
              <w:bottom w:val="single" w:sz="4" w:space="0" w:color="auto"/>
              <w:right w:val="nil"/>
            </w:tcBorders>
            <w:shd w:val="clear" w:color="auto" w:fill="auto"/>
            <w:vAlign w:val="center"/>
            <w:hideMark/>
          </w:tcPr>
          <w:p w14:paraId="061D1E20" w14:textId="77777777" w:rsidR="00E7175C" w:rsidRDefault="00E7175C" w:rsidP="000B7A35">
            <w:pPr>
              <w:jc w:val="center"/>
              <w:rPr>
                <w:color w:val="000000"/>
                <w:sz w:val="22"/>
                <w:szCs w:val="22"/>
              </w:rPr>
            </w:pPr>
            <w:r>
              <w:rPr>
                <w:color w:val="000000"/>
                <w:sz w:val="22"/>
                <w:szCs w:val="22"/>
              </w:rPr>
              <w:t>Chronic Stress</w:t>
            </w:r>
          </w:p>
        </w:tc>
        <w:tc>
          <w:tcPr>
            <w:tcW w:w="920" w:type="dxa"/>
            <w:tcBorders>
              <w:top w:val="nil"/>
              <w:left w:val="nil"/>
              <w:bottom w:val="single" w:sz="4" w:space="0" w:color="auto"/>
              <w:right w:val="nil"/>
            </w:tcBorders>
            <w:shd w:val="clear" w:color="auto" w:fill="auto"/>
            <w:vAlign w:val="center"/>
            <w:hideMark/>
          </w:tcPr>
          <w:p w14:paraId="261956F1" w14:textId="77777777" w:rsidR="00E7175C" w:rsidRDefault="00E7175C" w:rsidP="000B7A35">
            <w:pPr>
              <w:jc w:val="center"/>
              <w:rPr>
                <w:color w:val="000000"/>
                <w:sz w:val="22"/>
                <w:szCs w:val="22"/>
              </w:rPr>
            </w:pPr>
            <w:r>
              <w:rPr>
                <w:color w:val="000000"/>
                <w:sz w:val="22"/>
                <w:szCs w:val="22"/>
              </w:rPr>
              <w:t>Acute Stress</w:t>
            </w:r>
          </w:p>
        </w:tc>
        <w:tc>
          <w:tcPr>
            <w:tcW w:w="920" w:type="dxa"/>
            <w:tcBorders>
              <w:top w:val="nil"/>
              <w:left w:val="nil"/>
              <w:bottom w:val="single" w:sz="4" w:space="0" w:color="auto"/>
              <w:right w:val="nil"/>
            </w:tcBorders>
            <w:shd w:val="clear" w:color="auto" w:fill="auto"/>
            <w:vAlign w:val="center"/>
            <w:hideMark/>
          </w:tcPr>
          <w:p w14:paraId="35292090" w14:textId="77777777" w:rsidR="00E7175C" w:rsidRDefault="00E7175C" w:rsidP="000B7A35">
            <w:pPr>
              <w:jc w:val="center"/>
              <w:rPr>
                <w:color w:val="000000"/>
                <w:sz w:val="22"/>
                <w:szCs w:val="22"/>
              </w:rPr>
            </w:pPr>
            <w:r>
              <w:rPr>
                <w:color w:val="000000"/>
                <w:sz w:val="22"/>
                <w:szCs w:val="22"/>
              </w:rPr>
              <w:t>Total</w:t>
            </w:r>
          </w:p>
        </w:tc>
        <w:tc>
          <w:tcPr>
            <w:tcW w:w="925" w:type="dxa"/>
            <w:tcBorders>
              <w:top w:val="nil"/>
              <w:left w:val="nil"/>
              <w:bottom w:val="single" w:sz="4" w:space="0" w:color="auto"/>
              <w:right w:val="nil"/>
            </w:tcBorders>
            <w:shd w:val="clear" w:color="auto" w:fill="auto"/>
            <w:vAlign w:val="center"/>
            <w:hideMark/>
          </w:tcPr>
          <w:p w14:paraId="05D2F2F5" w14:textId="77777777" w:rsidR="00E7175C" w:rsidRDefault="00E7175C" w:rsidP="000B7A35">
            <w:pPr>
              <w:jc w:val="center"/>
              <w:rPr>
                <w:color w:val="000000"/>
                <w:sz w:val="22"/>
                <w:szCs w:val="22"/>
              </w:rPr>
            </w:pPr>
            <w:r>
              <w:rPr>
                <w:color w:val="000000"/>
                <w:sz w:val="22"/>
                <w:szCs w:val="22"/>
              </w:rPr>
              <w:t>Chronic Stress</w:t>
            </w:r>
          </w:p>
        </w:tc>
        <w:tc>
          <w:tcPr>
            <w:tcW w:w="920" w:type="dxa"/>
            <w:tcBorders>
              <w:top w:val="nil"/>
              <w:left w:val="nil"/>
              <w:bottom w:val="single" w:sz="4" w:space="0" w:color="auto"/>
              <w:right w:val="nil"/>
            </w:tcBorders>
            <w:shd w:val="clear" w:color="auto" w:fill="auto"/>
            <w:vAlign w:val="center"/>
            <w:hideMark/>
          </w:tcPr>
          <w:p w14:paraId="08BF4ECA" w14:textId="77777777" w:rsidR="00E7175C" w:rsidRDefault="00E7175C" w:rsidP="000B7A35">
            <w:pPr>
              <w:jc w:val="center"/>
              <w:rPr>
                <w:color w:val="000000"/>
                <w:sz w:val="22"/>
                <w:szCs w:val="22"/>
              </w:rPr>
            </w:pPr>
            <w:r>
              <w:rPr>
                <w:color w:val="000000"/>
                <w:sz w:val="22"/>
                <w:szCs w:val="22"/>
              </w:rPr>
              <w:t>Acute Stress</w:t>
            </w:r>
          </w:p>
        </w:tc>
        <w:tc>
          <w:tcPr>
            <w:tcW w:w="920" w:type="dxa"/>
            <w:tcBorders>
              <w:top w:val="nil"/>
              <w:left w:val="nil"/>
              <w:bottom w:val="single" w:sz="4" w:space="0" w:color="auto"/>
              <w:right w:val="nil"/>
            </w:tcBorders>
            <w:shd w:val="clear" w:color="auto" w:fill="auto"/>
            <w:vAlign w:val="center"/>
            <w:hideMark/>
          </w:tcPr>
          <w:p w14:paraId="2E3E4E30" w14:textId="77777777" w:rsidR="00E7175C" w:rsidRDefault="00E7175C" w:rsidP="000B7A35">
            <w:pPr>
              <w:jc w:val="center"/>
              <w:rPr>
                <w:color w:val="000000"/>
                <w:sz w:val="22"/>
                <w:szCs w:val="22"/>
              </w:rPr>
            </w:pPr>
            <w:r>
              <w:rPr>
                <w:color w:val="000000"/>
                <w:sz w:val="22"/>
                <w:szCs w:val="22"/>
              </w:rPr>
              <w:t>Total</w:t>
            </w:r>
          </w:p>
        </w:tc>
      </w:tr>
      <w:tr w:rsidR="00E7175C" w14:paraId="0A1C72ED" w14:textId="77777777" w:rsidTr="000B7A35">
        <w:trPr>
          <w:trHeight w:val="300"/>
          <w:jc w:val="center"/>
        </w:trPr>
        <w:tc>
          <w:tcPr>
            <w:tcW w:w="1218" w:type="dxa"/>
            <w:tcBorders>
              <w:top w:val="nil"/>
              <w:left w:val="nil"/>
              <w:bottom w:val="nil"/>
              <w:right w:val="nil"/>
            </w:tcBorders>
            <w:shd w:val="clear" w:color="auto" w:fill="auto"/>
            <w:noWrap/>
            <w:vAlign w:val="bottom"/>
            <w:hideMark/>
          </w:tcPr>
          <w:p w14:paraId="66A32A97" w14:textId="77777777" w:rsidR="00E7175C" w:rsidRDefault="00E7175C" w:rsidP="000B7A35">
            <w:pPr>
              <w:rPr>
                <w:color w:val="000000"/>
                <w:sz w:val="22"/>
                <w:szCs w:val="22"/>
              </w:rPr>
            </w:pPr>
            <w:r>
              <w:rPr>
                <w:color w:val="000000"/>
                <w:sz w:val="22"/>
                <w:szCs w:val="22"/>
              </w:rPr>
              <w:t>1.0-1.99</w:t>
            </w:r>
          </w:p>
        </w:tc>
        <w:tc>
          <w:tcPr>
            <w:tcW w:w="925" w:type="dxa"/>
            <w:tcBorders>
              <w:top w:val="nil"/>
              <w:left w:val="nil"/>
              <w:bottom w:val="nil"/>
              <w:right w:val="nil"/>
            </w:tcBorders>
            <w:shd w:val="clear" w:color="auto" w:fill="auto"/>
            <w:noWrap/>
            <w:vAlign w:val="bottom"/>
            <w:hideMark/>
          </w:tcPr>
          <w:p w14:paraId="1CA5D413"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20C5A1FD" w14:textId="77777777" w:rsidR="00E7175C" w:rsidRDefault="00E7175C" w:rsidP="000B7A35">
            <w:pPr>
              <w:jc w:val="center"/>
              <w:rPr>
                <w:color w:val="000000"/>
                <w:sz w:val="22"/>
                <w:szCs w:val="22"/>
              </w:rPr>
            </w:pPr>
            <w:r>
              <w:rPr>
                <w:color w:val="000000"/>
                <w:sz w:val="22"/>
                <w:szCs w:val="22"/>
              </w:rPr>
              <w:t>2</w:t>
            </w:r>
          </w:p>
        </w:tc>
        <w:tc>
          <w:tcPr>
            <w:tcW w:w="920" w:type="dxa"/>
            <w:tcBorders>
              <w:top w:val="nil"/>
              <w:left w:val="nil"/>
              <w:bottom w:val="nil"/>
              <w:right w:val="nil"/>
            </w:tcBorders>
            <w:shd w:val="clear" w:color="auto" w:fill="auto"/>
            <w:noWrap/>
            <w:vAlign w:val="bottom"/>
            <w:hideMark/>
          </w:tcPr>
          <w:p w14:paraId="58E42C84" w14:textId="77777777" w:rsidR="00E7175C" w:rsidRDefault="00E7175C" w:rsidP="000B7A35">
            <w:pPr>
              <w:jc w:val="center"/>
              <w:rPr>
                <w:color w:val="000000"/>
                <w:sz w:val="22"/>
                <w:szCs w:val="22"/>
              </w:rPr>
            </w:pPr>
            <w:r>
              <w:rPr>
                <w:color w:val="000000"/>
                <w:sz w:val="22"/>
                <w:szCs w:val="22"/>
              </w:rPr>
              <w:t>5</w:t>
            </w:r>
          </w:p>
        </w:tc>
        <w:tc>
          <w:tcPr>
            <w:tcW w:w="925" w:type="dxa"/>
            <w:tcBorders>
              <w:top w:val="nil"/>
              <w:left w:val="nil"/>
              <w:bottom w:val="nil"/>
              <w:right w:val="nil"/>
            </w:tcBorders>
            <w:shd w:val="clear" w:color="auto" w:fill="auto"/>
            <w:noWrap/>
            <w:vAlign w:val="bottom"/>
            <w:hideMark/>
          </w:tcPr>
          <w:p w14:paraId="448CBA57"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65D57525"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48FBE89A" w14:textId="77777777" w:rsidR="00E7175C" w:rsidRDefault="00E7175C" w:rsidP="000B7A35">
            <w:pPr>
              <w:jc w:val="center"/>
              <w:rPr>
                <w:color w:val="000000"/>
                <w:sz w:val="22"/>
                <w:szCs w:val="22"/>
              </w:rPr>
            </w:pPr>
            <w:r>
              <w:rPr>
                <w:color w:val="000000"/>
                <w:sz w:val="22"/>
                <w:szCs w:val="22"/>
              </w:rPr>
              <w:t>6</w:t>
            </w:r>
          </w:p>
        </w:tc>
        <w:tc>
          <w:tcPr>
            <w:tcW w:w="925" w:type="dxa"/>
            <w:tcBorders>
              <w:top w:val="nil"/>
              <w:left w:val="nil"/>
              <w:bottom w:val="nil"/>
              <w:right w:val="nil"/>
            </w:tcBorders>
            <w:shd w:val="clear" w:color="auto" w:fill="auto"/>
            <w:noWrap/>
            <w:vAlign w:val="bottom"/>
            <w:hideMark/>
          </w:tcPr>
          <w:p w14:paraId="031745D3"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2EDE5604" w14:textId="77777777" w:rsidR="00E7175C" w:rsidRDefault="00E7175C" w:rsidP="000B7A35">
            <w:pPr>
              <w:jc w:val="center"/>
              <w:rPr>
                <w:color w:val="000000"/>
                <w:sz w:val="22"/>
                <w:szCs w:val="22"/>
              </w:rPr>
            </w:pPr>
            <w:r>
              <w:rPr>
                <w:color w:val="000000"/>
                <w:sz w:val="22"/>
                <w:szCs w:val="22"/>
              </w:rPr>
              <w:t>2</w:t>
            </w:r>
          </w:p>
        </w:tc>
        <w:tc>
          <w:tcPr>
            <w:tcW w:w="920" w:type="dxa"/>
            <w:tcBorders>
              <w:top w:val="nil"/>
              <w:left w:val="nil"/>
              <w:bottom w:val="nil"/>
              <w:right w:val="nil"/>
            </w:tcBorders>
            <w:shd w:val="clear" w:color="auto" w:fill="auto"/>
            <w:noWrap/>
            <w:vAlign w:val="bottom"/>
            <w:hideMark/>
          </w:tcPr>
          <w:p w14:paraId="2296B14C" w14:textId="77777777" w:rsidR="00E7175C" w:rsidRDefault="00E7175C" w:rsidP="000B7A35">
            <w:pPr>
              <w:jc w:val="center"/>
              <w:rPr>
                <w:color w:val="000000"/>
                <w:sz w:val="22"/>
                <w:szCs w:val="22"/>
              </w:rPr>
            </w:pPr>
            <w:r>
              <w:rPr>
                <w:color w:val="000000"/>
                <w:sz w:val="22"/>
                <w:szCs w:val="22"/>
              </w:rPr>
              <w:t>5</w:t>
            </w:r>
          </w:p>
        </w:tc>
      </w:tr>
      <w:tr w:rsidR="00E7175C" w14:paraId="7C4EF96B" w14:textId="77777777" w:rsidTr="000B7A35">
        <w:trPr>
          <w:trHeight w:val="300"/>
          <w:jc w:val="center"/>
        </w:trPr>
        <w:tc>
          <w:tcPr>
            <w:tcW w:w="1218" w:type="dxa"/>
            <w:tcBorders>
              <w:top w:val="nil"/>
              <w:left w:val="nil"/>
              <w:bottom w:val="nil"/>
              <w:right w:val="nil"/>
            </w:tcBorders>
            <w:shd w:val="clear" w:color="auto" w:fill="auto"/>
            <w:noWrap/>
            <w:vAlign w:val="bottom"/>
            <w:hideMark/>
          </w:tcPr>
          <w:p w14:paraId="00719810" w14:textId="77777777" w:rsidR="00E7175C" w:rsidRDefault="00E7175C" w:rsidP="000B7A35">
            <w:pPr>
              <w:rPr>
                <w:color w:val="000000"/>
                <w:sz w:val="22"/>
                <w:szCs w:val="22"/>
              </w:rPr>
            </w:pPr>
            <w:r>
              <w:rPr>
                <w:color w:val="000000"/>
                <w:sz w:val="22"/>
                <w:szCs w:val="22"/>
              </w:rPr>
              <w:t>2.0-2.99</w:t>
            </w:r>
          </w:p>
        </w:tc>
        <w:tc>
          <w:tcPr>
            <w:tcW w:w="925" w:type="dxa"/>
            <w:tcBorders>
              <w:top w:val="nil"/>
              <w:left w:val="nil"/>
              <w:bottom w:val="nil"/>
              <w:right w:val="nil"/>
            </w:tcBorders>
            <w:shd w:val="clear" w:color="auto" w:fill="auto"/>
            <w:noWrap/>
            <w:vAlign w:val="bottom"/>
            <w:hideMark/>
          </w:tcPr>
          <w:p w14:paraId="20E34680"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4A14682E"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0BED7D3A" w14:textId="77777777" w:rsidR="00E7175C" w:rsidRDefault="00E7175C" w:rsidP="000B7A35">
            <w:pPr>
              <w:jc w:val="center"/>
              <w:rPr>
                <w:color w:val="000000"/>
                <w:sz w:val="22"/>
                <w:szCs w:val="22"/>
              </w:rPr>
            </w:pPr>
            <w:r>
              <w:rPr>
                <w:color w:val="000000"/>
                <w:sz w:val="22"/>
                <w:szCs w:val="22"/>
              </w:rPr>
              <w:t>3</w:t>
            </w:r>
          </w:p>
        </w:tc>
        <w:tc>
          <w:tcPr>
            <w:tcW w:w="925" w:type="dxa"/>
            <w:tcBorders>
              <w:top w:val="nil"/>
              <w:left w:val="nil"/>
              <w:bottom w:val="nil"/>
              <w:right w:val="nil"/>
            </w:tcBorders>
            <w:shd w:val="clear" w:color="auto" w:fill="auto"/>
            <w:noWrap/>
            <w:vAlign w:val="bottom"/>
            <w:hideMark/>
          </w:tcPr>
          <w:p w14:paraId="30E9C109"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129F3B22"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01AC380F" w14:textId="77777777" w:rsidR="00E7175C" w:rsidRDefault="00E7175C" w:rsidP="000B7A35">
            <w:pPr>
              <w:jc w:val="center"/>
              <w:rPr>
                <w:color w:val="000000"/>
                <w:sz w:val="22"/>
                <w:szCs w:val="22"/>
              </w:rPr>
            </w:pPr>
            <w:r>
              <w:rPr>
                <w:color w:val="000000"/>
                <w:sz w:val="22"/>
                <w:szCs w:val="22"/>
              </w:rPr>
              <w:t>3</w:t>
            </w:r>
          </w:p>
        </w:tc>
        <w:tc>
          <w:tcPr>
            <w:tcW w:w="925" w:type="dxa"/>
            <w:tcBorders>
              <w:top w:val="nil"/>
              <w:left w:val="nil"/>
              <w:bottom w:val="nil"/>
              <w:right w:val="nil"/>
            </w:tcBorders>
            <w:shd w:val="clear" w:color="auto" w:fill="auto"/>
            <w:noWrap/>
            <w:vAlign w:val="bottom"/>
            <w:hideMark/>
          </w:tcPr>
          <w:p w14:paraId="46EF4D79" w14:textId="77777777" w:rsidR="00E7175C" w:rsidRDefault="00E7175C" w:rsidP="000B7A35">
            <w:pPr>
              <w:jc w:val="center"/>
              <w:rPr>
                <w:color w:val="000000"/>
                <w:sz w:val="22"/>
                <w:szCs w:val="22"/>
              </w:rPr>
            </w:pPr>
            <w:r>
              <w:rPr>
                <w:color w:val="000000"/>
                <w:sz w:val="22"/>
                <w:szCs w:val="22"/>
              </w:rPr>
              <w:t>3</w:t>
            </w:r>
          </w:p>
        </w:tc>
        <w:tc>
          <w:tcPr>
            <w:tcW w:w="920" w:type="dxa"/>
            <w:tcBorders>
              <w:top w:val="nil"/>
              <w:left w:val="nil"/>
              <w:bottom w:val="nil"/>
              <w:right w:val="nil"/>
            </w:tcBorders>
            <w:shd w:val="clear" w:color="auto" w:fill="auto"/>
            <w:noWrap/>
            <w:vAlign w:val="bottom"/>
            <w:hideMark/>
          </w:tcPr>
          <w:p w14:paraId="657BF35F"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5F34813D" w14:textId="77777777" w:rsidR="00E7175C" w:rsidRDefault="00E7175C" w:rsidP="000B7A35">
            <w:pPr>
              <w:jc w:val="center"/>
              <w:rPr>
                <w:color w:val="000000"/>
                <w:sz w:val="22"/>
                <w:szCs w:val="22"/>
              </w:rPr>
            </w:pPr>
            <w:r>
              <w:rPr>
                <w:color w:val="000000"/>
                <w:sz w:val="22"/>
                <w:szCs w:val="22"/>
              </w:rPr>
              <w:t>3</w:t>
            </w:r>
          </w:p>
        </w:tc>
      </w:tr>
      <w:tr w:rsidR="00E7175C" w14:paraId="5AE35B66" w14:textId="77777777" w:rsidTr="000B7A35">
        <w:trPr>
          <w:trHeight w:val="300"/>
          <w:jc w:val="center"/>
        </w:trPr>
        <w:tc>
          <w:tcPr>
            <w:tcW w:w="1218" w:type="dxa"/>
            <w:tcBorders>
              <w:top w:val="nil"/>
              <w:left w:val="nil"/>
              <w:bottom w:val="nil"/>
              <w:right w:val="nil"/>
            </w:tcBorders>
            <w:shd w:val="clear" w:color="auto" w:fill="auto"/>
            <w:noWrap/>
            <w:vAlign w:val="bottom"/>
            <w:hideMark/>
          </w:tcPr>
          <w:p w14:paraId="7CC36C2A" w14:textId="77777777" w:rsidR="00E7175C" w:rsidRDefault="00E7175C" w:rsidP="000B7A35">
            <w:pPr>
              <w:rPr>
                <w:color w:val="000000"/>
                <w:sz w:val="22"/>
                <w:szCs w:val="22"/>
              </w:rPr>
            </w:pPr>
            <w:r>
              <w:rPr>
                <w:color w:val="000000"/>
                <w:sz w:val="22"/>
                <w:szCs w:val="22"/>
              </w:rPr>
              <w:t>3.0-6.99</w:t>
            </w:r>
          </w:p>
        </w:tc>
        <w:tc>
          <w:tcPr>
            <w:tcW w:w="925" w:type="dxa"/>
            <w:tcBorders>
              <w:top w:val="nil"/>
              <w:left w:val="nil"/>
              <w:bottom w:val="nil"/>
              <w:right w:val="nil"/>
            </w:tcBorders>
            <w:shd w:val="clear" w:color="auto" w:fill="auto"/>
            <w:noWrap/>
            <w:vAlign w:val="bottom"/>
            <w:hideMark/>
          </w:tcPr>
          <w:p w14:paraId="70196F7B" w14:textId="77777777" w:rsidR="00E7175C" w:rsidRDefault="00E7175C" w:rsidP="000B7A35">
            <w:pPr>
              <w:jc w:val="center"/>
              <w:rPr>
                <w:color w:val="000000"/>
                <w:sz w:val="22"/>
                <w:szCs w:val="22"/>
              </w:rPr>
            </w:pPr>
            <w:r>
              <w:rPr>
                <w:color w:val="000000"/>
                <w:sz w:val="22"/>
                <w:szCs w:val="22"/>
              </w:rPr>
              <w:t>4</w:t>
            </w:r>
          </w:p>
        </w:tc>
        <w:tc>
          <w:tcPr>
            <w:tcW w:w="920" w:type="dxa"/>
            <w:tcBorders>
              <w:top w:val="nil"/>
              <w:left w:val="nil"/>
              <w:bottom w:val="nil"/>
              <w:right w:val="nil"/>
            </w:tcBorders>
            <w:shd w:val="clear" w:color="auto" w:fill="auto"/>
            <w:noWrap/>
            <w:vAlign w:val="bottom"/>
            <w:hideMark/>
          </w:tcPr>
          <w:p w14:paraId="1AD6B500" w14:textId="77777777" w:rsidR="00E7175C" w:rsidRDefault="00E7175C" w:rsidP="000B7A35">
            <w:pPr>
              <w:jc w:val="center"/>
              <w:rPr>
                <w:color w:val="000000"/>
                <w:sz w:val="22"/>
                <w:szCs w:val="22"/>
              </w:rPr>
            </w:pPr>
            <w:r>
              <w:rPr>
                <w:color w:val="000000"/>
                <w:sz w:val="22"/>
                <w:szCs w:val="22"/>
              </w:rPr>
              <w:t>5</w:t>
            </w:r>
          </w:p>
        </w:tc>
        <w:tc>
          <w:tcPr>
            <w:tcW w:w="920" w:type="dxa"/>
            <w:tcBorders>
              <w:top w:val="nil"/>
              <w:left w:val="nil"/>
              <w:bottom w:val="nil"/>
              <w:right w:val="nil"/>
            </w:tcBorders>
            <w:shd w:val="clear" w:color="auto" w:fill="auto"/>
            <w:noWrap/>
            <w:vAlign w:val="bottom"/>
            <w:hideMark/>
          </w:tcPr>
          <w:p w14:paraId="39EA8975" w14:textId="77777777" w:rsidR="00E7175C" w:rsidRDefault="00E7175C" w:rsidP="000B7A35">
            <w:pPr>
              <w:jc w:val="center"/>
              <w:rPr>
                <w:color w:val="000000"/>
                <w:sz w:val="22"/>
                <w:szCs w:val="22"/>
              </w:rPr>
            </w:pPr>
            <w:r>
              <w:rPr>
                <w:color w:val="000000"/>
                <w:sz w:val="22"/>
                <w:szCs w:val="22"/>
              </w:rPr>
              <w:t>9</w:t>
            </w:r>
          </w:p>
        </w:tc>
        <w:tc>
          <w:tcPr>
            <w:tcW w:w="925" w:type="dxa"/>
            <w:tcBorders>
              <w:top w:val="nil"/>
              <w:left w:val="nil"/>
              <w:bottom w:val="nil"/>
              <w:right w:val="nil"/>
            </w:tcBorders>
            <w:shd w:val="clear" w:color="auto" w:fill="auto"/>
            <w:noWrap/>
            <w:vAlign w:val="bottom"/>
            <w:hideMark/>
          </w:tcPr>
          <w:p w14:paraId="75A819C7" w14:textId="77777777" w:rsidR="00E7175C" w:rsidRDefault="00E7175C" w:rsidP="000B7A35">
            <w:pPr>
              <w:jc w:val="center"/>
              <w:rPr>
                <w:color w:val="000000"/>
                <w:sz w:val="22"/>
                <w:szCs w:val="22"/>
              </w:rPr>
            </w:pPr>
            <w:r>
              <w:rPr>
                <w:color w:val="000000"/>
                <w:sz w:val="22"/>
                <w:szCs w:val="22"/>
              </w:rPr>
              <w:t>4</w:t>
            </w:r>
          </w:p>
        </w:tc>
        <w:tc>
          <w:tcPr>
            <w:tcW w:w="920" w:type="dxa"/>
            <w:tcBorders>
              <w:top w:val="nil"/>
              <w:left w:val="nil"/>
              <w:bottom w:val="nil"/>
              <w:right w:val="nil"/>
            </w:tcBorders>
            <w:shd w:val="clear" w:color="auto" w:fill="auto"/>
            <w:noWrap/>
            <w:vAlign w:val="bottom"/>
            <w:hideMark/>
          </w:tcPr>
          <w:p w14:paraId="4CF1E40C" w14:textId="77777777" w:rsidR="00E7175C" w:rsidRDefault="00E7175C" w:rsidP="000B7A35">
            <w:pPr>
              <w:jc w:val="center"/>
              <w:rPr>
                <w:color w:val="000000"/>
                <w:sz w:val="22"/>
                <w:szCs w:val="22"/>
              </w:rPr>
            </w:pPr>
            <w:r>
              <w:rPr>
                <w:color w:val="000000"/>
                <w:sz w:val="22"/>
                <w:szCs w:val="22"/>
              </w:rPr>
              <w:t>8</w:t>
            </w:r>
          </w:p>
        </w:tc>
        <w:tc>
          <w:tcPr>
            <w:tcW w:w="920" w:type="dxa"/>
            <w:tcBorders>
              <w:top w:val="nil"/>
              <w:left w:val="nil"/>
              <w:bottom w:val="nil"/>
              <w:right w:val="nil"/>
            </w:tcBorders>
            <w:shd w:val="clear" w:color="auto" w:fill="auto"/>
            <w:noWrap/>
            <w:vAlign w:val="bottom"/>
            <w:hideMark/>
          </w:tcPr>
          <w:p w14:paraId="76C68AD4" w14:textId="77777777" w:rsidR="00E7175C" w:rsidRDefault="00E7175C" w:rsidP="000B7A35">
            <w:pPr>
              <w:jc w:val="center"/>
              <w:rPr>
                <w:color w:val="000000"/>
                <w:sz w:val="22"/>
                <w:szCs w:val="22"/>
              </w:rPr>
            </w:pPr>
            <w:r>
              <w:rPr>
                <w:color w:val="000000"/>
                <w:sz w:val="22"/>
                <w:szCs w:val="22"/>
              </w:rPr>
              <w:t>12</w:t>
            </w:r>
          </w:p>
        </w:tc>
        <w:tc>
          <w:tcPr>
            <w:tcW w:w="925" w:type="dxa"/>
            <w:tcBorders>
              <w:top w:val="nil"/>
              <w:left w:val="nil"/>
              <w:bottom w:val="nil"/>
              <w:right w:val="nil"/>
            </w:tcBorders>
            <w:shd w:val="clear" w:color="auto" w:fill="auto"/>
            <w:noWrap/>
            <w:vAlign w:val="bottom"/>
            <w:hideMark/>
          </w:tcPr>
          <w:p w14:paraId="39C8EB7D" w14:textId="77777777" w:rsidR="00E7175C" w:rsidRDefault="00E7175C" w:rsidP="000B7A35">
            <w:pPr>
              <w:jc w:val="center"/>
              <w:rPr>
                <w:color w:val="000000"/>
                <w:sz w:val="22"/>
                <w:szCs w:val="22"/>
              </w:rPr>
            </w:pPr>
            <w:r>
              <w:rPr>
                <w:color w:val="000000"/>
                <w:sz w:val="22"/>
                <w:szCs w:val="22"/>
              </w:rPr>
              <w:t>5</w:t>
            </w:r>
          </w:p>
        </w:tc>
        <w:tc>
          <w:tcPr>
            <w:tcW w:w="920" w:type="dxa"/>
            <w:tcBorders>
              <w:top w:val="nil"/>
              <w:left w:val="nil"/>
              <w:bottom w:val="nil"/>
              <w:right w:val="nil"/>
            </w:tcBorders>
            <w:shd w:val="clear" w:color="auto" w:fill="auto"/>
            <w:noWrap/>
            <w:vAlign w:val="bottom"/>
            <w:hideMark/>
          </w:tcPr>
          <w:p w14:paraId="6BFEF9A4" w14:textId="77777777" w:rsidR="00E7175C" w:rsidRDefault="00E7175C" w:rsidP="000B7A35">
            <w:pPr>
              <w:jc w:val="center"/>
              <w:rPr>
                <w:color w:val="000000"/>
                <w:sz w:val="22"/>
                <w:szCs w:val="22"/>
              </w:rPr>
            </w:pPr>
            <w:r>
              <w:rPr>
                <w:color w:val="000000"/>
                <w:sz w:val="22"/>
                <w:szCs w:val="22"/>
              </w:rPr>
              <w:t>9</w:t>
            </w:r>
          </w:p>
        </w:tc>
        <w:tc>
          <w:tcPr>
            <w:tcW w:w="920" w:type="dxa"/>
            <w:tcBorders>
              <w:top w:val="nil"/>
              <w:left w:val="nil"/>
              <w:bottom w:val="nil"/>
              <w:right w:val="nil"/>
            </w:tcBorders>
            <w:shd w:val="clear" w:color="auto" w:fill="auto"/>
            <w:noWrap/>
            <w:vAlign w:val="bottom"/>
            <w:hideMark/>
          </w:tcPr>
          <w:p w14:paraId="2FBC039D" w14:textId="77777777" w:rsidR="00E7175C" w:rsidRDefault="00E7175C" w:rsidP="000B7A35">
            <w:pPr>
              <w:jc w:val="center"/>
              <w:rPr>
                <w:color w:val="000000"/>
                <w:sz w:val="22"/>
                <w:szCs w:val="22"/>
              </w:rPr>
            </w:pPr>
            <w:r>
              <w:rPr>
                <w:color w:val="000000"/>
                <w:sz w:val="22"/>
                <w:szCs w:val="22"/>
              </w:rPr>
              <w:t>14</w:t>
            </w:r>
          </w:p>
        </w:tc>
      </w:tr>
      <w:tr w:rsidR="00E7175C" w14:paraId="2858BF8D" w14:textId="77777777" w:rsidTr="000B7A35">
        <w:trPr>
          <w:trHeight w:val="300"/>
          <w:jc w:val="center"/>
        </w:trPr>
        <w:tc>
          <w:tcPr>
            <w:tcW w:w="1218" w:type="dxa"/>
            <w:tcBorders>
              <w:top w:val="nil"/>
              <w:left w:val="nil"/>
              <w:bottom w:val="nil"/>
              <w:right w:val="nil"/>
            </w:tcBorders>
            <w:shd w:val="clear" w:color="auto" w:fill="auto"/>
            <w:noWrap/>
            <w:vAlign w:val="bottom"/>
            <w:hideMark/>
          </w:tcPr>
          <w:p w14:paraId="5F364F30" w14:textId="77777777" w:rsidR="00E7175C" w:rsidRDefault="00E7175C" w:rsidP="000B7A35">
            <w:pPr>
              <w:rPr>
                <w:color w:val="000000"/>
                <w:sz w:val="22"/>
                <w:szCs w:val="22"/>
              </w:rPr>
            </w:pPr>
            <w:r>
              <w:rPr>
                <w:color w:val="000000"/>
                <w:sz w:val="22"/>
                <w:szCs w:val="22"/>
              </w:rPr>
              <w:t>7.0-11.99</w:t>
            </w:r>
          </w:p>
        </w:tc>
        <w:tc>
          <w:tcPr>
            <w:tcW w:w="925" w:type="dxa"/>
            <w:tcBorders>
              <w:top w:val="nil"/>
              <w:left w:val="nil"/>
              <w:bottom w:val="nil"/>
              <w:right w:val="nil"/>
            </w:tcBorders>
            <w:shd w:val="clear" w:color="auto" w:fill="auto"/>
            <w:noWrap/>
            <w:vAlign w:val="bottom"/>
            <w:hideMark/>
          </w:tcPr>
          <w:p w14:paraId="4188DD4C" w14:textId="77777777" w:rsidR="00E7175C" w:rsidRDefault="00E7175C" w:rsidP="000B7A35">
            <w:pPr>
              <w:jc w:val="center"/>
              <w:rPr>
                <w:color w:val="000000"/>
                <w:sz w:val="22"/>
                <w:szCs w:val="22"/>
              </w:rPr>
            </w:pPr>
            <w:r>
              <w:rPr>
                <w:color w:val="000000"/>
                <w:sz w:val="22"/>
                <w:szCs w:val="22"/>
              </w:rPr>
              <w:t>8</w:t>
            </w:r>
          </w:p>
        </w:tc>
        <w:tc>
          <w:tcPr>
            <w:tcW w:w="920" w:type="dxa"/>
            <w:tcBorders>
              <w:top w:val="nil"/>
              <w:left w:val="nil"/>
              <w:bottom w:val="nil"/>
              <w:right w:val="nil"/>
            </w:tcBorders>
            <w:shd w:val="clear" w:color="auto" w:fill="auto"/>
            <w:noWrap/>
            <w:vAlign w:val="bottom"/>
            <w:hideMark/>
          </w:tcPr>
          <w:p w14:paraId="3A9E85ED"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6E849C5A" w14:textId="77777777" w:rsidR="00E7175C" w:rsidRDefault="00E7175C" w:rsidP="000B7A35">
            <w:pPr>
              <w:jc w:val="center"/>
              <w:rPr>
                <w:color w:val="000000"/>
                <w:sz w:val="22"/>
                <w:szCs w:val="22"/>
              </w:rPr>
            </w:pPr>
            <w:r>
              <w:rPr>
                <w:color w:val="000000"/>
                <w:sz w:val="22"/>
                <w:szCs w:val="22"/>
              </w:rPr>
              <w:t>8</w:t>
            </w:r>
          </w:p>
        </w:tc>
        <w:tc>
          <w:tcPr>
            <w:tcW w:w="925" w:type="dxa"/>
            <w:tcBorders>
              <w:top w:val="nil"/>
              <w:left w:val="nil"/>
              <w:bottom w:val="nil"/>
              <w:right w:val="nil"/>
            </w:tcBorders>
            <w:shd w:val="clear" w:color="auto" w:fill="auto"/>
            <w:noWrap/>
            <w:vAlign w:val="bottom"/>
            <w:hideMark/>
          </w:tcPr>
          <w:p w14:paraId="706F1EEE" w14:textId="77777777" w:rsidR="00E7175C" w:rsidRDefault="00E7175C" w:rsidP="000B7A35">
            <w:pPr>
              <w:jc w:val="center"/>
              <w:rPr>
                <w:color w:val="000000"/>
                <w:sz w:val="22"/>
                <w:szCs w:val="22"/>
              </w:rPr>
            </w:pPr>
            <w:r>
              <w:rPr>
                <w:color w:val="000000"/>
                <w:sz w:val="22"/>
                <w:szCs w:val="22"/>
              </w:rPr>
              <w:t>6</w:t>
            </w:r>
          </w:p>
        </w:tc>
        <w:tc>
          <w:tcPr>
            <w:tcW w:w="920" w:type="dxa"/>
            <w:tcBorders>
              <w:top w:val="nil"/>
              <w:left w:val="nil"/>
              <w:bottom w:val="nil"/>
              <w:right w:val="nil"/>
            </w:tcBorders>
            <w:shd w:val="clear" w:color="auto" w:fill="auto"/>
            <w:noWrap/>
            <w:vAlign w:val="bottom"/>
            <w:hideMark/>
          </w:tcPr>
          <w:p w14:paraId="72028293" w14:textId="77777777" w:rsidR="00E7175C" w:rsidRDefault="00E7175C" w:rsidP="000B7A35">
            <w:pPr>
              <w:jc w:val="center"/>
              <w:rPr>
                <w:color w:val="000000"/>
                <w:sz w:val="22"/>
                <w:szCs w:val="22"/>
              </w:rPr>
            </w:pPr>
            <w:r>
              <w:rPr>
                <w:color w:val="000000"/>
                <w:sz w:val="22"/>
                <w:szCs w:val="22"/>
              </w:rPr>
              <w:t>1</w:t>
            </w:r>
          </w:p>
        </w:tc>
        <w:tc>
          <w:tcPr>
            <w:tcW w:w="920" w:type="dxa"/>
            <w:tcBorders>
              <w:top w:val="nil"/>
              <w:left w:val="nil"/>
              <w:bottom w:val="nil"/>
              <w:right w:val="nil"/>
            </w:tcBorders>
            <w:shd w:val="clear" w:color="auto" w:fill="auto"/>
            <w:noWrap/>
            <w:vAlign w:val="bottom"/>
            <w:hideMark/>
          </w:tcPr>
          <w:p w14:paraId="655833D1" w14:textId="77777777" w:rsidR="00E7175C" w:rsidRDefault="00E7175C" w:rsidP="000B7A35">
            <w:pPr>
              <w:jc w:val="center"/>
              <w:rPr>
                <w:color w:val="000000"/>
                <w:sz w:val="22"/>
                <w:szCs w:val="22"/>
              </w:rPr>
            </w:pPr>
            <w:r>
              <w:rPr>
                <w:color w:val="000000"/>
                <w:sz w:val="22"/>
                <w:szCs w:val="22"/>
              </w:rPr>
              <w:t>7</w:t>
            </w:r>
          </w:p>
        </w:tc>
        <w:tc>
          <w:tcPr>
            <w:tcW w:w="925" w:type="dxa"/>
            <w:tcBorders>
              <w:top w:val="nil"/>
              <w:left w:val="nil"/>
              <w:bottom w:val="nil"/>
              <w:right w:val="nil"/>
            </w:tcBorders>
            <w:shd w:val="clear" w:color="auto" w:fill="auto"/>
            <w:noWrap/>
            <w:vAlign w:val="bottom"/>
            <w:hideMark/>
          </w:tcPr>
          <w:p w14:paraId="03C8C0DB" w14:textId="77777777" w:rsidR="00E7175C" w:rsidRDefault="00E7175C" w:rsidP="000B7A35">
            <w:pPr>
              <w:jc w:val="center"/>
              <w:rPr>
                <w:color w:val="000000"/>
                <w:sz w:val="22"/>
                <w:szCs w:val="22"/>
              </w:rPr>
            </w:pPr>
            <w:r>
              <w:rPr>
                <w:color w:val="000000"/>
                <w:sz w:val="22"/>
                <w:szCs w:val="22"/>
              </w:rPr>
              <w:t>10</w:t>
            </w:r>
          </w:p>
        </w:tc>
        <w:tc>
          <w:tcPr>
            <w:tcW w:w="920" w:type="dxa"/>
            <w:tcBorders>
              <w:top w:val="nil"/>
              <w:left w:val="nil"/>
              <w:bottom w:val="nil"/>
              <w:right w:val="nil"/>
            </w:tcBorders>
            <w:shd w:val="clear" w:color="auto" w:fill="auto"/>
            <w:noWrap/>
            <w:vAlign w:val="bottom"/>
            <w:hideMark/>
          </w:tcPr>
          <w:p w14:paraId="479B4290" w14:textId="77777777" w:rsidR="00E7175C" w:rsidRDefault="00E7175C" w:rsidP="000B7A35">
            <w:pPr>
              <w:jc w:val="center"/>
              <w:rPr>
                <w:color w:val="000000"/>
                <w:sz w:val="22"/>
                <w:szCs w:val="22"/>
              </w:rPr>
            </w:pPr>
            <w:r>
              <w:rPr>
                <w:color w:val="000000"/>
                <w:sz w:val="22"/>
                <w:szCs w:val="22"/>
              </w:rPr>
              <w:t>1</w:t>
            </w:r>
          </w:p>
        </w:tc>
        <w:tc>
          <w:tcPr>
            <w:tcW w:w="920" w:type="dxa"/>
            <w:tcBorders>
              <w:top w:val="nil"/>
              <w:left w:val="nil"/>
              <w:bottom w:val="nil"/>
              <w:right w:val="nil"/>
            </w:tcBorders>
            <w:shd w:val="clear" w:color="auto" w:fill="auto"/>
            <w:noWrap/>
            <w:vAlign w:val="bottom"/>
            <w:hideMark/>
          </w:tcPr>
          <w:p w14:paraId="2A556036" w14:textId="77777777" w:rsidR="00E7175C" w:rsidRDefault="00E7175C" w:rsidP="000B7A35">
            <w:pPr>
              <w:jc w:val="center"/>
              <w:rPr>
                <w:color w:val="000000"/>
                <w:sz w:val="22"/>
                <w:szCs w:val="22"/>
              </w:rPr>
            </w:pPr>
            <w:r>
              <w:rPr>
                <w:color w:val="000000"/>
                <w:sz w:val="22"/>
                <w:szCs w:val="22"/>
              </w:rPr>
              <w:t>11</w:t>
            </w:r>
          </w:p>
        </w:tc>
      </w:tr>
      <w:tr w:rsidR="00E7175C" w14:paraId="69DA341A" w14:textId="77777777" w:rsidTr="000B7A35">
        <w:trPr>
          <w:trHeight w:val="300"/>
          <w:jc w:val="center"/>
        </w:trPr>
        <w:tc>
          <w:tcPr>
            <w:tcW w:w="1218" w:type="dxa"/>
            <w:tcBorders>
              <w:top w:val="nil"/>
              <w:left w:val="nil"/>
              <w:bottom w:val="nil"/>
              <w:right w:val="nil"/>
            </w:tcBorders>
            <w:shd w:val="clear" w:color="auto" w:fill="auto"/>
            <w:noWrap/>
            <w:vAlign w:val="bottom"/>
            <w:hideMark/>
          </w:tcPr>
          <w:p w14:paraId="6FB94615" w14:textId="77777777" w:rsidR="00E7175C" w:rsidRDefault="00E7175C" w:rsidP="000B7A35">
            <w:pPr>
              <w:rPr>
                <w:color w:val="000000"/>
                <w:sz w:val="22"/>
                <w:szCs w:val="22"/>
              </w:rPr>
            </w:pPr>
            <w:r>
              <w:rPr>
                <w:color w:val="000000"/>
                <w:sz w:val="22"/>
                <w:szCs w:val="22"/>
              </w:rPr>
              <w:t>12.0-13.99</w:t>
            </w:r>
          </w:p>
        </w:tc>
        <w:tc>
          <w:tcPr>
            <w:tcW w:w="925" w:type="dxa"/>
            <w:tcBorders>
              <w:top w:val="nil"/>
              <w:left w:val="nil"/>
              <w:bottom w:val="nil"/>
              <w:right w:val="nil"/>
            </w:tcBorders>
            <w:shd w:val="clear" w:color="auto" w:fill="auto"/>
            <w:noWrap/>
            <w:vAlign w:val="bottom"/>
            <w:hideMark/>
          </w:tcPr>
          <w:p w14:paraId="31C286DF"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0EBCDA94"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7E1A10C4" w14:textId="77777777" w:rsidR="00E7175C" w:rsidRDefault="00E7175C" w:rsidP="000B7A35">
            <w:pPr>
              <w:jc w:val="center"/>
              <w:rPr>
                <w:color w:val="000000"/>
                <w:sz w:val="22"/>
                <w:szCs w:val="22"/>
              </w:rPr>
            </w:pPr>
            <w:r>
              <w:rPr>
                <w:color w:val="000000"/>
                <w:sz w:val="22"/>
                <w:szCs w:val="22"/>
              </w:rPr>
              <w:t>0</w:t>
            </w:r>
          </w:p>
        </w:tc>
        <w:tc>
          <w:tcPr>
            <w:tcW w:w="925" w:type="dxa"/>
            <w:tcBorders>
              <w:top w:val="nil"/>
              <w:left w:val="nil"/>
              <w:bottom w:val="nil"/>
              <w:right w:val="nil"/>
            </w:tcBorders>
            <w:shd w:val="clear" w:color="auto" w:fill="auto"/>
            <w:noWrap/>
            <w:vAlign w:val="bottom"/>
            <w:hideMark/>
          </w:tcPr>
          <w:p w14:paraId="49022776" w14:textId="77777777" w:rsidR="00E7175C" w:rsidRDefault="00E7175C" w:rsidP="000B7A35">
            <w:pPr>
              <w:jc w:val="center"/>
              <w:rPr>
                <w:color w:val="000000"/>
                <w:sz w:val="22"/>
                <w:szCs w:val="22"/>
              </w:rPr>
            </w:pPr>
            <w:r>
              <w:rPr>
                <w:color w:val="000000"/>
                <w:sz w:val="22"/>
                <w:szCs w:val="22"/>
              </w:rPr>
              <w:t>1</w:t>
            </w:r>
          </w:p>
        </w:tc>
        <w:tc>
          <w:tcPr>
            <w:tcW w:w="920" w:type="dxa"/>
            <w:tcBorders>
              <w:top w:val="nil"/>
              <w:left w:val="nil"/>
              <w:bottom w:val="nil"/>
              <w:right w:val="nil"/>
            </w:tcBorders>
            <w:shd w:val="clear" w:color="auto" w:fill="auto"/>
            <w:noWrap/>
            <w:vAlign w:val="bottom"/>
            <w:hideMark/>
          </w:tcPr>
          <w:p w14:paraId="72B0C83C"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02FE94FF" w14:textId="77777777" w:rsidR="00E7175C" w:rsidRDefault="00E7175C" w:rsidP="000B7A35">
            <w:pPr>
              <w:jc w:val="center"/>
              <w:rPr>
                <w:color w:val="000000"/>
                <w:sz w:val="22"/>
                <w:szCs w:val="22"/>
              </w:rPr>
            </w:pPr>
            <w:r>
              <w:rPr>
                <w:color w:val="000000"/>
                <w:sz w:val="22"/>
                <w:szCs w:val="22"/>
              </w:rPr>
              <w:t>1</w:t>
            </w:r>
          </w:p>
        </w:tc>
        <w:tc>
          <w:tcPr>
            <w:tcW w:w="925" w:type="dxa"/>
            <w:tcBorders>
              <w:top w:val="nil"/>
              <w:left w:val="nil"/>
              <w:bottom w:val="nil"/>
              <w:right w:val="nil"/>
            </w:tcBorders>
            <w:shd w:val="clear" w:color="auto" w:fill="auto"/>
            <w:noWrap/>
            <w:vAlign w:val="bottom"/>
            <w:hideMark/>
          </w:tcPr>
          <w:p w14:paraId="7BA69D07" w14:textId="77777777" w:rsidR="00E7175C" w:rsidRDefault="00E7175C" w:rsidP="000B7A35">
            <w:pPr>
              <w:jc w:val="center"/>
              <w:rPr>
                <w:color w:val="000000"/>
                <w:sz w:val="22"/>
                <w:szCs w:val="22"/>
              </w:rPr>
            </w:pPr>
            <w:r>
              <w:rPr>
                <w:color w:val="000000"/>
                <w:sz w:val="22"/>
                <w:szCs w:val="22"/>
              </w:rPr>
              <w:t>2</w:t>
            </w:r>
          </w:p>
        </w:tc>
        <w:tc>
          <w:tcPr>
            <w:tcW w:w="920" w:type="dxa"/>
            <w:tcBorders>
              <w:top w:val="nil"/>
              <w:left w:val="nil"/>
              <w:bottom w:val="nil"/>
              <w:right w:val="nil"/>
            </w:tcBorders>
            <w:shd w:val="clear" w:color="auto" w:fill="auto"/>
            <w:noWrap/>
            <w:vAlign w:val="bottom"/>
            <w:hideMark/>
          </w:tcPr>
          <w:p w14:paraId="41E2FDB2" w14:textId="77777777" w:rsidR="00E7175C" w:rsidRDefault="00E7175C" w:rsidP="000B7A35">
            <w:pPr>
              <w:jc w:val="center"/>
              <w:rPr>
                <w:color w:val="000000"/>
                <w:sz w:val="22"/>
                <w:szCs w:val="22"/>
              </w:rPr>
            </w:pPr>
            <w:r>
              <w:rPr>
                <w:color w:val="000000"/>
                <w:sz w:val="22"/>
                <w:szCs w:val="22"/>
              </w:rPr>
              <w:t>0</w:t>
            </w:r>
          </w:p>
        </w:tc>
        <w:tc>
          <w:tcPr>
            <w:tcW w:w="920" w:type="dxa"/>
            <w:tcBorders>
              <w:top w:val="nil"/>
              <w:left w:val="nil"/>
              <w:bottom w:val="nil"/>
              <w:right w:val="nil"/>
            </w:tcBorders>
            <w:shd w:val="clear" w:color="auto" w:fill="auto"/>
            <w:noWrap/>
            <w:vAlign w:val="bottom"/>
            <w:hideMark/>
          </w:tcPr>
          <w:p w14:paraId="3C2B72A7" w14:textId="77777777" w:rsidR="00E7175C" w:rsidRDefault="00E7175C" w:rsidP="000B7A35">
            <w:pPr>
              <w:jc w:val="center"/>
              <w:rPr>
                <w:color w:val="000000"/>
                <w:sz w:val="22"/>
                <w:szCs w:val="22"/>
              </w:rPr>
            </w:pPr>
            <w:r>
              <w:rPr>
                <w:color w:val="000000"/>
                <w:sz w:val="22"/>
                <w:szCs w:val="22"/>
              </w:rPr>
              <w:t>2</w:t>
            </w:r>
          </w:p>
        </w:tc>
      </w:tr>
      <w:tr w:rsidR="00E7175C" w14:paraId="7A519C89" w14:textId="77777777" w:rsidTr="000B7A35">
        <w:trPr>
          <w:trHeight w:val="300"/>
          <w:jc w:val="center"/>
        </w:trPr>
        <w:tc>
          <w:tcPr>
            <w:tcW w:w="1218" w:type="dxa"/>
            <w:tcBorders>
              <w:top w:val="single" w:sz="4" w:space="0" w:color="auto"/>
              <w:left w:val="nil"/>
              <w:bottom w:val="single" w:sz="4" w:space="0" w:color="auto"/>
              <w:right w:val="nil"/>
            </w:tcBorders>
            <w:shd w:val="clear" w:color="auto" w:fill="auto"/>
            <w:noWrap/>
            <w:vAlign w:val="bottom"/>
            <w:hideMark/>
          </w:tcPr>
          <w:p w14:paraId="730DB590" w14:textId="77777777" w:rsidR="00E7175C" w:rsidRDefault="00E7175C" w:rsidP="000B7A35">
            <w:pPr>
              <w:rPr>
                <w:b/>
                <w:bCs/>
                <w:color w:val="000000"/>
                <w:sz w:val="22"/>
                <w:szCs w:val="22"/>
              </w:rPr>
            </w:pPr>
            <w:r>
              <w:rPr>
                <w:b/>
                <w:bCs/>
                <w:color w:val="000000"/>
                <w:sz w:val="22"/>
                <w:szCs w:val="22"/>
              </w:rPr>
              <w:t>Total</w:t>
            </w:r>
          </w:p>
        </w:tc>
        <w:tc>
          <w:tcPr>
            <w:tcW w:w="925" w:type="dxa"/>
            <w:tcBorders>
              <w:top w:val="single" w:sz="4" w:space="0" w:color="auto"/>
              <w:left w:val="nil"/>
              <w:bottom w:val="single" w:sz="4" w:space="0" w:color="auto"/>
              <w:right w:val="nil"/>
            </w:tcBorders>
            <w:shd w:val="clear" w:color="auto" w:fill="auto"/>
            <w:noWrap/>
            <w:vAlign w:val="bottom"/>
            <w:hideMark/>
          </w:tcPr>
          <w:p w14:paraId="6FFB59A2" w14:textId="77777777" w:rsidR="00E7175C" w:rsidRDefault="00E7175C" w:rsidP="000B7A35">
            <w:pPr>
              <w:jc w:val="center"/>
              <w:rPr>
                <w:b/>
                <w:bCs/>
                <w:color w:val="000000"/>
                <w:sz w:val="22"/>
                <w:szCs w:val="22"/>
              </w:rPr>
            </w:pPr>
            <w:r>
              <w:rPr>
                <w:b/>
                <w:bCs/>
                <w:color w:val="000000"/>
                <w:sz w:val="22"/>
                <w:szCs w:val="22"/>
              </w:rPr>
              <w:t>18</w:t>
            </w:r>
          </w:p>
        </w:tc>
        <w:tc>
          <w:tcPr>
            <w:tcW w:w="920" w:type="dxa"/>
            <w:tcBorders>
              <w:top w:val="single" w:sz="4" w:space="0" w:color="auto"/>
              <w:left w:val="nil"/>
              <w:bottom w:val="single" w:sz="4" w:space="0" w:color="auto"/>
              <w:right w:val="nil"/>
            </w:tcBorders>
            <w:shd w:val="clear" w:color="auto" w:fill="auto"/>
            <w:noWrap/>
            <w:vAlign w:val="bottom"/>
            <w:hideMark/>
          </w:tcPr>
          <w:p w14:paraId="18AA93AA" w14:textId="77777777" w:rsidR="00E7175C" w:rsidRDefault="00E7175C" w:rsidP="000B7A35">
            <w:pPr>
              <w:jc w:val="center"/>
              <w:rPr>
                <w:b/>
                <w:bCs/>
                <w:color w:val="000000"/>
                <w:sz w:val="22"/>
                <w:szCs w:val="22"/>
              </w:rPr>
            </w:pPr>
            <w:r>
              <w:rPr>
                <w:b/>
                <w:bCs/>
                <w:color w:val="000000"/>
                <w:sz w:val="22"/>
                <w:szCs w:val="22"/>
              </w:rPr>
              <w:t>7</w:t>
            </w:r>
          </w:p>
        </w:tc>
        <w:tc>
          <w:tcPr>
            <w:tcW w:w="920" w:type="dxa"/>
            <w:tcBorders>
              <w:top w:val="single" w:sz="4" w:space="0" w:color="auto"/>
              <w:left w:val="nil"/>
              <w:bottom w:val="single" w:sz="4" w:space="0" w:color="auto"/>
              <w:right w:val="nil"/>
            </w:tcBorders>
            <w:shd w:val="clear" w:color="auto" w:fill="auto"/>
            <w:noWrap/>
            <w:vAlign w:val="bottom"/>
            <w:hideMark/>
          </w:tcPr>
          <w:p w14:paraId="62EFA551" w14:textId="77777777" w:rsidR="00E7175C" w:rsidRDefault="00E7175C" w:rsidP="000B7A35">
            <w:pPr>
              <w:jc w:val="center"/>
              <w:rPr>
                <w:b/>
                <w:bCs/>
                <w:color w:val="000000"/>
                <w:sz w:val="22"/>
                <w:szCs w:val="22"/>
              </w:rPr>
            </w:pPr>
            <w:r>
              <w:rPr>
                <w:b/>
                <w:bCs/>
                <w:color w:val="000000"/>
                <w:sz w:val="22"/>
                <w:szCs w:val="22"/>
              </w:rPr>
              <w:t>25</w:t>
            </w:r>
          </w:p>
        </w:tc>
        <w:tc>
          <w:tcPr>
            <w:tcW w:w="925" w:type="dxa"/>
            <w:tcBorders>
              <w:top w:val="single" w:sz="4" w:space="0" w:color="auto"/>
              <w:left w:val="nil"/>
              <w:bottom w:val="single" w:sz="4" w:space="0" w:color="auto"/>
              <w:right w:val="nil"/>
            </w:tcBorders>
            <w:shd w:val="clear" w:color="auto" w:fill="auto"/>
            <w:noWrap/>
            <w:vAlign w:val="bottom"/>
            <w:hideMark/>
          </w:tcPr>
          <w:p w14:paraId="1EA5F5FC" w14:textId="77777777" w:rsidR="00E7175C" w:rsidRDefault="00E7175C" w:rsidP="000B7A35">
            <w:pPr>
              <w:jc w:val="center"/>
              <w:rPr>
                <w:b/>
                <w:bCs/>
                <w:color w:val="000000"/>
                <w:sz w:val="22"/>
                <w:szCs w:val="22"/>
              </w:rPr>
            </w:pPr>
            <w:r>
              <w:rPr>
                <w:b/>
                <w:bCs/>
                <w:color w:val="000000"/>
                <w:sz w:val="22"/>
                <w:szCs w:val="22"/>
              </w:rPr>
              <w:t>17</w:t>
            </w:r>
          </w:p>
        </w:tc>
        <w:tc>
          <w:tcPr>
            <w:tcW w:w="920" w:type="dxa"/>
            <w:tcBorders>
              <w:top w:val="single" w:sz="4" w:space="0" w:color="auto"/>
              <w:left w:val="nil"/>
              <w:bottom w:val="single" w:sz="4" w:space="0" w:color="auto"/>
              <w:right w:val="nil"/>
            </w:tcBorders>
            <w:shd w:val="clear" w:color="auto" w:fill="auto"/>
            <w:noWrap/>
            <w:vAlign w:val="bottom"/>
            <w:hideMark/>
          </w:tcPr>
          <w:p w14:paraId="5FDA8B0E" w14:textId="77777777" w:rsidR="00E7175C" w:rsidRDefault="00E7175C" w:rsidP="000B7A35">
            <w:pPr>
              <w:jc w:val="center"/>
              <w:rPr>
                <w:b/>
                <w:bCs/>
                <w:color w:val="000000"/>
                <w:sz w:val="22"/>
                <w:szCs w:val="22"/>
              </w:rPr>
            </w:pPr>
            <w:r>
              <w:rPr>
                <w:b/>
                <w:bCs/>
                <w:color w:val="000000"/>
                <w:sz w:val="22"/>
                <w:szCs w:val="22"/>
              </w:rPr>
              <w:t>12</w:t>
            </w:r>
          </w:p>
        </w:tc>
        <w:tc>
          <w:tcPr>
            <w:tcW w:w="920" w:type="dxa"/>
            <w:tcBorders>
              <w:top w:val="single" w:sz="4" w:space="0" w:color="auto"/>
              <w:left w:val="nil"/>
              <w:bottom w:val="single" w:sz="4" w:space="0" w:color="auto"/>
              <w:right w:val="nil"/>
            </w:tcBorders>
            <w:shd w:val="clear" w:color="auto" w:fill="auto"/>
            <w:noWrap/>
            <w:vAlign w:val="bottom"/>
            <w:hideMark/>
          </w:tcPr>
          <w:p w14:paraId="5E156F00" w14:textId="77777777" w:rsidR="00E7175C" w:rsidRDefault="00E7175C" w:rsidP="000B7A35">
            <w:pPr>
              <w:jc w:val="center"/>
              <w:rPr>
                <w:b/>
                <w:bCs/>
                <w:color w:val="000000"/>
                <w:sz w:val="22"/>
                <w:szCs w:val="22"/>
              </w:rPr>
            </w:pPr>
            <w:r>
              <w:rPr>
                <w:b/>
                <w:bCs/>
                <w:color w:val="000000"/>
                <w:sz w:val="22"/>
                <w:szCs w:val="22"/>
              </w:rPr>
              <w:t>29</w:t>
            </w:r>
          </w:p>
        </w:tc>
        <w:tc>
          <w:tcPr>
            <w:tcW w:w="925" w:type="dxa"/>
            <w:tcBorders>
              <w:top w:val="single" w:sz="4" w:space="0" w:color="auto"/>
              <w:left w:val="nil"/>
              <w:bottom w:val="single" w:sz="4" w:space="0" w:color="auto"/>
              <w:right w:val="nil"/>
            </w:tcBorders>
            <w:shd w:val="clear" w:color="auto" w:fill="auto"/>
            <w:noWrap/>
            <w:vAlign w:val="bottom"/>
            <w:hideMark/>
          </w:tcPr>
          <w:p w14:paraId="775047CF" w14:textId="77777777" w:rsidR="00E7175C" w:rsidRDefault="00E7175C" w:rsidP="000B7A35">
            <w:pPr>
              <w:jc w:val="center"/>
              <w:rPr>
                <w:b/>
                <w:bCs/>
                <w:color w:val="000000"/>
                <w:sz w:val="22"/>
                <w:szCs w:val="22"/>
              </w:rPr>
            </w:pPr>
            <w:r>
              <w:rPr>
                <w:b/>
                <w:bCs/>
                <w:color w:val="000000"/>
                <w:sz w:val="22"/>
                <w:szCs w:val="22"/>
              </w:rPr>
              <w:t>23</w:t>
            </w:r>
          </w:p>
        </w:tc>
        <w:tc>
          <w:tcPr>
            <w:tcW w:w="920" w:type="dxa"/>
            <w:tcBorders>
              <w:top w:val="single" w:sz="4" w:space="0" w:color="auto"/>
              <w:left w:val="nil"/>
              <w:bottom w:val="single" w:sz="4" w:space="0" w:color="auto"/>
              <w:right w:val="nil"/>
            </w:tcBorders>
            <w:shd w:val="clear" w:color="auto" w:fill="auto"/>
            <w:noWrap/>
            <w:vAlign w:val="bottom"/>
            <w:hideMark/>
          </w:tcPr>
          <w:p w14:paraId="5DDFD738" w14:textId="77777777" w:rsidR="00E7175C" w:rsidRDefault="00E7175C" w:rsidP="000B7A35">
            <w:pPr>
              <w:jc w:val="center"/>
              <w:rPr>
                <w:b/>
                <w:bCs/>
                <w:color w:val="000000"/>
                <w:sz w:val="22"/>
                <w:szCs w:val="22"/>
              </w:rPr>
            </w:pPr>
            <w:r>
              <w:rPr>
                <w:b/>
                <w:bCs/>
                <w:color w:val="000000"/>
                <w:sz w:val="22"/>
                <w:szCs w:val="22"/>
              </w:rPr>
              <w:t>12</w:t>
            </w:r>
          </w:p>
        </w:tc>
        <w:tc>
          <w:tcPr>
            <w:tcW w:w="920" w:type="dxa"/>
            <w:tcBorders>
              <w:top w:val="single" w:sz="4" w:space="0" w:color="auto"/>
              <w:left w:val="nil"/>
              <w:bottom w:val="single" w:sz="4" w:space="0" w:color="auto"/>
              <w:right w:val="nil"/>
            </w:tcBorders>
            <w:shd w:val="clear" w:color="auto" w:fill="auto"/>
            <w:noWrap/>
            <w:vAlign w:val="bottom"/>
            <w:hideMark/>
          </w:tcPr>
          <w:p w14:paraId="6F506578" w14:textId="77777777" w:rsidR="00E7175C" w:rsidRDefault="00E7175C" w:rsidP="000B7A35">
            <w:pPr>
              <w:jc w:val="center"/>
              <w:rPr>
                <w:b/>
                <w:bCs/>
                <w:color w:val="000000"/>
                <w:sz w:val="22"/>
                <w:szCs w:val="22"/>
              </w:rPr>
            </w:pPr>
            <w:r>
              <w:rPr>
                <w:b/>
                <w:bCs/>
                <w:color w:val="000000"/>
                <w:sz w:val="22"/>
                <w:szCs w:val="22"/>
              </w:rPr>
              <w:t>35</w:t>
            </w:r>
          </w:p>
        </w:tc>
      </w:tr>
    </w:tbl>
    <w:p w14:paraId="27EF1BFF" w14:textId="77777777" w:rsidR="00E7175C" w:rsidRDefault="00E7175C" w:rsidP="00E7175C"/>
    <w:p w14:paraId="1B11D297" w14:textId="77777777" w:rsidR="00E7175C" w:rsidRDefault="00E7175C" w:rsidP="00E7175C"/>
    <w:p w14:paraId="15C8B33D" w14:textId="77777777" w:rsidR="00E7175C" w:rsidRDefault="00E7175C" w:rsidP="00246BC3">
      <w:pPr>
        <w:spacing w:line="480" w:lineRule="auto"/>
        <w:contextualSpacing/>
      </w:pPr>
    </w:p>
    <w:p w14:paraId="4F90F078" w14:textId="77777777" w:rsidR="00E7175C" w:rsidRDefault="00E7175C" w:rsidP="00246BC3">
      <w:pPr>
        <w:spacing w:line="480" w:lineRule="auto"/>
        <w:contextualSpacing/>
      </w:pPr>
    </w:p>
    <w:p w14:paraId="0666061C" w14:textId="77777777" w:rsidR="00E7175C" w:rsidRPr="00246BC3" w:rsidRDefault="00E7175C" w:rsidP="00246BC3">
      <w:pPr>
        <w:spacing w:line="480" w:lineRule="auto"/>
        <w:contextualSpacing/>
      </w:pPr>
    </w:p>
    <w:p w14:paraId="130523D6" w14:textId="77777777" w:rsidR="00246BC3" w:rsidRDefault="00246BC3" w:rsidP="00E7175C">
      <w:pPr>
        <w:pStyle w:val="Heading3"/>
      </w:pPr>
      <w:bookmarkStart w:id="83" w:name="_Toc233171679"/>
      <w:r w:rsidRPr="00246BC3">
        <w:lastRenderedPageBreak/>
        <w:t>Analyses and Statistical Methods</w:t>
      </w:r>
      <w:bookmarkEnd w:id="83"/>
    </w:p>
    <w:p w14:paraId="473C7D0B" w14:textId="77777777" w:rsidR="008B1A64" w:rsidRPr="00246BC3" w:rsidRDefault="008B1A64" w:rsidP="008B1A64">
      <w:pPr>
        <w:pStyle w:val="Subtitle"/>
      </w:pPr>
    </w:p>
    <w:p w14:paraId="7695E097" w14:textId="77777777" w:rsidR="00246BC3" w:rsidRPr="00E7175C" w:rsidRDefault="00246BC3" w:rsidP="00E7175C">
      <w:pPr>
        <w:pStyle w:val="Style1"/>
        <w:rPr>
          <w:rStyle w:val="Emphasis"/>
          <w:i/>
          <w:iCs w:val="0"/>
        </w:rPr>
      </w:pPr>
      <w:bookmarkStart w:id="84" w:name="_Toc233171680"/>
      <w:r w:rsidRPr="00E7175C">
        <w:rPr>
          <w:rStyle w:val="Emphasis"/>
          <w:i/>
          <w:iCs w:val="0"/>
        </w:rPr>
        <w:t>Size Standardization</w:t>
      </w:r>
      <w:bookmarkEnd w:id="84"/>
    </w:p>
    <w:p w14:paraId="6ED5F9A3" w14:textId="77777777" w:rsidR="00F20A4E" w:rsidRDefault="00246BC3" w:rsidP="00EA6CF2">
      <w:pPr>
        <w:spacing w:line="480" w:lineRule="auto"/>
        <w:ind w:firstLine="720"/>
      </w:pPr>
      <w:r w:rsidRPr="00246BC3">
        <w:rPr>
          <w:b/>
        </w:rPr>
        <w:t>Cross-sectional Properties.</w:t>
      </w:r>
      <w:r w:rsidR="006A3BEE">
        <w:t xml:space="preserve"> </w:t>
      </w:r>
      <w:r w:rsidRPr="00246BC3">
        <w:t>Standardization of adult long bone cross-sectional properties is required to account for size differences (i.e., body mass and mechanical length of an element) that in turn will affect mechanical loading independent of behavioral activity.</w:t>
      </w:r>
      <w:r w:rsidR="006A3BEE">
        <w:t xml:space="preserve"> </w:t>
      </w:r>
      <w:r w:rsidRPr="00246BC3">
        <w:t>Size standardization is even more important for comparing immature individuals who vary significantly in size with age.</w:t>
      </w:r>
      <w:r w:rsidR="006A3BEE">
        <w:t xml:space="preserve"> </w:t>
      </w:r>
      <w:r w:rsidRPr="00246BC3">
        <w:t>Depending on the bone and the measurement being quantified, cross-sectional properties were size-standardized by body mass, bone length, or a combination of the two</w:t>
      </w:r>
      <w:r w:rsidR="00454CDE">
        <w:t xml:space="preserve"> (Table </w:t>
      </w:r>
      <w:r w:rsidRPr="00246BC3">
        <w:t>.</w:t>
      </w:r>
      <w:r w:rsidR="006A3BEE">
        <w:t xml:space="preserve"> </w:t>
      </w:r>
      <w:r w:rsidRPr="00246BC3">
        <w:t>Following Ruff (2007), body mass was estimated for each individual from distal femoral metaphyseal breadth.</w:t>
      </w:r>
      <w:r w:rsidR="006A3BEE">
        <w:t xml:space="preserve"> </w:t>
      </w:r>
      <w:r w:rsidRPr="00246BC3">
        <w:t>In long bones, cross-sectional geometrical properties of bone mass (i.e., TA and CA) were standardized by body mass, second moments of area (i.e.,</w:t>
      </w:r>
      <w:r w:rsidR="006A3BEE">
        <w:t xml:space="preserve"> </w:t>
      </w:r>
      <w:r w:rsidRPr="00246BC3">
        <w:t>Ix, Iy, Imax, Imin) were standardized by body mass x bone length</w:t>
      </w:r>
      <w:r w:rsidRPr="00246BC3">
        <w:rPr>
          <w:vertAlign w:val="superscript"/>
        </w:rPr>
        <w:t>2</w:t>
      </w:r>
      <w:r w:rsidRPr="00246BC3">
        <w:t>, and section moduli (e.g., Zp) were standardized by body mass x bone length (Ruff, 2008).</w:t>
      </w:r>
      <w:r w:rsidR="006A3BEE">
        <w:t xml:space="preserve"> </w:t>
      </w:r>
      <w:r w:rsidRPr="00246BC3">
        <w:t>Because Alytus subadults exhibit delayed epiphyseal fusion relative to the Ruff (2007) reference population (the Denver growth sample), Alytus individuals at or above 13 years of age could not be size-standardized directly using the Ruff regression equations without first converting diaphyseal lengths to total bone lengths.</w:t>
      </w:r>
      <w:r w:rsidR="006A3BEE">
        <w:t xml:space="preserve"> </w:t>
      </w:r>
      <w:r w:rsidRPr="00246BC3">
        <w:t xml:space="preserve">The conversion equation [Diaphyseal length * (Femoral ratio=1.097, Humeral ratio=1.079 = Total bone length] was applied to these individuals prior to stature estimation and size standardizations using bone length. </w:t>
      </w:r>
    </w:p>
    <w:p w14:paraId="0D2BCC37" w14:textId="77777777" w:rsidR="0051526C" w:rsidRDefault="0051526C" w:rsidP="00EA6CF2">
      <w:pPr>
        <w:spacing w:line="480" w:lineRule="auto"/>
        <w:ind w:firstLine="720"/>
      </w:pPr>
    </w:p>
    <w:p w14:paraId="6446207C" w14:textId="77777777" w:rsidR="0051526C" w:rsidRDefault="0051526C" w:rsidP="00EA6CF2">
      <w:pPr>
        <w:spacing w:line="480" w:lineRule="auto"/>
        <w:ind w:firstLine="720"/>
      </w:pPr>
    </w:p>
    <w:p w14:paraId="21D6DAED" w14:textId="77777777" w:rsidR="00F20A4E" w:rsidRDefault="00F20A4E" w:rsidP="00F20A4E"/>
    <w:p w14:paraId="4A99818D" w14:textId="77777777" w:rsidR="00A41BBF" w:rsidRDefault="00A41BBF" w:rsidP="00EA6CF2">
      <w:pPr>
        <w:pStyle w:val="Caption"/>
        <w:keepNext/>
        <w:jc w:val="center"/>
      </w:pPr>
      <w:bookmarkStart w:id="85" w:name="_Toc233182903"/>
      <w:r>
        <w:lastRenderedPageBreak/>
        <w:t xml:space="preserve">Table </w:t>
      </w:r>
      <w:fldSimple w:instr=" SEQ Table \* ARABIC ">
        <w:r w:rsidR="00054A3E">
          <w:rPr>
            <w:noProof/>
          </w:rPr>
          <w:t>8</w:t>
        </w:r>
      </w:fldSimple>
      <w:r>
        <w:t xml:space="preserve">. </w:t>
      </w:r>
      <w:r w:rsidRPr="00B47A85">
        <w:t xml:space="preserve">Measurements used in </w:t>
      </w:r>
      <w:r w:rsidR="00454CDE">
        <w:t xml:space="preserve">size </w:t>
      </w:r>
      <w:r w:rsidRPr="00B47A85">
        <w:t xml:space="preserve">standardization of </w:t>
      </w:r>
      <w:r w:rsidR="00454CDE">
        <w:t>cross-sectional properties</w:t>
      </w:r>
      <w:bookmarkEnd w:id="85"/>
      <w:r w:rsidR="000479B3">
        <w:t>.</w:t>
      </w:r>
    </w:p>
    <w:p w14:paraId="7E0BD4B0" w14:textId="77777777" w:rsidR="00A41BBF" w:rsidRPr="00A41BBF" w:rsidRDefault="00A41BBF" w:rsidP="00A41BBF"/>
    <w:tbl>
      <w:tblPr>
        <w:tblW w:w="9576" w:type="dxa"/>
        <w:jc w:val="center"/>
        <w:tblLook w:val="04A0" w:firstRow="1" w:lastRow="0" w:firstColumn="1" w:lastColumn="0" w:noHBand="0" w:noVBand="1"/>
      </w:tblPr>
      <w:tblGrid>
        <w:gridCol w:w="1162"/>
        <w:gridCol w:w="1971"/>
        <w:gridCol w:w="2090"/>
        <w:gridCol w:w="1449"/>
        <w:gridCol w:w="1406"/>
        <w:gridCol w:w="1498"/>
      </w:tblGrid>
      <w:tr w:rsidR="00F20A4E" w:rsidRPr="00A41BBF" w14:paraId="129659C8" w14:textId="77777777" w:rsidTr="00A41BBF">
        <w:trPr>
          <w:trHeight w:val="181"/>
          <w:jc w:val="center"/>
        </w:trPr>
        <w:tc>
          <w:tcPr>
            <w:tcW w:w="1162" w:type="dxa"/>
            <w:tcBorders>
              <w:top w:val="single" w:sz="4" w:space="0" w:color="auto"/>
              <w:bottom w:val="single" w:sz="4" w:space="0" w:color="auto"/>
            </w:tcBorders>
            <w:vAlign w:val="center"/>
          </w:tcPr>
          <w:p w14:paraId="26EB554E" w14:textId="77777777" w:rsidR="00F20A4E" w:rsidRPr="00A41BBF" w:rsidRDefault="00F20A4E" w:rsidP="00454CDE">
            <w:pPr>
              <w:spacing w:before="20" w:after="20"/>
              <w:jc w:val="center"/>
              <w:rPr>
                <w:sz w:val="19"/>
                <w:szCs w:val="19"/>
              </w:rPr>
            </w:pPr>
            <w:r w:rsidRPr="00A41BBF">
              <w:rPr>
                <w:sz w:val="19"/>
                <w:szCs w:val="19"/>
              </w:rPr>
              <w:t>Bone Element</w:t>
            </w:r>
          </w:p>
        </w:tc>
        <w:tc>
          <w:tcPr>
            <w:tcW w:w="1971" w:type="dxa"/>
            <w:tcBorders>
              <w:top w:val="single" w:sz="4" w:space="0" w:color="auto"/>
              <w:bottom w:val="single" w:sz="4" w:space="0" w:color="auto"/>
            </w:tcBorders>
          </w:tcPr>
          <w:p w14:paraId="2D34646F" w14:textId="77777777" w:rsidR="00454CDE" w:rsidRDefault="00F20A4E" w:rsidP="00454CDE">
            <w:pPr>
              <w:pStyle w:val="ColorfulList-Accent11"/>
              <w:autoSpaceDE w:val="0"/>
              <w:autoSpaceDN w:val="0"/>
              <w:adjustRightInd w:val="0"/>
              <w:ind w:left="0"/>
              <w:jc w:val="center"/>
              <w:rPr>
                <w:rFonts w:ascii="Times New Roman" w:hAnsi="Times New Roman"/>
                <w:sz w:val="19"/>
                <w:szCs w:val="19"/>
              </w:rPr>
            </w:pPr>
            <w:r w:rsidRPr="00A41BBF">
              <w:rPr>
                <w:rFonts w:ascii="Times New Roman" w:hAnsi="Times New Roman"/>
                <w:sz w:val="19"/>
                <w:szCs w:val="19"/>
              </w:rPr>
              <w:t xml:space="preserve">Measurement </w:t>
            </w:r>
          </w:p>
          <w:p w14:paraId="4DFDBAA9" w14:textId="77777777" w:rsidR="00F20A4E" w:rsidRPr="00A41BBF" w:rsidRDefault="00F20A4E" w:rsidP="00454CDE">
            <w:pPr>
              <w:pStyle w:val="ColorfulList-Accent11"/>
              <w:autoSpaceDE w:val="0"/>
              <w:autoSpaceDN w:val="0"/>
              <w:adjustRightInd w:val="0"/>
              <w:ind w:left="0"/>
              <w:jc w:val="center"/>
              <w:rPr>
                <w:rFonts w:ascii="Times New Roman" w:hAnsi="Times New Roman"/>
                <w:sz w:val="19"/>
                <w:szCs w:val="19"/>
              </w:rPr>
            </w:pPr>
            <w:r w:rsidRPr="00A41BBF">
              <w:rPr>
                <w:rFonts w:ascii="Times New Roman" w:hAnsi="Times New Roman"/>
                <w:sz w:val="19"/>
                <w:szCs w:val="19"/>
              </w:rPr>
              <w:t>Type</w:t>
            </w:r>
          </w:p>
        </w:tc>
        <w:tc>
          <w:tcPr>
            <w:tcW w:w="2090" w:type="dxa"/>
            <w:tcBorders>
              <w:top w:val="single" w:sz="4" w:space="0" w:color="auto"/>
              <w:bottom w:val="single" w:sz="4" w:space="0" w:color="auto"/>
            </w:tcBorders>
            <w:vAlign w:val="center"/>
          </w:tcPr>
          <w:p w14:paraId="19EEB20C" w14:textId="77777777" w:rsidR="00F20A4E" w:rsidRPr="00A41BBF" w:rsidRDefault="00F20A4E" w:rsidP="00454CDE">
            <w:pPr>
              <w:pStyle w:val="ColorfulList-Accent11"/>
              <w:autoSpaceDE w:val="0"/>
              <w:autoSpaceDN w:val="0"/>
              <w:adjustRightInd w:val="0"/>
              <w:ind w:left="0"/>
              <w:jc w:val="center"/>
              <w:rPr>
                <w:rFonts w:ascii="Times New Roman" w:hAnsi="Times New Roman"/>
                <w:sz w:val="19"/>
                <w:szCs w:val="19"/>
              </w:rPr>
            </w:pPr>
            <w:r w:rsidRPr="00A41BBF">
              <w:rPr>
                <w:rFonts w:ascii="Times New Roman" w:hAnsi="Times New Roman"/>
                <w:sz w:val="19"/>
                <w:szCs w:val="19"/>
              </w:rPr>
              <w:t>Measurement</w:t>
            </w:r>
            <w:r w:rsidRPr="00A41BBF">
              <w:rPr>
                <w:rFonts w:ascii="Times New Roman" w:hAnsi="Times New Roman"/>
                <w:sz w:val="19"/>
                <w:szCs w:val="19"/>
                <w:vertAlign w:val="superscript"/>
              </w:rPr>
              <w:t>1</w:t>
            </w:r>
          </w:p>
        </w:tc>
        <w:tc>
          <w:tcPr>
            <w:tcW w:w="1449" w:type="dxa"/>
            <w:tcBorders>
              <w:top w:val="single" w:sz="4" w:space="0" w:color="auto"/>
              <w:bottom w:val="single" w:sz="4" w:space="0" w:color="auto"/>
            </w:tcBorders>
            <w:vAlign w:val="center"/>
          </w:tcPr>
          <w:p w14:paraId="7531493A" w14:textId="77777777" w:rsidR="00F20A4E" w:rsidRPr="00A41BBF" w:rsidRDefault="00F20A4E" w:rsidP="00454CDE">
            <w:pPr>
              <w:spacing w:before="20" w:after="20"/>
              <w:jc w:val="center"/>
              <w:rPr>
                <w:sz w:val="19"/>
                <w:szCs w:val="19"/>
              </w:rPr>
            </w:pPr>
            <w:r w:rsidRPr="00A41BBF">
              <w:rPr>
                <w:sz w:val="19"/>
                <w:szCs w:val="19"/>
              </w:rPr>
              <w:t>Instrument</w:t>
            </w:r>
          </w:p>
        </w:tc>
        <w:tc>
          <w:tcPr>
            <w:tcW w:w="1406" w:type="dxa"/>
            <w:tcBorders>
              <w:top w:val="single" w:sz="4" w:space="0" w:color="auto"/>
              <w:bottom w:val="single" w:sz="4" w:space="0" w:color="auto"/>
            </w:tcBorders>
            <w:vAlign w:val="center"/>
          </w:tcPr>
          <w:p w14:paraId="7ED33239" w14:textId="77777777" w:rsidR="00F20A4E" w:rsidRPr="00A41BBF" w:rsidRDefault="00F20A4E" w:rsidP="00454CDE">
            <w:pPr>
              <w:spacing w:before="20" w:after="20"/>
              <w:jc w:val="center"/>
              <w:rPr>
                <w:sz w:val="19"/>
                <w:szCs w:val="19"/>
              </w:rPr>
            </w:pPr>
            <w:r w:rsidRPr="00A41BBF">
              <w:rPr>
                <w:sz w:val="19"/>
                <w:szCs w:val="19"/>
              </w:rPr>
              <w:t>Reference</w:t>
            </w:r>
          </w:p>
        </w:tc>
        <w:tc>
          <w:tcPr>
            <w:tcW w:w="1498" w:type="dxa"/>
            <w:tcBorders>
              <w:top w:val="single" w:sz="4" w:space="0" w:color="auto"/>
              <w:bottom w:val="single" w:sz="4" w:space="0" w:color="auto"/>
            </w:tcBorders>
            <w:vAlign w:val="center"/>
          </w:tcPr>
          <w:p w14:paraId="073AB42A" w14:textId="77777777" w:rsidR="00F20A4E" w:rsidRPr="00A41BBF" w:rsidRDefault="00F20A4E" w:rsidP="00454CDE">
            <w:pPr>
              <w:spacing w:before="20" w:after="20"/>
              <w:jc w:val="center"/>
              <w:rPr>
                <w:color w:val="000000"/>
                <w:sz w:val="19"/>
                <w:szCs w:val="19"/>
              </w:rPr>
            </w:pPr>
            <w:r w:rsidRPr="00A41BBF">
              <w:rPr>
                <w:color w:val="000000"/>
                <w:sz w:val="19"/>
                <w:szCs w:val="19"/>
              </w:rPr>
              <w:t>% Measurement</w:t>
            </w:r>
          </w:p>
          <w:p w14:paraId="721E61AF" w14:textId="77777777" w:rsidR="00F20A4E" w:rsidRPr="00A41BBF" w:rsidRDefault="00F20A4E" w:rsidP="00454CDE">
            <w:pPr>
              <w:spacing w:before="20" w:after="20"/>
              <w:jc w:val="center"/>
              <w:rPr>
                <w:color w:val="000000"/>
                <w:sz w:val="19"/>
                <w:szCs w:val="19"/>
              </w:rPr>
            </w:pPr>
            <w:r w:rsidRPr="00A41BBF">
              <w:rPr>
                <w:color w:val="000000"/>
                <w:sz w:val="19"/>
                <w:szCs w:val="19"/>
              </w:rPr>
              <w:t>error</w:t>
            </w:r>
            <w:r w:rsidRPr="00A41BBF">
              <w:rPr>
                <w:color w:val="000000"/>
                <w:sz w:val="19"/>
                <w:szCs w:val="19"/>
                <w:vertAlign w:val="superscript"/>
              </w:rPr>
              <w:t>2</w:t>
            </w:r>
          </w:p>
        </w:tc>
      </w:tr>
      <w:tr w:rsidR="00F20A4E" w:rsidRPr="007060FE" w14:paraId="22A2FBE5" w14:textId="77777777" w:rsidTr="00A41BBF">
        <w:trPr>
          <w:trHeight w:val="181"/>
          <w:jc w:val="center"/>
        </w:trPr>
        <w:tc>
          <w:tcPr>
            <w:tcW w:w="1162" w:type="dxa"/>
            <w:tcBorders>
              <w:top w:val="single" w:sz="4" w:space="0" w:color="auto"/>
            </w:tcBorders>
            <w:vAlign w:val="center"/>
          </w:tcPr>
          <w:p w14:paraId="2CFF1404" w14:textId="77777777" w:rsidR="00F20A4E" w:rsidRPr="007060FE" w:rsidRDefault="00F20A4E" w:rsidP="00454CDE">
            <w:pPr>
              <w:spacing w:before="20" w:after="20"/>
              <w:jc w:val="center"/>
              <w:rPr>
                <w:b/>
                <w:sz w:val="19"/>
                <w:szCs w:val="19"/>
              </w:rPr>
            </w:pPr>
            <w:r w:rsidRPr="007060FE">
              <w:rPr>
                <w:b/>
                <w:sz w:val="19"/>
                <w:szCs w:val="19"/>
              </w:rPr>
              <w:t>Femur and Humerus</w:t>
            </w:r>
          </w:p>
        </w:tc>
        <w:tc>
          <w:tcPr>
            <w:tcW w:w="1971" w:type="dxa"/>
            <w:tcBorders>
              <w:top w:val="single" w:sz="4" w:space="0" w:color="auto"/>
              <w:bottom w:val="single" w:sz="4" w:space="0" w:color="auto"/>
            </w:tcBorders>
            <w:vAlign w:val="center"/>
          </w:tcPr>
          <w:p w14:paraId="50AFA66F" w14:textId="77777777" w:rsidR="00F20A4E" w:rsidRPr="007060FE" w:rsidRDefault="00F20A4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sidRPr="007060FE">
              <w:rPr>
                <w:rFonts w:ascii="Times New Roman" w:hAnsi="Times New Roman"/>
                <w:sz w:val="19"/>
                <w:szCs w:val="19"/>
              </w:rPr>
              <w:t>Bone length</w:t>
            </w:r>
          </w:p>
        </w:tc>
        <w:tc>
          <w:tcPr>
            <w:tcW w:w="2090" w:type="dxa"/>
            <w:tcBorders>
              <w:top w:val="single" w:sz="4" w:space="0" w:color="auto"/>
              <w:bottom w:val="single" w:sz="4" w:space="0" w:color="auto"/>
            </w:tcBorders>
            <w:vAlign w:val="center"/>
          </w:tcPr>
          <w:p w14:paraId="7D90C703" w14:textId="77777777" w:rsidR="00F20A4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sidRPr="007060FE">
              <w:rPr>
                <w:rFonts w:ascii="Times New Roman" w:hAnsi="Times New Roman"/>
                <w:sz w:val="19"/>
                <w:szCs w:val="19"/>
              </w:rPr>
              <w:t xml:space="preserve">Biomechanical </w:t>
            </w:r>
            <w:r>
              <w:rPr>
                <w:rFonts w:ascii="Times New Roman" w:hAnsi="Times New Roman"/>
                <w:sz w:val="19"/>
                <w:szCs w:val="19"/>
              </w:rPr>
              <w:t xml:space="preserve">diaphyseal </w:t>
            </w:r>
            <w:r w:rsidRPr="007060FE">
              <w:rPr>
                <w:rFonts w:ascii="Times New Roman" w:hAnsi="Times New Roman"/>
                <w:sz w:val="19"/>
                <w:szCs w:val="19"/>
              </w:rPr>
              <w:t>length</w:t>
            </w:r>
          </w:p>
        </w:tc>
        <w:tc>
          <w:tcPr>
            <w:tcW w:w="1449" w:type="dxa"/>
            <w:tcBorders>
              <w:top w:val="single" w:sz="4" w:space="0" w:color="auto"/>
              <w:bottom w:val="single" w:sz="4" w:space="0" w:color="auto"/>
            </w:tcBorders>
            <w:vAlign w:val="center"/>
          </w:tcPr>
          <w:p w14:paraId="362FC45D" w14:textId="77777777" w:rsidR="00F20A4E" w:rsidRPr="007060FE" w:rsidRDefault="00F02A94" w:rsidP="00454CDE">
            <w:pPr>
              <w:spacing w:before="20" w:after="20"/>
              <w:jc w:val="center"/>
              <w:rPr>
                <w:sz w:val="19"/>
                <w:szCs w:val="19"/>
              </w:rPr>
            </w:pPr>
            <w:r>
              <w:rPr>
                <w:sz w:val="19"/>
                <w:szCs w:val="19"/>
              </w:rPr>
              <w:t>Subadult</w:t>
            </w:r>
            <w:r w:rsidR="00F20A4E" w:rsidRPr="007060FE">
              <w:rPr>
                <w:sz w:val="19"/>
                <w:szCs w:val="19"/>
              </w:rPr>
              <w:t xml:space="preserve"> osteometric board</w:t>
            </w:r>
          </w:p>
        </w:tc>
        <w:tc>
          <w:tcPr>
            <w:tcW w:w="1406" w:type="dxa"/>
            <w:tcBorders>
              <w:top w:val="single" w:sz="4" w:space="0" w:color="auto"/>
              <w:bottom w:val="single" w:sz="4" w:space="0" w:color="auto"/>
            </w:tcBorders>
            <w:vAlign w:val="center"/>
          </w:tcPr>
          <w:p w14:paraId="618CEA71" w14:textId="77777777" w:rsidR="00F20A4E" w:rsidRPr="007060FE" w:rsidRDefault="00454CDE" w:rsidP="00454CDE">
            <w:pPr>
              <w:spacing w:before="20" w:after="20"/>
              <w:jc w:val="center"/>
              <w:rPr>
                <w:sz w:val="19"/>
                <w:szCs w:val="19"/>
              </w:rPr>
            </w:pPr>
            <w:r w:rsidRPr="007060FE">
              <w:rPr>
                <w:sz w:val="19"/>
                <w:szCs w:val="19"/>
              </w:rPr>
              <w:t>Trinkaus et al. (2002)</w:t>
            </w:r>
          </w:p>
        </w:tc>
        <w:tc>
          <w:tcPr>
            <w:tcW w:w="1498" w:type="dxa"/>
            <w:tcBorders>
              <w:top w:val="single" w:sz="4" w:space="0" w:color="auto"/>
              <w:bottom w:val="single" w:sz="4" w:space="0" w:color="auto"/>
            </w:tcBorders>
          </w:tcPr>
          <w:p w14:paraId="760AD5E7" w14:textId="77777777" w:rsidR="00F20A4E" w:rsidRDefault="00F20A4E" w:rsidP="00454CDE">
            <w:pPr>
              <w:spacing w:before="20" w:after="20"/>
              <w:jc w:val="center"/>
              <w:rPr>
                <w:color w:val="000000"/>
                <w:sz w:val="19"/>
                <w:szCs w:val="19"/>
              </w:rPr>
            </w:pPr>
            <w:r>
              <w:rPr>
                <w:color w:val="000000"/>
                <w:sz w:val="19"/>
                <w:szCs w:val="19"/>
              </w:rPr>
              <w:t>0.17 (F</w:t>
            </w:r>
            <w:r w:rsidRPr="00725D39">
              <w:rPr>
                <w:color w:val="000000"/>
                <w:sz w:val="19"/>
                <w:szCs w:val="19"/>
              </w:rPr>
              <w:t>)</w:t>
            </w:r>
          </w:p>
          <w:p w14:paraId="18BCEB7E" w14:textId="77777777" w:rsidR="00F20A4E" w:rsidRPr="007060FE" w:rsidRDefault="00F20A4E" w:rsidP="00454CDE">
            <w:pPr>
              <w:spacing w:before="20" w:after="20"/>
              <w:jc w:val="center"/>
              <w:rPr>
                <w:sz w:val="19"/>
                <w:szCs w:val="19"/>
              </w:rPr>
            </w:pPr>
            <w:r>
              <w:rPr>
                <w:color w:val="000000"/>
                <w:sz w:val="19"/>
                <w:szCs w:val="19"/>
              </w:rPr>
              <w:t>0.19 (H)</w:t>
            </w:r>
          </w:p>
        </w:tc>
      </w:tr>
      <w:tr w:rsidR="00454CDE" w:rsidRPr="007060FE" w14:paraId="6C2DF29E" w14:textId="77777777" w:rsidTr="000479B3">
        <w:trPr>
          <w:trHeight w:val="181"/>
          <w:jc w:val="center"/>
        </w:trPr>
        <w:tc>
          <w:tcPr>
            <w:tcW w:w="1162" w:type="dxa"/>
            <w:tcBorders>
              <w:bottom w:val="single" w:sz="4" w:space="0" w:color="auto"/>
            </w:tcBorders>
            <w:vAlign w:val="center"/>
          </w:tcPr>
          <w:p w14:paraId="61A63FBB" w14:textId="77777777" w:rsidR="00454CDE" w:rsidRPr="007060FE" w:rsidRDefault="00454CDE" w:rsidP="00454CDE">
            <w:pPr>
              <w:spacing w:before="20" w:after="20"/>
              <w:jc w:val="center"/>
              <w:rPr>
                <w:b/>
                <w:sz w:val="19"/>
                <w:szCs w:val="19"/>
              </w:rPr>
            </w:pPr>
          </w:p>
        </w:tc>
        <w:tc>
          <w:tcPr>
            <w:tcW w:w="1971" w:type="dxa"/>
            <w:tcBorders>
              <w:top w:val="single" w:sz="4" w:space="0" w:color="auto"/>
              <w:bottom w:val="single" w:sz="4" w:space="0" w:color="auto"/>
            </w:tcBorders>
            <w:vAlign w:val="center"/>
          </w:tcPr>
          <w:p w14:paraId="41E7C3F9" w14:textId="77777777" w:rsidR="00454CD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Metaphyseal</w:t>
            </w:r>
          </w:p>
          <w:p w14:paraId="7355F588" w14:textId="77777777" w:rsidR="00454CD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sidRPr="007060FE">
              <w:rPr>
                <w:rFonts w:ascii="Times New Roman" w:hAnsi="Times New Roman"/>
                <w:sz w:val="19"/>
                <w:szCs w:val="19"/>
              </w:rPr>
              <w:t>dimensions</w:t>
            </w:r>
          </w:p>
        </w:tc>
        <w:tc>
          <w:tcPr>
            <w:tcW w:w="2090" w:type="dxa"/>
            <w:tcBorders>
              <w:top w:val="single" w:sz="4" w:space="0" w:color="auto"/>
              <w:bottom w:val="single" w:sz="4" w:space="0" w:color="auto"/>
            </w:tcBorders>
            <w:vAlign w:val="center"/>
          </w:tcPr>
          <w:p w14:paraId="43B94696" w14:textId="77777777" w:rsidR="00454CD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Distal M</w:t>
            </w:r>
            <w:r w:rsidRPr="007060FE">
              <w:rPr>
                <w:rFonts w:ascii="Times New Roman" w:hAnsi="Times New Roman"/>
                <w:sz w:val="19"/>
                <w:szCs w:val="19"/>
              </w:rPr>
              <w:t>L metaphyseal</w:t>
            </w:r>
          </w:p>
          <w:p w14:paraId="35D5BCCA" w14:textId="77777777" w:rsidR="00454CD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vertAlign w:val="superscript"/>
              </w:rPr>
            </w:pPr>
            <w:r w:rsidRPr="007060FE">
              <w:rPr>
                <w:rFonts w:ascii="Times New Roman" w:hAnsi="Times New Roman"/>
                <w:sz w:val="19"/>
                <w:szCs w:val="19"/>
              </w:rPr>
              <w:t>breadth</w:t>
            </w:r>
          </w:p>
        </w:tc>
        <w:tc>
          <w:tcPr>
            <w:tcW w:w="1449" w:type="dxa"/>
            <w:tcBorders>
              <w:top w:val="single" w:sz="4" w:space="0" w:color="auto"/>
              <w:bottom w:val="single" w:sz="4" w:space="0" w:color="auto"/>
            </w:tcBorders>
            <w:vAlign w:val="center"/>
          </w:tcPr>
          <w:p w14:paraId="63B8521E" w14:textId="77777777" w:rsidR="00454CDE" w:rsidRPr="007060FE" w:rsidRDefault="00454CDE" w:rsidP="00454CDE">
            <w:pPr>
              <w:spacing w:before="20" w:after="20"/>
              <w:jc w:val="center"/>
              <w:rPr>
                <w:sz w:val="19"/>
                <w:szCs w:val="19"/>
              </w:rPr>
            </w:pPr>
            <w:r w:rsidRPr="007060FE">
              <w:rPr>
                <w:sz w:val="19"/>
                <w:szCs w:val="19"/>
              </w:rPr>
              <w:t>Digital Calipers</w:t>
            </w:r>
          </w:p>
        </w:tc>
        <w:tc>
          <w:tcPr>
            <w:tcW w:w="1406" w:type="dxa"/>
            <w:tcBorders>
              <w:top w:val="single" w:sz="4" w:space="0" w:color="auto"/>
              <w:bottom w:val="single" w:sz="4" w:space="0" w:color="auto"/>
            </w:tcBorders>
            <w:vAlign w:val="center"/>
          </w:tcPr>
          <w:p w14:paraId="313346B4" w14:textId="77777777" w:rsidR="00454CDE" w:rsidRPr="007060FE" w:rsidRDefault="00454CDE" w:rsidP="00454CDE">
            <w:pPr>
              <w:spacing w:before="20" w:after="20"/>
              <w:jc w:val="center"/>
              <w:rPr>
                <w:sz w:val="19"/>
                <w:szCs w:val="19"/>
              </w:rPr>
            </w:pPr>
            <w:r w:rsidRPr="007060FE">
              <w:rPr>
                <w:sz w:val="19"/>
                <w:szCs w:val="19"/>
              </w:rPr>
              <w:t>Buikstra and Ubelaker (1994)</w:t>
            </w:r>
          </w:p>
        </w:tc>
        <w:tc>
          <w:tcPr>
            <w:tcW w:w="1498" w:type="dxa"/>
            <w:tcBorders>
              <w:top w:val="single" w:sz="4" w:space="0" w:color="auto"/>
              <w:bottom w:val="single" w:sz="4" w:space="0" w:color="auto"/>
            </w:tcBorders>
          </w:tcPr>
          <w:p w14:paraId="172C4042" w14:textId="77777777" w:rsidR="00454CDE" w:rsidRDefault="00454CDE" w:rsidP="00454CDE">
            <w:pPr>
              <w:spacing w:before="20" w:after="20"/>
              <w:jc w:val="center"/>
              <w:rPr>
                <w:sz w:val="19"/>
                <w:szCs w:val="19"/>
              </w:rPr>
            </w:pPr>
            <w:r>
              <w:rPr>
                <w:sz w:val="19"/>
                <w:szCs w:val="19"/>
              </w:rPr>
              <w:t>0.27 (F)</w:t>
            </w:r>
          </w:p>
          <w:p w14:paraId="17A9E7CA" w14:textId="77777777" w:rsidR="00454CDE" w:rsidRPr="007060FE" w:rsidRDefault="00454CDE" w:rsidP="00454CDE">
            <w:pPr>
              <w:spacing w:before="20" w:after="20"/>
              <w:jc w:val="center"/>
              <w:rPr>
                <w:sz w:val="19"/>
                <w:szCs w:val="19"/>
              </w:rPr>
            </w:pPr>
            <w:r>
              <w:rPr>
                <w:sz w:val="19"/>
                <w:szCs w:val="19"/>
              </w:rPr>
              <w:t>0.39 (H)</w:t>
            </w:r>
          </w:p>
        </w:tc>
      </w:tr>
      <w:tr w:rsidR="00454CDE" w:rsidRPr="007060FE" w14:paraId="06C460FA" w14:textId="77777777" w:rsidTr="000479B3">
        <w:trPr>
          <w:trHeight w:val="738"/>
          <w:jc w:val="center"/>
        </w:trPr>
        <w:tc>
          <w:tcPr>
            <w:tcW w:w="1162" w:type="dxa"/>
            <w:tcBorders>
              <w:top w:val="single" w:sz="4" w:space="0" w:color="auto"/>
              <w:bottom w:val="single" w:sz="4" w:space="0" w:color="auto"/>
            </w:tcBorders>
            <w:vAlign w:val="center"/>
          </w:tcPr>
          <w:p w14:paraId="39C1871E" w14:textId="77777777" w:rsidR="00454CDE" w:rsidRPr="007060FE" w:rsidRDefault="00454CDE" w:rsidP="00454CDE">
            <w:pPr>
              <w:spacing w:before="20" w:after="20"/>
              <w:jc w:val="center"/>
              <w:rPr>
                <w:b/>
                <w:sz w:val="19"/>
                <w:szCs w:val="19"/>
              </w:rPr>
            </w:pPr>
            <w:r w:rsidRPr="007060FE">
              <w:rPr>
                <w:b/>
                <w:sz w:val="19"/>
                <w:szCs w:val="19"/>
              </w:rPr>
              <w:t>Rib</w:t>
            </w:r>
          </w:p>
        </w:tc>
        <w:tc>
          <w:tcPr>
            <w:tcW w:w="1971" w:type="dxa"/>
            <w:tcBorders>
              <w:top w:val="single" w:sz="4" w:space="0" w:color="auto"/>
              <w:bottom w:val="single" w:sz="4" w:space="0" w:color="auto"/>
            </w:tcBorders>
            <w:vAlign w:val="center"/>
          </w:tcPr>
          <w:p w14:paraId="50695D25" w14:textId="77777777" w:rsidR="00454CD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Pr>
                <w:rFonts w:ascii="Times New Roman" w:hAnsi="Times New Roman"/>
                <w:sz w:val="19"/>
                <w:szCs w:val="19"/>
              </w:rPr>
              <w:t>Bone l</w:t>
            </w:r>
            <w:r w:rsidRPr="007060FE">
              <w:rPr>
                <w:rFonts w:ascii="Times New Roman" w:hAnsi="Times New Roman"/>
                <w:sz w:val="19"/>
                <w:szCs w:val="19"/>
              </w:rPr>
              <w:t>ength</w:t>
            </w:r>
          </w:p>
        </w:tc>
        <w:tc>
          <w:tcPr>
            <w:tcW w:w="2090" w:type="dxa"/>
            <w:tcBorders>
              <w:top w:val="single" w:sz="4" w:space="0" w:color="auto"/>
              <w:bottom w:val="single" w:sz="4" w:space="0" w:color="auto"/>
            </w:tcBorders>
            <w:vAlign w:val="center"/>
          </w:tcPr>
          <w:p w14:paraId="752726B6" w14:textId="77777777" w:rsidR="00454CDE" w:rsidRPr="007060FE" w:rsidRDefault="00454CDE" w:rsidP="00454CDE">
            <w:pPr>
              <w:pStyle w:val="ColorfulList-Accent11"/>
              <w:autoSpaceDE w:val="0"/>
              <w:autoSpaceDN w:val="0"/>
              <w:adjustRightInd w:val="0"/>
              <w:spacing w:before="20" w:after="20" w:line="240" w:lineRule="auto"/>
              <w:ind w:left="0"/>
              <w:jc w:val="center"/>
              <w:rPr>
                <w:rFonts w:ascii="Times New Roman" w:hAnsi="Times New Roman"/>
                <w:sz w:val="19"/>
                <w:szCs w:val="19"/>
              </w:rPr>
            </w:pPr>
            <w:r w:rsidRPr="007060FE">
              <w:rPr>
                <w:rFonts w:ascii="Times New Roman" w:hAnsi="Times New Roman"/>
                <w:sz w:val="19"/>
                <w:szCs w:val="19"/>
              </w:rPr>
              <w:t>Cord length</w:t>
            </w:r>
          </w:p>
        </w:tc>
        <w:tc>
          <w:tcPr>
            <w:tcW w:w="1449" w:type="dxa"/>
            <w:tcBorders>
              <w:top w:val="single" w:sz="4" w:space="0" w:color="auto"/>
              <w:bottom w:val="single" w:sz="4" w:space="0" w:color="auto"/>
            </w:tcBorders>
            <w:vAlign w:val="center"/>
          </w:tcPr>
          <w:p w14:paraId="7A04FEE3" w14:textId="77777777" w:rsidR="00454CDE" w:rsidRPr="007060FE" w:rsidRDefault="00454CDE" w:rsidP="00454CDE">
            <w:pPr>
              <w:spacing w:before="20" w:after="20"/>
              <w:jc w:val="center"/>
              <w:rPr>
                <w:sz w:val="19"/>
                <w:szCs w:val="19"/>
              </w:rPr>
            </w:pPr>
            <w:r w:rsidRPr="007060FE">
              <w:rPr>
                <w:sz w:val="19"/>
                <w:szCs w:val="19"/>
              </w:rPr>
              <w:t>Digital Calipers</w:t>
            </w:r>
          </w:p>
        </w:tc>
        <w:tc>
          <w:tcPr>
            <w:tcW w:w="1406" w:type="dxa"/>
            <w:tcBorders>
              <w:top w:val="single" w:sz="4" w:space="0" w:color="auto"/>
              <w:bottom w:val="single" w:sz="4" w:space="0" w:color="auto"/>
            </w:tcBorders>
            <w:vAlign w:val="center"/>
          </w:tcPr>
          <w:p w14:paraId="2CB34486" w14:textId="77777777" w:rsidR="00454CDE" w:rsidRPr="007060FE" w:rsidRDefault="00454CDE" w:rsidP="00454CDE">
            <w:pPr>
              <w:spacing w:before="20" w:after="20"/>
              <w:jc w:val="center"/>
              <w:rPr>
                <w:sz w:val="19"/>
                <w:szCs w:val="19"/>
              </w:rPr>
            </w:pPr>
            <w:r w:rsidRPr="007060FE">
              <w:rPr>
                <w:sz w:val="19"/>
                <w:szCs w:val="19"/>
              </w:rPr>
              <w:t>Fazekas and Kósa (1978)</w:t>
            </w:r>
          </w:p>
        </w:tc>
        <w:tc>
          <w:tcPr>
            <w:tcW w:w="1498" w:type="dxa"/>
            <w:tcBorders>
              <w:top w:val="single" w:sz="4" w:space="0" w:color="auto"/>
              <w:bottom w:val="single" w:sz="4" w:space="0" w:color="auto"/>
            </w:tcBorders>
          </w:tcPr>
          <w:p w14:paraId="74589E78" w14:textId="77777777" w:rsidR="00454CDE" w:rsidRPr="007060FE" w:rsidRDefault="00454CDE" w:rsidP="00454CDE">
            <w:pPr>
              <w:spacing w:before="20" w:after="20"/>
              <w:jc w:val="center"/>
              <w:rPr>
                <w:sz w:val="19"/>
                <w:szCs w:val="19"/>
              </w:rPr>
            </w:pPr>
            <w:r>
              <w:rPr>
                <w:sz w:val="19"/>
                <w:szCs w:val="19"/>
              </w:rPr>
              <w:t>0.31</w:t>
            </w:r>
          </w:p>
        </w:tc>
      </w:tr>
    </w:tbl>
    <w:p w14:paraId="36C90234" w14:textId="77777777" w:rsidR="00A41BBF" w:rsidRPr="00A15B0F" w:rsidRDefault="00A41BBF" w:rsidP="00A41BBF">
      <w:pPr>
        <w:autoSpaceDE w:val="0"/>
        <w:autoSpaceDN w:val="0"/>
        <w:adjustRightInd w:val="0"/>
        <w:rPr>
          <w:sz w:val="19"/>
          <w:szCs w:val="19"/>
        </w:rPr>
      </w:pPr>
      <w:r w:rsidRPr="00A15B0F">
        <w:rPr>
          <w:sz w:val="19"/>
          <w:szCs w:val="19"/>
          <w:vertAlign w:val="superscript"/>
        </w:rPr>
        <w:t>1</w:t>
      </w:r>
      <w:r w:rsidRPr="00A15B0F">
        <w:rPr>
          <w:sz w:val="19"/>
          <w:szCs w:val="19"/>
        </w:rPr>
        <w:t xml:space="preserve"> Planes are abbreviated: AP, anterior-posterior; ML, medio-lateral.</w:t>
      </w:r>
    </w:p>
    <w:p w14:paraId="5866653F" w14:textId="77777777" w:rsidR="00A41BBF" w:rsidRPr="00A15B0F" w:rsidRDefault="00A41BBF" w:rsidP="00A41BBF">
      <w:pPr>
        <w:autoSpaceDE w:val="0"/>
        <w:autoSpaceDN w:val="0"/>
        <w:adjustRightInd w:val="0"/>
        <w:rPr>
          <w:sz w:val="19"/>
          <w:szCs w:val="19"/>
        </w:rPr>
      </w:pPr>
      <w:r w:rsidRPr="00A15B0F">
        <w:rPr>
          <w:sz w:val="19"/>
          <w:szCs w:val="19"/>
          <w:vertAlign w:val="superscript"/>
        </w:rPr>
        <w:t xml:space="preserve">2 </w:t>
      </w:r>
      <w:r w:rsidRPr="00A15B0F">
        <w:rPr>
          <w:sz w:val="19"/>
          <w:szCs w:val="19"/>
        </w:rPr>
        <w:t>Average difference of three measurement trials from their mean, divided by the mean and multiplied by 100 (following White, 2000). Elements are abbreviated: F, femur; H, humerus.</w:t>
      </w:r>
    </w:p>
    <w:p w14:paraId="6B47125A" w14:textId="77777777" w:rsidR="00A41BBF" w:rsidRDefault="00A41BBF" w:rsidP="00A41BBF">
      <w:pPr>
        <w:autoSpaceDE w:val="0"/>
        <w:autoSpaceDN w:val="0"/>
        <w:adjustRightInd w:val="0"/>
        <w:rPr>
          <w:b/>
          <w:sz w:val="20"/>
          <w:szCs w:val="20"/>
        </w:rPr>
      </w:pPr>
    </w:p>
    <w:p w14:paraId="2097F930" w14:textId="77777777" w:rsidR="00A41BBF" w:rsidRDefault="00A41BBF" w:rsidP="00F20A4E"/>
    <w:p w14:paraId="013F6EE6" w14:textId="77777777" w:rsidR="00AA3015" w:rsidRDefault="00AA3015" w:rsidP="00F20A4E"/>
    <w:p w14:paraId="798E1377" w14:textId="77777777" w:rsidR="00AA3015" w:rsidRDefault="00AA3015" w:rsidP="00F20A4E"/>
    <w:p w14:paraId="5A8DB8FC" w14:textId="77777777" w:rsidR="00EA6CF2" w:rsidRPr="00246BC3" w:rsidRDefault="00EA6CF2" w:rsidP="00EA6CF2">
      <w:pPr>
        <w:spacing w:line="480" w:lineRule="auto"/>
        <w:ind w:firstLine="720"/>
      </w:pPr>
      <w:r w:rsidRPr="00246BC3">
        <w:t>It remains unclear whether humeral cross-sectional properties should be standardized by bone length or incorporate estimates of body mass as well (Ruff, 2000; Cowgill, 2010).</w:t>
      </w:r>
      <w:r>
        <w:t xml:space="preserve"> </w:t>
      </w:r>
      <w:r w:rsidRPr="00246BC3">
        <w:t>As the upper limb is not weight bearing, the relationship between upper limb strength and body mass is not especially strong, though some relationship is apparent (Churchill, 1994).</w:t>
      </w:r>
      <w:r>
        <w:t xml:space="preserve"> </w:t>
      </w:r>
      <w:r w:rsidRPr="00246BC3">
        <w:t>Therefore, all humeral cross-sectional properties were also standardized by bone length alone and analyzed separately.</w:t>
      </w:r>
      <w:r>
        <w:t xml:space="preserve"> </w:t>
      </w:r>
      <w:r w:rsidRPr="00246BC3">
        <w:t>Both standardization methods—with and without body mass included—are compared to detect patterns in humeral strength properties across ontogeny.</w:t>
      </w:r>
    </w:p>
    <w:p w14:paraId="09FE9190" w14:textId="77777777" w:rsidR="00EA6CF2" w:rsidRPr="00246BC3" w:rsidRDefault="00EA6CF2" w:rsidP="00EA6CF2">
      <w:pPr>
        <w:spacing w:line="480" w:lineRule="auto"/>
        <w:ind w:firstLine="720"/>
      </w:pPr>
      <w:r w:rsidRPr="00246BC3">
        <w:t>Because it utilizes a European American reference population, Ruff’s (2007) body mass estimation method involves similar caveats as age-at-death estimation methods using skeletal age indicators.</w:t>
      </w:r>
      <w:r>
        <w:t xml:space="preserve"> </w:t>
      </w:r>
      <w:r w:rsidRPr="00246BC3">
        <w:t>Subadult body mass in an ancient population such as Alytus likely differed from that of a modern population due to differences in diet, body proportions, and rates of growth.</w:t>
      </w:r>
      <w:r>
        <w:t xml:space="preserve"> </w:t>
      </w:r>
      <w:r w:rsidRPr="00246BC3">
        <w:t>However, this method is the only one currently available for estimating body mass from subadult skeletal remains and was therefore used in this study.</w:t>
      </w:r>
      <w:r>
        <w:t xml:space="preserve"> </w:t>
      </w:r>
    </w:p>
    <w:p w14:paraId="0622F804" w14:textId="1847DDE1" w:rsidR="00EA6CF2" w:rsidRPr="00246BC3" w:rsidRDefault="00EA6CF2" w:rsidP="00EA6CF2">
      <w:pPr>
        <w:spacing w:line="480" w:lineRule="auto"/>
        <w:ind w:firstLine="720"/>
      </w:pPr>
      <w:r w:rsidRPr="00246BC3">
        <w:lastRenderedPageBreak/>
        <w:t>Size standardization is not typically performed on adult ribs but is necessary in this study due to significant variation in body size over the course of ontogeny.</w:t>
      </w:r>
      <w:r>
        <w:t xml:space="preserve"> </w:t>
      </w:r>
      <w:r w:rsidRPr="00246BC3">
        <w:t>As not all rib elements were complete enough to be measured, rib chord length could not be used.</w:t>
      </w:r>
      <w:r>
        <w:t xml:space="preserve"> </w:t>
      </w:r>
      <w:r w:rsidRPr="00246BC3">
        <w:t>Therefore, estimates of rib cortical area were standardized by stature estimates as a body size approximation.</w:t>
      </w:r>
      <w:r>
        <w:t xml:space="preserve"> </w:t>
      </w:r>
      <w:r w:rsidRPr="00246BC3">
        <w:t xml:space="preserve">Such methodology must assume </w:t>
      </w:r>
      <w:r w:rsidR="00C05913" w:rsidRPr="00246BC3">
        <w:t>isometric</w:t>
      </w:r>
      <w:r w:rsidRPr="00246BC3">
        <w:t xml:space="preserve"> between rib dimensions and stature during growth, which has not been established.</w:t>
      </w:r>
      <w:r>
        <w:t xml:space="preserve"> </w:t>
      </w:r>
      <w:r w:rsidRPr="00246BC3">
        <w:t>However, stature is the only body size estimate other than rib chord length that would be appropriate for standardization.</w:t>
      </w:r>
      <w:r>
        <w:t xml:space="preserve"> </w:t>
      </w:r>
      <w:r w:rsidRPr="00246BC3">
        <w:t>Stature was estimated following regression equations outlined in Ruff (2007) using femoral diaphyseal length in individuals less than 13 years of age and femoral total bone length (estimated from femoral diaphyseal length) in those 13 to 14 years of age.</w:t>
      </w:r>
    </w:p>
    <w:p w14:paraId="0691557F" w14:textId="77777777" w:rsidR="00EA6CF2" w:rsidRPr="00246BC3" w:rsidRDefault="00EA6CF2" w:rsidP="00EA6CF2">
      <w:pPr>
        <w:spacing w:line="480" w:lineRule="auto"/>
        <w:ind w:firstLine="720"/>
      </w:pPr>
    </w:p>
    <w:p w14:paraId="1089AAC7" w14:textId="77777777" w:rsidR="006544E9" w:rsidRDefault="00EA6CF2" w:rsidP="00CB29F3">
      <w:pPr>
        <w:spacing w:line="480" w:lineRule="auto"/>
        <w:ind w:firstLine="720"/>
        <w:contextualSpacing/>
      </w:pPr>
      <w:r w:rsidRPr="00246BC3">
        <w:rPr>
          <w:b/>
        </w:rPr>
        <w:t>Histomorphometry</w:t>
      </w:r>
      <w:r w:rsidRPr="00246BC3">
        <w:t>.</w:t>
      </w:r>
      <w:r>
        <w:t xml:space="preserve"> </w:t>
      </w:r>
      <w:r w:rsidR="004469F2" w:rsidRPr="00246BC3">
        <w:t xml:space="preserve">Osteon size in adults does not appear to vary significantly between the sexes </w:t>
      </w:r>
      <w:r w:rsidR="004469F2">
        <w:t xml:space="preserve">or </w:t>
      </w:r>
      <w:r w:rsidR="004469F2" w:rsidRPr="00246BC3">
        <w:t>with</w:t>
      </w:r>
      <w:r w:rsidR="004469F2">
        <w:t xml:space="preserve"> age, although it does differ</w:t>
      </w:r>
      <w:r w:rsidR="004469F2" w:rsidRPr="00246BC3">
        <w:t xml:space="preserve"> depending on the skeletal element </w:t>
      </w:r>
      <w:r w:rsidR="004469F2">
        <w:t xml:space="preserve">being </w:t>
      </w:r>
      <w:r w:rsidR="004469F2" w:rsidRPr="00246BC3">
        <w:t>investigated (Pfeiffer, 1998; Pfeiffer et al., 2006).</w:t>
      </w:r>
      <w:r w:rsidR="004469F2">
        <w:t xml:space="preserve"> </w:t>
      </w:r>
      <w:r w:rsidR="0039769F" w:rsidRPr="00246BC3">
        <w:t>Osteon population density</w:t>
      </w:r>
      <w:r w:rsidR="007F6706">
        <w:t xml:space="preserve">, however, does increase </w:t>
      </w:r>
      <w:r w:rsidR="0039769F" w:rsidRPr="00246BC3">
        <w:t>steadily with age (Kerley, 1965; Stout and Paine, 1992; Streete</w:t>
      </w:r>
      <w:r w:rsidR="0039769F">
        <w:t>r, 2005; Doppler et al., 2006)</w:t>
      </w:r>
      <w:r w:rsidR="0039769F" w:rsidRPr="00246BC3">
        <w:t>.</w:t>
      </w:r>
      <w:r w:rsidR="0039769F">
        <w:t xml:space="preserve"> </w:t>
      </w:r>
      <w:r w:rsidR="00777F78">
        <w:t xml:space="preserve">It is possible that changes in osteon size occur during ontogeny and that these size differences could affect comparisons across groups with different age compositions. </w:t>
      </w:r>
      <w:r w:rsidR="00245770">
        <w:t>However, previous research on secondary osteon size in subadult ribs showed no significant differences with age (Streeter, 2005)</w:t>
      </w:r>
      <w:r w:rsidR="008D5FE8">
        <w:t xml:space="preserve">, </w:t>
      </w:r>
      <w:r w:rsidR="007F6706">
        <w:t xml:space="preserve">further supporting analyses in adults and suggesting </w:t>
      </w:r>
      <w:r w:rsidR="008D5FE8">
        <w:t>that osteon size is relatively conserved across the human lifespan</w:t>
      </w:r>
      <w:r w:rsidR="00FE6AB3">
        <w:t xml:space="preserve"> in non-pathological cases</w:t>
      </w:r>
      <w:r w:rsidR="00245770">
        <w:t>.</w:t>
      </w:r>
      <w:r w:rsidR="004C7C5B">
        <w:t xml:space="preserve"> </w:t>
      </w:r>
      <w:r w:rsidR="00F27676">
        <w:t xml:space="preserve">Thus, size standardization of histological measurements </w:t>
      </w:r>
      <w:r w:rsidR="00F27676" w:rsidRPr="00246BC3">
        <w:t>to remove size-related age effects</w:t>
      </w:r>
      <w:r w:rsidR="00F27676">
        <w:t xml:space="preserve"> was not performed in this study</w:t>
      </w:r>
      <w:r w:rsidR="00F27676" w:rsidRPr="00246BC3">
        <w:t>.</w:t>
      </w:r>
      <w:r w:rsidR="00F27676">
        <w:t xml:space="preserve"> Similarly</w:t>
      </w:r>
      <w:r w:rsidR="0039769F">
        <w:t xml:space="preserve">, age-related increases in the number of osteons </w:t>
      </w:r>
      <w:r w:rsidR="004A1B30">
        <w:t xml:space="preserve">are liable to </w:t>
      </w:r>
      <w:r w:rsidR="004A1B30">
        <w:lastRenderedPageBreak/>
        <w:t>bia</w:t>
      </w:r>
      <w:r w:rsidR="00106AE9">
        <w:t xml:space="preserve">s estimates of remodeling rates, total areas of osteonal bone, and porosity </w:t>
      </w:r>
      <w:r w:rsidR="004A1B30">
        <w:t>between stress groups with differing age distributions.</w:t>
      </w:r>
      <w:r w:rsidR="0039769F">
        <w:t xml:space="preserve"> </w:t>
      </w:r>
    </w:p>
    <w:p w14:paraId="0C694C45" w14:textId="77777777" w:rsidR="001E2F8A" w:rsidRDefault="00F27676" w:rsidP="00CB29F3">
      <w:pPr>
        <w:spacing w:line="480" w:lineRule="auto"/>
        <w:ind w:firstLine="720"/>
        <w:contextualSpacing/>
      </w:pPr>
      <w:r>
        <w:t xml:space="preserve">This issue is </w:t>
      </w:r>
      <w:r w:rsidR="00106AE9">
        <w:t xml:space="preserve">partially </w:t>
      </w:r>
      <w:r>
        <w:t>avoided in this research by the exclusion of histological frequency data (e.g., osteon population density) from analyses</w:t>
      </w:r>
      <w:r w:rsidR="00057B71">
        <w:t xml:space="preserve"> (as discussed above)</w:t>
      </w:r>
      <w:r>
        <w:t xml:space="preserve">. </w:t>
      </w:r>
      <w:r w:rsidR="00057B71">
        <w:t xml:space="preserve">Additionally, total areas for each histological measurement are standardized by the area of the </w:t>
      </w:r>
      <w:r w:rsidR="00E22EA4">
        <w:t>ROI</w:t>
      </w:r>
      <w:r w:rsidR="00AE48AB">
        <w:t xml:space="preserve"> </w:t>
      </w:r>
      <w:r w:rsidR="00E22EA4">
        <w:t>to eliminate bias towards measuring more histo</w:t>
      </w:r>
      <w:r w:rsidR="00CC2873">
        <w:t>l</w:t>
      </w:r>
      <w:r w:rsidR="00E22EA4">
        <w:t xml:space="preserve">ogical structures in larger (i.e., older) elements. For long bones, this involves dividing each variable by the combined areas of the ROIs to be included in each comparison. </w:t>
      </w:r>
      <w:r w:rsidR="00192BED">
        <w:t xml:space="preserve">Because ROIs were consistently 3% of cortical area for both the humerus and femur, these standardizations make comparisons between these elements analogous. </w:t>
      </w:r>
      <w:r w:rsidR="00E22EA4">
        <w:t xml:space="preserve">However, </w:t>
      </w:r>
      <w:r w:rsidR="00192BED">
        <w:t>because the entire rib cross-section</w:t>
      </w:r>
      <w:r w:rsidR="00553464">
        <w:t xml:space="preserve"> had to be measured</w:t>
      </w:r>
      <w:r w:rsidR="006814A3">
        <w:t xml:space="preserve"> and diagenesis was more frequent in rib bones</w:t>
      </w:r>
      <w:r w:rsidR="00B754D1">
        <w:t xml:space="preserve">, histological variables </w:t>
      </w:r>
      <w:r w:rsidR="006814A3">
        <w:t xml:space="preserve">in these elements </w:t>
      </w:r>
      <w:r w:rsidR="00B754D1">
        <w:t xml:space="preserve">were treated differently from long bones. </w:t>
      </w:r>
      <w:r w:rsidR="00BA04AB">
        <w:t>Standardization by observable rib cortical area (rib CA-</w:t>
      </w:r>
      <w:r w:rsidR="004E4E2F">
        <w:t xml:space="preserve">total </w:t>
      </w:r>
      <w:r w:rsidR="00BA04AB">
        <w:t>diagenetic bone area)</w:t>
      </w:r>
      <w:r w:rsidR="00CB29F3">
        <w:t xml:space="preserve"> was performed for each element. </w:t>
      </w:r>
      <w:r w:rsidR="008B24D8">
        <w:t xml:space="preserve">For both long bones and ribs, areal </w:t>
      </w:r>
      <w:r w:rsidR="00CC2873">
        <w:t xml:space="preserve">standardizations were only conducted on histological variables assessing total areas summed across the ROI (e.g., osteonal bone area, porosity) and not average size variables (e.g., mean intact osteon </w:t>
      </w:r>
      <w:r w:rsidR="008B24D8">
        <w:t>size).</w:t>
      </w:r>
      <w:r w:rsidR="006544E9">
        <w:t xml:space="preserve">  </w:t>
      </w:r>
    </w:p>
    <w:p w14:paraId="3E9F9A7B" w14:textId="77777777" w:rsidR="004E4E2F" w:rsidRDefault="001902DD" w:rsidP="00CC2873">
      <w:pPr>
        <w:spacing w:line="480" w:lineRule="auto"/>
      </w:pPr>
      <w:r>
        <w:tab/>
        <w:t xml:space="preserve">Despite these standardizations, differences in osteon population density and remodeling could </w:t>
      </w:r>
      <w:r w:rsidR="002E1390">
        <w:t xml:space="preserve">nevertheless </w:t>
      </w:r>
      <w:r>
        <w:t>affect statistical comparisons</w:t>
      </w:r>
      <w:r w:rsidR="00B25FEB">
        <w:t>, especially those assessing total areal measurements.</w:t>
      </w:r>
      <w:r w:rsidR="0027768B">
        <w:t xml:space="preserve"> O</w:t>
      </w:r>
      <w:r w:rsidR="002E1390">
        <w:t>lder individuals may</w:t>
      </w:r>
      <w:r w:rsidR="0027768B">
        <w:t xml:space="preserve"> </w:t>
      </w:r>
      <w:r w:rsidR="00C72475">
        <w:t>have higher porosities and percentages of osteonal bone</w:t>
      </w:r>
      <w:r w:rsidR="002E1390">
        <w:t xml:space="preserve"> relative to younger individuals</w:t>
      </w:r>
      <w:r w:rsidR="00D87B59">
        <w:t xml:space="preserve">. In the Alytus sample, the chronic stress group contains </w:t>
      </w:r>
      <w:r w:rsidR="00D36576">
        <w:t>all of the older</w:t>
      </w:r>
      <w:r w:rsidR="00556A7A">
        <w:t xml:space="preserve"> children and adolescents</w:t>
      </w:r>
      <w:r w:rsidR="0069794C">
        <w:t xml:space="preserve"> </w:t>
      </w:r>
      <w:r w:rsidR="00D87B59">
        <w:t>(see Chapter 6 for full discussion)</w:t>
      </w:r>
      <w:r w:rsidR="00CD5968">
        <w:t>.</w:t>
      </w:r>
    </w:p>
    <w:p w14:paraId="0BF628FE" w14:textId="77777777" w:rsidR="004E4E2F" w:rsidRDefault="004E4E2F" w:rsidP="00CC2873">
      <w:pPr>
        <w:spacing w:line="480" w:lineRule="auto"/>
      </w:pPr>
    </w:p>
    <w:p w14:paraId="6CC68C46" w14:textId="77777777" w:rsidR="00F25FA6" w:rsidRDefault="00F25FA6" w:rsidP="00CC260D">
      <w:pPr>
        <w:pStyle w:val="Heading1"/>
      </w:pPr>
      <w:bookmarkStart w:id="86" w:name="_Toc358976798"/>
      <w:bookmarkStart w:id="87" w:name="_Toc358978610"/>
      <w:bookmarkStart w:id="88" w:name="_Toc233171683"/>
    </w:p>
    <w:p w14:paraId="18003A9D" w14:textId="77777777" w:rsidR="00F25FA6" w:rsidRDefault="00F25FA6" w:rsidP="00CC260D">
      <w:pPr>
        <w:pStyle w:val="Heading1"/>
      </w:pPr>
    </w:p>
    <w:p w14:paraId="7CBB188F" w14:textId="453A6878" w:rsidR="00236E6D" w:rsidRPr="00B61308" w:rsidRDefault="00236E6D" w:rsidP="00CC260D">
      <w:pPr>
        <w:pStyle w:val="Heading1"/>
      </w:pPr>
      <w:r w:rsidRPr="00B61308">
        <w:lastRenderedPageBreak/>
        <w:t>LIST OF REFERENCES</w:t>
      </w:r>
      <w:bookmarkEnd w:id="86"/>
      <w:bookmarkEnd w:id="87"/>
      <w:bookmarkEnd w:id="88"/>
    </w:p>
    <w:p w14:paraId="30AA22EE" w14:textId="77777777" w:rsidR="00F063AE" w:rsidRPr="00B61308" w:rsidRDefault="00F063AE" w:rsidP="000166A9">
      <w:pPr>
        <w:pStyle w:val="StyleHeading1Centered"/>
      </w:pPr>
    </w:p>
    <w:p w14:paraId="0A0ADD68" w14:textId="77777777" w:rsidR="00F063AE" w:rsidRPr="00B61308" w:rsidRDefault="00F063AE" w:rsidP="000166A9">
      <w:pPr>
        <w:pStyle w:val="StyleHeading1Centered"/>
      </w:pPr>
    </w:p>
    <w:p w14:paraId="5DDC8332" w14:textId="77777777" w:rsidR="002B3438" w:rsidRDefault="00F422CE" w:rsidP="00CC26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Abbott S, Trinkaus</w:t>
      </w:r>
      <w:r w:rsidR="00317B3C" w:rsidRPr="002B3438">
        <w:rPr>
          <w:sz w:val="22"/>
          <w:szCs w:val="22"/>
        </w:rPr>
        <w:t xml:space="preserve"> E, Burr D. Dynamic bone remodeling in Lat</w:t>
      </w:r>
      <w:r w:rsidR="00CC260D" w:rsidRPr="002B3438">
        <w:rPr>
          <w:sz w:val="22"/>
          <w:szCs w:val="22"/>
        </w:rPr>
        <w:t>er Pleistocene fossil hominids.</w:t>
      </w:r>
    </w:p>
    <w:p w14:paraId="6FA1F9A4" w14:textId="77777777" w:rsidR="00F422CE" w:rsidRPr="002B3438" w:rsidRDefault="006A3BEE" w:rsidP="00CC26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17B3C" w:rsidRPr="002B3438">
        <w:rPr>
          <w:sz w:val="22"/>
          <w:szCs w:val="22"/>
        </w:rPr>
        <w:t>Am J Phys Anthrop 99:585-601.</w:t>
      </w:r>
    </w:p>
    <w:p w14:paraId="33F2F8AC" w14:textId="77777777" w:rsidR="00317B3C" w:rsidRPr="002B3438" w:rsidRDefault="00317B3C" w:rsidP="00CC260D">
      <w:pPr>
        <w:ind w:left="360" w:hanging="360"/>
        <w:rPr>
          <w:sz w:val="22"/>
          <w:szCs w:val="22"/>
        </w:rPr>
      </w:pPr>
    </w:p>
    <w:p w14:paraId="0B3AAE23" w14:textId="77777777" w:rsidR="00D10DB1" w:rsidRPr="002B3438" w:rsidRDefault="00D10DB1" w:rsidP="00D10DB1">
      <w:pPr>
        <w:ind w:left="360" w:hanging="360"/>
        <w:rPr>
          <w:sz w:val="22"/>
          <w:szCs w:val="22"/>
        </w:rPr>
      </w:pPr>
      <w:r w:rsidRPr="002B3438">
        <w:rPr>
          <w:sz w:val="22"/>
          <w:szCs w:val="22"/>
        </w:rPr>
        <w:t>Agarwal SC. 2008. Light and broken bones: examining and interpreting bone loss and osteoporosis in past populations. In: Katzenberg MA, Saunders SR, editors. Biological anthropology of the human skeleton, 2</w:t>
      </w:r>
      <w:r w:rsidRPr="002B3438">
        <w:rPr>
          <w:sz w:val="22"/>
          <w:szCs w:val="22"/>
          <w:vertAlign w:val="superscript"/>
        </w:rPr>
        <w:t>nd</w:t>
      </w:r>
      <w:r w:rsidRPr="002B3438">
        <w:rPr>
          <w:sz w:val="22"/>
          <w:szCs w:val="22"/>
        </w:rPr>
        <w:t xml:space="preserve"> edition. Hoboken, New Jersey: John Wiley &amp; Sons, Inc.</w:t>
      </w:r>
    </w:p>
    <w:p w14:paraId="65372B69" w14:textId="77777777" w:rsidR="00E63D27" w:rsidRPr="002B3438" w:rsidRDefault="00E63D27" w:rsidP="00D10DB1">
      <w:pPr>
        <w:ind w:left="360" w:hanging="360"/>
        <w:rPr>
          <w:sz w:val="22"/>
          <w:szCs w:val="22"/>
        </w:rPr>
      </w:pPr>
    </w:p>
    <w:p w14:paraId="10894BEA" w14:textId="77777777" w:rsidR="00772C78" w:rsidRPr="002B3438" w:rsidRDefault="00E63D27" w:rsidP="003F6EC3">
      <w:pPr>
        <w:ind w:left="360" w:hanging="360"/>
        <w:rPr>
          <w:color w:val="000000"/>
          <w:sz w:val="22"/>
          <w:szCs w:val="22"/>
          <w:shd w:val="clear" w:color="auto" w:fill="FFFFFF"/>
        </w:rPr>
      </w:pPr>
      <w:r w:rsidRPr="002B3438">
        <w:rPr>
          <w:color w:val="000000"/>
          <w:sz w:val="22"/>
          <w:szCs w:val="22"/>
          <w:shd w:val="clear" w:color="auto" w:fill="FFFFFF"/>
        </w:rPr>
        <w:t>Agnew AM, Stout SD. 2012. Brief communication: reevaluating osteoporosis in</w:t>
      </w:r>
      <w:r w:rsidR="003F6EC3" w:rsidRPr="002B3438">
        <w:rPr>
          <w:color w:val="000000"/>
          <w:sz w:val="22"/>
          <w:szCs w:val="22"/>
          <w:shd w:val="clear" w:color="auto" w:fill="FFFFFF"/>
        </w:rPr>
        <w:t xml:space="preserve"> </w:t>
      </w:r>
      <w:r w:rsidRPr="002B3438">
        <w:rPr>
          <w:color w:val="000000"/>
          <w:sz w:val="22"/>
          <w:szCs w:val="22"/>
          <w:shd w:val="clear" w:color="auto" w:fill="FFFFFF"/>
        </w:rPr>
        <w:t>human ribs: the role of intracortical porosity. Am J Phys Anthrop 148:462-466.</w:t>
      </w:r>
    </w:p>
    <w:p w14:paraId="7E3211A4" w14:textId="77777777" w:rsidR="00E63D27" w:rsidRPr="002B3438" w:rsidRDefault="00E63D27" w:rsidP="00E63D27">
      <w:pPr>
        <w:ind w:left="360" w:hanging="360"/>
        <w:rPr>
          <w:color w:val="000000"/>
          <w:sz w:val="22"/>
          <w:szCs w:val="22"/>
          <w:shd w:val="clear" w:color="auto" w:fill="FFFFFF"/>
        </w:rPr>
      </w:pPr>
    </w:p>
    <w:p w14:paraId="61DBC546" w14:textId="77777777" w:rsidR="00F422CE" w:rsidRPr="002B3438" w:rsidRDefault="00F422CE" w:rsidP="00D10DB1">
      <w:pPr>
        <w:ind w:left="360" w:hanging="360"/>
        <w:rPr>
          <w:sz w:val="22"/>
          <w:szCs w:val="22"/>
        </w:rPr>
      </w:pPr>
      <w:r w:rsidRPr="002B3438">
        <w:rPr>
          <w:sz w:val="22"/>
          <w:szCs w:val="22"/>
        </w:rPr>
        <w:t>Ahlqvist J, Damsten O. 1969. A modification of Kerley’s method for the microscopic determination of age in human bone. J Forensic Sci 14:205-213.</w:t>
      </w:r>
    </w:p>
    <w:p w14:paraId="472C02A5" w14:textId="77777777" w:rsidR="00F422CE" w:rsidRPr="002B3438" w:rsidRDefault="00F422CE" w:rsidP="00D10DB1">
      <w:pPr>
        <w:ind w:left="360" w:hanging="360"/>
        <w:rPr>
          <w:color w:val="000000"/>
          <w:sz w:val="22"/>
          <w:szCs w:val="22"/>
          <w:shd w:val="clear" w:color="auto" w:fill="FFFFFF"/>
        </w:rPr>
      </w:pPr>
    </w:p>
    <w:p w14:paraId="7E6E4336" w14:textId="77777777" w:rsidR="009D34AE" w:rsidRPr="002B3438" w:rsidRDefault="009D34AE" w:rsidP="009D34AE">
      <w:pPr>
        <w:autoSpaceDE w:val="0"/>
        <w:autoSpaceDN w:val="0"/>
        <w:adjustRightInd w:val="0"/>
        <w:rPr>
          <w:sz w:val="22"/>
          <w:szCs w:val="22"/>
        </w:rPr>
      </w:pPr>
      <w:r w:rsidRPr="002B3438">
        <w:rPr>
          <w:sz w:val="22"/>
          <w:szCs w:val="22"/>
        </w:rPr>
        <w:t>Alfredson H, Nordstrom P, Lorentzon R. 1996. Total and regional bone mass in female</w:t>
      </w:r>
    </w:p>
    <w:p w14:paraId="67157590" w14:textId="77777777" w:rsidR="009D34AE" w:rsidRPr="002B3438" w:rsidRDefault="006A3BEE" w:rsidP="00F422CE">
      <w:pPr>
        <w:autoSpaceDE w:val="0"/>
        <w:autoSpaceDN w:val="0"/>
        <w:adjustRightInd w:val="0"/>
        <w:rPr>
          <w:sz w:val="22"/>
          <w:szCs w:val="22"/>
        </w:rPr>
      </w:pPr>
      <w:r>
        <w:rPr>
          <w:sz w:val="22"/>
          <w:szCs w:val="22"/>
        </w:rPr>
        <w:t xml:space="preserve">  </w:t>
      </w:r>
      <w:r w:rsidR="009D34AE" w:rsidRPr="002B3438">
        <w:rPr>
          <w:sz w:val="22"/>
          <w:szCs w:val="22"/>
        </w:rPr>
        <w:t xml:space="preserve">soccer players. </w:t>
      </w:r>
      <w:r w:rsidR="009D34AE" w:rsidRPr="002B3438">
        <w:rPr>
          <w:iCs/>
          <w:sz w:val="22"/>
          <w:szCs w:val="22"/>
        </w:rPr>
        <w:t xml:space="preserve">Calcif Tissue Int </w:t>
      </w:r>
      <w:r w:rsidR="009D34AE" w:rsidRPr="002B3438">
        <w:rPr>
          <w:sz w:val="22"/>
          <w:szCs w:val="22"/>
        </w:rPr>
        <w:t>59: 438-442.</w:t>
      </w:r>
    </w:p>
    <w:p w14:paraId="3D4BF466" w14:textId="77777777" w:rsidR="009D34AE" w:rsidRPr="002B3438" w:rsidRDefault="009D34AE" w:rsidP="009D34AE">
      <w:pPr>
        <w:autoSpaceDE w:val="0"/>
        <w:autoSpaceDN w:val="0"/>
        <w:adjustRightInd w:val="0"/>
        <w:rPr>
          <w:sz w:val="22"/>
          <w:szCs w:val="22"/>
        </w:rPr>
      </w:pPr>
    </w:p>
    <w:p w14:paraId="25EBB3CA" w14:textId="77777777" w:rsidR="009D34AE" w:rsidRPr="002B3438" w:rsidRDefault="009D34AE" w:rsidP="009D34AE">
      <w:pPr>
        <w:autoSpaceDE w:val="0"/>
        <w:autoSpaceDN w:val="0"/>
        <w:adjustRightInd w:val="0"/>
        <w:rPr>
          <w:sz w:val="22"/>
          <w:szCs w:val="22"/>
        </w:rPr>
      </w:pPr>
      <w:r w:rsidRPr="002B3438">
        <w:rPr>
          <w:sz w:val="22"/>
          <w:szCs w:val="22"/>
        </w:rPr>
        <w:t xml:space="preserve">Alfredson H, Nordstrom P, Lorentzon R. 1997. Bone mass in female volleyball players: a </w:t>
      </w:r>
    </w:p>
    <w:p w14:paraId="5E5D11D7" w14:textId="77777777" w:rsidR="009D34AE" w:rsidRPr="002B3438" w:rsidRDefault="006A3BEE" w:rsidP="009D34AE">
      <w:pPr>
        <w:autoSpaceDE w:val="0"/>
        <w:autoSpaceDN w:val="0"/>
        <w:adjustRightInd w:val="0"/>
        <w:rPr>
          <w:sz w:val="22"/>
          <w:szCs w:val="22"/>
        </w:rPr>
      </w:pPr>
      <w:r>
        <w:rPr>
          <w:sz w:val="22"/>
          <w:szCs w:val="22"/>
        </w:rPr>
        <w:t xml:space="preserve">  </w:t>
      </w:r>
      <w:r w:rsidR="009D34AE" w:rsidRPr="002B3438">
        <w:rPr>
          <w:sz w:val="22"/>
          <w:szCs w:val="22"/>
        </w:rPr>
        <w:t>comparison of total and regional bone mass in female volleyball players and</w:t>
      </w:r>
    </w:p>
    <w:p w14:paraId="33824D8E" w14:textId="77777777" w:rsidR="009D34AE" w:rsidRPr="002B3438" w:rsidRDefault="006A3BEE" w:rsidP="009D34AE">
      <w:pPr>
        <w:autoSpaceDE w:val="0"/>
        <w:autoSpaceDN w:val="0"/>
        <w:adjustRightInd w:val="0"/>
        <w:rPr>
          <w:sz w:val="22"/>
          <w:szCs w:val="22"/>
        </w:rPr>
      </w:pPr>
      <w:r>
        <w:rPr>
          <w:sz w:val="22"/>
          <w:szCs w:val="22"/>
        </w:rPr>
        <w:t xml:space="preserve">  </w:t>
      </w:r>
      <w:r w:rsidR="009D34AE" w:rsidRPr="002B3438">
        <w:rPr>
          <w:sz w:val="22"/>
          <w:szCs w:val="22"/>
        </w:rPr>
        <w:t xml:space="preserve">nonactive females. </w:t>
      </w:r>
      <w:r w:rsidR="009D34AE" w:rsidRPr="002B3438">
        <w:rPr>
          <w:iCs/>
          <w:sz w:val="22"/>
          <w:szCs w:val="22"/>
        </w:rPr>
        <w:t xml:space="preserve">Calcif Tissue Int </w:t>
      </w:r>
      <w:r w:rsidR="009D34AE" w:rsidRPr="002B3438">
        <w:rPr>
          <w:sz w:val="22"/>
          <w:szCs w:val="22"/>
        </w:rPr>
        <w:t>60: 338-342</w:t>
      </w:r>
      <w:r w:rsidR="008F1D58" w:rsidRPr="002B3438">
        <w:rPr>
          <w:sz w:val="22"/>
          <w:szCs w:val="22"/>
        </w:rPr>
        <w:t>.</w:t>
      </w:r>
    </w:p>
    <w:p w14:paraId="28E6225E" w14:textId="77777777" w:rsidR="009D34AE" w:rsidRPr="002B3438" w:rsidRDefault="009D34AE" w:rsidP="009D34AE">
      <w:pPr>
        <w:autoSpaceDE w:val="0"/>
        <w:autoSpaceDN w:val="0"/>
        <w:adjustRightInd w:val="0"/>
        <w:rPr>
          <w:sz w:val="22"/>
          <w:szCs w:val="22"/>
        </w:rPr>
      </w:pPr>
    </w:p>
    <w:p w14:paraId="1FC14B90" w14:textId="77777777" w:rsidR="009D34AE" w:rsidRPr="002B3438" w:rsidRDefault="009D34AE" w:rsidP="009D34AE">
      <w:pPr>
        <w:autoSpaceDE w:val="0"/>
        <w:autoSpaceDN w:val="0"/>
        <w:adjustRightInd w:val="0"/>
        <w:rPr>
          <w:sz w:val="22"/>
          <w:szCs w:val="22"/>
        </w:rPr>
      </w:pPr>
      <w:r w:rsidRPr="002B3438">
        <w:rPr>
          <w:sz w:val="22"/>
          <w:szCs w:val="22"/>
        </w:rPr>
        <w:t>Alfedson H, Nordstrom P, Pietila T, Lorentzon R. 1998. Long-term loading and regional</w:t>
      </w:r>
    </w:p>
    <w:p w14:paraId="557C9DDD" w14:textId="77777777" w:rsidR="009D34AE" w:rsidRPr="002B3438" w:rsidRDefault="009D34AE" w:rsidP="00F50D1A">
      <w:pPr>
        <w:ind w:left="360"/>
        <w:rPr>
          <w:sz w:val="22"/>
          <w:szCs w:val="22"/>
        </w:rPr>
      </w:pPr>
      <w:r w:rsidRPr="002B3438">
        <w:rPr>
          <w:sz w:val="22"/>
          <w:szCs w:val="22"/>
        </w:rPr>
        <w:t xml:space="preserve">bone mass of the arm in female volleyball players. </w:t>
      </w:r>
      <w:r w:rsidRPr="002B3438">
        <w:rPr>
          <w:iCs/>
          <w:sz w:val="22"/>
          <w:szCs w:val="22"/>
        </w:rPr>
        <w:t xml:space="preserve">Calcif Tissue Int </w:t>
      </w:r>
      <w:r w:rsidRPr="002B3438">
        <w:rPr>
          <w:sz w:val="22"/>
          <w:szCs w:val="22"/>
        </w:rPr>
        <w:t>62: 303-308.</w:t>
      </w:r>
    </w:p>
    <w:p w14:paraId="28C11D39" w14:textId="77777777" w:rsidR="00F422CE" w:rsidRPr="002B3438" w:rsidRDefault="00F422CE" w:rsidP="00F422CE">
      <w:pPr>
        <w:rPr>
          <w:sz w:val="22"/>
          <w:szCs w:val="22"/>
        </w:rPr>
      </w:pPr>
    </w:p>
    <w:p w14:paraId="138AE9CD" w14:textId="77777777" w:rsidR="00CD3679" w:rsidRPr="002B3438" w:rsidRDefault="00CD3679" w:rsidP="00CD3679">
      <w:pPr>
        <w:autoSpaceDE w:val="0"/>
        <w:autoSpaceDN w:val="0"/>
        <w:adjustRightInd w:val="0"/>
        <w:rPr>
          <w:rFonts w:eastAsia="Calibri"/>
          <w:sz w:val="22"/>
          <w:szCs w:val="22"/>
        </w:rPr>
      </w:pPr>
      <w:r w:rsidRPr="002B3438">
        <w:rPr>
          <w:rFonts w:eastAsia="Calibri"/>
          <w:sz w:val="22"/>
          <w:szCs w:val="22"/>
        </w:rPr>
        <w:t xml:space="preserve">Ammann P, Bourrin S, Bonjour JP, Meyer JM, Rizzoli R. 2000. Protein undernutrition-induced </w:t>
      </w:r>
    </w:p>
    <w:p w14:paraId="53382BFF" w14:textId="77777777" w:rsidR="00CD3679" w:rsidRPr="002B3438" w:rsidRDefault="006A3BEE" w:rsidP="00CD3679">
      <w:pPr>
        <w:autoSpaceDE w:val="0"/>
        <w:autoSpaceDN w:val="0"/>
        <w:adjustRightInd w:val="0"/>
        <w:rPr>
          <w:rFonts w:eastAsia="Calibri"/>
          <w:sz w:val="22"/>
          <w:szCs w:val="22"/>
        </w:rPr>
      </w:pPr>
      <w:r>
        <w:rPr>
          <w:rFonts w:eastAsia="Calibri"/>
          <w:sz w:val="22"/>
          <w:szCs w:val="22"/>
        </w:rPr>
        <w:t xml:space="preserve">  </w:t>
      </w:r>
      <w:r w:rsidR="00CD3679" w:rsidRPr="002B3438">
        <w:rPr>
          <w:rFonts w:eastAsia="Calibri"/>
          <w:sz w:val="22"/>
          <w:szCs w:val="22"/>
        </w:rPr>
        <w:t>bone loss is associated with decreased IGF-I levels and estrogen deficiency. J Bone Miner</w:t>
      </w:r>
    </w:p>
    <w:p w14:paraId="2CFCBD44" w14:textId="77777777" w:rsidR="00CD3679" w:rsidRPr="002B3438" w:rsidRDefault="006A3BEE" w:rsidP="00CD3679">
      <w:pPr>
        <w:rPr>
          <w:rFonts w:eastAsia="Calibri"/>
          <w:sz w:val="22"/>
          <w:szCs w:val="22"/>
        </w:rPr>
      </w:pPr>
      <w:r>
        <w:rPr>
          <w:rFonts w:eastAsia="Calibri"/>
          <w:sz w:val="22"/>
          <w:szCs w:val="22"/>
        </w:rPr>
        <w:t xml:space="preserve">  </w:t>
      </w:r>
      <w:r w:rsidR="00CD3679" w:rsidRPr="002B3438">
        <w:rPr>
          <w:rFonts w:eastAsia="Calibri"/>
          <w:sz w:val="22"/>
          <w:szCs w:val="22"/>
        </w:rPr>
        <w:t xml:space="preserve">Res </w:t>
      </w:r>
      <w:r w:rsidR="00CD3679" w:rsidRPr="002B3438">
        <w:rPr>
          <w:rFonts w:eastAsia="Calibri"/>
          <w:bCs/>
          <w:sz w:val="22"/>
          <w:szCs w:val="22"/>
        </w:rPr>
        <w:t>15:</w:t>
      </w:r>
      <w:r w:rsidR="00CD3679" w:rsidRPr="002B3438">
        <w:rPr>
          <w:rFonts w:eastAsia="Calibri"/>
          <w:sz w:val="22"/>
          <w:szCs w:val="22"/>
        </w:rPr>
        <w:t>683–690.</w:t>
      </w:r>
    </w:p>
    <w:p w14:paraId="76F59531" w14:textId="77777777" w:rsidR="00CD3679" w:rsidRPr="002B3438" w:rsidRDefault="00CD3679" w:rsidP="00CD3679">
      <w:pPr>
        <w:rPr>
          <w:sz w:val="22"/>
          <w:szCs w:val="22"/>
        </w:rPr>
      </w:pPr>
    </w:p>
    <w:p w14:paraId="4669818B" w14:textId="77777777" w:rsidR="00CD3679" w:rsidRPr="002B3438" w:rsidRDefault="00CD3679" w:rsidP="00CD3679">
      <w:pPr>
        <w:rPr>
          <w:sz w:val="22"/>
          <w:szCs w:val="22"/>
        </w:rPr>
      </w:pPr>
      <w:r w:rsidRPr="002B3438">
        <w:rPr>
          <w:sz w:val="22"/>
          <w:szCs w:val="22"/>
        </w:rPr>
        <w:t xml:space="preserve">Ammann P, Laib A, Bonjour J-P, Meyer JM, Ruegsegger P, Rizzoli R. 2002. Dietary essential </w:t>
      </w:r>
    </w:p>
    <w:p w14:paraId="589B9E5E" w14:textId="77777777" w:rsidR="00CD3679" w:rsidRPr="002B3438" w:rsidRDefault="00CD3679" w:rsidP="00CD3679">
      <w:pPr>
        <w:ind w:left="375"/>
        <w:rPr>
          <w:sz w:val="22"/>
          <w:szCs w:val="22"/>
        </w:rPr>
      </w:pPr>
      <w:r w:rsidRPr="002B3438">
        <w:rPr>
          <w:sz w:val="22"/>
          <w:szCs w:val="22"/>
        </w:rPr>
        <w:t>amino acid supplements increase bone strength by influencing bone mass and bone microstructure in ovariectomized adult rats fed an isocaloric low-protein diet. J Bone Miner Res 17:1264-1272.</w:t>
      </w:r>
    </w:p>
    <w:p w14:paraId="65175310" w14:textId="77777777" w:rsidR="00CD3679" w:rsidRPr="002B3438" w:rsidRDefault="00CD3679" w:rsidP="00CD3679">
      <w:pPr>
        <w:rPr>
          <w:sz w:val="22"/>
          <w:szCs w:val="22"/>
        </w:rPr>
      </w:pPr>
    </w:p>
    <w:p w14:paraId="4ADA81A0" w14:textId="77777777" w:rsidR="00DF678C" w:rsidRPr="002B3438" w:rsidRDefault="00DF678C" w:rsidP="00CD3679">
      <w:pPr>
        <w:rPr>
          <w:sz w:val="22"/>
          <w:szCs w:val="22"/>
        </w:rPr>
      </w:pPr>
      <w:r w:rsidRPr="002B3438">
        <w:rPr>
          <w:sz w:val="22"/>
          <w:szCs w:val="22"/>
        </w:rPr>
        <w:t xml:space="preserve">Anderson JJB. 1999. Nutritional mechanisms of age-related bone loss. In : Rosen C, </w:t>
      </w:r>
    </w:p>
    <w:p w14:paraId="3BABB7C8" w14:textId="77777777" w:rsidR="00DF678C" w:rsidRPr="002B3438" w:rsidRDefault="00DF678C" w:rsidP="00DF678C">
      <w:pPr>
        <w:ind w:left="405"/>
        <w:rPr>
          <w:sz w:val="22"/>
          <w:szCs w:val="22"/>
        </w:rPr>
      </w:pPr>
      <w:r w:rsidRPr="002B3438">
        <w:rPr>
          <w:sz w:val="22"/>
          <w:szCs w:val="22"/>
        </w:rPr>
        <w:t>Glowacki J, Bilezikian JP, editors. The aging skeleton. San Diego: Academic Press. p 229-234.</w:t>
      </w:r>
    </w:p>
    <w:p w14:paraId="45B659A2" w14:textId="77777777" w:rsidR="00DF678C" w:rsidRPr="002B3438" w:rsidRDefault="00DF678C" w:rsidP="00CD3679">
      <w:pPr>
        <w:rPr>
          <w:sz w:val="22"/>
          <w:szCs w:val="22"/>
        </w:rPr>
      </w:pPr>
    </w:p>
    <w:p w14:paraId="7F997DDB" w14:textId="77777777" w:rsidR="00A05597" w:rsidRPr="002B3438" w:rsidRDefault="00A05597" w:rsidP="00CD3679">
      <w:pPr>
        <w:rPr>
          <w:sz w:val="22"/>
          <w:szCs w:val="22"/>
          <w:lang w:val="en-GB"/>
        </w:rPr>
      </w:pPr>
      <w:r w:rsidRPr="002B3438">
        <w:rPr>
          <w:sz w:val="22"/>
          <w:szCs w:val="22"/>
          <w:lang w:val="en-GB"/>
        </w:rPr>
        <w:t xml:space="preserve">Andriušis A. 2006. Lietuvos medicinos istorijos apybraiža. Vilnius, 2006. </w:t>
      </w:r>
    </w:p>
    <w:p w14:paraId="3E7E2AE0" w14:textId="77777777" w:rsidR="00A05597" w:rsidRPr="002B3438" w:rsidRDefault="00A05597" w:rsidP="00CD3679">
      <w:pPr>
        <w:rPr>
          <w:sz w:val="22"/>
          <w:szCs w:val="22"/>
        </w:rPr>
      </w:pPr>
    </w:p>
    <w:p w14:paraId="093FB802" w14:textId="77777777" w:rsidR="00070298" w:rsidRPr="002B3438" w:rsidRDefault="00070298" w:rsidP="00F422CE">
      <w:pPr>
        <w:rPr>
          <w:rFonts w:eastAsia="Calibri"/>
          <w:sz w:val="22"/>
          <w:szCs w:val="22"/>
        </w:rPr>
      </w:pPr>
      <w:r w:rsidRPr="002B3438">
        <w:rPr>
          <w:rFonts w:eastAsia="Calibri"/>
          <w:sz w:val="22"/>
          <w:szCs w:val="22"/>
        </w:rPr>
        <w:t xml:space="preserve">Ariès P. 1962. Centuries of Childhood: A Social History of Family Life. Translated by R. </w:t>
      </w:r>
    </w:p>
    <w:p w14:paraId="6C82D607" w14:textId="77777777" w:rsidR="00070298" w:rsidRPr="002B3438" w:rsidRDefault="00070298" w:rsidP="00070298">
      <w:pPr>
        <w:ind w:firstLine="360"/>
        <w:rPr>
          <w:rFonts w:eastAsia="Calibri"/>
          <w:sz w:val="22"/>
          <w:szCs w:val="22"/>
        </w:rPr>
      </w:pPr>
      <w:r w:rsidRPr="002B3438">
        <w:rPr>
          <w:rFonts w:eastAsia="Calibri"/>
          <w:sz w:val="22"/>
          <w:szCs w:val="22"/>
        </w:rPr>
        <w:t>Baldick. New York: Vintage Books.</w:t>
      </w:r>
    </w:p>
    <w:p w14:paraId="7259B84F" w14:textId="77777777" w:rsidR="00070298" w:rsidRPr="002B3438" w:rsidRDefault="00070298" w:rsidP="00F422CE">
      <w:pPr>
        <w:rPr>
          <w:sz w:val="22"/>
          <w:szCs w:val="22"/>
        </w:rPr>
      </w:pPr>
    </w:p>
    <w:p w14:paraId="7700B2F2" w14:textId="77777777" w:rsidR="002F0EEE" w:rsidRPr="002B3438" w:rsidRDefault="002F0EEE" w:rsidP="002F0EEE">
      <w:pPr>
        <w:ind w:left="360" w:hanging="360"/>
        <w:rPr>
          <w:sz w:val="22"/>
          <w:szCs w:val="22"/>
        </w:rPr>
      </w:pPr>
      <w:r w:rsidRPr="002B3438">
        <w:rPr>
          <w:sz w:val="22"/>
          <w:szCs w:val="22"/>
        </w:rPr>
        <w:t>Armelagos GJ, Mielke JH, Owen KH, Van Gerven DP. 1972. Bone growth and development in prehistoric populations from Sudanese Nubia. J Hum Evol 1:89-119.</w:t>
      </w:r>
    </w:p>
    <w:p w14:paraId="70DDDEAE" w14:textId="77777777" w:rsidR="002F0EEE" w:rsidRPr="002B3438" w:rsidRDefault="002F0EEE" w:rsidP="006F36B3">
      <w:pPr>
        <w:autoSpaceDE w:val="0"/>
        <w:autoSpaceDN w:val="0"/>
        <w:adjustRightInd w:val="0"/>
        <w:rPr>
          <w:sz w:val="22"/>
          <w:szCs w:val="22"/>
        </w:rPr>
      </w:pPr>
    </w:p>
    <w:p w14:paraId="0AB4A14A" w14:textId="77777777" w:rsidR="006F36B3" w:rsidRPr="002B3438" w:rsidRDefault="006F36B3" w:rsidP="006F36B3">
      <w:pPr>
        <w:autoSpaceDE w:val="0"/>
        <w:autoSpaceDN w:val="0"/>
        <w:adjustRightInd w:val="0"/>
        <w:rPr>
          <w:sz w:val="22"/>
          <w:szCs w:val="22"/>
        </w:rPr>
      </w:pPr>
      <w:r w:rsidRPr="002B3438">
        <w:rPr>
          <w:sz w:val="22"/>
          <w:szCs w:val="22"/>
        </w:rPr>
        <w:t xml:space="preserve">Ashizawa N, Nonaka K, Michikami S, Mizuki T, Amagai H, Tokuyama K, Suzuki M. 1999. </w:t>
      </w:r>
    </w:p>
    <w:p w14:paraId="4E9C52E6" w14:textId="77777777" w:rsidR="006F36B3" w:rsidRPr="002B3438" w:rsidRDefault="006F36B3" w:rsidP="006F36B3">
      <w:pPr>
        <w:autoSpaceDE w:val="0"/>
        <w:autoSpaceDN w:val="0"/>
        <w:adjustRightInd w:val="0"/>
        <w:ind w:left="360"/>
        <w:rPr>
          <w:sz w:val="22"/>
          <w:szCs w:val="22"/>
        </w:rPr>
      </w:pPr>
      <w:r w:rsidRPr="002B3438">
        <w:rPr>
          <w:sz w:val="22"/>
          <w:szCs w:val="22"/>
        </w:rPr>
        <w:t xml:space="preserve">Tomographical description of tennis-loaded radius: reciprocal relation between bone size and volumetric BMD. </w:t>
      </w:r>
      <w:r w:rsidRPr="002B3438">
        <w:rPr>
          <w:iCs/>
          <w:sz w:val="22"/>
          <w:szCs w:val="22"/>
        </w:rPr>
        <w:t>J Appl Physiol</w:t>
      </w:r>
      <w:r w:rsidRPr="002B3438">
        <w:rPr>
          <w:i/>
          <w:iCs/>
          <w:sz w:val="22"/>
          <w:szCs w:val="22"/>
        </w:rPr>
        <w:t xml:space="preserve"> </w:t>
      </w:r>
      <w:r w:rsidRPr="002B3438">
        <w:rPr>
          <w:sz w:val="22"/>
          <w:szCs w:val="22"/>
        </w:rPr>
        <w:t>86:1347-1351.</w:t>
      </w:r>
    </w:p>
    <w:p w14:paraId="5E25122D" w14:textId="77777777" w:rsidR="006F36B3" w:rsidRPr="002B3438" w:rsidRDefault="006F36B3" w:rsidP="006F36B3">
      <w:pPr>
        <w:ind w:left="360" w:hanging="360"/>
        <w:rPr>
          <w:sz w:val="22"/>
          <w:szCs w:val="22"/>
        </w:rPr>
      </w:pPr>
    </w:p>
    <w:p w14:paraId="4F373345" w14:textId="77777777" w:rsidR="002A4D61" w:rsidRPr="002B3438" w:rsidRDefault="00772C78" w:rsidP="009D34AE">
      <w:pPr>
        <w:ind w:left="360" w:hanging="360"/>
        <w:rPr>
          <w:color w:val="000000"/>
          <w:sz w:val="22"/>
          <w:szCs w:val="22"/>
          <w:shd w:val="clear" w:color="auto" w:fill="FFFFFF"/>
        </w:rPr>
      </w:pPr>
      <w:r w:rsidRPr="002B3438">
        <w:rPr>
          <w:color w:val="000000"/>
          <w:sz w:val="22"/>
          <w:szCs w:val="22"/>
          <w:shd w:val="clear" w:color="auto" w:fill="FFFFFF"/>
        </w:rPr>
        <w:t>Auerbach BM, Ruff CB. 2006. Limb bone bilateral asymmetry: variability and commonality among modern humans.</w:t>
      </w:r>
      <w:r w:rsidRPr="002B3438">
        <w:rPr>
          <w:rStyle w:val="apple-converted-space"/>
          <w:color w:val="000000"/>
          <w:sz w:val="22"/>
          <w:szCs w:val="22"/>
          <w:shd w:val="clear" w:color="auto" w:fill="FFFFFF"/>
        </w:rPr>
        <w:t> </w:t>
      </w:r>
      <w:r w:rsidRPr="002B3438">
        <w:rPr>
          <w:rStyle w:val="Emphasis"/>
          <w:i w:val="0"/>
          <w:color w:val="000000"/>
          <w:sz w:val="22"/>
          <w:szCs w:val="22"/>
          <w:shd w:val="clear" w:color="auto" w:fill="FFFFFF"/>
        </w:rPr>
        <w:t>J Hum Evol</w:t>
      </w:r>
      <w:r w:rsidRPr="002B3438">
        <w:rPr>
          <w:rStyle w:val="apple-converted-space"/>
          <w:color w:val="000000"/>
          <w:sz w:val="22"/>
          <w:szCs w:val="22"/>
          <w:shd w:val="clear" w:color="auto" w:fill="FFFFFF"/>
        </w:rPr>
        <w:t> </w:t>
      </w:r>
      <w:r w:rsidRPr="002B3438">
        <w:rPr>
          <w:color w:val="000000"/>
          <w:sz w:val="22"/>
          <w:szCs w:val="22"/>
          <w:shd w:val="clear" w:color="auto" w:fill="FFFFFF"/>
        </w:rPr>
        <w:t>50:203-218.</w:t>
      </w:r>
    </w:p>
    <w:p w14:paraId="13B6BFA0" w14:textId="77777777" w:rsidR="00772C78" w:rsidRPr="002B3438" w:rsidRDefault="00772C78" w:rsidP="00D10DB1">
      <w:pPr>
        <w:ind w:left="360" w:hanging="360"/>
        <w:rPr>
          <w:sz w:val="22"/>
          <w:szCs w:val="22"/>
        </w:rPr>
      </w:pPr>
    </w:p>
    <w:p w14:paraId="64E223A1" w14:textId="77777777" w:rsidR="001C63C7" w:rsidRPr="002B3438" w:rsidRDefault="001C63C7" w:rsidP="001C63C7">
      <w:pPr>
        <w:autoSpaceDE w:val="0"/>
        <w:autoSpaceDN w:val="0"/>
        <w:adjustRightInd w:val="0"/>
        <w:rPr>
          <w:rFonts w:eastAsia="Calibri"/>
          <w:color w:val="231F20"/>
          <w:sz w:val="22"/>
          <w:szCs w:val="22"/>
        </w:rPr>
      </w:pPr>
      <w:r w:rsidRPr="002B3438">
        <w:rPr>
          <w:rFonts w:eastAsia="Calibri"/>
          <w:color w:val="231F20"/>
          <w:sz w:val="22"/>
          <w:szCs w:val="22"/>
        </w:rPr>
        <w:t xml:space="preserve">Bailey DA, McKay HA, Mirwald RL, Crocker PR, Faulkner RA. 1999. A six-year longitudinal </w:t>
      </w:r>
    </w:p>
    <w:p w14:paraId="527DD4C5" w14:textId="77777777" w:rsidR="001C63C7" w:rsidRPr="002B3438" w:rsidRDefault="001C63C7" w:rsidP="001C63C7">
      <w:pPr>
        <w:autoSpaceDE w:val="0"/>
        <w:autoSpaceDN w:val="0"/>
        <w:adjustRightInd w:val="0"/>
        <w:ind w:left="360"/>
        <w:rPr>
          <w:rFonts w:eastAsia="Calibri"/>
          <w:color w:val="231F20"/>
          <w:sz w:val="22"/>
          <w:szCs w:val="22"/>
        </w:rPr>
      </w:pPr>
      <w:r w:rsidRPr="002B3438">
        <w:rPr>
          <w:rFonts w:eastAsia="Calibri"/>
          <w:color w:val="231F20"/>
          <w:sz w:val="22"/>
          <w:szCs w:val="22"/>
        </w:rPr>
        <w:t>study of the relationship of physical activity to bone mineral accrual in growing children: the university of Saskatchewan bone mineral accrual study. J Bone Miner Res 14:1672–1679.</w:t>
      </w:r>
    </w:p>
    <w:p w14:paraId="40585804" w14:textId="77777777" w:rsidR="001C63C7" w:rsidRPr="002B3438" w:rsidRDefault="001C63C7" w:rsidP="001C63C7">
      <w:pPr>
        <w:ind w:left="360" w:hanging="360"/>
        <w:rPr>
          <w:sz w:val="22"/>
          <w:szCs w:val="22"/>
        </w:rPr>
      </w:pPr>
    </w:p>
    <w:p w14:paraId="1835721D" w14:textId="77777777" w:rsidR="00B5122A" w:rsidRPr="002B3438" w:rsidRDefault="00B5122A" w:rsidP="00B5122A">
      <w:pPr>
        <w:autoSpaceDE w:val="0"/>
        <w:autoSpaceDN w:val="0"/>
        <w:adjustRightInd w:val="0"/>
        <w:rPr>
          <w:rFonts w:eastAsia="Calibri"/>
          <w:sz w:val="22"/>
          <w:szCs w:val="22"/>
        </w:rPr>
      </w:pPr>
      <w:r w:rsidRPr="002B3438">
        <w:rPr>
          <w:rFonts w:eastAsia="Calibri"/>
          <w:sz w:val="22"/>
          <w:szCs w:val="22"/>
        </w:rPr>
        <w:t>Baker D, Roberts R, Towell T. 2000. Factors predictive of bone mineral density in eating-</w:t>
      </w:r>
    </w:p>
    <w:p w14:paraId="55678226" w14:textId="77777777" w:rsidR="00B5122A" w:rsidRPr="002B3438" w:rsidRDefault="006A3BEE" w:rsidP="00B5122A">
      <w:pPr>
        <w:autoSpaceDE w:val="0"/>
        <w:autoSpaceDN w:val="0"/>
        <w:adjustRightInd w:val="0"/>
        <w:rPr>
          <w:rFonts w:eastAsia="Calibri"/>
          <w:sz w:val="22"/>
          <w:szCs w:val="22"/>
        </w:rPr>
      </w:pPr>
      <w:r>
        <w:rPr>
          <w:rFonts w:eastAsia="Calibri"/>
          <w:sz w:val="22"/>
          <w:szCs w:val="22"/>
        </w:rPr>
        <w:t xml:space="preserve">  </w:t>
      </w:r>
      <w:r w:rsidR="00B5122A" w:rsidRPr="002B3438">
        <w:rPr>
          <w:rFonts w:eastAsia="Calibri"/>
          <w:sz w:val="22"/>
          <w:szCs w:val="22"/>
        </w:rPr>
        <w:t>disordered women: a longitudinal study. Int J Eat Disord 27:29–35.</w:t>
      </w:r>
    </w:p>
    <w:p w14:paraId="7EF8CDCF" w14:textId="77777777" w:rsidR="00B5122A" w:rsidRPr="002B3438" w:rsidRDefault="00B5122A" w:rsidP="00B5122A">
      <w:pPr>
        <w:ind w:left="360" w:hanging="360"/>
        <w:rPr>
          <w:sz w:val="22"/>
          <w:szCs w:val="22"/>
        </w:rPr>
      </w:pPr>
    </w:p>
    <w:p w14:paraId="29FC6E85" w14:textId="77777777" w:rsidR="00530E17" w:rsidRPr="002B3438" w:rsidRDefault="00530E17" w:rsidP="00530E17">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Baldwin KM, White TP, Arnaud SB, Edgerton VR, Kraemer WJ, Kram R, Raab-Cullen D, Snow </w:t>
      </w:r>
    </w:p>
    <w:p w14:paraId="5428A295" w14:textId="77777777" w:rsidR="00530E17" w:rsidRPr="002B3438" w:rsidRDefault="00530E17" w:rsidP="00530E17">
      <w:pPr>
        <w:autoSpaceDE w:val="0"/>
        <w:autoSpaceDN w:val="0"/>
        <w:adjustRightInd w:val="0"/>
        <w:ind w:left="360"/>
        <w:rPr>
          <w:rFonts w:eastAsia="NewCenturySchlbk-Roman"/>
          <w:color w:val="231F20"/>
          <w:sz w:val="22"/>
          <w:szCs w:val="22"/>
        </w:rPr>
      </w:pPr>
      <w:r w:rsidRPr="002B3438">
        <w:rPr>
          <w:rFonts w:eastAsia="NewCenturySchlbk-Roman"/>
          <w:color w:val="231F20"/>
          <w:sz w:val="22"/>
          <w:szCs w:val="22"/>
        </w:rPr>
        <w:t>CM. 1996. Musculoskeletal adaptations to weightlessness and development of effective countermeasures. Med Sci Sports Exerc 28:1247–1253.</w:t>
      </w:r>
    </w:p>
    <w:p w14:paraId="35F205CC" w14:textId="77777777" w:rsidR="00530E17" w:rsidRPr="002B3438" w:rsidRDefault="00530E17" w:rsidP="00530E17">
      <w:pPr>
        <w:ind w:left="360" w:hanging="360"/>
        <w:rPr>
          <w:sz w:val="22"/>
          <w:szCs w:val="22"/>
        </w:rPr>
      </w:pPr>
    </w:p>
    <w:p w14:paraId="20D52A85" w14:textId="77777777" w:rsidR="00ED2F2C" w:rsidRPr="002B3438" w:rsidRDefault="00ED2F2C" w:rsidP="00ED2F2C">
      <w:pPr>
        <w:autoSpaceDE w:val="0"/>
        <w:autoSpaceDN w:val="0"/>
        <w:adjustRightInd w:val="0"/>
        <w:rPr>
          <w:rFonts w:eastAsia="Calibri"/>
          <w:sz w:val="22"/>
          <w:szCs w:val="22"/>
        </w:rPr>
      </w:pPr>
      <w:r w:rsidRPr="002B3438">
        <w:rPr>
          <w:rFonts w:eastAsia="Calibri"/>
          <w:sz w:val="22"/>
          <w:szCs w:val="22"/>
        </w:rPr>
        <w:t xml:space="preserve">Balena R, Shih M-S, Parfitt AM. 1992. Bone resorption and formation on the periosteal envelope </w:t>
      </w:r>
    </w:p>
    <w:p w14:paraId="2CCCE7C4" w14:textId="77777777" w:rsidR="00ED2F2C" w:rsidRPr="002B3438" w:rsidRDefault="006A3BEE" w:rsidP="00ED2F2C">
      <w:pPr>
        <w:autoSpaceDE w:val="0"/>
        <w:autoSpaceDN w:val="0"/>
        <w:adjustRightInd w:val="0"/>
        <w:rPr>
          <w:rFonts w:eastAsia="Calibri"/>
          <w:sz w:val="22"/>
          <w:szCs w:val="22"/>
        </w:rPr>
      </w:pPr>
      <w:r>
        <w:rPr>
          <w:rFonts w:eastAsia="Calibri"/>
          <w:sz w:val="22"/>
          <w:szCs w:val="22"/>
        </w:rPr>
        <w:t xml:space="preserve">  </w:t>
      </w:r>
      <w:r w:rsidR="00ED2F2C" w:rsidRPr="002B3438">
        <w:rPr>
          <w:rFonts w:eastAsia="Calibri"/>
          <w:sz w:val="22"/>
          <w:szCs w:val="22"/>
        </w:rPr>
        <w:t>of the ilium: a histomorphometric study in healthy women. J Bone Miner Res 7:1475-82.</w:t>
      </w:r>
    </w:p>
    <w:p w14:paraId="4BE40D90" w14:textId="77777777" w:rsidR="00ED2F2C" w:rsidRPr="002B3438" w:rsidRDefault="00ED2F2C" w:rsidP="00ED2F2C">
      <w:pPr>
        <w:ind w:left="360" w:hanging="360"/>
        <w:rPr>
          <w:sz w:val="22"/>
          <w:szCs w:val="22"/>
        </w:rPr>
      </w:pPr>
    </w:p>
    <w:p w14:paraId="06E93278" w14:textId="77777777" w:rsidR="00DF678C" w:rsidRPr="002B3438" w:rsidRDefault="00DF678C" w:rsidP="00DF678C">
      <w:pPr>
        <w:pStyle w:val="ListParagraph"/>
        <w:ind w:left="0"/>
        <w:rPr>
          <w:sz w:val="22"/>
          <w:szCs w:val="22"/>
        </w:rPr>
      </w:pPr>
      <w:r w:rsidRPr="002B3438">
        <w:rPr>
          <w:sz w:val="22"/>
          <w:szCs w:val="22"/>
        </w:rPr>
        <w:t>Baliulis A. 2009. Lietuvos metrika, 593. Lietuvos Istorijos leidykla, Vilnius</w:t>
      </w:r>
    </w:p>
    <w:p w14:paraId="3B41E150" w14:textId="77777777" w:rsidR="00DF678C" w:rsidRPr="002B3438" w:rsidRDefault="00DF678C" w:rsidP="00DF678C">
      <w:pPr>
        <w:ind w:left="360" w:hanging="360"/>
        <w:rPr>
          <w:sz w:val="22"/>
          <w:szCs w:val="22"/>
        </w:rPr>
      </w:pPr>
    </w:p>
    <w:p w14:paraId="696D8AFC" w14:textId="77777777" w:rsidR="00DF678C" w:rsidRPr="002B3438" w:rsidRDefault="00DF678C" w:rsidP="00DF678C">
      <w:pPr>
        <w:pStyle w:val="ListParagraph"/>
        <w:ind w:left="0"/>
        <w:rPr>
          <w:sz w:val="22"/>
          <w:szCs w:val="22"/>
        </w:rPr>
      </w:pPr>
      <w:r w:rsidRPr="002B3438">
        <w:rPr>
          <w:sz w:val="22"/>
          <w:szCs w:val="22"/>
        </w:rPr>
        <w:t xml:space="preserve">Baliulis A, Meilus E. 2001. Lietuvos Didžiosios Kunigaikštystės kasdienis gyvenimas. Vilniaus </w:t>
      </w:r>
    </w:p>
    <w:p w14:paraId="2A79C5FB" w14:textId="77777777" w:rsidR="00DF678C" w:rsidRPr="002B3438" w:rsidRDefault="006A3BEE" w:rsidP="00DF678C">
      <w:pPr>
        <w:pStyle w:val="ListParagraph"/>
        <w:ind w:left="0"/>
        <w:rPr>
          <w:sz w:val="22"/>
          <w:szCs w:val="22"/>
        </w:rPr>
      </w:pPr>
      <w:r>
        <w:rPr>
          <w:sz w:val="22"/>
          <w:szCs w:val="22"/>
        </w:rPr>
        <w:t xml:space="preserve">  </w:t>
      </w:r>
      <w:r w:rsidR="00DF678C" w:rsidRPr="002B3438">
        <w:rPr>
          <w:sz w:val="22"/>
          <w:szCs w:val="22"/>
        </w:rPr>
        <w:t>Dailės Akademijos leidykla, Vilnius</w:t>
      </w:r>
    </w:p>
    <w:p w14:paraId="1CACFF42" w14:textId="77777777" w:rsidR="00DF678C" w:rsidRPr="002B3438" w:rsidRDefault="00DF678C" w:rsidP="00ED2F2C">
      <w:pPr>
        <w:ind w:left="360" w:hanging="360"/>
        <w:rPr>
          <w:sz w:val="22"/>
          <w:szCs w:val="22"/>
        </w:rPr>
      </w:pPr>
    </w:p>
    <w:p w14:paraId="33C94EFC" w14:textId="77777777" w:rsidR="00DF678C" w:rsidRPr="002B3438" w:rsidRDefault="00DF678C" w:rsidP="00ED2F2C">
      <w:pPr>
        <w:ind w:left="360" w:hanging="360"/>
        <w:rPr>
          <w:sz w:val="22"/>
          <w:szCs w:val="22"/>
        </w:rPr>
      </w:pPr>
      <w:r w:rsidRPr="002B3438">
        <w:rPr>
          <w:sz w:val="22"/>
          <w:szCs w:val="22"/>
        </w:rPr>
        <w:t xml:space="preserve">Baronas D, Dubonis A, Petrauskas R. 2011. Lietuvos istorija, t. 3. XIII a. 1385m. Valstybes iškilimas tarp Rytu ir Vakaru. Vilnius. </w:t>
      </w:r>
    </w:p>
    <w:p w14:paraId="4CE7E260" w14:textId="77777777" w:rsidR="00DF678C" w:rsidRPr="002B3438" w:rsidRDefault="00DF678C" w:rsidP="00ED2F2C">
      <w:pPr>
        <w:ind w:left="360" w:hanging="360"/>
        <w:rPr>
          <w:sz w:val="22"/>
          <w:szCs w:val="22"/>
        </w:rPr>
      </w:pPr>
    </w:p>
    <w:p w14:paraId="76E46BFE" w14:textId="77777777" w:rsidR="0068508E" w:rsidRPr="002B3438" w:rsidRDefault="0068508E" w:rsidP="0068508E">
      <w:pPr>
        <w:autoSpaceDE w:val="0"/>
        <w:autoSpaceDN w:val="0"/>
        <w:adjustRightInd w:val="0"/>
        <w:rPr>
          <w:rFonts w:eastAsia="Calibri"/>
          <w:sz w:val="22"/>
          <w:szCs w:val="22"/>
        </w:rPr>
      </w:pPr>
      <w:r w:rsidRPr="002B3438">
        <w:rPr>
          <w:rFonts w:eastAsia="Calibri"/>
          <w:sz w:val="22"/>
          <w:szCs w:val="22"/>
        </w:rPr>
        <w:t xml:space="preserve">Barth RW, Williams JL, Kaplan FS. 1992. Osteon morphometry in females with femoral neck </w:t>
      </w:r>
    </w:p>
    <w:p w14:paraId="340FD76D" w14:textId="77777777" w:rsidR="0068508E" w:rsidRPr="002B3438" w:rsidRDefault="0068508E" w:rsidP="0068508E">
      <w:pPr>
        <w:autoSpaceDE w:val="0"/>
        <w:autoSpaceDN w:val="0"/>
        <w:adjustRightInd w:val="0"/>
        <w:ind w:firstLine="360"/>
        <w:rPr>
          <w:rFonts w:eastAsia="Calibri"/>
          <w:sz w:val="22"/>
          <w:szCs w:val="22"/>
        </w:rPr>
      </w:pPr>
      <w:r w:rsidRPr="002B3438">
        <w:rPr>
          <w:rFonts w:eastAsia="Calibri"/>
          <w:sz w:val="22"/>
          <w:szCs w:val="22"/>
        </w:rPr>
        <w:t xml:space="preserve">fractures. Clin Orthop </w:t>
      </w:r>
      <w:r w:rsidRPr="002B3438">
        <w:rPr>
          <w:rFonts w:eastAsia="Calibri"/>
          <w:bCs/>
          <w:sz w:val="22"/>
          <w:szCs w:val="22"/>
        </w:rPr>
        <w:t>283</w:t>
      </w:r>
      <w:r w:rsidRPr="002B3438">
        <w:rPr>
          <w:rFonts w:eastAsia="Calibri"/>
          <w:b/>
          <w:bCs/>
          <w:sz w:val="22"/>
          <w:szCs w:val="22"/>
        </w:rPr>
        <w:t>:</w:t>
      </w:r>
      <w:r w:rsidRPr="002B3438">
        <w:rPr>
          <w:rFonts w:eastAsia="Calibri"/>
          <w:sz w:val="22"/>
          <w:szCs w:val="22"/>
        </w:rPr>
        <w:t>178–186.</w:t>
      </w:r>
    </w:p>
    <w:p w14:paraId="5EC836A7" w14:textId="77777777" w:rsidR="0068508E" w:rsidRPr="002B3438" w:rsidRDefault="0068508E" w:rsidP="0068508E">
      <w:pPr>
        <w:ind w:left="360" w:hanging="360"/>
        <w:rPr>
          <w:sz w:val="22"/>
          <w:szCs w:val="22"/>
        </w:rPr>
      </w:pPr>
    </w:p>
    <w:p w14:paraId="41E59E80" w14:textId="77777777" w:rsidR="002A4D61" w:rsidRPr="002B3438" w:rsidRDefault="00215C3F" w:rsidP="00D10DB1">
      <w:pPr>
        <w:ind w:left="360" w:hanging="360"/>
        <w:rPr>
          <w:sz w:val="22"/>
          <w:szCs w:val="22"/>
        </w:rPr>
      </w:pPr>
      <w:r w:rsidRPr="002B3438">
        <w:rPr>
          <w:sz w:val="22"/>
          <w:szCs w:val="22"/>
        </w:rPr>
        <w:t>Bass</w:t>
      </w:r>
      <w:r w:rsidR="002A4D61" w:rsidRPr="002B3438">
        <w:rPr>
          <w:sz w:val="22"/>
          <w:szCs w:val="22"/>
        </w:rPr>
        <w:t xml:space="preserve"> SL, Pearce G, Bradney M,</w:t>
      </w:r>
      <w:r w:rsidR="006A3BEE">
        <w:rPr>
          <w:sz w:val="22"/>
          <w:szCs w:val="22"/>
        </w:rPr>
        <w:t xml:space="preserve"> </w:t>
      </w:r>
      <w:r w:rsidR="002A4D61" w:rsidRPr="002B3438">
        <w:rPr>
          <w:sz w:val="22"/>
          <w:szCs w:val="22"/>
        </w:rPr>
        <w:t xml:space="preserve">Hendrich E, Delmas PD, Harding A, Seeman E. 1998. Exercise before puberty may confer residual benefits in bone density in adulthood: studies in active prepubertal and retired female </w:t>
      </w:r>
      <w:r w:rsidRPr="002B3438">
        <w:rPr>
          <w:sz w:val="22"/>
          <w:szCs w:val="22"/>
        </w:rPr>
        <w:t>gymnasts. J Bone Min Res 13:</w:t>
      </w:r>
      <w:r w:rsidR="002A4D61" w:rsidRPr="002B3438">
        <w:rPr>
          <w:sz w:val="22"/>
          <w:szCs w:val="22"/>
        </w:rPr>
        <w:t>500-507.</w:t>
      </w:r>
    </w:p>
    <w:p w14:paraId="20FE7BAE" w14:textId="77777777" w:rsidR="00EF54D7" w:rsidRPr="002B3438" w:rsidRDefault="00EF54D7" w:rsidP="00EF54D7">
      <w:pPr>
        <w:ind w:left="360" w:hanging="360"/>
        <w:rPr>
          <w:sz w:val="22"/>
          <w:szCs w:val="22"/>
        </w:rPr>
      </w:pPr>
    </w:p>
    <w:p w14:paraId="5DDB7A41" w14:textId="77777777" w:rsidR="00ED2F2C" w:rsidRPr="002B3438" w:rsidRDefault="00ED2F2C" w:rsidP="00ED2F2C">
      <w:pPr>
        <w:autoSpaceDE w:val="0"/>
        <w:autoSpaceDN w:val="0"/>
        <w:adjustRightInd w:val="0"/>
        <w:rPr>
          <w:rFonts w:eastAsia="Calibri"/>
          <w:sz w:val="22"/>
          <w:szCs w:val="22"/>
        </w:rPr>
      </w:pPr>
      <w:r w:rsidRPr="002B3438">
        <w:rPr>
          <w:rFonts w:eastAsia="Calibri"/>
          <w:sz w:val="22"/>
          <w:szCs w:val="22"/>
        </w:rPr>
        <w:t xml:space="preserve">Bass S, Delmas PD, Pearce G, Hendrich E, Tabensky A, Seeman E. 1999. The differing tempo of </w:t>
      </w:r>
    </w:p>
    <w:p w14:paraId="47EE0AB8" w14:textId="77777777" w:rsidR="00ED2F2C" w:rsidRPr="002B3438" w:rsidRDefault="006A3BEE" w:rsidP="00ED2F2C">
      <w:pPr>
        <w:autoSpaceDE w:val="0"/>
        <w:autoSpaceDN w:val="0"/>
        <w:adjustRightInd w:val="0"/>
        <w:rPr>
          <w:rFonts w:eastAsia="Calibri"/>
          <w:sz w:val="22"/>
          <w:szCs w:val="22"/>
        </w:rPr>
      </w:pPr>
      <w:r>
        <w:rPr>
          <w:rFonts w:eastAsia="Calibri"/>
          <w:sz w:val="22"/>
          <w:szCs w:val="22"/>
        </w:rPr>
        <w:t xml:space="preserve">  </w:t>
      </w:r>
      <w:r w:rsidR="00ED2F2C" w:rsidRPr="002B3438">
        <w:rPr>
          <w:rFonts w:eastAsia="Calibri"/>
          <w:sz w:val="22"/>
          <w:szCs w:val="22"/>
        </w:rPr>
        <w:t>growth in bone size, mass, and density in girls is region-specific.</w:t>
      </w:r>
      <w:r>
        <w:rPr>
          <w:rFonts w:eastAsia="Calibri"/>
          <w:sz w:val="22"/>
          <w:szCs w:val="22"/>
        </w:rPr>
        <w:t xml:space="preserve"> </w:t>
      </w:r>
      <w:r w:rsidR="00ED2F2C" w:rsidRPr="002B3438">
        <w:rPr>
          <w:rFonts w:eastAsia="Calibri"/>
          <w:sz w:val="22"/>
          <w:szCs w:val="22"/>
        </w:rPr>
        <w:t>J Clin Invest 104:795–804.</w:t>
      </w:r>
    </w:p>
    <w:p w14:paraId="121E1F65" w14:textId="77777777" w:rsidR="00ED2F2C" w:rsidRPr="002B3438" w:rsidRDefault="00ED2F2C" w:rsidP="00ED2F2C">
      <w:pPr>
        <w:ind w:left="360" w:hanging="360"/>
        <w:rPr>
          <w:sz w:val="22"/>
          <w:szCs w:val="22"/>
        </w:rPr>
      </w:pPr>
    </w:p>
    <w:p w14:paraId="28A72468" w14:textId="77777777" w:rsidR="00215C3F" w:rsidRPr="002B3438" w:rsidRDefault="00215C3F" w:rsidP="00215C3F">
      <w:pPr>
        <w:autoSpaceDE w:val="0"/>
        <w:autoSpaceDN w:val="0"/>
        <w:adjustRightInd w:val="0"/>
        <w:rPr>
          <w:rFonts w:eastAsia="Calibri"/>
          <w:sz w:val="22"/>
          <w:szCs w:val="22"/>
        </w:rPr>
      </w:pPr>
      <w:r w:rsidRPr="002B3438">
        <w:rPr>
          <w:rFonts w:eastAsia="Calibri"/>
          <w:sz w:val="22"/>
          <w:szCs w:val="22"/>
        </w:rPr>
        <w:t xml:space="preserve">Bass SL, Saxon L, Daly RM, Turner CH, Robling AG, Seeman E, Stuckey S. 2002. The effect of </w:t>
      </w:r>
    </w:p>
    <w:p w14:paraId="2F2C84E5" w14:textId="77777777" w:rsidR="00215C3F" w:rsidRPr="002B3438" w:rsidRDefault="00215C3F" w:rsidP="00215C3F">
      <w:pPr>
        <w:autoSpaceDE w:val="0"/>
        <w:autoSpaceDN w:val="0"/>
        <w:adjustRightInd w:val="0"/>
        <w:ind w:left="360"/>
        <w:rPr>
          <w:rFonts w:eastAsia="Calibri"/>
          <w:sz w:val="22"/>
          <w:szCs w:val="22"/>
        </w:rPr>
      </w:pPr>
      <w:r w:rsidRPr="002B3438">
        <w:rPr>
          <w:rFonts w:eastAsia="Calibri"/>
          <w:sz w:val="22"/>
          <w:szCs w:val="22"/>
        </w:rPr>
        <w:t>mechanical loading on the size and shape of bone in pre-, peri-, and postpubertal girls: a study in tennis players. J Bone Miner Res 17:2274-2280.</w:t>
      </w:r>
    </w:p>
    <w:p w14:paraId="59F31A3C" w14:textId="77777777" w:rsidR="00215C3F" w:rsidRPr="002B3438" w:rsidRDefault="00215C3F" w:rsidP="00215C3F">
      <w:pPr>
        <w:ind w:left="360" w:hanging="360"/>
        <w:rPr>
          <w:sz w:val="22"/>
          <w:szCs w:val="22"/>
        </w:rPr>
      </w:pPr>
    </w:p>
    <w:p w14:paraId="5E424FDA" w14:textId="77777777" w:rsidR="00EF54D7" w:rsidRPr="002B3438" w:rsidRDefault="00EF54D7" w:rsidP="00EF54D7">
      <w:pPr>
        <w:ind w:left="360" w:hanging="360"/>
        <w:rPr>
          <w:sz w:val="22"/>
          <w:szCs w:val="22"/>
        </w:rPr>
      </w:pPr>
      <w:r w:rsidRPr="002B3438">
        <w:rPr>
          <w:sz w:val="22"/>
          <w:szCs w:val="22"/>
        </w:rPr>
        <w:t>Bass SL, Eser P, Daly R. 2005. The effect of exercise and nutrition on the mechanostat. J Musculoskel Neuronal Interact 5:239-254.</w:t>
      </w:r>
    </w:p>
    <w:p w14:paraId="30FE5927" w14:textId="77777777" w:rsidR="00EB263B" w:rsidRPr="002B3438" w:rsidRDefault="00EB263B" w:rsidP="00EB263B">
      <w:pPr>
        <w:autoSpaceDE w:val="0"/>
        <w:autoSpaceDN w:val="0"/>
        <w:adjustRightInd w:val="0"/>
        <w:rPr>
          <w:sz w:val="22"/>
          <w:szCs w:val="22"/>
        </w:rPr>
      </w:pPr>
    </w:p>
    <w:p w14:paraId="28AF09C8" w14:textId="77777777" w:rsidR="00022B7E" w:rsidRPr="002B3438" w:rsidRDefault="00022B7E" w:rsidP="00022B7E">
      <w:pPr>
        <w:ind w:left="360" w:hanging="360"/>
        <w:rPr>
          <w:sz w:val="22"/>
          <w:szCs w:val="22"/>
        </w:rPr>
      </w:pPr>
      <w:r w:rsidRPr="002B3438">
        <w:rPr>
          <w:sz w:val="22"/>
          <w:szCs w:val="22"/>
        </w:rPr>
        <w:t>Bassett JHG, Nordström K, Boyde A, Howell PGT, Kelly S, Vennström B, Williams GR. 2007. Thyroid status during skeletal development determines adult bone structure and mineralization. Molecular Endocrinology 21:1893-1904.</w:t>
      </w:r>
    </w:p>
    <w:p w14:paraId="5E17049D" w14:textId="77777777" w:rsidR="00022B7E" w:rsidRPr="002B3438" w:rsidRDefault="00022B7E" w:rsidP="00EB263B">
      <w:pPr>
        <w:autoSpaceDE w:val="0"/>
        <w:autoSpaceDN w:val="0"/>
        <w:adjustRightInd w:val="0"/>
        <w:rPr>
          <w:sz w:val="22"/>
          <w:szCs w:val="22"/>
        </w:rPr>
      </w:pPr>
    </w:p>
    <w:p w14:paraId="3418D566" w14:textId="77777777" w:rsidR="00C27558" w:rsidRPr="002B3438" w:rsidRDefault="00C27558" w:rsidP="00C27558">
      <w:pPr>
        <w:autoSpaceDE w:val="0"/>
        <w:autoSpaceDN w:val="0"/>
        <w:adjustRightInd w:val="0"/>
        <w:rPr>
          <w:rFonts w:eastAsia="Calibri"/>
          <w:sz w:val="22"/>
          <w:szCs w:val="22"/>
        </w:rPr>
      </w:pPr>
      <w:r w:rsidRPr="002B3438">
        <w:rPr>
          <w:rFonts w:eastAsia="Calibri"/>
          <w:sz w:val="22"/>
          <w:szCs w:val="22"/>
        </w:rPr>
        <w:t xml:space="preserve">Bell KL, Loveridge N, Power J, Garrahan N, Stanton M, Lunt M, Meggitt BF, Reeve J. 1999a. </w:t>
      </w:r>
    </w:p>
    <w:p w14:paraId="37BF8624" w14:textId="77777777" w:rsidR="00C27558" w:rsidRPr="002B3438" w:rsidRDefault="006A3BEE" w:rsidP="00C27558">
      <w:pPr>
        <w:autoSpaceDE w:val="0"/>
        <w:autoSpaceDN w:val="0"/>
        <w:adjustRightInd w:val="0"/>
        <w:rPr>
          <w:rFonts w:eastAsia="Calibri"/>
          <w:sz w:val="22"/>
          <w:szCs w:val="22"/>
        </w:rPr>
      </w:pPr>
      <w:r>
        <w:rPr>
          <w:rFonts w:eastAsia="Calibri"/>
          <w:sz w:val="22"/>
          <w:szCs w:val="22"/>
        </w:rPr>
        <w:t xml:space="preserve">  </w:t>
      </w:r>
      <w:r w:rsidR="00C27558" w:rsidRPr="002B3438">
        <w:rPr>
          <w:rFonts w:eastAsia="Calibri"/>
          <w:sz w:val="22"/>
          <w:szCs w:val="22"/>
        </w:rPr>
        <w:t>Structure of the femoral neck in hip fracture: cortical bone loss in the inferoanterior to</w:t>
      </w:r>
    </w:p>
    <w:p w14:paraId="4989F5FC" w14:textId="77777777" w:rsidR="00C27558" w:rsidRPr="002B3438" w:rsidRDefault="006A3BEE" w:rsidP="00C27558">
      <w:pPr>
        <w:autoSpaceDE w:val="0"/>
        <w:autoSpaceDN w:val="0"/>
        <w:adjustRightInd w:val="0"/>
        <w:rPr>
          <w:rFonts w:eastAsia="Calibri"/>
          <w:sz w:val="22"/>
          <w:szCs w:val="22"/>
        </w:rPr>
      </w:pPr>
      <w:r>
        <w:rPr>
          <w:rFonts w:eastAsia="Calibri"/>
          <w:sz w:val="22"/>
          <w:szCs w:val="22"/>
        </w:rPr>
        <w:lastRenderedPageBreak/>
        <w:t xml:space="preserve">  </w:t>
      </w:r>
      <w:r w:rsidR="00C27558" w:rsidRPr="002B3438">
        <w:rPr>
          <w:rFonts w:eastAsia="Calibri"/>
          <w:sz w:val="22"/>
          <w:szCs w:val="22"/>
        </w:rPr>
        <w:t>superoposterior axis. J Bone Miner Res 14:111–119.</w:t>
      </w:r>
    </w:p>
    <w:p w14:paraId="4CAE9565" w14:textId="77777777" w:rsidR="00C27558" w:rsidRPr="002B3438" w:rsidRDefault="00C27558" w:rsidP="00C27558">
      <w:pPr>
        <w:autoSpaceDE w:val="0"/>
        <w:autoSpaceDN w:val="0"/>
        <w:adjustRightInd w:val="0"/>
        <w:rPr>
          <w:rFonts w:eastAsia="Calibri"/>
          <w:sz w:val="22"/>
          <w:szCs w:val="22"/>
        </w:rPr>
      </w:pPr>
    </w:p>
    <w:p w14:paraId="60A61D27" w14:textId="77777777" w:rsidR="00C27558" w:rsidRPr="002B3438" w:rsidRDefault="00C27558" w:rsidP="00C27558">
      <w:pPr>
        <w:autoSpaceDE w:val="0"/>
        <w:autoSpaceDN w:val="0"/>
        <w:adjustRightInd w:val="0"/>
        <w:rPr>
          <w:rFonts w:eastAsia="Calibri"/>
          <w:sz w:val="22"/>
          <w:szCs w:val="22"/>
        </w:rPr>
      </w:pPr>
      <w:r w:rsidRPr="002B3438">
        <w:rPr>
          <w:rFonts w:eastAsia="Calibri"/>
          <w:sz w:val="22"/>
          <w:szCs w:val="22"/>
        </w:rPr>
        <w:t xml:space="preserve">Bell KL, Loveridge N, Power J, Rushton N, Reeve J. 1999b. Intracapsular hip fracture: increased </w:t>
      </w:r>
    </w:p>
    <w:p w14:paraId="5FB95CB9" w14:textId="77777777" w:rsidR="00C27558" w:rsidRPr="002B3438" w:rsidRDefault="006A3BEE" w:rsidP="00C27558">
      <w:pPr>
        <w:autoSpaceDE w:val="0"/>
        <w:autoSpaceDN w:val="0"/>
        <w:adjustRightInd w:val="0"/>
        <w:rPr>
          <w:rFonts w:eastAsia="Calibri"/>
          <w:sz w:val="22"/>
          <w:szCs w:val="22"/>
        </w:rPr>
      </w:pPr>
      <w:r>
        <w:rPr>
          <w:rFonts w:eastAsia="Calibri"/>
          <w:sz w:val="22"/>
          <w:szCs w:val="22"/>
        </w:rPr>
        <w:t xml:space="preserve">  </w:t>
      </w:r>
      <w:r w:rsidR="00C27558" w:rsidRPr="002B3438">
        <w:rPr>
          <w:rFonts w:eastAsia="Calibri"/>
          <w:sz w:val="22"/>
          <w:szCs w:val="22"/>
        </w:rPr>
        <w:t>cortical remodeling in the thinned and porous anterior region of the femoral neck.</w:t>
      </w:r>
    </w:p>
    <w:p w14:paraId="65271333" w14:textId="77777777" w:rsidR="00C27558" w:rsidRPr="002B3438" w:rsidRDefault="006A3BEE" w:rsidP="00C27558">
      <w:pPr>
        <w:autoSpaceDE w:val="0"/>
        <w:autoSpaceDN w:val="0"/>
        <w:adjustRightInd w:val="0"/>
        <w:rPr>
          <w:rFonts w:eastAsia="Calibri"/>
          <w:sz w:val="22"/>
          <w:szCs w:val="22"/>
        </w:rPr>
      </w:pPr>
      <w:r>
        <w:rPr>
          <w:rFonts w:eastAsia="Calibri"/>
          <w:sz w:val="22"/>
          <w:szCs w:val="22"/>
        </w:rPr>
        <w:t xml:space="preserve">  </w:t>
      </w:r>
      <w:r w:rsidR="00C27558" w:rsidRPr="002B3438">
        <w:rPr>
          <w:rFonts w:eastAsia="Calibri"/>
          <w:sz w:val="22"/>
          <w:szCs w:val="22"/>
        </w:rPr>
        <w:t>Osteoporos Int 10:248–257.</w:t>
      </w:r>
    </w:p>
    <w:p w14:paraId="27187E3F" w14:textId="77777777" w:rsidR="00C27558" w:rsidRPr="002B3438" w:rsidRDefault="00C27558" w:rsidP="00C27558">
      <w:pPr>
        <w:autoSpaceDE w:val="0"/>
        <w:autoSpaceDN w:val="0"/>
        <w:adjustRightInd w:val="0"/>
        <w:rPr>
          <w:sz w:val="22"/>
          <w:szCs w:val="22"/>
        </w:rPr>
      </w:pPr>
    </w:p>
    <w:p w14:paraId="71AFEDE2" w14:textId="77777777" w:rsidR="007C2C97" w:rsidRPr="002B3438" w:rsidRDefault="007C2C97" w:rsidP="00EB263B">
      <w:pPr>
        <w:autoSpaceDE w:val="0"/>
        <w:autoSpaceDN w:val="0"/>
        <w:adjustRightInd w:val="0"/>
        <w:rPr>
          <w:sz w:val="22"/>
          <w:szCs w:val="22"/>
        </w:rPr>
      </w:pPr>
      <w:r w:rsidRPr="002B3438">
        <w:rPr>
          <w:sz w:val="22"/>
          <w:szCs w:val="22"/>
        </w:rPr>
        <w:t xml:space="preserve">Bennike P, Lewis ME, Schutkowski H, Valentin F. 2005. Comparison of child morbidity </w:t>
      </w:r>
    </w:p>
    <w:p w14:paraId="0545DD62" w14:textId="77777777" w:rsidR="007C2C97" w:rsidRPr="002B3438" w:rsidRDefault="006A3BEE" w:rsidP="007C2C97">
      <w:pPr>
        <w:autoSpaceDE w:val="0"/>
        <w:autoSpaceDN w:val="0"/>
        <w:adjustRightInd w:val="0"/>
        <w:rPr>
          <w:rStyle w:val="Strong"/>
          <w:sz w:val="22"/>
          <w:szCs w:val="22"/>
        </w:rPr>
      </w:pPr>
      <w:r>
        <w:rPr>
          <w:sz w:val="22"/>
          <w:szCs w:val="22"/>
        </w:rPr>
        <w:t xml:space="preserve">  </w:t>
      </w:r>
      <w:r w:rsidR="007C2C97" w:rsidRPr="002B3438">
        <w:rPr>
          <w:sz w:val="22"/>
          <w:szCs w:val="22"/>
        </w:rPr>
        <w:t>in two contrasting medieval cemeteries from Denmark. AJPA 128:</w:t>
      </w:r>
      <w:r w:rsidR="007C2C97" w:rsidRPr="002B3438">
        <w:rPr>
          <w:rStyle w:val="Strong"/>
          <w:b w:val="0"/>
          <w:sz w:val="22"/>
          <w:szCs w:val="22"/>
        </w:rPr>
        <w:t>734-746.</w:t>
      </w:r>
    </w:p>
    <w:p w14:paraId="644AA9D4" w14:textId="77777777" w:rsidR="007C2C97" w:rsidRPr="002B3438" w:rsidRDefault="007C2C97" w:rsidP="00EB263B">
      <w:pPr>
        <w:autoSpaceDE w:val="0"/>
        <w:autoSpaceDN w:val="0"/>
        <w:adjustRightInd w:val="0"/>
        <w:rPr>
          <w:sz w:val="22"/>
          <w:szCs w:val="22"/>
        </w:rPr>
      </w:pPr>
    </w:p>
    <w:p w14:paraId="1F6210D2" w14:textId="77777777" w:rsidR="00E17CB7" w:rsidRPr="002B3438" w:rsidRDefault="00E17CB7" w:rsidP="00E17CB7">
      <w:pPr>
        <w:pStyle w:val="ListParagraph"/>
        <w:ind w:left="0"/>
        <w:jc w:val="both"/>
        <w:rPr>
          <w:sz w:val="22"/>
          <w:szCs w:val="22"/>
        </w:rPr>
      </w:pPr>
      <w:r w:rsidRPr="002B3438">
        <w:rPr>
          <w:sz w:val="22"/>
          <w:szCs w:val="22"/>
        </w:rPr>
        <w:t>Beresnevičius G. 2008. Lietuvių religija ir mitologija. Tyto Alba, Vilnius</w:t>
      </w:r>
    </w:p>
    <w:p w14:paraId="102C03DC" w14:textId="77777777" w:rsidR="00E17CB7" w:rsidRPr="002B3438" w:rsidRDefault="00E17CB7" w:rsidP="00EB263B">
      <w:pPr>
        <w:autoSpaceDE w:val="0"/>
        <w:autoSpaceDN w:val="0"/>
        <w:adjustRightInd w:val="0"/>
        <w:rPr>
          <w:sz w:val="22"/>
          <w:szCs w:val="22"/>
        </w:rPr>
      </w:pPr>
    </w:p>
    <w:p w14:paraId="039CD1E9" w14:textId="77777777" w:rsidR="00C27558" w:rsidRPr="002B3438" w:rsidRDefault="00C27558" w:rsidP="00C27558">
      <w:pPr>
        <w:pStyle w:val="CommentText"/>
        <w:rPr>
          <w:sz w:val="22"/>
          <w:szCs w:val="22"/>
        </w:rPr>
      </w:pPr>
      <w:r w:rsidRPr="002B3438">
        <w:rPr>
          <w:sz w:val="22"/>
          <w:szCs w:val="22"/>
        </w:rPr>
        <w:t xml:space="preserve">Bertelsen PK, Clement JG, Thomas CD. 1995. A morphometric study of the cortex of the human </w:t>
      </w:r>
    </w:p>
    <w:p w14:paraId="322D99F5" w14:textId="77777777" w:rsidR="00C27558" w:rsidRPr="002B3438" w:rsidRDefault="006A3BEE" w:rsidP="00C27558">
      <w:pPr>
        <w:pStyle w:val="CommentText"/>
        <w:rPr>
          <w:sz w:val="22"/>
          <w:szCs w:val="22"/>
        </w:rPr>
      </w:pPr>
      <w:r>
        <w:rPr>
          <w:sz w:val="22"/>
          <w:szCs w:val="22"/>
        </w:rPr>
        <w:t xml:space="preserve">  </w:t>
      </w:r>
      <w:r w:rsidR="00C27558" w:rsidRPr="002B3438">
        <w:rPr>
          <w:sz w:val="22"/>
          <w:szCs w:val="22"/>
        </w:rPr>
        <w:t>femur from early childhood to advanced old age. Forensic Sci Int 74:63-77.</w:t>
      </w:r>
    </w:p>
    <w:p w14:paraId="1A781C54" w14:textId="77777777" w:rsidR="00C27558" w:rsidRPr="002B3438" w:rsidRDefault="00C27558" w:rsidP="00EB263B">
      <w:pPr>
        <w:autoSpaceDE w:val="0"/>
        <w:autoSpaceDN w:val="0"/>
        <w:adjustRightInd w:val="0"/>
        <w:rPr>
          <w:sz w:val="22"/>
          <w:szCs w:val="22"/>
        </w:rPr>
      </w:pPr>
    </w:p>
    <w:p w14:paraId="0CE39192" w14:textId="77777777" w:rsidR="00E54129" w:rsidRPr="002B3438" w:rsidRDefault="00E54129" w:rsidP="00E54129">
      <w:pPr>
        <w:autoSpaceDE w:val="0"/>
        <w:autoSpaceDN w:val="0"/>
        <w:adjustRightInd w:val="0"/>
        <w:rPr>
          <w:sz w:val="22"/>
          <w:szCs w:val="22"/>
        </w:rPr>
      </w:pPr>
      <w:r w:rsidRPr="002B3438">
        <w:rPr>
          <w:sz w:val="22"/>
          <w:szCs w:val="22"/>
        </w:rPr>
        <w:t>Bertram JE, Biewener AA. 1988. Bone curvature: Sacrificing strength for load</w:t>
      </w:r>
    </w:p>
    <w:p w14:paraId="1154335B" w14:textId="77777777" w:rsidR="00E54129" w:rsidRPr="002B3438" w:rsidRDefault="006A3BEE" w:rsidP="00E54129">
      <w:pPr>
        <w:autoSpaceDE w:val="0"/>
        <w:autoSpaceDN w:val="0"/>
        <w:adjustRightInd w:val="0"/>
        <w:rPr>
          <w:sz w:val="22"/>
          <w:szCs w:val="22"/>
        </w:rPr>
      </w:pPr>
      <w:r>
        <w:rPr>
          <w:sz w:val="22"/>
          <w:szCs w:val="22"/>
        </w:rPr>
        <w:t xml:space="preserve">  </w:t>
      </w:r>
      <w:r w:rsidR="00E54129" w:rsidRPr="002B3438">
        <w:rPr>
          <w:sz w:val="22"/>
          <w:szCs w:val="22"/>
        </w:rPr>
        <w:t>predictability? J Theor Biol 131: 75-92.</w:t>
      </w:r>
    </w:p>
    <w:p w14:paraId="6642EF11" w14:textId="77777777" w:rsidR="00E54129" w:rsidRPr="002B3438" w:rsidRDefault="00E54129" w:rsidP="00E54129">
      <w:pPr>
        <w:autoSpaceDE w:val="0"/>
        <w:autoSpaceDN w:val="0"/>
        <w:adjustRightInd w:val="0"/>
        <w:rPr>
          <w:sz w:val="22"/>
          <w:szCs w:val="22"/>
        </w:rPr>
      </w:pPr>
    </w:p>
    <w:p w14:paraId="30DA442E" w14:textId="77777777" w:rsidR="00EB263B" w:rsidRPr="002B3438" w:rsidRDefault="00EB263B" w:rsidP="00EB263B">
      <w:pPr>
        <w:autoSpaceDE w:val="0"/>
        <w:autoSpaceDN w:val="0"/>
        <w:adjustRightInd w:val="0"/>
        <w:rPr>
          <w:sz w:val="22"/>
          <w:szCs w:val="22"/>
        </w:rPr>
      </w:pPr>
      <w:r w:rsidRPr="002B3438">
        <w:rPr>
          <w:sz w:val="22"/>
          <w:szCs w:val="22"/>
        </w:rPr>
        <w:t>Bertram JE, Swartz SM. 1991. The “law of bone transformation”: a case of crying Wolff?</w:t>
      </w:r>
    </w:p>
    <w:p w14:paraId="40766CDB" w14:textId="77777777" w:rsidR="00EB263B" w:rsidRPr="002B3438" w:rsidRDefault="006A3BEE" w:rsidP="00CE5BCD">
      <w:pPr>
        <w:rPr>
          <w:sz w:val="22"/>
          <w:szCs w:val="22"/>
        </w:rPr>
      </w:pPr>
      <w:r>
        <w:rPr>
          <w:i/>
          <w:iCs/>
          <w:sz w:val="22"/>
          <w:szCs w:val="22"/>
        </w:rPr>
        <w:t xml:space="preserve">  </w:t>
      </w:r>
      <w:r w:rsidR="00EB263B" w:rsidRPr="002B3438">
        <w:rPr>
          <w:i/>
          <w:iCs/>
          <w:sz w:val="22"/>
          <w:szCs w:val="22"/>
        </w:rPr>
        <w:t xml:space="preserve">Biol Rev Cambridge Philosophic Soc </w:t>
      </w:r>
      <w:r w:rsidR="00EB263B" w:rsidRPr="002B3438">
        <w:rPr>
          <w:sz w:val="22"/>
          <w:szCs w:val="22"/>
        </w:rPr>
        <w:t>66: 245-273.</w:t>
      </w:r>
    </w:p>
    <w:p w14:paraId="1A3AE6BA" w14:textId="77777777" w:rsidR="00F03F94" w:rsidRPr="002B3438" w:rsidRDefault="00F03F94" w:rsidP="00F03F94">
      <w:pPr>
        <w:autoSpaceDE w:val="0"/>
        <w:autoSpaceDN w:val="0"/>
        <w:adjustRightInd w:val="0"/>
        <w:rPr>
          <w:sz w:val="22"/>
          <w:szCs w:val="22"/>
        </w:rPr>
      </w:pPr>
    </w:p>
    <w:p w14:paraId="60B226E4" w14:textId="77777777" w:rsidR="00E3786B" w:rsidRPr="002B3438" w:rsidRDefault="00E3786B" w:rsidP="00F03F94">
      <w:pPr>
        <w:autoSpaceDE w:val="0"/>
        <w:autoSpaceDN w:val="0"/>
        <w:adjustRightInd w:val="0"/>
        <w:rPr>
          <w:sz w:val="22"/>
          <w:szCs w:val="22"/>
        </w:rPr>
      </w:pPr>
      <w:r w:rsidRPr="002B3438">
        <w:rPr>
          <w:sz w:val="22"/>
          <w:szCs w:val="22"/>
        </w:rPr>
        <w:t>Bianchi ML. 2007. Osteoporosis in children and adolescents. Bone 41:486-495.</w:t>
      </w:r>
    </w:p>
    <w:p w14:paraId="2D8AD0F2" w14:textId="77777777" w:rsidR="00E3786B" w:rsidRPr="002B3438" w:rsidRDefault="00E3786B" w:rsidP="00F03F94">
      <w:pPr>
        <w:autoSpaceDE w:val="0"/>
        <w:autoSpaceDN w:val="0"/>
        <w:adjustRightInd w:val="0"/>
        <w:rPr>
          <w:sz w:val="22"/>
          <w:szCs w:val="22"/>
        </w:rPr>
      </w:pPr>
    </w:p>
    <w:p w14:paraId="417E9EC5" w14:textId="77777777" w:rsidR="00E54129" w:rsidRPr="002B3438" w:rsidRDefault="00E54129" w:rsidP="00E54129">
      <w:pPr>
        <w:autoSpaceDE w:val="0"/>
        <w:autoSpaceDN w:val="0"/>
        <w:adjustRightInd w:val="0"/>
        <w:rPr>
          <w:sz w:val="22"/>
          <w:szCs w:val="22"/>
        </w:rPr>
      </w:pPr>
      <w:r w:rsidRPr="002B3438">
        <w:rPr>
          <w:sz w:val="22"/>
          <w:szCs w:val="22"/>
        </w:rPr>
        <w:t>Biewener AA. 1983. Locomotor stresses in the limb bones of two small mammals: the</w:t>
      </w:r>
    </w:p>
    <w:p w14:paraId="319DB0A7" w14:textId="77777777" w:rsidR="00E54129" w:rsidRPr="002B3438" w:rsidRDefault="006A3BEE" w:rsidP="00E54129">
      <w:pPr>
        <w:autoSpaceDE w:val="0"/>
        <w:autoSpaceDN w:val="0"/>
        <w:adjustRightInd w:val="0"/>
        <w:rPr>
          <w:sz w:val="22"/>
          <w:szCs w:val="22"/>
        </w:rPr>
      </w:pPr>
      <w:r>
        <w:rPr>
          <w:sz w:val="22"/>
          <w:szCs w:val="22"/>
        </w:rPr>
        <w:t xml:space="preserve">  </w:t>
      </w:r>
      <w:r w:rsidR="00E54129" w:rsidRPr="002B3438">
        <w:rPr>
          <w:sz w:val="22"/>
          <w:szCs w:val="22"/>
        </w:rPr>
        <w:t xml:space="preserve">ground squirrel and chipmunk. </w:t>
      </w:r>
      <w:r w:rsidR="00E54129" w:rsidRPr="002B3438">
        <w:rPr>
          <w:i/>
          <w:iCs/>
          <w:sz w:val="22"/>
          <w:szCs w:val="22"/>
        </w:rPr>
        <w:t xml:space="preserve">J Exp Biol </w:t>
      </w:r>
      <w:r w:rsidR="00E54129" w:rsidRPr="002B3438">
        <w:rPr>
          <w:sz w:val="22"/>
          <w:szCs w:val="22"/>
        </w:rPr>
        <w:t>103: 135-154.</w:t>
      </w:r>
    </w:p>
    <w:p w14:paraId="098EBC48" w14:textId="77777777" w:rsidR="00E54129" w:rsidRPr="002B3438" w:rsidRDefault="00E54129" w:rsidP="00E54129">
      <w:pPr>
        <w:autoSpaceDE w:val="0"/>
        <w:autoSpaceDN w:val="0"/>
        <w:adjustRightInd w:val="0"/>
        <w:rPr>
          <w:sz w:val="22"/>
          <w:szCs w:val="22"/>
        </w:rPr>
      </w:pPr>
    </w:p>
    <w:p w14:paraId="43D9BFD1" w14:textId="77777777" w:rsidR="00F873A9" w:rsidRPr="002B3438" w:rsidRDefault="00F873A9" w:rsidP="00E54129">
      <w:pPr>
        <w:autoSpaceDE w:val="0"/>
        <w:autoSpaceDN w:val="0"/>
        <w:adjustRightInd w:val="0"/>
        <w:rPr>
          <w:rStyle w:val="Strong"/>
          <w:b w:val="0"/>
          <w:bCs w:val="0"/>
          <w:sz w:val="22"/>
          <w:szCs w:val="22"/>
        </w:rPr>
      </w:pPr>
      <w:r w:rsidRPr="002B3438">
        <w:rPr>
          <w:rStyle w:val="Strong"/>
          <w:b w:val="0"/>
          <w:bCs w:val="0"/>
          <w:sz w:val="22"/>
          <w:szCs w:val="22"/>
        </w:rPr>
        <w:t>Biewener AA, Bertram JEA. 1994. Structural response of growing bone to exercise and disuse. J</w:t>
      </w:r>
    </w:p>
    <w:p w14:paraId="13A08E78" w14:textId="77777777" w:rsidR="00F873A9" w:rsidRPr="002B3438" w:rsidRDefault="006A3BEE" w:rsidP="00F873A9">
      <w:pPr>
        <w:autoSpaceDE w:val="0"/>
        <w:autoSpaceDN w:val="0"/>
        <w:adjustRightInd w:val="0"/>
        <w:rPr>
          <w:rStyle w:val="Strong"/>
          <w:b w:val="0"/>
          <w:bCs w:val="0"/>
          <w:sz w:val="22"/>
          <w:szCs w:val="22"/>
        </w:rPr>
      </w:pPr>
      <w:r>
        <w:rPr>
          <w:rStyle w:val="Strong"/>
          <w:b w:val="0"/>
          <w:bCs w:val="0"/>
          <w:sz w:val="22"/>
          <w:szCs w:val="22"/>
        </w:rPr>
        <w:t xml:space="preserve">  </w:t>
      </w:r>
      <w:r w:rsidR="00F873A9" w:rsidRPr="002B3438">
        <w:rPr>
          <w:rStyle w:val="Strong"/>
          <w:b w:val="0"/>
          <w:bCs w:val="0"/>
          <w:sz w:val="22"/>
          <w:szCs w:val="22"/>
        </w:rPr>
        <w:t>Appl Physiol 76:946-955</w:t>
      </w:r>
    </w:p>
    <w:p w14:paraId="11864765" w14:textId="77777777" w:rsidR="00F873A9" w:rsidRPr="002B3438" w:rsidRDefault="00F873A9" w:rsidP="00E54129">
      <w:pPr>
        <w:autoSpaceDE w:val="0"/>
        <w:autoSpaceDN w:val="0"/>
        <w:adjustRightInd w:val="0"/>
        <w:rPr>
          <w:sz w:val="22"/>
          <w:szCs w:val="22"/>
        </w:rPr>
      </w:pPr>
    </w:p>
    <w:p w14:paraId="676DB133" w14:textId="77777777" w:rsidR="008658F1" w:rsidRPr="002B3438" w:rsidRDefault="002A4D61" w:rsidP="00F03F94">
      <w:pPr>
        <w:autoSpaceDE w:val="0"/>
        <w:autoSpaceDN w:val="0"/>
        <w:adjustRightInd w:val="0"/>
        <w:rPr>
          <w:sz w:val="22"/>
          <w:szCs w:val="22"/>
        </w:rPr>
      </w:pPr>
      <w:r w:rsidRPr="002B3438">
        <w:rPr>
          <w:sz w:val="22"/>
          <w:szCs w:val="22"/>
        </w:rPr>
        <w:t xml:space="preserve">Biewener, AA, Swartz SM, Bertram JE. 1986. Bone </w:t>
      </w:r>
      <w:r w:rsidR="008658F1" w:rsidRPr="002B3438">
        <w:rPr>
          <w:sz w:val="22"/>
          <w:szCs w:val="22"/>
        </w:rPr>
        <w:t>modeling during growth: Dynamic</w:t>
      </w:r>
    </w:p>
    <w:p w14:paraId="7633E49D" w14:textId="77777777" w:rsidR="002A4D61" w:rsidRPr="002B3438" w:rsidRDefault="006A3BEE" w:rsidP="00F03F94">
      <w:pPr>
        <w:autoSpaceDE w:val="0"/>
        <w:autoSpaceDN w:val="0"/>
        <w:adjustRightInd w:val="0"/>
        <w:rPr>
          <w:sz w:val="22"/>
          <w:szCs w:val="22"/>
        </w:rPr>
      </w:pPr>
      <w:r>
        <w:rPr>
          <w:sz w:val="22"/>
          <w:szCs w:val="22"/>
        </w:rPr>
        <w:t xml:space="preserve">  </w:t>
      </w:r>
      <w:r w:rsidR="002A4D61" w:rsidRPr="002B3438">
        <w:rPr>
          <w:sz w:val="22"/>
          <w:szCs w:val="22"/>
        </w:rPr>
        <w:t>strain equilibrium in the chick tibiotarsus. Calc. Tiss. Int. 39, 390-395.</w:t>
      </w:r>
    </w:p>
    <w:p w14:paraId="3FD65B3D" w14:textId="77777777" w:rsidR="002A4D61" w:rsidRPr="002B3438" w:rsidRDefault="002A4D61" w:rsidP="00F03F94">
      <w:pPr>
        <w:autoSpaceDE w:val="0"/>
        <w:autoSpaceDN w:val="0"/>
        <w:adjustRightInd w:val="0"/>
        <w:rPr>
          <w:sz w:val="22"/>
          <w:szCs w:val="22"/>
        </w:rPr>
      </w:pPr>
    </w:p>
    <w:p w14:paraId="1D7704E9" w14:textId="77777777" w:rsidR="00CB4014" w:rsidRPr="002B3438" w:rsidRDefault="00CB4014" w:rsidP="00F03F94">
      <w:pPr>
        <w:autoSpaceDE w:val="0"/>
        <w:autoSpaceDN w:val="0"/>
        <w:adjustRightInd w:val="0"/>
        <w:rPr>
          <w:sz w:val="22"/>
          <w:szCs w:val="22"/>
        </w:rPr>
      </w:pPr>
      <w:r w:rsidRPr="002B3438">
        <w:rPr>
          <w:sz w:val="22"/>
          <w:szCs w:val="22"/>
        </w:rPr>
        <w:t xml:space="preserve">Binns CW. 1998. Infant-feeding and growth. In S Ulijaszek, FE Johnston and MA </w:t>
      </w:r>
    </w:p>
    <w:p w14:paraId="7A0418A3" w14:textId="77777777" w:rsidR="00CB4014" w:rsidRPr="002B3438" w:rsidRDefault="00CB4014" w:rsidP="00CB4014">
      <w:pPr>
        <w:autoSpaceDE w:val="0"/>
        <w:autoSpaceDN w:val="0"/>
        <w:adjustRightInd w:val="0"/>
        <w:ind w:left="345"/>
        <w:rPr>
          <w:sz w:val="22"/>
          <w:szCs w:val="22"/>
        </w:rPr>
      </w:pPr>
      <w:r w:rsidRPr="002B3438">
        <w:rPr>
          <w:sz w:val="22"/>
          <w:szCs w:val="22"/>
        </w:rPr>
        <w:t>Preece, editors. The Cambridge Encyclopedia of Human Growth and Development. Cambridge, UK: Cambridge University Press. p 320-325.</w:t>
      </w:r>
    </w:p>
    <w:p w14:paraId="0A3215B0" w14:textId="77777777" w:rsidR="00CB4014" w:rsidRPr="002B3438" w:rsidRDefault="00CB4014" w:rsidP="00F03F94">
      <w:pPr>
        <w:autoSpaceDE w:val="0"/>
        <w:autoSpaceDN w:val="0"/>
        <w:adjustRightInd w:val="0"/>
        <w:rPr>
          <w:sz w:val="22"/>
          <w:szCs w:val="22"/>
        </w:rPr>
      </w:pPr>
    </w:p>
    <w:p w14:paraId="3E76A6C7" w14:textId="77777777" w:rsidR="00291ACE" w:rsidRPr="002B3438" w:rsidRDefault="00291ACE" w:rsidP="00291ACE">
      <w:pPr>
        <w:autoSpaceDE w:val="0"/>
        <w:autoSpaceDN w:val="0"/>
        <w:adjustRightInd w:val="0"/>
        <w:rPr>
          <w:sz w:val="22"/>
          <w:szCs w:val="22"/>
        </w:rPr>
      </w:pPr>
      <w:r w:rsidRPr="002B3438">
        <w:rPr>
          <w:sz w:val="22"/>
          <w:szCs w:val="22"/>
        </w:rPr>
        <w:t>Bird DW,</w:t>
      </w:r>
      <w:r w:rsidR="00FE4711" w:rsidRPr="002B3438">
        <w:rPr>
          <w:sz w:val="22"/>
          <w:szCs w:val="22"/>
        </w:rPr>
        <w:t xml:space="preserve"> Bliege</w:t>
      </w:r>
      <w:r w:rsidRPr="002B3438">
        <w:rPr>
          <w:sz w:val="22"/>
          <w:szCs w:val="22"/>
        </w:rPr>
        <w:t xml:space="preserve"> Bird R. 2000. The ethnoarchaeology of juvenile foragers: Shellfishing strategies </w:t>
      </w:r>
    </w:p>
    <w:p w14:paraId="68E8EFB7" w14:textId="77777777" w:rsidR="00291ACE" w:rsidRPr="002B3438" w:rsidRDefault="006A3BEE" w:rsidP="00FE4711">
      <w:pPr>
        <w:autoSpaceDE w:val="0"/>
        <w:autoSpaceDN w:val="0"/>
        <w:adjustRightInd w:val="0"/>
        <w:rPr>
          <w:sz w:val="22"/>
          <w:szCs w:val="22"/>
        </w:rPr>
      </w:pPr>
      <w:r>
        <w:rPr>
          <w:sz w:val="22"/>
          <w:szCs w:val="22"/>
        </w:rPr>
        <w:t xml:space="preserve">  </w:t>
      </w:r>
      <w:r w:rsidR="00291ACE" w:rsidRPr="002B3438">
        <w:rPr>
          <w:sz w:val="22"/>
          <w:szCs w:val="22"/>
        </w:rPr>
        <w:t xml:space="preserve">among Meriam children. </w:t>
      </w:r>
      <w:r w:rsidR="00291ACE" w:rsidRPr="002B3438">
        <w:rPr>
          <w:iCs/>
          <w:sz w:val="22"/>
          <w:szCs w:val="22"/>
        </w:rPr>
        <w:t>Journal of Anthropological Archaeology</w:t>
      </w:r>
      <w:r w:rsidR="00291ACE" w:rsidRPr="002B3438">
        <w:rPr>
          <w:i/>
          <w:iCs/>
          <w:sz w:val="22"/>
          <w:szCs w:val="22"/>
        </w:rPr>
        <w:t xml:space="preserve"> </w:t>
      </w:r>
      <w:r w:rsidR="00291ACE" w:rsidRPr="002B3438">
        <w:rPr>
          <w:sz w:val="22"/>
          <w:szCs w:val="22"/>
        </w:rPr>
        <w:t>19: 461-476.</w:t>
      </w:r>
    </w:p>
    <w:p w14:paraId="4B412E00" w14:textId="77777777" w:rsidR="00291ACE" w:rsidRPr="002B3438" w:rsidRDefault="00291ACE" w:rsidP="00291ACE">
      <w:pPr>
        <w:autoSpaceDE w:val="0"/>
        <w:autoSpaceDN w:val="0"/>
        <w:adjustRightInd w:val="0"/>
        <w:rPr>
          <w:sz w:val="22"/>
          <w:szCs w:val="22"/>
        </w:rPr>
      </w:pPr>
    </w:p>
    <w:p w14:paraId="1E8E8CC5" w14:textId="77777777" w:rsidR="00FE4711" w:rsidRPr="002B3438" w:rsidRDefault="00FE4711" w:rsidP="00FE4711">
      <w:pPr>
        <w:autoSpaceDE w:val="0"/>
        <w:autoSpaceDN w:val="0"/>
        <w:adjustRightInd w:val="0"/>
        <w:rPr>
          <w:sz w:val="22"/>
          <w:szCs w:val="22"/>
        </w:rPr>
      </w:pPr>
      <w:r w:rsidRPr="002B3438">
        <w:rPr>
          <w:sz w:val="22"/>
          <w:szCs w:val="22"/>
        </w:rPr>
        <w:t>Bird DW, Bliege Bird R. 2002. Children on the reef: Slow learning or strategic foraging?</w:t>
      </w:r>
    </w:p>
    <w:p w14:paraId="5DBB2214" w14:textId="77777777" w:rsidR="00FE4711" w:rsidRPr="002B3438" w:rsidRDefault="006A3BEE" w:rsidP="00FE4711">
      <w:pPr>
        <w:autoSpaceDE w:val="0"/>
        <w:autoSpaceDN w:val="0"/>
        <w:adjustRightInd w:val="0"/>
        <w:rPr>
          <w:sz w:val="22"/>
          <w:szCs w:val="22"/>
        </w:rPr>
      </w:pPr>
      <w:r>
        <w:rPr>
          <w:iCs/>
          <w:sz w:val="22"/>
          <w:szCs w:val="22"/>
        </w:rPr>
        <w:t xml:space="preserve">  </w:t>
      </w:r>
      <w:r w:rsidR="00FE4711" w:rsidRPr="002B3438">
        <w:rPr>
          <w:iCs/>
          <w:sz w:val="22"/>
          <w:szCs w:val="22"/>
        </w:rPr>
        <w:t xml:space="preserve">Human Nature </w:t>
      </w:r>
      <w:r w:rsidR="00FE4711" w:rsidRPr="002B3438">
        <w:rPr>
          <w:sz w:val="22"/>
          <w:szCs w:val="22"/>
        </w:rPr>
        <w:t>13:269-297.</w:t>
      </w:r>
    </w:p>
    <w:p w14:paraId="6F17422A" w14:textId="77777777" w:rsidR="00FE4711" w:rsidRPr="002B3438" w:rsidRDefault="00FE4711" w:rsidP="00FE4711">
      <w:pPr>
        <w:autoSpaceDE w:val="0"/>
        <w:autoSpaceDN w:val="0"/>
        <w:adjustRightInd w:val="0"/>
        <w:rPr>
          <w:sz w:val="22"/>
          <w:szCs w:val="22"/>
        </w:rPr>
      </w:pPr>
    </w:p>
    <w:p w14:paraId="6A522A7C" w14:textId="77777777" w:rsidR="00FE4711" w:rsidRPr="002B3438" w:rsidRDefault="00FE4711" w:rsidP="00FE4711">
      <w:pPr>
        <w:autoSpaceDE w:val="0"/>
        <w:autoSpaceDN w:val="0"/>
        <w:adjustRightInd w:val="0"/>
        <w:rPr>
          <w:sz w:val="22"/>
          <w:szCs w:val="22"/>
        </w:rPr>
      </w:pPr>
      <w:r w:rsidRPr="002B3438">
        <w:rPr>
          <w:sz w:val="22"/>
          <w:szCs w:val="22"/>
        </w:rPr>
        <w:t>Bird DW, Bliege Bird R. 2005. Mardu children’s hunting strategies in the western desert,</w:t>
      </w:r>
    </w:p>
    <w:p w14:paraId="6D34C02B" w14:textId="77777777" w:rsidR="00FE4711" w:rsidRPr="002B3438" w:rsidRDefault="00FE4711" w:rsidP="00FE4711">
      <w:pPr>
        <w:autoSpaceDE w:val="0"/>
        <w:autoSpaceDN w:val="0"/>
        <w:adjustRightInd w:val="0"/>
        <w:ind w:left="375"/>
        <w:rPr>
          <w:sz w:val="22"/>
          <w:szCs w:val="22"/>
        </w:rPr>
      </w:pPr>
      <w:r w:rsidRPr="002B3438">
        <w:rPr>
          <w:sz w:val="22"/>
          <w:szCs w:val="22"/>
        </w:rPr>
        <w:t xml:space="preserve">Australia. In: Hewlett BS, Lamb ME, editors. </w:t>
      </w:r>
      <w:r w:rsidRPr="002B3438">
        <w:rPr>
          <w:iCs/>
          <w:sz w:val="22"/>
          <w:szCs w:val="22"/>
        </w:rPr>
        <w:t>Hunter-Gatherer Childhoods: Evolutionary, Developmental and Cultural Perspectives</w:t>
      </w:r>
      <w:r w:rsidRPr="002B3438">
        <w:rPr>
          <w:sz w:val="22"/>
          <w:szCs w:val="22"/>
        </w:rPr>
        <w:t>. New Brunswick: Aldine.</w:t>
      </w:r>
    </w:p>
    <w:p w14:paraId="1BBD2BC2" w14:textId="77777777" w:rsidR="00FE4711" w:rsidRPr="002B3438" w:rsidRDefault="00FE4711" w:rsidP="00FE4711">
      <w:pPr>
        <w:autoSpaceDE w:val="0"/>
        <w:autoSpaceDN w:val="0"/>
        <w:adjustRightInd w:val="0"/>
        <w:rPr>
          <w:sz w:val="22"/>
          <w:szCs w:val="22"/>
        </w:rPr>
      </w:pPr>
    </w:p>
    <w:p w14:paraId="434467F3" w14:textId="77777777" w:rsidR="00E13F24" w:rsidRPr="002B3438" w:rsidRDefault="00E13F24" w:rsidP="00E13F24">
      <w:pPr>
        <w:autoSpaceDE w:val="0"/>
        <w:autoSpaceDN w:val="0"/>
        <w:adjustRightInd w:val="0"/>
        <w:rPr>
          <w:sz w:val="22"/>
          <w:szCs w:val="22"/>
        </w:rPr>
      </w:pPr>
      <w:r w:rsidRPr="002B3438">
        <w:rPr>
          <w:sz w:val="22"/>
          <w:szCs w:val="22"/>
        </w:rPr>
        <w:t xml:space="preserve">Bird-David N. 2005. Studying children in hunter-gatherer societies: Reflections from a Nayaka </w:t>
      </w:r>
    </w:p>
    <w:p w14:paraId="3254B124" w14:textId="77777777" w:rsidR="00E13F24" w:rsidRPr="002B3438" w:rsidRDefault="00E13F24" w:rsidP="00E13F24">
      <w:pPr>
        <w:autoSpaceDE w:val="0"/>
        <w:autoSpaceDN w:val="0"/>
        <w:adjustRightInd w:val="0"/>
        <w:ind w:left="375"/>
        <w:rPr>
          <w:sz w:val="22"/>
          <w:szCs w:val="22"/>
        </w:rPr>
      </w:pPr>
      <w:r w:rsidRPr="002B3438">
        <w:rPr>
          <w:sz w:val="22"/>
          <w:szCs w:val="22"/>
        </w:rPr>
        <w:t xml:space="preserve">perspective. In: Hewlett BS, Lamb ME, editors. </w:t>
      </w:r>
      <w:r w:rsidRPr="002B3438">
        <w:rPr>
          <w:iCs/>
          <w:sz w:val="22"/>
          <w:szCs w:val="22"/>
        </w:rPr>
        <w:t>Hunter-Gatherer</w:t>
      </w:r>
      <w:r w:rsidRPr="002B3438">
        <w:rPr>
          <w:sz w:val="22"/>
          <w:szCs w:val="22"/>
        </w:rPr>
        <w:t xml:space="preserve"> </w:t>
      </w:r>
      <w:r w:rsidRPr="002B3438">
        <w:rPr>
          <w:iCs/>
          <w:sz w:val="22"/>
          <w:szCs w:val="22"/>
        </w:rPr>
        <w:t>Childhoods: Evolutionary, Developmental and Cultural Perspectives</w:t>
      </w:r>
      <w:r w:rsidRPr="002B3438">
        <w:rPr>
          <w:sz w:val="22"/>
          <w:szCs w:val="22"/>
        </w:rPr>
        <w:t>. New Brunswick:Aldine.</w:t>
      </w:r>
    </w:p>
    <w:p w14:paraId="761C8013" w14:textId="77777777" w:rsidR="00E13F24" w:rsidRPr="002B3438" w:rsidRDefault="00E13F24" w:rsidP="00E13F24">
      <w:pPr>
        <w:autoSpaceDE w:val="0"/>
        <w:autoSpaceDN w:val="0"/>
        <w:adjustRightInd w:val="0"/>
        <w:rPr>
          <w:sz w:val="22"/>
          <w:szCs w:val="22"/>
        </w:rPr>
      </w:pPr>
    </w:p>
    <w:p w14:paraId="3E6A5C7A" w14:textId="77777777" w:rsidR="00CB4014" w:rsidRPr="002B3438" w:rsidRDefault="00CB4014" w:rsidP="00E13F24">
      <w:pPr>
        <w:autoSpaceDE w:val="0"/>
        <w:autoSpaceDN w:val="0"/>
        <w:adjustRightInd w:val="0"/>
        <w:rPr>
          <w:sz w:val="22"/>
          <w:szCs w:val="22"/>
        </w:rPr>
      </w:pPr>
      <w:r w:rsidRPr="002B3438">
        <w:rPr>
          <w:sz w:val="22"/>
          <w:szCs w:val="22"/>
        </w:rPr>
        <w:lastRenderedPageBreak/>
        <w:t xml:space="preserve">Blakely ML and Armelagos GJ. 1985. Deciduous enamel defects in prehistoric </w:t>
      </w:r>
    </w:p>
    <w:p w14:paraId="116A8CAA" w14:textId="77777777" w:rsidR="00CB4014" w:rsidRPr="002B3438" w:rsidRDefault="00CB4014" w:rsidP="00CB4014">
      <w:pPr>
        <w:autoSpaceDE w:val="0"/>
        <w:autoSpaceDN w:val="0"/>
        <w:adjustRightInd w:val="0"/>
        <w:ind w:left="405"/>
        <w:rPr>
          <w:sz w:val="22"/>
          <w:szCs w:val="22"/>
        </w:rPr>
      </w:pPr>
      <w:r w:rsidRPr="002B3438">
        <w:rPr>
          <w:sz w:val="22"/>
          <w:szCs w:val="22"/>
        </w:rPr>
        <w:t xml:space="preserve">Americans from Dickson Mounds: prenatal and postnatal stress. </w:t>
      </w:r>
      <w:r w:rsidR="00065BB5" w:rsidRPr="002B3438">
        <w:rPr>
          <w:sz w:val="22"/>
          <w:szCs w:val="22"/>
        </w:rPr>
        <w:t>Am</w:t>
      </w:r>
      <w:r w:rsidRPr="002B3438">
        <w:rPr>
          <w:sz w:val="22"/>
          <w:szCs w:val="22"/>
        </w:rPr>
        <w:t xml:space="preserve"> J Phys Anthropol 66:371-380.</w:t>
      </w:r>
    </w:p>
    <w:p w14:paraId="3FA30F27" w14:textId="77777777" w:rsidR="00CB4014" w:rsidRPr="002B3438" w:rsidRDefault="00CB4014" w:rsidP="00CB4014">
      <w:pPr>
        <w:autoSpaceDE w:val="0"/>
        <w:autoSpaceDN w:val="0"/>
        <w:adjustRightInd w:val="0"/>
        <w:rPr>
          <w:sz w:val="22"/>
          <w:szCs w:val="22"/>
        </w:rPr>
      </w:pPr>
    </w:p>
    <w:p w14:paraId="6D892A40" w14:textId="77777777" w:rsidR="00CB4014" w:rsidRPr="002B3438" w:rsidRDefault="00CB4014" w:rsidP="00CB4014">
      <w:pPr>
        <w:autoSpaceDE w:val="0"/>
        <w:autoSpaceDN w:val="0"/>
        <w:adjustRightInd w:val="0"/>
        <w:rPr>
          <w:sz w:val="22"/>
          <w:szCs w:val="22"/>
        </w:rPr>
      </w:pPr>
      <w:r w:rsidRPr="002B3438">
        <w:rPr>
          <w:sz w:val="22"/>
          <w:szCs w:val="22"/>
        </w:rPr>
        <w:t>Block JE, Friedlander AL, Brooks GA, et al. 1989. Determinants of bone density among</w:t>
      </w:r>
    </w:p>
    <w:p w14:paraId="4226C659" w14:textId="77777777" w:rsidR="00CB4014" w:rsidRPr="002B3438" w:rsidRDefault="00CB4014" w:rsidP="00CB4014">
      <w:pPr>
        <w:autoSpaceDE w:val="0"/>
        <w:autoSpaceDN w:val="0"/>
        <w:adjustRightInd w:val="0"/>
        <w:ind w:left="375"/>
        <w:rPr>
          <w:sz w:val="22"/>
          <w:szCs w:val="22"/>
        </w:rPr>
      </w:pPr>
      <w:r w:rsidRPr="002B3438">
        <w:rPr>
          <w:sz w:val="22"/>
          <w:szCs w:val="22"/>
        </w:rPr>
        <w:t xml:space="preserve">athletes engaged in weight-bearing and non-weight bearing activity. </w:t>
      </w:r>
      <w:r w:rsidRPr="002B3438">
        <w:rPr>
          <w:iCs/>
          <w:sz w:val="22"/>
          <w:szCs w:val="22"/>
        </w:rPr>
        <w:t>J Appl</w:t>
      </w:r>
      <w:r w:rsidRPr="002B3438">
        <w:rPr>
          <w:sz w:val="22"/>
          <w:szCs w:val="22"/>
        </w:rPr>
        <w:t xml:space="preserve"> </w:t>
      </w:r>
      <w:r w:rsidRPr="002B3438">
        <w:rPr>
          <w:iCs/>
          <w:sz w:val="22"/>
          <w:szCs w:val="22"/>
        </w:rPr>
        <w:t xml:space="preserve">Physiol </w:t>
      </w:r>
      <w:r w:rsidRPr="002B3438">
        <w:rPr>
          <w:sz w:val="22"/>
          <w:szCs w:val="22"/>
        </w:rPr>
        <w:t>67:1100-1105.</w:t>
      </w:r>
    </w:p>
    <w:p w14:paraId="649409CA" w14:textId="77777777" w:rsidR="00CB4014" w:rsidRPr="002B3438" w:rsidRDefault="00CB4014" w:rsidP="00E13F24">
      <w:pPr>
        <w:autoSpaceDE w:val="0"/>
        <w:autoSpaceDN w:val="0"/>
        <w:adjustRightInd w:val="0"/>
        <w:rPr>
          <w:sz w:val="22"/>
          <w:szCs w:val="22"/>
        </w:rPr>
      </w:pPr>
    </w:p>
    <w:p w14:paraId="1E4872D6" w14:textId="77777777" w:rsidR="00305E34" w:rsidRPr="002B3438" w:rsidRDefault="00305E34" w:rsidP="00305E34">
      <w:pPr>
        <w:autoSpaceDE w:val="0"/>
        <w:autoSpaceDN w:val="0"/>
        <w:adjustRightInd w:val="0"/>
        <w:rPr>
          <w:sz w:val="22"/>
          <w:szCs w:val="22"/>
        </w:rPr>
      </w:pPr>
      <w:r w:rsidRPr="002B3438">
        <w:rPr>
          <w:sz w:val="22"/>
          <w:szCs w:val="22"/>
        </w:rPr>
        <w:t xml:space="preserve">Blom DE, Buikstra JE, Keng L, Tomczak PD, Shoreman E, Stevens-Tuttle D. 2005. </w:t>
      </w:r>
    </w:p>
    <w:p w14:paraId="5C6A3729" w14:textId="77777777" w:rsidR="00305E34" w:rsidRPr="002B3438" w:rsidRDefault="00305E34" w:rsidP="00305E34">
      <w:pPr>
        <w:autoSpaceDE w:val="0"/>
        <w:autoSpaceDN w:val="0"/>
        <w:adjustRightInd w:val="0"/>
        <w:ind w:left="405"/>
        <w:rPr>
          <w:rStyle w:val="Strong"/>
          <w:sz w:val="22"/>
          <w:szCs w:val="22"/>
        </w:rPr>
      </w:pPr>
      <w:r w:rsidRPr="002B3438">
        <w:rPr>
          <w:sz w:val="22"/>
          <w:szCs w:val="22"/>
        </w:rPr>
        <w:t>Anemia and childhood mortality: latitudinal patterning along the coast of pre-Columbian Peru. AJPA 127:</w:t>
      </w:r>
      <w:r w:rsidRPr="002B3438">
        <w:rPr>
          <w:rStyle w:val="Heading1Char"/>
          <w:sz w:val="22"/>
          <w:szCs w:val="22"/>
        </w:rPr>
        <w:t xml:space="preserve"> </w:t>
      </w:r>
      <w:r w:rsidRPr="002B3438">
        <w:rPr>
          <w:rStyle w:val="Strong"/>
          <w:b w:val="0"/>
          <w:sz w:val="22"/>
          <w:szCs w:val="22"/>
        </w:rPr>
        <w:t>152-169.</w:t>
      </w:r>
    </w:p>
    <w:p w14:paraId="71D2FB4E" w14:textId="77777777" w:rsidR="00305E34" w:rsidRPr="002B3438" w:rsidRDefault="00305E34" w:rsidP="00E13F24">
      <w:pPr>
        <w:autoSpaceDE w:val="0"/>
        <w:autoSpaceDN w:val="0"/>
        <w:adjustRightInd w:val="0"/>
        <w:rPr>
          <w:sz w:val="22"/>
          <w:szCs w:val="22"/>
        </w:rPr>
      </w:pPr>
    </w:p>
    <w:p w14:paraId="45FFD041" w14:textId="77777777" w:rsidR="007D082C" w:rsidRPr="002B3438" w:rsidRDefault="007D082C" w:rsidP="007D082C">
      <w:pPr>
        <w:autoSpaceDE w:val="0"/>
        <w:autoSpaceDN w:val="0"/>
        <w:adjustRightInd w:val="0"/>
        <w:rPr>
          <w:sz w:val="22"/>
          <w:szCs w:val="22"/>
        </w:rPr>
      </w:pPr>
      <w:r w:rsidRPr="002B3438">
        <w:rPr>
          <w:sz w:val="22"/>
          <w:szCs w:val="22"/>
        </w:rPr>
        <w:t xml:space="preserve">Blurton Jones N, Marlowe FR. 2002. Selection for delayed maturity: Does it take 20 years to </w:t>
      </w:r>
    </w:p>
    <w:p w14:paraId="01E51D44" w14:textId="77777777" w:rsidR="007D082C" w:rsidRPr="002B3438" w:rsidRDefault="006A3BEE" w:rsidP="007D082C">
      <w:pPr>
        <w:autoSpaceDE w:val="0"/>
        <w:autoSpaceDN w:val="0"/>
        <w:adjustRightInd w:val="0"/>
        <w:rPr>
          <w:sz w:val="22"/>
          <w:szCs w:val="22"/>
        </w:rPr>
      </w:pPr>
      <w:r>
        <w:rPr>
          <w:sz w:val="22"/>
          <w:szCs w:val="22"/>
        </w:rPr>
        <w:t xml:space="preserve">  </w:t>
      </w:r>
      <w:r w:rsidR="007D082C" w:rsidRPr="002B3438">
        <w:rPr>
          <w:sz w:val="22"/>
          <w:szCs w:val="22"/>
        </w:rPr>
        <w:t xml:space="preserve">learn to hunt and gather? </w:t>
      </w:r>
      <w:r w:rsidR="007D082C" w:rsidRPr="002B3438">
        <w:rPr>
          <w:iCs/>
          <w:sz w:val="22"/>
          <w:szCs w:val="22"/>
        </w:rPr>
        <w:t>Human Nature</w:t>
      </w:r>
      <w:r w:rsidR="007D082C" w:rsidRPr="002B3438">
        <w:rPr>
          <w:i/>
          <w:iCs/>
          <w:sz w:val="22"/>
          <w:szCs w:val="22"/>
        </w:rPr>
        <w:t xml:space="preserve"> </w:t>
      </w:r>
      <w:r w:rsidR="007D082C" w:rsidRPr="002B3438">
        <w:rPr>
          <w:sz w:val="22"/>
          <w:szCs w:val="22"/>
        </w:rPr>
        <w:t>13:199-238.</w:t>
      </w:r>
    </w:p>
    <w:p w14:paraId="4DA07066" w14:textId="77777777" w:rsidR="008F1D58" w:rsidRPr="002B3438" w:rsidRDefault="008F1D58" w:rsidP="007D082C">
      <w:pPr>
        <w:autoSpaceDE w:val="0"/>
        <w:autoSpaceDN w:val="0"/>
        <w:adjustRightInd w:val="0"/>
        <w:rPr>
          <w:sz w:val="22"/>
          <w:szCs w:val="22"/>
        </w:rPr>
      </w:pPr>
    </w:p>
    <w:p w14:paraId="1F04E9D4" w14:textId="77777777" w:rsidR="005D3AF4" w:rsidRPr="002B3438" w:rsidRDefault="005D3AF4" w:rsidP="005D3AF4">
      <w:pPr>
        <w:autoSpaceDE w:val="0"/>
        <w:autoSpaceDN w:val="0"/>
        <w:adjustRightInd w:val="0"/>
        <w:rPr>
          <w:sz w:val="22"/>
          <w:szCs w:val="22"/>
        </w:rPr>
      </w:pPr>
      <w:r w:rsidRPr="002B3438">
        <w:rPr>
          <w:sz w:val="22"/>
          <w:szCs w:val="22"/>
        </w:rPr>
        <w:t>Bock J. 2005. What makes a competent adult forager? In: Hewlett BS, Lamb ME, editors.</w:t>
      </w:r>
    </w:p>
    <w:p w14:paraId="1A8B1C4C" w14:textId="77777777" w:rsidR="005D3AF4" w:rsidRPr="002B3438" w:rsidRDefault="006A3BEE" w:rsidP="005D3AF4">
      <w:pPr>
        <w:autoSpaceDE w:val="0"/>
        <w:autoSpaceDN w:val="0"/>
        <w:adjustRightInd w:val="0"/>
        <w:rPr>
          <w:sz w:val="22"/>
          <w:szCs w:val="22"/>
        </w:rPr>
      </w:pPr>
      <w:r>
        <w:rPr>
          <w:iCs/>
          <w:sz w:val="22"/>
          <w:szCs w:val="22"/>
        </w:rPr>
        <w:t xml:space="preserve">  </w:t>
      </w:r>
      <w:r w:rsidR="005D3AF4" w:rsidRPr="002B3438">
        <w:rPr>
          <w:iCs/>
          <w:sz w:val="22"/>
          <w:szCs w:val="22"/>
        </w:rPr>
        <w:t>Hunter-Gatherer Childhoods: Evolutionary, Developmental and Cultural Perspectives</w:t>
      </w:r>
      <w:r w:rsidR="005D3AF4" w:rsidRPr="002B3438">
        <w:rPr>
          <w:sz w:val="22"/>
          <w:szCs w:val="22"/>
        </w:rPr>
        <w:t>.</w:t>
      </w:r>
    </w:p>
    <w:p w14:paraId="65C93E83" w14:textId="77777777" w:rsidR="005D3AF4" w:rsidRPr="002B3438" w:rsidRDefault="006A3BEE" w:rsidP="005D3AF4">
      <w:pPr>
        <w:autoSpaceDE w:val="0"/>
        <w:autoSpaceDN w:val="0"/>
        <w:adjustRightInd w:val="0"/>
        <w:rPr>
          <w:sz w:val="22"/>
          <w:szCs w:val="22"/>
        </w:rPr>
      </w:pPr>
      <w:r>
        <w:rPr>
          <w:sz w:val="22"/>
          <w:szCs w:val="22"/>
        </w:rPr>
        <w:t xml:space="preserve">  </w:t>
      </w:r>
      <w:r w:rsidR="005D3AF4" w:rsidRPr="002B3438">
        <w:rPr>
          <w:sz w:val="22"/>
          <w:szCs w:val="22"/>
        </w:rPr>
        <w:t>New Brunswick: Aldine.</w:t>
      </w:r>
    </w:p>
    <w:p w14:paraId="74701C8D" w14:textId="77777777" w:rsidR="0060407E" w:rsidRPr="002B3438" w:rsidRDefault="0060407E" w:rsidP="008F1D58">
      <w:pPr>
        <w:autoSpaceDE w:val="0"/>
        <w:autoSpaceDN w:val="0"/>
        <w:adjustRightInd w:val="0"/>
        <w:rPr>
          <w:sz w:val="22"/>
          <w:szCs w:val="22"/>
        </w:rPr>
      </w:pPr>
    </w:p>
    <w:p w14:paraId="0C043BD2" w14:textId="77777777" w:rsidR="0060407E" w:rsidRPr="002B3438" w:rsidRDefault="0060407E" w:rsidP="008F1D58">
      <w:pPr>
        <w:autoSpaceDE w:val="0"/>
        <w:autoSpaceDN w:val="0"/>
        <w:adjustRightInd w:val="0"/>
        <w:rPr>
          <w:sz w:val="22"/>
          <w:szCs w:val="22"/>
        </w:rPr>
      </w:pPr>
      <w:r w:rsidRPr="002B3438">
        <w:rPr>
          <w:sz w:val="22"/>
          <w:szCs w:val="22"/>
        </w:rPr>
        <w:t>Bogin B. Evolutionary hupotheses for human childhood. Yrbk Phys Anth 40:63-89.</w:t>
      </w:r>
    </w:p>
    <w:p w14:paraId="19779EAA" w14:textId="77777777" w:rsidR="0060407E" w:rsidRPr="002B3438" w:rsidRDefault="0060407E" w:rsidP="008F1D58">
      <w:pPr>
        <w:autoSpaceDE w:val="0"/>
        <w:autoSpaceDN w:val="0"/>
        <w:adjustRightInd w:val="0"/>
        <w:rPr>
          <w:sz w:val="22"/>
          <w:szCs w:val="22"/>
        </w:rPr>
      </w:pPr>
    </w:p>
    <w:p w14:paraId="1D0E9C27" w14:textId="77777777" w:rsidR="00AF75DB" w:rsidRPr="002B3438" w:rsidRDefault="00AF75DB" w:rsidP="008F1D58">
      <w:pPr>
        <w:autoSpaceDE w:val="0"/>
        <w:autoSpaceDN w:val="0"/>
        <w:adjustRightInd w:val="0"/>
        <w:rPr>
          <w:sz w:val="22"/>
          <w:szCs w:val="22"/>
        </w:rPr>
      </w:pPr>
      <w:r w:rsidRPr="002B3438">
        <w:rPr>
          <w:sz w:val="22"/>
          <w:szCs w:val="22"/>
        </w:rPr>
        <w:t xml:space="preserve">Bolotin HH. 2011. Bone loss without the loss of bone mineral material? A new perspective on </w:t>
      </w:r>
    </w:p>
    <w:p w14:paraId="54894714" w14:textId="77777777" w:rsidR="00AF75DB" w:rsidRPr="002B3438" w:rsidRDefault="006A3BEE" w:rsidP="00AF75DB">
      <w:pPr>
        <w:autoSpaceDE w:val="0"/>
        <w:autoSpaceDN w:val="0"/>
        <w:adjustRightInd w:val="0"/>
        <w:rPr>
          <w:sz w:val="22"/>
          <w:szCs w:val="22"/>
        </w:rPr>
      </w:pPr>
      <w:r>
        <w:rPr>
          <w:sz w:val="22"/>
          <w:szCs w:val="22"/>
        </w:rPr>
        <w:t xml:space="preserve">  </w:t>
      </w:r>
      <w:r w:rsidR="00AF75DB" w:rsidRPr="002B3438">
        <w:rPr>
          <w:sz w:val="22"/>
          <w:szCs w:val="22"/>
        </w:rPr>
        <w:t>anorexia nervosa. Bone 44:1034-1042.</w:t>
      </w:r>
    </w:p>
    <w:p w14:paraId="3178ABF9" w14:textId="77777777" w:rsidR="00AF75DB" w:rsidRPr="002B3438" w:rsidRDefault="00AF75DB" w:rsidP="008F1D58">
      <w:pPr>
        <w:autoSpaceDE w:val="0"/>
        <w:autoSpaceDN w:val="0"/>
        <w:adjustRightInd w:val="0"/>
        <w:rPr>
          <w:sz w:val="22"/>
          <w:szCs w:val="22"/>
        </w:rPr>
      </w:pPr>
    </w:p>
    <w:p w14:paraId="7D6A43E6" w14:textId="77777777" w:rsidR="008658F1" w:rsidRPr="002B3438" w:rsidRDefault="008658F1" w:rsidP="00F03F94">
      <w:pPr>
        <w:autoSpaceDE w:val="0"/>
        <w:autoSpaceDN w:val="0"/>
        <w:adjustRightInd w:val="0"/>
        <w:rPr>
          <w:sz w:val="22"/>
          <w:szCs w:val="22"/>
        </w:rPr>
      </w:pPr>
      <w:r w:rsidRPr="002B3438">
        <w:rPr>
          <w:sz w:val="22"/>
          <w:szCs w:val="22"/>
        </w:rPr>
        <w:t xml:space="preserve"> Boivin GY, Chavassieux PM, Santora AC, Yates J, Meunier PJ. 2000. Alendronate</w:t>
      </w:r>
    </w:p>
    <w:p w14:paraId="70BBC397" w14:textId="77777777" w:rsidR="008658F1" w:rsidRPr="002B3438" w:rsidRDefault="008658F1" w:rsidP="008658F1">
      <w:pPr>
        <w:autoSpaceDE w:val="0"/>
        <w:autoSpaceDN w:val="0"/>
        <w:adjustRightInd w:val="0"/>
        <w:ind w:left="360"/>
        <w:rPr>
          <w:sz w:val="22"/>
          <w:szCs w:val="22"/>
        </w:rPr>
      </w:pPr>
      <w:r w:rsidRPr="002B3438">
        <w:rPr>
          <w:sz w:val="22"/>
          <w:szCs w:val="22"/>
        </w:rPr>
        <w:t>increases bone strength by increasing the mean degree of mineralization of bone tissue in osteoporotic women, Bone 27:687-694.</w:t>
      </w:r>
    </w:p>
    <w:p w14:paraId="6E4B6D91" w14:textId="77777777" w:rsidR="00726D36" w:rsidRPr="002B3438" w:rsidRDefault="00726D36" w:rsidP="008658F1">
      <w:pPr>
        <w:autoSpaceDE w:val="0"/>
        <w:autoSpaceDN w:val="0"/>
        <w:adjustRightInd w:val="0"/>
        <w:ind w:left="360"/>
        <w:rPr>
          <w:sz w:val="22"/>
          <w:szCs w:val="22"/>
        </w:rPr>
      </w:pPr>
    </w:p>
    <w:p w14:paraId="5EB73B4D" w14:textId="77777777" w:rsidR="00726D36" w:rsidRPr="002B3438" w:rsidRDefault="00726D36" w:rsidP="00726D36">
      <w:pPr>
        <w:autoSpaceDE w:val="0"/>
        <w:autoSpaceDN w:val="0"/>
        <w:adjustRightInd w:val="0"/>
        <w:rPr>
          <w:rFonts w:eastAsia="Calibri"/>
          <w:color w:val="231F20"/>
          <w:sz w:val="22"/>
          <w:szCs w:val="22"/>
        </w:rPr>
      </w:pPr>
      <w:r w:rsidRPr="002B3438">
        <w:rPr>
          <w:rFonts w:eastAsia="Calibri"/>
          <w:color w:val="231F20"/>
          <w:sz w:val="22"/>
          <w:szCs w:val="22"/>
        </w:rPr>
        <w:t>Bonjour JP, Theintz G, Law F, Slosman D, Rizzoli R.1994. Peak bone mass. Osteoporos Int 4:7–</w:t>
      </w:r>
    </w:p>
    <w:p w14:paraId="366ADAE8" w14:textId="77777777" w:rsidR="008658F1" w:rsidRPr="002B3438" w:rsidRDefault="00726D36" w:rsidP="00726D36">
      <w:pPr>
        <w:autoSpaceDE w:val="0"/>
        <w:autoSpaceDN w:val="0"/>
        <w:adjustRightInd w:val="0"/>
        <w:ind w:firstLine="360"/>
        <w:rPr>
          <w:rFonts w:eastAsia="Calibri"/>
          <w:color w:val="231F20"/>
          <w:sz w:val="22"/>
          <w:szCs w:val="22"/>
        </w:rPr>
      </w:pPr>
      <w:r w:rsidRPr="002B3438">
        <w:rPr>
          <w:rFonts w:eastAsia="Calibri"/>
          <w:color w:val="231F20"/>
          <w:sz w:val="22"/>
          <w:szCs w:val="22"/>
        </w:rPr>
        <w:t>13.</w:t>
      </w:r>
    </w:p>
    <w:p w14:paraId="3C5CB945" w14:textId="77777777" w:rsidR="0006305D" w:rsidRPr="002B3438" w:rsidRDefault="0006305D" w:rsidP="004F008F">
      <w:pPr>
        <w:autoSpaceDE w:val="0"/>
        <w:autoSpaceDN w:val="0"/>
        <w:adjustRightInd w:val="0"/>
        <w:rPr>
          <w:rFonts w:eastAsia="Calibri"/>
          <w:color w:val="231F20"/>
          <w:sz w:val="22"/>
          <w:szCs w:val="22"/>
        </w:rPr>
      </w:pPr>
    </w:p>
    <w:p w14:paraId="4C3C4E61" w14:textId="77777777" w:rsidR="00022B7E" w:rsidRPr="002B3438" w:rsidRDefault="00022B7E" w:rsidP="00022B7E">
      <w:pPr>
        <w:ind w:left="360" w:hanging="360"/>
        <w:rPr>
          <w:rStyle w:val="Strong"/>
          <w:b w:val="0"/>
          <w:bCs w:val="0"/>
          <w:sz w:val="22"/>
          <w:szCs w:val="22"/>
        </w:rPr>
      </w:pPr>
      <w:r w:rsidRPr="002B3438">
        <w:rPr>
          <w:rStyle w:val="Strong"/>
          <w:b w:val="0"/>
          <w:bCs w:val="0"/>
          <w:sz w:val="22"/>
          <w:szCs w:val="22"/>
        </w:rPr>
        <w:t>Bourrin S, Ammann P, Bonjour JP, Rizzoli R. 2000. Dietary protein restriction lowers plasma insulin-like growth factor I (IGF-I), impairs cortical bone formation, and induces osteoblastic resistance to IGF-I in adult female rats. Endocrinology 141:3149-3155.</w:t>
      </w:r>
    </w:p>
    <w:p w14:paraId="4097AF90" w14:textId="77777777" w:rsidR="00022B7E" w:rsidRPr="002B3438" w:rsidRDefault="00022B7E" w:rsidP="004F008F">
      <w:pPr>
        <w:autoSpaceDE w:val="0"/>
        <w:autoSpaceDN w:val="0"/>
        <w:adjustRightInd w:val="0"/>
        <w:rPr>
          <w:rFonts w:eastAsia="Calibri"/>
          <w:color w:val="231F20"/>
          <w:sz w:val="22"/>
          <w:szCs w:val="22"/>
        </w:rPr>
      </w:pPr>
    </w:p>
    <w:p w14:paraId="1636F65D" w14:textId="77777777" w:rsidR="0061427F" w:rsidRPr="002B3438" w:rsidRDefault="0061427F" w:rsidP="004F008F">
      <w:pPr>
        <w:autoSpaceDE w:val="0"/>
        <w:autoSpaceDN w:val="0"/>
        <w:adjustRightInd w:val="0"/>
        <w:rPr>
          <w:sz w:val="22"/>
          <w:szCs w:val="22"/>
        </w:rPr>
      </w:pPr>
      <w:r w:rsidRPr="002B3438">
        <w:rPr>
          <w:sz w:val="22"/>
          <w:szCs w:val="22"/>
        </w:rPr>
        <w:t xml:space="preserve">Bourne GH. 1942. The effect of graded doses of vitamin C upong the generation of bone </w:t>
      </w:r>
    </w:p>
    <w:p w14:paraId="55961976" w14:textId="77777777" w:rsidR="0061427F" w:rsidRPr="002B3438" w:rsidRDefault="006A3BEE" w:rsidP="0061427F">
      <w:pPr>
        <w:autoSpaceDE w:val="0"/>
        <w:autoSpaceDN w:val="0"/>
        <w:adjustRightInd w:val="0"/>
        <w:rPr>
          <w:sz w:val="22"/>
          <w:szCs w:val="22"/>
        </w:rPr>
      </w:pPr>
      <w:r>
        <w:rPr>
          <w:sz w:val="22"/>
          <w:szCs w:val="22"/>
        </w:rPr>
        <w:t xml:space="preserve">  </w:t>
      </w:r>
      <w:r w:rsidR="0061427F" w:rsidRPr="002B3438">
        <w:rPr>
          <w:sz w:val="22"/>
          <w:szCs w:val="22"/>
        </w:rPr>
        <w:t>in guinea-pigs on a scorbutic diet. J Physiol 101:327-336.</w:t>
      </w:r>
    </w:p>
    <w:p w14:paraId="7A5BAF3C" w14:textId="77777777" w:rsidR="0061427F" w:rsidRPr="002B3438" w:rsidRDefault="0061427F" w:rsidP="004F008F">
      <w:pPr>
        <w:autoSpaceDE w:val="0"/>
        <w:autoSpaceDN w:val="0"/>
        <w:adjustRightInd w:val="0"/>
        <w:rPr>
          <w:rFonts w:eastAsia="Calibri"/>
          <w:color w:val="231F20"/>
          <w:sz w:val="22"/>
          <w:szCs w:val="22"/>
        </w:rPr>
      </w:pPr>
    </w:p>
    <w:p w14:paraId="2A5E9C2A" w14:textId="77777777" w:rsidR="00C27558" w:rsidRPr="002B3438" w:rsidRDefault="00C27558" w:rsidP="00C27558">
      <w:pPr>
        <w:pStyle w:val="CommentText"/>
        <w:rPr>
          <w:sz w:val="22"/>
          <w:szCs w:val="22"/>
        </w:rPr>
      </w:pPr>
      <w:r w:rsidRPr="002B3438">
        <w:rPr>
          <w:sz w:val="22"/>
          <w:szCs w:val="22"/>
        </w:rPr>
        <w:t xml:space="preserve">Bousson V, Bergot C, Meunier A, Barbot F, Parlier-Cuau C, Laval-Jeantet AM. 2000. CT of the </w:t>
      </w:r>
    </w:p>
    <w:p w14:paraId="0A99CB68" w14:textId="77777777" w:rsidR="00C27558" w:rsidRPr="002B3438" w:rsidRDefault="006A3BEE" w:rsidP="00C27558">
      <w:pPr>
        <w:pStyle w:val="CommentText"/>
        <w:rPr>
          <w:sz w:val="22"/>
          <w:szCs w:val="22"/>
        </w:rPr>
      </w:pPr>
      <w:r>
        <w:rPr>
          <w:sz w:val="22"/>
          <w:szCs w:val="22"/>
        </w:rPr>
        <w:t xml:space="preserve">  </w:t>
      </w:r>
      <w:r w:rsidR="00C27558" w:rsidRPr="002B3438">
        <w:rPr>
          <w:sz w:val="22"/>
          <w:szCs w:val="22"/>
        </w:rPr>
        <w:t xml:space="preserve">middiaphyseal femur: cortical bone mineral density and relation to porosity. Radiology </w:t>
      </w:r>
    </w:p>
    <w:p w14:paraId="491D0795" w14:textId="77777777" w:rsidR="00C27558" w:rsidRPr="002B3438" w:rsidRDefault="006A3BEE" w:rsidP="00C27558">
      <w:pPr>
        <w:pStyle w:val="CommentText"/>
        <w:rPr>
          <w:sz w:val="22"/>
          <w:szCs w:val="22"/>
        </w:rPr>
      </w:pPr>
      <w:r>
        <w:rPr>
          <w:sz w:val="22"/>
          <w:szCs w:val="22"/>
        </w:rPr>
        <w:t xml:space="preserve">  </w:t>
      </w:r>
      <w:r w:rsidR="00C27558" w:rsidRPr="002B3438">
        <w:rPr>
          <w:sz w:val="22"/>
          <w:szCs w:val="22"/>
        </w:rPr>
        <w:t>217:179-187.</w:t>
      </w:r>
    </w:p>
    <w:p w14:paraId="79B8BECF" w14:textId="77777777" w:rsidR="00C27558" w:rsidRPr="002B3438" w:rsidRDefault="00C27558" w:rsidP="004F008F">
      <w:pPr>
        <w:autoSpaceDE w:val="0"/>
        <w:autoSpaceDN w:val="0"/>
        <w:adjustRightInd w:val="0"/>
        <w:rPr>
          <w:rFonts w:eastAsia="Calibri"/>
          <w:color w:val="231F20"/>
          <w:sz w:val="22"/>
          <w:szCs w:val="22"/>
        </w:rPr>
      </w:pPr>
    </w:p>
    <w:p w14:paraId="3F7D09AE" w14:textId="77777777" w:rsidR="00B248DC" w:rsidRPr="002B3438" w:rsidRDefault="00B248DC" w:rsidP="00B248DC">
      <w:pPr>
        <w:autoSpaceDE w:val="0"/>
        <w:autoSpaceDN w:val="0"/>
        <w:adjustRightInd w:val="0"/>
        <w:rPr>
          <w:sz w:val="22"/>
          <w:szCs w:val="22"/>
        </w:rPr>
      </w:pPr>
      <w:r w:rsidRPr="002B3438">
        <w:rPr>
          <w:sz w:val="22"/>
          <w:szCs w:val="22"/>
        </w:rPr>
        <w:t xml:space="preserve">Bousson V, Meunier A, Bergot C, Vicaut E, Rocha MA, Morais MH, Laval-Jeantet AM, </w:t>
      </w:r>
    </w:p>
    <w:p w14:paraId="3AE92311" w14:textId="77777777" w:rsidR="00B248DC" w:rsidRPr="002B3438" w:rsidRDefault="00B248DC" w:rsidP="00B248DC">
      <w:pPr>
        <w:autoSpaceDE w:val="0"/>
        <w:autoSpaceDN w:val="0"/>
        <w:adjustRightInd w:val="0"/>
        <w:ind w:left="345"/>
        <w:rPr>
          <w:sz w:val="22"/>
          <w:szCs w:val="22"/>
        </w:rPr>
      </w:pPr>
      <w:r w:rsidRPr="002B3438">
        <w:rPr>
          <w:sz w:val="22"/>
          <w:szCs w:val="22"/>
        </w:rPr>
        <w:t>Laredo JD. 2001. Distribution of intracortical porosity in human midfemoral cortex by age and gender. J Bone Miner Res 16:1308-1317.</w:t>
      </w:r>
    </w:p>
    <w:p w14:paraId="1CF30843" w14:textId="77777777" w:rsidR="00B248DC" w:rsidRPr="002B3438" w:rsidRDefault="00B248DC" w:rsidP="004F008F">
      <w:pPr>
        <w:autoSpaceDE w:val="0"/>
        <w:autoSpaceDN w:val="0"/>
        <w:adjustRightInd w:val="0"/>
        <w:rPr>
          <w:rFonts w:eastAsia="Calibri"/>
          <w:color w:val="231F20"/>
          <w:sz w:val="22"/>
          <w:szCs w:val="22"/>
        </w:rPr>
      </w:pPr>
    </w:p>
    <w:p w14:paraId="3290B7F3" w14:textId="77777777" w:rsidR="004F008F" w:rsidRPr="002B3438" w:rsidRDefault="004F008F" w:rsidP="004F008F">
      <w:pPr>
        <w:autoSpaceDE w:val="0"/>
        <w:autoSpaceDN w:val="0"/>
        <w:adjustRightInd w:val="0"/>
        <w:rPr>
          <w:sz w:val="22"/>
          <w:szCs w:val="22"/>
        </w:rPr>
      </w:pPr>
      <w:r w:rsidRPr="002B3438">
        <w:rPr>
          <w:sz w:val="22"/>
          <w:szCs w:val="22"/>
        </w:rPr>
        <w:t xml:space="preserve">Bouvier M and Hylander WL. 1981. Effect of bone strain on cortical bone structure in </w:t>
      </w:r>
    </w:p>
    <w:p w14:paraId="74EDB54C" w14:textId="77777777" w:rsidR="004F008F" w:rsidRPr="002B3438" w:rsidRDefault="006A3BEE" w:rsidP="004F008F">
      <w:pPr>
        <w:autoSpaceDE w:val="0"/>
        <w:autoSpaceDN w:val="0"/>
        <w:adjustRightInd w:val="0"/>
        <w:rPr>
          <w:sz w:val="22"/>
          <w:szCs w:val="22"/>
        </w:rPr>
      </w:pPr>
      <w:r>
        <w:rPr>
          <w:sz w:val="22"/>
          <w:szCs w:val="22"/>
        </w:rPr>
        <w:t xml:space="preserve">  </w:t>
      </w:r>
      <w:r w:rsidR="004F008F" w:rsidRPr="002B3438">
        <w:rPr>
          <w:sz w:val="22"/>
          <w:szCs w:val="22"/>
        </w:rPr>
        <w:t>macaques (</w:t>
      </w:r>
      <w:r w:rsidR="004F008F" w:rsidRPr="002B3438">
        <w:rPr>
          <w:i/>
          <w:sz w:val="22"/>
          <w:szCs w:val="22"/>
        </w:rPr>
        <w:t>Macaca mullatta</w:t>
      </w:r>
      <w:r w:rsidR="004F008F" w:rsidRPr="002B3438">
        <w:rPr>
          <w:sz w:val="22"/>
          <w:szCs w:val="22"/>
        </w:rPr>
        <w:t>). J Morphol 167:1-12.</w:t>
      </w:r>
    </w:p>
    <w:p w14:paraId="5E512483" w14:textId="77777777" w:rsidR="00AF75DB" w:rsidRPr="002B3438" w:rsidRDefault="00AF75DB" w:rsidP="00AF75DB">
      <w:pPr>
        <w:autoSpaceDE w:val="0"/>
        <w:autoSpaceDN w:val="0"/>
        <w:adjustRightInd w:val="0"/>
        <w:rPr>
          <w:rFonts w:eastAsia="Calibri"/>
          <w:color w:val="231F20"/>
          <w:sz w:val="22"/>
          <w:szCs w:val="22"/>
        </w:rPr>
      </w:pPr>
    </w:p>
    <w:p w14:paraId="69F291D3" w14:textId="77777777" w:rsidR="005875C9" w:rsidRPr="002B3438" w:rsidRDefault="005875C9" w:rsidP="005875C9">
      <w:pPr>
        <w:autoSpaceDE w:val="0"/>
        <w:autoSpaceDN w:val="0"/>
        <w:adjustRightInd w:val="0"/>
        <w:ind w:left="360" w:hanging="360"/>
        <w:rPr>
          <w:rStyle w:val="Strong"/>
          <w:b w:val="0"/>
          <w:bCs w:val="0"/>
          <w:sz w:val="22"/>
          <w:szCs w:val="22"/>
        </w:rPr>
      </w:pPr>
      <w:r w:rsidRPr="002B3438">
        <w:rPr>
          <w:rStyle w:val="Strong"/>
          <w:b w:val="0"/>
          <w:bCs w:val="0"/>
          <w:sz w:val="22"/>
          <w:szCs w:val="22"/>
        </w:rPr>
        <w:t>Bouxsein ML. 2001. Biomechanics of age-related fractures.</w:t>
      </w:r>
      <w:r w:rsidR="006A3BEE">
        <w:rPr>
          <w:rStyle w:val="Strong"/>
          <w:b w:val="0"/>
          <w:bCs w:val="0"/>
          <w:sz w:val="22"/>
          <w:szCs w:val="22"/>
        </w:rPr>
        <w:t xml:space="preserve"> </w:t>
      </w:r>
      <w:r w:rsidRPr="002B3438">
        <w:rPr>
          <w:rStyle w:val="Strong"/>
          <w:b w:val="0"/>
          <w:bCs w:val="0"/>
          <w:sz w:val="22"/>
          <w:szCs w:val="22"/>
        </w:rPr>
        <w:t>In: Marcus R, Feldman D, Kelsey J, editors. Osteoporosis. New York: Academic Press. p 509-531.</w:t>
      </w:r>
    </w:p>
    <w:p w14:paraId="19D13C7F" w14:textId="77777777" w:rsidR="005875C9" w:rsidRPr="002B3438" w:rsidRDefault="005875C9" w:rsidP="00AF75DB">
      <w:pPr>
        <w:autoSpaceDE w:val="0"/>
        <w:autoSpaceDN w:val="0"/>
        <w:adjustRightInd w:val="0"/>
        <w:rPr>
          <w:rFonts w:eastAsia="Calibri"/>
          <w:color w:val="231F20"/>
          <w:sz w:val="22"/>
          <w:szCs w:val="22"/>
        </w:rPr>
      </w:pPr>
    </w:p>
    <w:p w14:paraId="0B0A9CBF" w14:textId="77777777" w:rsidR="0006305D" w:rsidRPr="002B3438" w:rsidRDefault="0006305D" w:rsidP="0006305D">
      <w:pPr>
        <w:autoSpaceDE w:val="0"/>
        <w:autoSpaceDN w:val="0"/>
        <w:adjustRightInd w:val="0"/>
        <w:rPr>
          <w:sz w:val="22"/>
          <w:szCs w:val="22"/>
        </w:rPr>
      </w:pPr>
      <w:r w:rsidRPr="002B3438">
        <w:rPr>
          <w:sz w:val="22"/>
          <w:szCs w:val="22"/>
        </w:rPr>
        <w:t xml:space="preserve">Bradley C. 1984-85. Sexual division of labor and the value of children. </w:t>
      </w:r>
      <w:r w:rsidRPr="002B3438">
        <w:rPr>
          <w:iCs/>
          <w:sz w:val="22"/>
          <w:szCs w:val="22"/>
        </w:rPr>
        <w:t>Behav Sci Res</w:t>
      </w:r>
      <w:r w:rsidRPr="002B3438">
        <w:rPr>
          <w:i/>
          <w:iCs/>
          <w:sz w:val="22"/>
          <w:szCs w:val="22"/>
        </w:rPr>
        <w:t xml:space="preserve"> </w:t>
      </w:r>
      <w:r w:rsidRPr="002B3438">
        <w:rPr>
          <w:sz w:val="22"/>
          <w:szCs w:val="22"/>
        </w:rPr>
        <w:t>19:159-</w:t>
      </w:r>
    </w:p>
    <w:p w14:paraId="312BFF3D" w14:textId="77777777" w:rsidR="00726D36" w:rsidRPr="002B3438" w:rsidRDefault="006A3BEE" w:rsidP="0006305D">
      <w:pPr>
        <w:autoSpaceDE w:val="0"/>
        <w:autoSpaceDN w:val="0"/>
        <w:adjustRightInd w:val="0"/>
        <w:rPr>
          <w:iCs/>
          <w:sz w:val="22"/>
          <w:szCs w:val="22"/>
        </w:rPr>
      </w:pPr>
      <w:r>
        <w:rPr>
          <w:sz w:val="22"/>
          <w:szCs w:val="22"/>
        </w:rPr>
        <w:t xml:space="preserve">  </w:t>
      </w:r>
      <w:r w:rsidR="0006305D" w:rsidRPr="002B3438">
        <w:rPr>
          <w:sz w:val="22"/>
          <w:szCs w:val="22"/>
        </w:rPr>
        <w:t>185.</w:t>
      </w:r>
    </w:p>
    <w:p w14:paraId="7FEB954F" w14:textId="77777777" w:rsidR="0006305D" w:rsidRPr="002B3438" w:rsidRDefault="0006305D" w:rsidP="0006305D">
      <w:pPr>
        <w:autoSpaceDE w:val="0"/>
        <w:autoSpaceDN w:val="0"/>
        <w:adjustRightInd w:val="0"/>
        <w:rPr>
          <w:sz w:val="22"/>
          <w:szCs w:val="22"/>
        </w:rPr>
      </w:pPr>
    </w:p>
    <w:p w14:paraId="0BCBE2DA" w14:textId="77777777" w:rsidR="00291ACE" w:rsidRPr="002B3438" w:rsidRDefault="00291ACE" w:rsidP="00726D36">
      <w:pPr>
        <w:autoSpaceDE w:val="0"/>
        <w:autoSpaceDN w:val="0"/>
        <w:adjustRightInd w:val="0"/>
        <w:rPr>
          <w:sz w:val="22"/>
          <w:szCs w:val="22"/>
        </w:rPr>
      </w:pPr>
      <w:r w:rsidRPr="002B3438">
        <w:rPr>
          <w:sz w:val="22"/>
          <w:szCs w:val="22"/>
        </w:rPr>
        <w:t xml:space="preserve">Bradley C. 1993. Women’s power, children’s labor. </w:t>
      </w:r>
      <w:r w:rsidRPr="002B3438">
        <w:rPr>
          <w:iCs/>
          <w:sz w:val="22"/>
          <w:szCs w:val="22"/>
        </w:rPr>
        <w:t xml:space="preserve">Cross-cultural Research </w:t>
      </w:r>
      <w:r w:rsidRPr="002B3438">
        <w:rPr>
          <w:sz w:val="22"/>
          <w:szCs w:val="22"/>
        </w:rPr>
        <w:t>27: 70-96.</w:t>
      </w:r>
    </w:p>
    <w:p w14:paraId="27CA6F15" w14:textId="77777777" w:rsidR="00AF75DB" w:rsidRPr="002B3438" w:rsidRDefault="00AF75DB" w:rsidP="00AF75DB">
      <w:pPr>
        <w:autoSpaceDE w:val="0"/>
        <w:autoSpaceDN w:val="0"/>
        <w:adjustRightInd w:val="0"/>
        <w:rPr>
          <w:rFonts w:eastAsia="Calibri"/>
          <w:color w:val="231F20"/>
          <w:sz w:val="22"/>
          <w:szCs w:val="22"/>
        </w:rPr>
      </w:pPr>
    </w:p>
    <w:p w14:paraId="1C1440B6" w14:textId="77777777" w:rsidR="00AF75DB" w:rsidRPr="002B3438" w:rsidRDefault="00AF75DB" w:rsidP="00AF75DB">
      <w:pPr>
        <w:autoSpaceDE w:val="0"/>
        <w:autoSpaceDN w:val="0"/>
        <w:adjustRightInd w:val="0"/>
        <w:rPr>
          <w:rFonts w:eastAsia="Calibri"/>
          <w:color w:val="231F20"/>
          <w:sz w:val="22"/>
          <w:szCs w:val="22"/>
        </w:rPr>
      </w:pPr>
      <w:r w:rsidRPr="002B3438">
        <w:rPr>
          <w:rFonts w:eastAsia="Calibri"/>
          <w:color w:val="231F20"/>
          <w:sz w:val="22"/>
          <w:szCs w:val="22"/>
        </w:rPr>
        <w:t xml:space="preserve">Bredella MA, Misra M, Miller KK, Madisch I, Sarwar A, Cheung A, Klibanski A, Gupta R. </w:t>
      </w:r>
    </w:p>
    <w:p w14:paraId="500355EA" w14:textId="77777777" w:rsidR="00AF75DB" w:rsidRPr="002B3438" w:rsidRDefault="00AF75DB" w:rsidP="00AF75DB">
      <w:pPr>
        <w:autoSpaceDE w:val="0"/>
        <w:autoSpaceDN w:val="0"/>
        <w:adjustRightInd w:val="0"/>
        <w:ind w:left="375"/>
        <w:rPr>
          <w:rFonts w:eastAsia="Calibri"/>
          <w:color w:val="231F20"/>
          <w:sz w:val="22"/>
          <w:szCs w:val="22"/>
        </w:rPr>
      </w:pPr>
      <w:r w:rsidRPr="002B3438">
        <w:rPr>
          <w:rFonts w:eastAsia="Calibri"/>
          <w:color w:val="231F20"/>
          <w:sz w:val="22"/>
          <w:szCs w:val="22"/>
        </w:rPr>
        <w:t>2008. Distal radius in adolescent girls with anorexia nervosa: trabecular structure analysis with highresolution flat-panel volume CT. Radiology 249:938–46.</w:t>
      </w:r>
    </w:p>
    <w:p w14:paraId="2B03DD02" w14:textId="77777777" w:rsidR="00291ACE" w:rsidRPr="002B3438" w:rsidRDefault="00291ACE" w:rsidP="00726D36">
      <w:pPr>
        <w:autoSpaceDE w:val="0"/>
        <w:autoSpaceDN w:val="0"/>
        <w:adjustRightInd w:val="0"/>
        <w:rPr>
          <w:sz w:val="22"/>
          <w:szCs w:val="22"/>
        </w:rPr>
      </w:pPr>
    </w:p>
    <w:p w14:paraId="4E4257E3" w14:textId="77777777" w:rsidR="009E62EB" w:rsidRPr="002B3438" w:rsidRDefault="009E62EB" w:rsidP="00726D36">
      <w:pPr>
        <w:autoSpaceDE w:val="0"/>
        <w:autoSpaceDN w:val="0"/>
        <w:adjustRightInd w:val="0"/>
        <w:rPr>
          <w:sz w:val="22"/>
          <w:szCs w:val="22"/>
        </w:rPr>
      </w:pPr>
      <w:r w:rsidRPr="002B3438">
        <w:rPr>
          <w:sz w:val="22"/>
          <w:szCs w:val="22"/>
        </w:rPr>
        <w:t xml:space="preserve">Bredella MA, Fazeli PK, Miller KK, Misra M, Torriani M, Thomas BJ, Ghomi RH, Rosen CJ, </w:t>
      </w:r>
    </w:p>
    <w:p w14:paraId="62328836" w14:textId="77777777" w:rsidR="009E62EB" w:rsidRPr="002B3438" w:rsidRDefault="009E62EB" w:rsidP="009E62EB">
      <w:pPr>
        <w:autoSpaceDE w:val="0"/>
        <w:autoSpaceDN w:val="0"/>
        <w:adjustRightInd w:val="0"/>
        <w:ind w:left="375"/>
        <w:rPr>
          <w:sz w:val="22"/>
          <w:szCs w:val="22"/>
        </w:rPr>
      </w:pPr>
      <w:r w:rsidRPr="002B3438">
        <w:rPr>
          <w:sz w:val="22"/>
          <w:szCs w:val="22"/>
        </w:rPr>
        <w:t>Klibanski A. 2009. Increased bone marrow fat in anorexia nervosa. J Clin Endocrinol Metab 94:2129-2136.</w:t>
      </w:r>
    </w:p>
    <w:p w14:paraId="47A07D46" w14:textId="77777777" w:rsidR="00AF75DB" w:rsidRPr="002B3438" w:rsidRDefault="00AF75DB" w:rsidP="00726D36">
      <w:pPr>
        <w:autoSpaceDE w:val="0"/>
        <w:autoSpaceDN w:val="0"/>
        <w:adjustRightInd w:val="0"/>
        <w:rPr>
          <w:sz w:val="22"/>
          <w:szCs w:val="22"/>
        </w:rPr>
      </w:pPr>
    </w:p>
    <w:p w14:paraId="72F2B15B" w14:textId="77777777" w:rsidR="00AF75DB" w:rsidRPr="002B3438" w:rsidRDefault="00AF75DB" w:rsidP="00AF75DB">
      <w:pPr>
        <w:ind w:left="360" w:hanging="360"/>
        <w:rPr>
          <w:rStyle w:val="Strong"/>
          <w:b w:val="0"/>
          <w:bCs w:val="0"/>
          <w:sz w:val="22"/>
          <w:szCs w:val="22"/>
        </w:rPr>
      </w:pPr>
      <w:r w:rsidRPr="002B3438">
        <w:rPr>
          <w:rStyle w:val="Strong"/>
          <w:b w:val="0"/>
          <w:bCs w:val="0"/>
          <w:sz w:val="22"/>
          <w:szCs w:val="22"/>
        </w:rPr>
        <w:t>Brenton BP, Paine RR. 2007. Reevaluating the health and nutritional status of maize-dependent populations: evidence for the impact of pellagra on human skeletons from South Africa. Ecology of Food and Nutrition 46:345-360.</w:t>
      </w:r>
    </w:p>
    <w:p w14:paraId="638AE279" w14:textId="77777777" w:rsidR="00AF75DB" w:rsidRPr="002B3438" w:rsidRDefault="00AF75DB" w:rsidP="00726D36">
      <w:pPr>
        <w:autoSpaceDE w:val="0"/>
        <w:autoSpaceDN w:val="0"/>
        <w:adjustRightInd w:val="0"/>
        <w:rPr>
          <w:sz w:val="22"/>
          <w:szCs w:val="22"/>
        </w:rPr>
      </w:pPr>
    </w:p>
    <w:p w14:paraId="621F23E1" w14:textId="77777777" w:rsidR="00065BB5" w:rsidRPr="002B3438" w:rsidRDefault="00065BB5" w:rsidP="00726D36">
      <w:pPr>
        <w:autoSpaceDE w:val="0"/>
        <w:autoSpaceDN w:val="0"/>
        <w:adjustRightInd w:val="0"/>
        <w:rPr>
          <w:sz w:val="22"/>
          <w:szCs w:val="22"/>
        </w:rPr>
      </w:pPr>
      <w:r w:rsidRPr="002B3438">
        <w:rPr>
          <w:sz w:val="22"/>
          <w:szCs w:val="22"/>
        </w:rPr>
        <w:t xml:space="preserve">Brickley M and Ives R. 2006. Skeletal manifestations of infantile scurvy. Am J Phys </w:t>
      </w:r>
    </w:p>
    <w:p w14:paraId="5FB06C77" w14:textId="77777777" w:rsidR="00065BB5" w:rsidRPr="002B3438" w:rsidRDefault="00065BB5" w:rsidP="00065BB5">
      <w:pPr>
        <w:autoSpaceDE w:val="0"/>
        <w:autoSpaceDN w:val="0"/>
        <w:adjustRightInd w:val="0"/>
        <w:ind w:firstLine="360"/>
        <w:rPr>
          <w:sz w:val="22"/>
          <w:szCs w:val="22"/>
        </w:rPr>
      </w:pPr>
      <w:r w:rsidRPr="002B3438">
        <w:rPr>
          <w:sz w:val="22"/>
          <w:szCs w:val="22"/>
        </w:rPr>
        <w:t>Anthropol 129:163-172.</w:t>
      </w:r>
    </w:p>
    <w:p w14:paraId="0E3E097E" w14:textId="77777777" w:rsidR="00065BB5" w:rsidRPr="002B3438" w:rsidRDefault="00065BB5" w:rsidP="00726D36">
      <w:pPr>
        <w:autoSpaceDE w:val="0"/>
        <w:autoSpaceDN w:val="0"/>
        <w:adjustRightInd w:val="0"/>
        <w:rPr>
          <w:sz w:val="22"/>
          <w:szCs w:val="22"/>
        </w:rPr>
      </w:pPr>
    </w:p>
    <w:p w14:paraId="7CFEEEB4" w14:textId="77777777" w:rsidR="00317B3C" w:rsidRPr="002B3438" w:rsidRDefault="00317B3C" w:rsidP="00317B3C">
      <w:pPr>
        <w:ind w:left="360" w:hanging="360"/>
        <w:rPr>
          <w:rStyle w:val="Strong"/>
          <w:b w:val="0"/>
          <w:bCs w:val="0"/>
          <w:sz w:val="22"/>
          <w:szCs w:val="22"/>
        </w:rPr>
      </w:pPr>
      <w:r w:rsidRPr="002B3438">
        <w:rPr>
          <w:rStyle w:val="Strong"/>
          <w:b w:val="0"/>
          <w:bCs w:val="0"/>
          <w:sz w:val="22"/>
          <w:szCs w:val="22"/>
        </w:rPr>
        <w:t>Brickley M, Ives R. 2008. The bioarchaeology of metabolic bone disease. San Diego: Elsevier.</w:t>
      </w:r>
    </w:p>
    <w:p w14:paraId="5B18579D" w14:textId="77777777" w:rsidR="00317B3C" w:rsidRPr="002B3438" w:rsidRDefault="00317B3C" w:rsidP="00726D36">
      <w:pPr>
        <w:autoSpaceDE w:val="0"/>
        <w:autoSpaceDN w:val="0"/>
        <w:adjustRightInd w:val="0"/>
        <w:rPr>
          <w:sz w:val="22"/>
          <w:szCs w:val="22"/>
        </w:rPr>
      </w:pPr>
    </w:p>
    <w:p w14:paraId="4FE61559" w14:textId="77777777" w:rsidR="00070298" w:rsidRPr="002B3438" w:rsidRDefault="00070298" w:rsidP="00070298">
      <w:pPr>
        <w:autoSpaceDE w:val="0"/>
        <w:autoSpaceDN w:val="0"/>
        <w:adjustRightInd w:val="0"/>
        <w:rPr>
          <w:rFonts w:eastAsia="Calibri"/>
          <w:sz w:val="22"/>
          <w:szCs w:val="22"/>
        </w:rPr>
      </w:pPr>
      <w:r w:rsidRPr="002B3438">
        <w:rPr>
          <w:rFonts w:eastAsia="Calibri"/>
          <w:sz w:val="22"/>
          <w:szCs w:val="22"/>
        </w:rPr>
        <w:t xml:space="preserve">Brickley M, Agarwal SC. 2003. Techniques for the investigation of age-related bone loss and </w:t>
      </w:r>
    </w:p>
    <w:p w14:paraId="48CDE613" w14:textId="77777777" w:rsidR="00070298" w:rsidRPr="002B3438" w:rsidRDefault="00070298" w:rsidP="00070298">
      <w:pPr>
        <w:autoSpaceDE w:val="0"/>
        <w:autoSpaceDN w:val="0"/>
        <w:adjustRightInd w:val="0"/>
        <w:ind w:left="360"/>
        <w:rPr>
          <w:rFonts w:eastAsia="Calibri"/>
          <w:sz w:val="22"/>
          <w:szCs w:val="22"/>
        </w:rPr>
      </w:pPr>
      <w:r w:rsidRPr="002B3438">
        <w:rPr>
          <w:rFonts w:eastAsia="Calibri"/>
          <w:sz w:val="22"/>
          <w:szCs w:val="22"/>
        </w:rPr>
        <w:t>osteoporosis in archaeological bone. In: Agarwal SC, Stout SD, editors. Bone loss and osteoporosis: An anthropological perspective. New York: Kluwer/Plenum/ Academic Press. pp 157–172.</w:t>
      </w:r>
    </w:p>
    <w:p w14:paraId="1E005294" w14:textId="77777777" w:rsidR="00070298" w:rsidRPr="002B3438" w:rsidRDefault="00070298" w:rsidP="00070298">
      <w:pPr>
        <w:autoSpaceDE w:val="0"/>
        <w:autoSpaceDN w:val="0"/>
        <w:adjustRightInd w:val="0"/>
        <w:rPr>
          <w:sz w:val="22"/>
          <w:szCs w:val="22"/>
        </w:rPr>
      </w:pPr>
    </w:p>
    <w:p w14:paraId="0D6CABEB" w14:textId="77777777" w:rsidR="00C96681" w:rsidRPr="002B3438" w:rsidRDefault="00C96681" w:rsidP="00C96681">
      <w:pPr>
        <w:ind w:left="360" w:hanging="360"/>
        <w:rPr>
          <w:rStyle w:val="Strong"/>
          <w:b w:val="0"/>
          <w:bCs w:val="0"/>
          <w:sz w:val="22"/>
          <w:szCs w:val="22"/>
        </w:rPr>
      </w:pPr>
      <w:r w:rsidRPr="002B3438">
        <w:rPr>
          <w:rStyle w:val="Strong"/>
          <w:b w:val="0"/>
          <w:bCs w:val="0"/>
          <w:sz w:val="22"/>
          <w:szCs w:val="22"/>
        </w:rPr>
        <w:t>Bridges P</w:t>
      </w:r>
      <w:r w:rsidR="001B27F1" w:rsidRPr="002B3438">
        <w:rPr>
          <w:rStyle w:val="Strong"/>
          <w:b w:val="0"/>
          <w:bCs w:val="0"/>
          <w:sz w:val="22"/>
          <w:szCs w:val="22"/>
        </w:rPr>
        <w:t>S</w:t>
      </w:r>
      <w:r w:rsidRPr="002B3438">
        <w:rPr>
          <w:rStyle w:val="Strong"/>
          <w:b w:val="0"/>
          <w:bCs w:val="0"/>
          <w:sz w:val="22"/>
          <w:szCs w:val="22"/>
        </w:rPr>
        <w:t xml:space="preserve">. 1989. Bone cortical area in the evaluation of nutrition and activity levels. </w:t>
      </w:r>
      <w:r w:rsidR="00065BB5" w:rsidRPr="002B3438">
        <w:rPr>
          <w:rStyle w:val="Strong"/>
          <w:b w:val="0"/>
          <w:bCs w:val="0"/>
          <w:sz w:val="22"/>
          <w:szCs w:val="22"/>
        </w:rPr>
        <w:t>Am</w:t>
      </w:r>
      <w:r w:rsidRPr="002B3438">
        <w:rPr>
          <w:rStyle w:val="Strong"/>
          <w:b w:val="0"/>
          <w:bCs w:val="0"/>
          <w:sz w:val="22"/>
          <w:szCs w:val="22"/>
        </w:rPr>
        <w:t xml:space="preserve"> J Hum Biol 1:785-792.</w:t>
      </w:r>
    </w:p>
    <w:p w14:paraId="1D0C1A09" w14:textId="77777777" w:rsidR="00C96681" w:rsidRPr="002B3438" w:rsidRDefault="00C96681" w:rsidP="00726D36">
      <w:pPr>
        <w:autoSpaceDE w:val="0"/>
        <w:autoSpaceDN w:val="0"/>
        <w:adjustRightInd w:val="0"/>
        <w:rPr>
          <w:sz w:val="22"/>
          <w:szCs w:val="22"/>
        </w:rPr>
      </w:pPr>
    </w:p>
    <w:p w14:paraId="744F7F91" w14:textId="77777777" w:rsidR="00166434" w:rsidRPr="002B3438" w:rsidRDefault="00C96681" w:rsidP="00166434">
      <w:pPr>
        <w:autoSpaceDE w:val="0"/>
        <w:autoSpaceDN w:val="0"/>
        <w:adjustRightInd w:val="0"/>
        <w:rPr>
          <w:color w:val="241F20"/>
          <w:sz w:val="22"/>
          <w:szCs w:val="22"/>
        </w:rPr>
      </w:pPr>
      <w:r w:rsidRPr="002B3438">
        <w:rPr>
          <w:color w:val="241F20"/>
          <w:sz w:val="22"/>
          <w:szCs w:val="22"/>
        </w:rPr>
        <w:t xml:space="preserve">Bridges PS. 1991. Skeletal evidence of changes in subsistence activities between the Archaic and </w:t>
      </w:r>
    </w:p>
    <w:p w14:paraId="28DDD5A3" w14:textId="77777777" w:rsidR="00C96681" w:rsidRPr="002B3438" w:rsidRDefault="00C96681" w:rsidP="00166434">
      <w:pPr>
        <w:autoSpaceDE w:val="0"/>
        <w:autoSpaceDN w:val="0"/>
        <w:adjustRightInd w:val="0"/>
        <w:ind w:left="375"/>
        <w:rPr>
          <w:color w:val="241F20"/>
          <w:sz w:val="22"/>
          <w:szCs w:val="22"/>
        </w:rPr>
      </w:pPr>
      <w:r w:rsidRPr="002B3438">
        <w:rPr>
          <w:color w:val="241F20"/>
          <w:sz w:val="22"/>
          <w:szCs w:val="22"/>
        </w:rPr>
        <w:t>Mississippian time periods in northwestern Alabama. In: Powell ML, Bridges PS, Mires AMW, editors. What mean these bones? Studies in Southeastern bioarchaeology. Tuscaloosa: Alabama University Press.</w:t>
      </w:r>
      <w:r w:rsidR="001B27F1" w:rsidRPr="002B3438">
        <w:rPr>
          <w:color w:val="241F20"/>
          <w:sz w:val="22"/>
          <w:szCs w:val="22"/>
        </w:rPr>
        <w:t xml:space="preserve"> </w:t>
      </w:r>
      <w:r w:rsidRPr="002B3438">
        <w:rPr>
          <w:color w:val="241F20"/>
          <w:sz w:val="22"/>
          <w:szCs w:val="22"/>
        </w:rPr>
        <w:t>p 89–101.</w:t>
      </w:r>
      <w:r w:rsidR="002B3438">
        <w:rPr>
          <w:color w:val="241F20"/>
          <w:sz w:val="22"/>
          <w:szCs w:val="22"/>
        </w:rPr>
        <w:t xml:space="preserve"> </w:t>
      </w:r>
    </w:p>
    <w:p w14:paraId="6159A0B6" w14:textId="77777777" w:rsidR="00C96681" w:rsidRPr="002B3438" w:rsidRDefault="00C96681" w:rsidP="00C96681">
      <w:pPr>
        <w:autoSpaceDE w:val="0"/>
        <w:autoSpaceDN w:val="0"/>
        <w:adjustRightInd w:val="0"/>
        <w:rPr>
          <w:sz w:val="22"/>
          <w:szCs w:val="22"/>
        </w:rPr>
      </w:pPr>
    </w:p>
    <w:p w14:paraId="46773F6F" w14:textId="77777777" w:rsidR="001B27F1" w:rsidRPr="002B3438" w:rsidRDefault="00167FB1" w:rsidP="00726D36">
      <w:pPr>
        <w:autoSpaceDE w:val="0"/>
        <w:autoSpaceDN w:val="0"/>
        <w:adjustRightInd w:val="0"/>
        <w:rPr>
          <w:sz w:val="22"/>
          <w:szCs w:val="22"/>
        </w:rPr>
      </w:pPr>
      <w:r w:rsidRPr="002B3438">
        <w:rPr>
          <w:sz w:val="22"/>
          <w:szCs w:val="22"/>
        </w:rPr>
        <w:t>Bridges P</w:t>
      </w:r>
      <w:r w:rsidR="001B27F1" w:rsidRPr="002B3438">
        <w:rPr>
          <w:sz w:val="22"/>
          <w:szCs w:val="22"/>
        </w:rPr>
        <w:t>S</w:t>
      </w:r>
      <w:r w:rsidRPr="002B3438">
        <w:rPr>
          <w:sz w:val="22"/>
          <w:szCs w:val="22"/>
        </w:rPr>
        <w:t xml:space="preserve">, Blitz J, Solano MC. 2000. Changes in long bone diaphyseal strength with </w:t>
      </w:r>
    </w:p>
    <w:p w14:paraId="67C94C94" w14:textId="77777777" w:rsidR="00167FB1" w:rsidRPr="002B3438" w:rsidRDefault="00167FB1" w:rsidP="001B27F1">
      <w:pPr>
        <w:autoSpaceDE w:val="0"/>
        <w:autoSpaceDN w:val="0"/>
        <w:adjustRightInd w:val="0"/>
        <w:ind w:firstLine="360"/>
        <w:rPr>
          <w:sz w:val="22"/>
          <w:szCs w:val="22"/>
        </w:rPr>
      </w:pPr>
      <w:r w:rsidRPr="002B3438">
        <w:rPr>
          <w:sz w:val="22"/>
          <w:szCs w:val="22"/>
        </w:rPr>
        <w:t>horticultural intensification in west-central Illinois. Am J Phys Anthropol 112:217-238.</w:t>
      </w:r>
    </w:p>
    <w:p w14:paraId="308BC001" w14:textId="77777777" w:rsidR="00167FB1" w:rsidRPr="002B3438" w:rsidRDefault="00167FB1" w:rsidP="00726D36">
      <w:pPr>
        <w:autoSpaceDE w:val="0"/>
        <w:autoSpaceDN w:val="0"/>
        <w:adjustRightInd w:val="0"/>
        <w:rPr>
          <w:sz w:val="22"/>
          <w:szCs w:val="22"/>
        </w:rPr>
      </w:pPr>
    </w:p>
    <w:p w14:paraId="7C51B1F6" w14:textId="77777777" w:rsidR="007B300A" w:rsidRPr="002B3438" w:rsidRDefault="007B300A" w:rsidP="00726D36">
      <w:pPr>
        <w:autoSpaceDE w:val="0"/>
        <w:autoSpaceDN w:val="0"/>
        <w:adjustRightInd w:val="0"/>
        <w:rPr>
          <w:sz w:val="22"/>
          <w:szCs w:val="22"/>
        </w:rPr>
      </w:pPr>
      <w:r w:rsidRPr="002B3438">
        <w:rPr>
          <w:sz w:val="22"/>
          <w:szCs w:val="22"/>
        </w:rPr>
        <w:t xml:space="preserve">Burger EH and Klein Nulend J. Mechanotransduction in bone: Role of the </w:t>
      </w:r>
    </w:p>
    <w:p w14:paraId="65253522" w14:textId="77777777" w:rsidR="007B300A" w:rsidRPr="002B3438" w:rsidRDefault="006A3BEE" w:rsidP="007B300A">
      <w:pPr>
        <w:autoSpaceDE w:val="0"/>
        <w:autoSpaceDN w:val="0"/>
        <w:adjustRightInd w:val="0"/>
        <w:rPr>
          <w:sz w:val="22"/>
          <w:szCs w:val="22"/>
        </w:rPr>
      </w:pPr>
      <w:r>
        <w:rPr>
          <w:sz w:val="22"/>
          <w:szCs w:val="22"/>
        </w:rPr>
        <w:t xml:space="preserve">  </w:t>
      </w:r>
      <w:r w:rsidR="007B300A" w:rsidRPr="002B3438">
        <w:rPr>
          <w:sz w:val="22"/>
          <w:szCs w:val="22"/>
        </w:rPr>
        <w:t>lacunocanalicular network. FASEB J. 13:S101-S112.</w:t>
      </w:r>
    </w:p>
    <w:p w14:paraId="5F744279" w14:textId="77777777" w:rsidR="007B300A" w:rsidRPr="002B3438" w:rsidRDefault="007B300A" w:rsidP="00726D36">
      <w:pPr>
        <w:autoSpaceDE w:val="0"/>
        <w:autoSpaceDN w:val="0"/>
        <w:adjustRightInd w:val="0"/>
        <w:rPr>
          <w:sz w:val="22"/>
          <w:szCs w:val="22"/>
        </w:rPr>
      </w:pPr>
    </w:p>
    <w:p w14:paraId="0A271618" w14:textId="77777777" w:rsidR="0068508E" w:rsidRPr="002B3438" w:rsidRDefault="0068508E" w:rsidP="0068508E">
      <w:pPr>
        <w:autoSpaceDE w:val="0"/>
        <w:autoSpaceDN w:val="0"/>
        <w:adjustRightInd w:val="0"/>
        <w:rPr>
          <w:sz w:val="22"/>
          <w:szCs w:val="22"/>
        </w:rPr>
      </w:pPr>
      <w:r w:rsidRPr="002B3438">
        <w:rPr>
          <w:sz w:val="22"/>
          <w:szCs w:val="22"/>
        </w:rPr>
        <w:t>Burghardt AJ, Kazakia GJ, Ramachandran S, Link TM, Majumdar S. 2010. Age- and gender-</w:t>
      </w:r>
    </w:p>
    <w:p w14:paraId="18874D0B" w14:textId="77777777" w:rsidR="0068508E" w:rsidRPr="002B3438" w:rsidRDefault="006A3BEE" w:rsidP="0068508E">
      <w:pPr>
        <w:autoSpaceDE w:val="0"/>
        <w:autoSpaceDN w:val="0"/>
        <w:adjustRightInd w:val="0"/>
        <w:rPr>
          <w:sz w:val="22"/>
          <w:szCs w:val="22"/>
        </w:rPr>
      </w:pPr>
      <w:r>
        <w:rPr>
          <w:sz w:val="22"/>
          <w:szCs w:val="22"/>
        </w:rPr>
        <w:t xml:space="preserve">  </w:t>
      </w:r>
      <w:r w:rsidR="0068508E" w:rsidRPr="002B3438">
        <w:rPr>
          <w:sz w:val="22"/>
          <w:szCs w:val="22"/>
        </w:rPr>
        <w:t xml:space="preserve">related differences in the geometric properties and biomechanical significance of intracortical </w:t>
      </w:r>
    </w:p>
    <w:p w14:paraId="19A36CED" w14:textId="77777777" w:rsidR="0068508E" w:rsidRPr="002B3438" w:rsidRDefault="006A3BEE" w:rsidP="0068508E">
      <w:pPr>
        <w:autoSpaceDE w:val="0"/>
        <w:autoSpaceDN w:val="0"/>
        <w:adjustRightInd w:val="0"/>
        <w:rPr>
          <w:sz w:val="22"/>
          <w:szCs w:val="22"/>
        </w:rPr>
      </w:pPr>
      <w:r>
        <w:rPr>
          <w:sz w:val="22"/>
          <w:szCs w:val="22"/>
        </w:rPr>
        <w:t xml:space="preserve">  </w:t>
      </w:r>
      <w:r w:rsidR="0068508E" w:rsidRPr="002B3438">
        <w:rPr>
          <w:sz w:val="22"/>
          <w:szCs w:val="22"/>
        </w:rPr>
        <w:t>porosity in the distal radius and tibia. J Bone Miner Res 25:983-993.</w:t>
      </w:r>
    </w:p>
    <w:p w14:paraId="2D966FFA" w14:textId="77777777" w:rsidR="0068508E" w:rsidRPr="002B3438" w:rsidRDefault="0068508E" w:rsidP="00726D36">
      <w:pPr>
        <w:autoSpaceDE w:val="0"/>
        <w:autoSpaceDN w:val="0"/>
        <w:adjustRightInd w:val="0"/>
        <w:rPr>
          <w:sz w:val="22"/>
          <w:szCs w:val="22"/>
        </w:rPr>
      </w:pPr>
    </w:p>
    <w:p w14:paraId="7F52A647" w14:textId="77777777" w:rsidR="0068508E" w:rsidRPr="002B3438" w:rsidRDefault="0068508E" w:rsidP="00726D36">
      <w:pPr>
        <w:autoSpaceDE w:val="0"/>
        <w:autoSpaceDN w:val="0"/>
        <w:adjustRightInd w:val="0"/>
        <w:rPr>
          <w:sz w:val="22"/>
          <w:szCs w:val="22"/>
        </w:rPr>
      </w:pPr>
    </w:p>
    <w:p w14:paraId="20C1F78B"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Burr DB. 1992. Orthopedic principles of skeletal growth, modeling and remodeling. In: Carlson </w:t>
      </w:r>
    </w:p>
    <w:p w14:paraId="4C424BD0" w14:textId="77777777" w:rsidR="00657E55" w:rsidRPr="002B3438" w:rsidRDefault="00657E55" w:rsidP="00657E55">
      <w:pPr>
        <w:autoSpaceDE w:val="0"/>
        <w:autoSpaceDN w:val="0"/>
        <w:adjustRightInd w:val="0"/>
        <w:ind w:left="360"/>
        <w:rPr>
          <w:rFonts w:eastAsia="NewCenturySchlbk-Roman"/>
          <w:sz w:val="22"/>
          <w:szCs w:val="22"/>
        </w:rPr>
      </w:pPr>
      <w:r w:rsidRPr="002B3438">
        <w:rPr>
          <w:rFonts w:eastAsia="NewCenturySchlbk-Roman"/>
          <w:sz w:val="22"/>
          <w:szCs w:val="22"/>
        </w:rPr>
        <w:t>DS, Goldstein SA, editors. Bone biodynamics in orthodontic and orthopedic Treatment. Ann Arbor: University of Michigan. p 15–50.</w:t>
      </w:r>
    </w:p>
    <w:p w14:paraId="26634CDF" w14:textId="77777777" w:rsidR="00657E55" w:rsidRPr="002B3438" w:rsidRDefault="00657E55" w:rsidP="00657E55">
      <w:pPr>
        <w:autoSpaceDE w:val="0"/>
        <w:autoSpaceDN w:val="0"/>
        <w:adjustRightInd w:val="0"/>
        <w:rPr>
          <w:rFonts w:eastAsia="NewCenturySchlbk-Roman"/>
          <w:sz w:val="22"/>
          <w:szCs w:val="22"/>
        </w:rPr>
      </w:pPr>
    </w:p>
    <w:p w14:paraId="4A88C67A" w14:textId="77777777" w:rsidR="000178F5" w:rsidRPr="002B3438" w:rsidRDefault="000178F5" w:rsidP="000178F5">
      <w:pPr>
        <w:ind w:left="360" w:hanging="360"/>
        <w:rPr>
          <w:sz w:val="22"/>
          <w:szCs w:val="22"/>
        </w:rPr>
      </w:pPr>
      <w:r w:rsidRPr="002B3438">
        <w:rPr>
          <w:sz w:val="22"/>
          <w:szCs w:val="22"/>
        </w:rPr>
        <w:t>Burr DB. 2002. Targeted and nontargeted remodeling. Bone 30:2-4.</w:t>
      </w:r>
    </w:p>
    <w:p w14:paraId="7C330A63" w14:textId="77777777" w:rsidR="00625DB5" w:rsidRPr="002B3438" w:rsidRDefault="00625DB5" w:rsidP="000178F5">
      <w:pPr>
        <w:ind w:left="360" w:hanging="360"/>
        <w:rPr>
          <w:sz w:val="22"/>
          <w:szCs w:val="22"/>
        </w:rPr>
      </w:pPr>
    </w:p>
    <w:p w14:paraId="4D227086" w14:textId="77777777" w:rsidR="003B35F5" w:rsidRPr="002B3438" w:rsidRDefault="003B35F5" w:rsidP="003B35F5">
      <w:pPr>
        <w:ind w:left="360" w:hanging="360"/>
        <w:rPr>
          <w:sz w:val="22"/>
          <w:szCs w:val="22"/>
        </w:rPr>
      </w:pPr>
      <w:r w:rsidRPr="002B3438">
        <w:rPr>
          <w:sz w:val="22"/>
          <w:szCs w:val="22"/>
        </w:rPr>
        <w:t>Burr D, Martin R. 1989. Errors in bone remodeling: toward a unified theory of metabolic bone disease. Am J Anat 186:186-216.</w:t>
      </w:r>
    </w:p>
    <w:p w14:paraId="3D43A88F" w14:textId="77777777" w:rsidR="003B35F5" w:rsidRPr="002B3438" w:rsidRDefault="003B35F5" w:rsidP="000178F5">
      <w:pPr>
        <w:ind w:left="360" w:hanging="360"/>
        <w:rPr>
          <w:sz w:val="22"/>
          <w:szCs w:val="22"/>
        </w:rPr>
      </w:pPr>
    </w:p>
    <w:p w14:paraId="67A654A8" w14:textId="77777777" w:rsidR="00B248DC" w:rsidRPr="002B3438" w:rsidRDefault="00B248DC" w:rsidP="00B248DC">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Burr DB, Martin RB, Schaffler MB, Radin EL. 1985. Bone remodeling in response to in vivo </w:t>
      </w:r>
    </w:p>
    <w:p w14:paraId="730AA1A5" w14:textId="77777777" w:rsidR="00B248DC" w:rsidRPr="002B3438" w:rsidRDefault="006A3BEE" w:rsidP="00B248DC">
      <w:pPr>
        <w:autoSpaceDE w:val="0"/>
        <w:autoSpaceDN w:val="0"/>
        <w:adjustRightInd w:val="0"/>
        <w:rPr>
          <w:rFonts w:eastAsia="NewCenturySchlbk-Roman"/>
          <w:color w:val="231F20"/>
          <w:sz w:val="22"/>
          <w:szCs w:val="22"/>
        </w:rPr>
      </w:pPr>
      <w:r>
        <w:rPr>
          <w:rFonts w:eastAsia="NewCenturySchlbk-Roman"/>
          <w:color w:val="231F20"/>
          <w:sz w:val="22"/>
          <w:szCs w:val="22"/>
        </w:rPr>
        <w:t xml:space="preserve">  </w:t>
      </w:r>
      <w:r w:rsidR="00B248DC" w:rsidRPr="002B3438">
        <w:rPr>
          <w:rFonts w:eastAsia="NewCenturySchlbk-Roman"/>
          <w:color w:val="231F20"/>
          <w:sz w:val="22"/>
          <w:szCs w:val="22"/>
        </w:rPr>
        <w:t>fatigue microdamage. J Biomech 18:189–200.</w:t>
      </w:r>
    </w:p>
    <w:p w14:paraId="79E8375E" w14:textId="77777777" w:rsidR="00B248DC" w:rsidRPr="002B3438" w:rsidRDefault="00B248DC" w:rsidP="000178F5">
      <w:pPr>
        <w:ind w:left="360" w:hanging="360"/>
        <w:rPr>
          <w:sz w:val="22"/>
          <w:szCs w:val="22"/>
        </w:rPr>
      </w:pPr>
    </w:p>
    <w:p w14:paraId="5CA0F7E0" w14:textId="77777777" w:rsidR="00317B3C" w:rsidRPr="002B3438" w:rsidRDefault="00317B3C" w:rsidP="00317B3C">
      <w:pPr>
        <w:autoSpaceDE w:val="0"/>
        <w:autoSpaceDN w:val="0"/>
        <w:adjustRightInd w:val="0"/>
        <w:rPr>
          <w:color w:val="3A3535"/>
          <w:sz w:val="22"/>
          <w:szCs w:val="22"/>
        </w:rPr>
      </w:pPr>
      <w:r w:rsidRPr="002B3438">
        <w:rPr>
          <w:color w:val="3A3535"/>
          <w:sz w:val="22"/>
          <w:szCs w:val="22"/>
        </w:rPr>
        <w:t xml:space="preserve">Burr DB, Ruff CB, Thompson DD. 1990. Patterns of skeletal histological change through time: </w:t>
      </w:r>
    </w:p>
    <w:p w14:paraId="2652276A" w14:textId="77777777" w:rsidR="00317B3C" w:rsidRPr="002B3438" w:rsidRDefault="00317B3C" w:rsidP="00317B3C">
      <w:pPr>
        <w:autoSpaceDE w:val="0"/>
        <w:autoSpaceDN w:val="0"/>
        <w:adjustRightInd w:val="0"/>
        <w:ind w:left="375"/>
        <w:rPr>
          <w:color w:val="3A3535"/>
          <w:sz w:val="22"/>
          <w:szCs w:val="22"/>
        </w:rPr>
      </w:pPr>
      <w:r w:rsidRPr="002B3438">
        <w:rPr>
          <w:color w:val="3A3535"/>
          <w:sz w:val="22"/>
          <w:szCs w:val="22"/>
        </w:rPr>
        <w:t>comparison of an archaic Native American population with modern population. Anat Rec 226:307–313.</w:t>
      </w:r>
    </w:p>
    <w:p w14:paraId="38BEDB95" w14:textId="77777777" w:rsidR="00317B3C" w:rsidRPr="002B3438" w:rsidRDefault="00317B3C" w:rsidP="00317B3C">
      <w:pPr>
        <w:ind w:left="360" w:hanging="360"/>
        <w:rPr>
          <w:sz w:val="22"/>
          <w:szCs w:val="22"/>
        </w:rPr>
      </w:pPr>
    </w:p>
    <w:p w14:paraId="0CFAC750" w14:textId="77777777" w:rsidR="00D31096" w:rsidRPr="002B3438" w:rsidRDefault="00D31096" w:rsidP="00317B3C">
      <w:pPr>
        <w:ind w:left="360" w:hanging="360"/>
        <w:rPr>
          <w:sz w:val="22"/>
          <w:szCs w:val="22"/>
        </w:rPr>
      </w:pPr>
      <w:r w:rsidRPr="002B3438">
        <w:rPr>
          <w:sz w:val="22"/>
          <w:szCs w:val="22"/>
        </w:rPr>
        <w:t>Burr DB, Forwood MR, Fyhrie DP, Martin RB, Schaffler MB, and Turner CH. 1997. Bone microdamage and skeletal fragility in osteoporotic and stress fractures. J Bone</w:t>
      </w:r>
      <w:r w:rsidR="006A3BEE">
        <w:rPr>
          <w:sz w:val="22"/>
          <w:szCs w:val="22"/>
        </w:rPr>
        <w:t xml:space="preserve"> </w:t>
      </w:r>
      <w:r w:rsidRPr="002B3438">
        <w:rPr>
          <w:sz w:val="22"/>
          <w:szCs w:val="22"/>
        </w:rPr>
        <w:t>Miner Res 12:6-15.</w:t>
      </w:r>
    </w:p>
    <w:p w14:paraId="0BBCF5EC" w14:textId="77777777" w:rsidR="00D31096" w:rsidRPr="002B3438" w:rsidRDefault="00D31096" w:rsidP="00317B3C">
      <w:pPr>
        <w:ind w:left="360" w:hanging="360"/>
        <w:rPr>
          <w:sz w:val="22"/>
          <w:szCs w:val="22"/>
        </w:rPr>
      </w:pPr>
    </w:p>
    <w:p w14:paraId="6B331880" w14:textId="77777777" w:rsidR="00CE5BCD" w:rsidRPr="002B3438" w:rsidRDefault="000F68E5" w:rsidP="00F03F94">
      <w:pPr>
        <w:autoSpaceDE w:val="0"/>
        <w:autoSpaceDN w:val="0"/>
        <w:adjustRightInd w:val="0"/>
        <w:rPr>
          <w:sz w:val="22"/>
          <w:szCs w:val="22"/>
        </w:rPr>
      </w:pPr>
      <w:r w:rsidRPr="002B3438">
        <w:rPr>
          <w:sz w:val="22"/>
          <w:szCs w:val="22"/>
        </w:rPr>
        <w:t>Burr DB, Robling AG, Turner CH. 2002. Effects of b</w:t>
      </w:r>
      <w:r w:rsidR="00CE5BCD" w:rsidRPr="002B3438">
        <w:rPr>
          <w:sz w:val="22"/>
          <w:szCs w:val="22"/>
        </w:rPr>
        <w:t>iomechanical stress on bones in</w:t>
      </w:r>
    </w:p>
    <w:p w14:paraId="223FE86E" w14:textId="77777777" w:rsidR="000F68E5" w:rsidRPr="002B3438" w:rsidRDefault="006A3BEE" w:rsidP="00F03F94">
      <w:pPr>
        <w:autoSpaceDE w:val="0"/>
        <w:autoSpaceDN w:val="0"/>
        <w:adjustRightInd w:val="0"/>
        <w:rPr>
          <w:sz w:val="22"/>
          <w:szCs w:val="22"/>
        </w:rPr>
      </w:pPr>
      <w:r>
        <w:rPr>
          <w:sz w:val="22"/>
          <w:szCs w:val="22"/>
        </w:rPr>
        <w:t xml:space="preserve">  </w:t>
      </w:r>
      <w:r w:rsidR="000F68E5" w:rsidRPr="002B3438">
        <w:rPr>
          <w:sz w:val="22"/>
          <w:szCs w:val="22"/>
        </w:rPr>
        <w:t>animals. Bone 30:781-786.</w:t>
      </w:r>
    </w:p>
    <w:p w14:paraId="08C4763E" w14:textId="77777777" w:rsidR="000F68E5" w:rsidRPr="002B3438" w:rsidRDefault="000F68E5" w:rsidP="00F03F94">
      <w:pPr>
        <w:autoSpaceDE w:val="0"/>
        <w:autoSpaceDN w:val="0"/>
        <w:adjustRightInd w:val="0"/>
        <w:rPr>
          <w:sz w:val="22"/>
          <w:szCs w:val="22"/>
        </w:rPr>
      </w:pPr>
    </w:p>
    <w:p w14:paraId="73F8D76D" w14:textId="77777777" w:rsidR="00BF4615" w:rsidRPr="002B3438" w:rsidRDefault="00BF4615" w:rsidP="00BF4615">
      <w:pPr>
        <w:autoSpaceDE w:val="0"/>
        <w:autoSpaceDN w:val="0"/>
        <w:adjustRightInd w:val="0"/>
        <w:rPr>
          <w:iCs/>
          <w:sz w:val="22"/>
          <w:szCs w:val="22"/>
        </w:rPr>
      </w:pPr>
      <w:r w:rsidRPr="002B3438">
        <w:rPr>
          <w:sz w:val="22"/>
          <w:szCs w:val="22"/>
        </w:rPr>
        <w:t xml:space="preserve">Cain M. 1977. The economic activities of children in a village in Bangladesh. </w:t>
      </w:r>
      <w:r w:rsidRPr="002B3438">
        <w:rPr>
          <w:iCs/>
          <w:sz w:val="22"/>
          <w:szCs w:val="22"/>
        </w:rPr>
        <w:t>Population</w:t>
      </w:r>
    </w:p>
    <w:p w14:paraId="2C6D6590" w14:textId="77777777" w:rsidR="00BF4615" w:rsidRPr="002B3438" w:rsidRDefault="00BF4615" w:rsidP="00BF4615">
      <w:pPr>
        <w:autoSpaceDE w:val="0"/>
        <w:autoSpaceDN w:val="0"/>
        <w:adjustRightInd w:val="0"/>
        <w:ind w:firstLine="360"/>
        <w:rPr>
          <w:sz w:val="22"/>
          <w:szCs w:val="22"/>
        </w:rPr>
      </w:pPr>
      <w:r w:rsidRPr="002B3438">
        <w:rPr>
          <w:iCs/>
          <w:sz w:val="22"/>
          <w:szCs w:val="22"/>
        </w:rPr>
        <w:t xml:space="preserve">and Developmental Review </w:t>
      </w:r>
      <w:r w:rsidRPr="002B3438">
        <w:rPr>
          <w:sz w:val="22"/>
          <w:szCs w:val="22"/>
        </w:rPr>
        <w:t>3: 201-227.</w:t>
      </w:r>
    </w:p>
    <w:p w14:paraId="7BDE0D9D" w14:textId="77777777" w:rsidR="00BF4615" w:rsidRPr="002B3438" w:rsidRDefault="00BF4615" w:rsidP="00BF4615">
      <w:pPr>
        <w:autoSpaceDE w:val="0"/>
        <w:autoSpaceDN w:val="0"/>
        <w:adjustRightInd w:val="0"/>
        <w:rPr>
          <w:sz w:val="22"/>
          <w:szCs w:val="22"/>
        </w:rPr>
      </w:pPr>
    </w:p>
    <w:p w14:paraId="10BD4B1B" w14:textId="77777777" w:rsidR="008135B6" w:rsidRPr="002B3438" w:rsidRDefault="008135B6" w:rsidP="00BF4615">
      <w:pPr>
        <w:autoSpaceDE w:val="0"/>
        <w:autoSpaceDN w:val="0"/>
        <w:adjustRightInd w:val="0"/>
        <w:rPr>
          <w:sz w:val="22"/>
          <w:szCs w:val="22"/>
        </w:rPr>
      </w:pPr>
      <w:r w:rsidRPr="002B3438">
        <w:rPr>
          <w:sz w:val="22"/>
          <w:szCs w:val="22"/>
        </w:rPr>
        <w:t xml:space="preserve">Cameron N and Demerath EW. 2002. Critical periods in human growth and their </w:t>
      </w:r>
    </w:p>
    <w:p w14:paraId="48F70314" w14:textId="77777777" w:rsidR="008135B6" w:rsidRPr="002B3438" w:rsidRDefault="008135B6" w:rsidP="008135B6">
      <w:pPr>
        <w:autoSpaceDE w:val="0"/>
        <w:autoSpaceDN w:val="0"/>
        <w:adjustRightInd w:val="0"/>
        <w:ind w:firstLine="360"/>
        <w:rPr>
          <w:sz w:val="22"/>
          <w:szCs w:val="22"/>
        </w:rPr>
      </w:pPr>
      <w:r w:rsidRPr="002B3438">
        <w:rPr>
          <w:sz w:val="22"/>
          <w:szCs w:val="22"/>
        </w:rPr>
        <w:t>relationship to diseases of aging. Yrbk Phys Anth 45:159-184.</w:t>
      </w:r>
    </w:p>
    <w:p w14:paraId="473DFFEA" w14:textId="77777777" w:rsidR="008135B6" w:rsidRPr="002B3438" w:rsidRDefault="008135B6" w:rsidP="00BF4615">
      <w:pPr>
        <w:autoSpaceDE w:val="0"/>
        <w:autoSpaceDN w:val="0"/>
        <w:adjustRightInd w:val="0"/>
        <w:rPr>
          <w:sz w:val="22"/>
          <w:szCs w:val="22"/>
        </w:rPr>
      </w:pPr>
    </w:p>
    <w:p w14:paraId="308F9232" w14:textId="77777777" w:rsidR="008B04DB" w:rsidRPr="002B3438" w:rsidRDefault="008B04DB" w:rsidP="008B04DB">
      <w:pPr>
        <w:ind w:left="360" w:hanging="360"/>
        <w:rPr>
          <w:sz w:val="22"/>
          <w:szCs w:val="22"/>
        </w:rPr>
      </w:pPr>
      <w:r w:rsidRPr="002B3438">
        <w:rPr>
          <w:sz w:val="22"/>
          <w:szCs w:val="22"/>
        </w:rPr>
        <w:t>Carter DR. 1984. Mechanical loading histories and cortical bone remodeling. Calcif Tiss Int 36:19-24.</w:t>
      </w:r>
    </w:p>
    <w:p w14:paraId="0EE84802" w14:textId="77777777" w:rsidR="008B04DB" w:rsidRPr="002B3438" w:rsidRDefault="008B04DB" w:rsidP="00F03F94">
      <w:pPr>
        <w:autoSpaceDE w:val="0"/>
        <w:autoSpaceDN w:val="0"/>
        <w:adjustRightInd w:val="0"/>
        <w:rPr>
          <w:sz w:val="22"/>
          <w:szCs w:val="22"/>
        </w:rPr>
      </w:pPr>
    </w:p>
    <w:p w14:paraId="001F1EEA"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Carter DR. 1987. Mechanical loading history and skeletal biology. J Biomech 20:1095–1109.</w:t>
      </w:r>
    </w:p>
    <w:p w14:paraId="44F1B499" w14:textId="77777777" w:rsidR="00657E55" w:rsidRPr="002B3438" w:rsidRDefault="00657E55" w:rsidP="00657E55">
      <w:pPr>
        <w:autoSpaceDE w:val="0"/>
        <w:autoSpaceDN w:val="0"/>
        <w:adjustRightInd w:val="0"/>
        <w:rPr>
          <w:rFonts w:eastAsia="NewCenturySchlbk-Roman"/>
          <w:sz w:val="22"/>
          <w:szCs w:val="22"/>
        </w:rPr>
      </w:pPr>
    </w:p>
    <w:p w14:paraId="07AA3744" w14:textId="77777777" w:rsidR="008B04DB" w:rsidRPr="002B3438" w:rsidRDefault="008B04DB" w:rsidP="008B04DB">
      <w:pPr>
        <w:ind w:left="360" w:hanging="360"/>
        <w:rPr>
          <w:sz w:val="22"/>
          <w:szCs w:val="22"/>
        </w:rPr>
      </w:pPr>
      <w:r w:rsidRPr="002B3438">
        <w:rPr>
          <w:sz w:val="22"/>
          <w:szCs w:val="22"/>
        </w:rPr>
        <w:t>Carter DR, Beaupre G. 2001. Skeletal function and form: mechanobiology of skeletal development, aging, and regeneration. New York: Cambridge University Press.</w:t>
      </w:r>
    </w:p>
    <w:p w14:paraId="2816D9DC" w14:textId="77777777" w:rsidR="008B04DB" w:rsidRPr="002B3438" w:rsidRDefault="008B04DB" w:rsidP="00F03F94">
      <w:pPr>
        <w:autoSpaceDE w:val="0"/>
        <w:autoSpaceDN w:val="0"/>
        <w:adjustRightInd w:val="0"/>
        <w:rPr>
          <w:sz w:val="22"/>
          <w:szCs w:val="22"/>
        </w:rPr>
      </w:pPr>
    </w:p>
    <w:p w14:paraId="0FB0A291" w14:textId="77777777" w:rsidR="00D40D10" w:rsidRDefault="008658F1" w:rsidP="008658F1">
      <w:pPr>
        <w:autoSpaceDE w:val="0"/>
        <w:autoSpaceDN w:val="0"/>
        <w:adjustRightInd w:val="0"/>
        <w:rPr>
          <w:sz w:val="22"/>
          <w:szCs w:val="22"/>
        </w:rPr>
      </w:pPr>
      <w:r w:rsidRPr="00D40D10">
        <w:rPr>
          <w:sz w:val="22"/>
          <w:szCs w:val="22"/>
        </w:rPr>
        <w:t>Carter DR, Hayes WC. 1977</w:t>
      </w:r>
      <w:r w:rsidR="00D40D10" w:rsidRPr="00D40D10">
        <w:rPr>
          <w:sz w:val="22"/>
          <w:szCs w:val="22"/>
        </w:rPr>
        <w:t>a</w:t>
      </w:r>
      <w:r w:rsidRPr="00D40D10">
        <w:rPr>
          <w:sz w:val="22"/>
          <w:szCs w:val="22"/>
        </w:rPr>
        <w:t>. The compressive behavio</w:t>
      </w:r>
      <w:r w:rsidR="00D40D10">
        <w:rPr>
          <w:sz w:val="22"/>
          <w:szCs w:val="22"/>
        </w:rPr>
        <w:t>r of bone as a two phase porous</w:t>
      </w:r>
    </w:p>
    <w:p w14:paraId="06595FC2" w14:textId="77777777" w:rsidR="008658F1" w:rsidRPr="00D40D10" w:rsidRDefault="006A3BEE" w:rsidP="008658F1">
      <w:pPr>
        <w:autoSpaceDE w:val="0"/>
        <w:autoSpaceDN w:val="0"/>
        <w:adjustRightInd w:val="0"/>
        <w:rPr>
          <w:sz w:val="22"/>
          <w:szCs w:val="22"/>
        </w:rPr>
      </w:pPr>
      <w:r>
        <w:rPr>
          <w:sz w:val="22"/>
          <w:szCs w:val="22"/>
        </w:rPr>
        <w:t xml:space="preserve">  </w:t>
      </w:r>
      <w:r w:rsidR="008658F1" w:rsidRPr="00D40D10">
        <w:rPr>
          <w:sz w:val="22"/>
          <w:szCs w:val="22"/>
        </w:rPr>
        <w:t xml:space="preserve">structure. </w:t>
      </w:r>
      <w:r w:rsidR="00625DB5" w:rsidRPr="00D40D10">
        <w:rPr>
          <w:sz w:val="22"/>
          <w:szCs w:val="22"/>
        </w:rPr>
        <w:t>J</w:t>
      </w:r>
      <w:r w:rsidR="008658F1" w:rsidRPr="00D40D10">
        <w:rPr>
          <w:sz w:val="22"/>
          <w:szCs w:val="22"/>
        </w:rPr>
        <w:t xml:space="preserve"> Bone </w:t>
      </w:r>
      <w:r w:rsidR="00625DB5" w:rsidRPr="00D40D10">
        <w:rPr>
          <w:sz w:val="22"/>
          <w:szCs w:val="22"/>
        </w:rPr>
        <w:t>Jt Surg</w:t>
      </w:r>
      <w:r w:rsidR="008658F1" w:rsidRPr="00D40D10">
        <w:rPr>
          <w:sz w:val="22"/>
          <w:szCs w:val="22"/>
        </w:rPr>
        <w:t xml:space="preserve"> 59A: 954-967.</w:t>
      </w:r>
      <w:r w:rsidR="00D40D10" w:rsidRPr="00D40D10">
        <w:rPr>
          <w:sz w:val="22"/>
          <w:szCs w:val="22"/>
        </w:rPr>
        <w:t xml:space="preserve"> </w:t>
      </w:r>
    </w:p>
    <w:p w14:paraId="2DBB491B" w14:textId="77777777" w:rsidR="00DA6588" w:rsidRPr="00D40D10" w:rsidRDefault="00DA6588" w:rsidP="00DA6588">
      <w:pPr>
        <w:pStyle w:val="CommentText"/>
        <w:rPr>
          <w:sz w:val="22"/>
          <w:szCs w:val="22"/>
        </w:rPr>
      </w:pPr>
    </w:p>
    <w:p w14:paraId="04F04A0F" w14:textId="77777777" w:rsidR="00D40D10" w:rsidRDefault="00DA6588" w:rsidP="00D40D10">
      <w:pPr>
        <w:pStyle w:val="CommentText"/>
        <w:rPr>
          <w:sz w:val="22"/>
          <w:szCs w:val="22"/>
        </w:rPr>
      </w:pPr>
      <w:r w:rsidRPr="00D40D10">
        <w:rPr>
          <w:sz w:val="22"/>
          <w:szCs w:val="22"/>
        </w:rPr>
        <w:t>Carter DR and Hayes WC.1977</w:t>
      </w:r>
      <w:r w:rsidR="00D40D10" w:rsidRPr="00D40D10">
        <w:rPr>
          <w:sz w:val="22"/>
          <w:szCs w:val="22"/>
        </w:rPr>
        <w:t>b</w:t>
      </w:r>
      <w:r w:rsidRPr="00D40D10">
        <w:rPr>
          <w:sz w:val="22"/>
          <w:szCs w:val="22"/>
        </w:rPr>
        <w:t>. Compact bone fatigue damage. I. R</w:t>
      </w:r>
      <w:r w:rsidR="00D40D10">
        <w:rPr>
          <w:sz w:val="22"/>
          <w:szCs w:val="22"/>
        </w:rPr>
        <w:t>esidual strength and</w:t>
      </w:r>
    </w:p>
    <w:p w14:paraId="1155CC3D" w14:textId="77777777" w:rsidR="00DA6588" w:rsidRPr="00D40D10" w:rsidRDefault="006A3BEE" w:rsidP="00D40D10">
      <w:pPr>
        <w:pStyle w:val="CommentText"/>
        <w:rPr>
          <w:sz w:val="22"/>
          <w:szCs w:val="22"/>
        </w:rPr>
      </w:pPr>
      <w:r>
        <w:rPr>
          <w:sz w:val="22"/>
          <w:szCs w:val="22"/>
        </w:rPr>
        <w:t xml:space="preserve">  </w:t>
      </w:r>
      <w:r w:rsidR="00D40D10" w:rsidRPr="00D40D10">
        <w:rPr>
          <w:sz w:val="22"/>
          <w:szCs w:val="22"/>
        </w:rPr>
        <w:t xml:space="preserve">stiffness. </w:t>
      </w:r>
      <w:r w:rsidR="00DA6588" w:rsidRPr="00D40D10">
        <w:rPr>
          <w:sz w:val="22"/>
          <w:szCs w:val="22"/>
        </w:rPr>
        <w:t>J Biomech10:325-337.</w:t>
      </w:r>
    </w:p>
    <w:p w14:paraId="2388E8C6" w14:textId="77777777" w:rsidR="00DA6588" w:rsidRPr="002B3438" w:rsidRDefault="00DA6588" w:rsidP="00DA6588">
      <w:pPr>
        <w:pStyle w:val="CommentText"/>
        <w:rPr>
          <w:sz w:val="22"/>
          <w:szCs w:val="22"/>
        </w:rPr>
      </w:pPr>
    </w:p>
    <w:p w14:paraId="5656B8A3" w14:textId="77777777" w:rsidR="00DA6588" w:rsidRPr="002B3438" w:rsidRDefault="00DA6588" w:rsidP="00DA6588">
      <w:pPr>
        <w:widowControl w:val="0"/>
        <w:autoSpaceDE w:val="0"/>
        <w:autoSpaceDN w:val="0"/>
        <w:adjustRightInd w:val="0"/>
        <w:ind w:left="360" w:hanging="360"/>
        <w:rPr>
          <w:sz w:val="22"/>
          <w:szCs w:val="22"/>
        </w:rPr>
      </w:pPr>
      <w:r w:rsidRPr="002B3438">
        <w:rPr>
          <w:sz w:val="22"/>
          <w:szCs w:val="22"/>
        </w:rPr>
        <w:t>Carter, DR, Hayes, WC and Schurman DJ. 1976. Fatigue life of compact bone. II. Effects of microstructure and density. J Biomech 9:211-218.</w:t>
      </w:r>
    </w:p>
    <w:p w14:paraId="57F634B5" w14:textId="77777777" w:rsidR="00DA6588" w:rsidRPr="002B3438" w:rsidRDefault="00DA6588" w:rsidP="008658F1">
      <w:pPr>
        <w:autoSpaceDE w:val="0"/>
        <w:autoSpaceDN w:val="0"/>
        <w:adjustRightInd w:val="0"/>
        <w:rPr>
          <w:sz w:val="22"/>
          <w:szCs w:val="22"/>
        </w:rPr>
      </w:pPr>
    </w:p>
    <w:p w14:paraId="1B50E863" w14:textId="77777777" w:rsidR="000075C8" w:rsidRPr="002B3438" w:rsidRDefault="000075C8" w:rsidP="000075C8">
      <w:pPr>
        <w:autoSpaceDE w:val="0"/>
        <w:autoSpaceDN w:val="0"/>
        <w:adjustRightInd w:val="0"/>
        <w:rPr>
          <w:rFonts w:eastAsia="NewCenturySchlbk-Roman"/>
          <w:sz w:val="22"/>
          <w:szCs w:val="22"/>
        </w:rPr>
      </w:pPr>
      <w:r w:rsidRPr="002B3438">
        <w:rPr>
          <w:rFonts w:eastAsia="NewCenturySchlbk-Roman"/>
          <w:sz w:val="22"/>
          <w:szCs w:val="22"/>
        </w:rPr>
        <w:t xml:space="preserve">Carter DR, Smith DJ, Spengler DM, Daly CH, Frankel VH. 1980. Measurement and analysis of </w:t>
      </w:r>
    </w:p>
    <w:p w14:paraId="09EFCF45" w14:textId="77777777" w:rsidR="000075C8" w:rsidRPr="002B3438" w:rsidRDefault="006A3BEE" w:rsidP="000075C8">
      <w:pPr>
        <w:autoSpaceDE w:val="0"/>
        <w:autoSpaceDN w:val="0"/>
        <w:adjustRightInd w:val="0"/>
        <w:rPr>
          <w:rFonts w:eastAsia="NewCenturySchlbk-Roman"/>
          <w:sz w:val="22"/>
          <w:szCs w:val="22"/>
        </w:rPr>
      </w:pPr>
      <w:r>
        <w:rPr>
          <w:rFonts w:eastAsia="NewCenturySchlbk-Roman"/>
          <w:sz w:val="22"/>
          <w:szCs w:val="22"/>
        </w:rPr>
        <w:t xml:space="preserve">  </w:t>
      </w:r>
      <w:r w:rsidR="000075C8" w:rsidRPr="002B3438">
        <w:rPr>
          <w:rFonts w:eastAsia="NewCenturySchlbk-Roman"/>
          <w:sz w:val="22"/>
          <w:szCs w:val="22"/>
        </w:rPr>
        <w:t>in vivo bone strains on the canine radius and ulna. J Biomech 13:27–38.</w:t>
      </w:r>
    </w:p>
    <w:p w14:paraId="4FEF5179" w14:textId="77777777" w:rsidR="000075C8" w:rsidRPr="002B3438" w:rsidRDefault="000075C8" w:rsidP="000075C8">
      <w:pPr>
        <w:autoSpaceDE w:val="0"/>
        <w:autoSpaceDN w:val="0"/>
        <w:adjustRightInd w:val="0"/>
        <w:rPr>
          <w:sz w:val="22"/>
          <w:szCs w:val="22"/>
        </w:rPr>
      </w:pPr>
    </w:p>
    <w:p w14:paraId="2B156CC5" w14:textId="77777777" w:rsidR="00CE5BCD" w:rsidRPr="002B3438" w:rsidRDefault="00CE5BCD" w:rsidP="00CE5BCD">
      <w:pPr>
        <w:autoSpaceDE w:val="0"/>
        <w:autoSpaceDN w:val="0"/>
        <w:adjustRightInd w:val="0"/>
        <w:rPr>
          <w:sz w:val="22"/>
          <w:szCs w:val="22"/>
        </w:rPr>
      </w:pPr>
      <w:r w:rsidRPr="002B3438">
        <w:rPr>
          <w:sz w:val="22"/>
          <w:szCs w:val="22"/>
        </w:rPr>
        <w:t>Carter DR, van der Meulen MC, Beaupre GS. 1996. Skeletal development: mechanical</w:t>
      </w:r>
    </w:p>
    <w:p w14:paraId="6FFA84ED" w14:textId="77777777" w:rsidR="00CE5BCD" w:rsidRPr="002B3438" w:rsidRDefault="006A3BEE" w:rsidP="00CE5BCD">
      <w:pPr>
        <w:autoSpaceDE w:val="0"/>
        <w:autoSpaceDN w:val="0"/>
        <w:adjustRightInd w:val="0"/>
        <w:rPr>
          <w:sz w:val="22"/>
          <w:szCs w:val="22"/>
        </w:rPr>
      </w:pPr>
      <w:r>
        <w:rPr>
          <w:sz w:val="22"/>
          <w:szCs w:val="22"/>
        </w:rPr>
        <w:t xml:space="preserve">  </w:t>
      </w:r>
      <w:r w:rsidR="00CE5BCD" w:rsidRPr="002B3438">
        <w:rPr>
          <w:sz w:val="22"/>
          <w:szCs w:val="22"/>
        </w:rPr>
        <w:t>consequesnces of growth, aging, and disease. In: Marcus R, Feldmen D, Kelsey J, editors.</w:t>
      </w:r>
    </w:p>
    <w:p w14:paraId="78CA5D3F" w14:textId="77777777" w:rsidR="00CE5BCD" w:rsidRPr="002B3438" w:rsidRDefault="006A3BEE" w:rsidP="00CE5BCD">
      <w:pPr>
        <w:autoSpaceDE w:val="0"/>
        <w:autoSpaceDN w:val="0"/>
        <w:adjustRightInd w:val="0"/>
        <w:rPr>
          <w:sz w:val="22"/>
          <w:szCs w:val="22"/>
        </w:rPr>
      </w:pPr>
      <w:r>
        <w:rPr>
          <w:sz w:val="22"/>
          <w:szCs w:val="22"/>
        </w:rPr>
        <w:t xml:space="preserve">  </w:t>
      </w:r>
      <w:r w:rsidR="00CE5BCD" w:rsidRPr="002B3438">
        <w:rPr>
          <w:i/>
          <w:iCs/>
          <w:sz w:val="22"/>
          <w:szCs w:val="22"/>
        </w:rPr>
        <w:t>Osteoporosis</w:t>
      </w:r>
      <w:r w:rsidR="00CE5BCD" w:rsidRPr="002B3438">
        <w:rPr>
          <w:sz w:val="22"/>
          <w:szCs w:val="22"/>
        </w:rPr>
        <w:t>. San Diego: Academic Press. Pgs. 333-350.</w:t>
      </w:r>
    </w:p>
    <w:p w14:paraId="0668427C" w14:textId="77777777" w:rsidR="00CE5BCD" w:rsidRPr="002B3438" w:rsidRDefault="00CE5BCD" w:rsidP="00CE5BCD">
      <w:pPr>
        <w:autoSpaceDE w:val="0"/>
        <w:autoSpaceDN w:val="0"/>
        <w:adjustRightInd w:val="0"/>
        <w:rPr>
          <w:sz w:val="22"/>
          <w:szCs w:val="22"/>
        </w:rPr>
      </w:pPr>
    </w:p>
    <w:p w14:paraId="68CB479E" w14:textId="77777777" w:rsidR="009E62EB" w:rsidRPr="002B3438" w:rsidRDefault="009E62EB" w:rsidP="00CE5BCD">
      <w:pPr>
        <w:autoSpaceDE w:val="0"/>
        <w:autoSpaceDN w:val="0"/>
        <w:adjustRightInd w:val="0"/>
        <w:rPr>
          <w:sz w:val="22"/>
          <w:szCs w:val="22"/>
        </w:rPr>
      </w:pPr>
      <w:r w:rsidRPr="002B3438">
        <w:rPr>
          <w:sz w:val="22"/>
          <w:szCs w:val="22"/>
        </w:rPr>
        <w:t xml:space="preserve">Casazza K, Hanks LJ, Hidalgo B, Hu HH, Affuso O. 2012. Short-term physical activity </w:t>
      </w:r>
    </w:p>
    <w:p w14:paraId="5987578E" w14:textId="77777777" w:rsidR="009E62EB" w:rsidRPr="002B3438" w:rsidRDefault="009E62EB" w:rsidP="009E62EB">
      <w:pPr>
        <w:autoSpaceDE w:val="0"/>
        <w:autoSpaceDN w:val="0"/>
        <w:adjustRightInd w:val="0"/>
        <w:ind w:left="375"/>
        <w:rPr>
          <w:sz w:val="22"/>
          <w:szCs w:val="22"/>
        </w:rPr>
      </w:pPr>
      <w:r w:rsidRPr="002B3438">
        <w:rPr>
          <w:sz w:val="22"/>
          <w:szCs w:val="22"/>
        </w:rPr>
        <w:lastRenderedPageBreak/>
        <w:t>intervention decreases femoral bone marrow adipose tissue in young children: a pilot study. Bone 50:23-27.</w:t>
      </w:r>
    </w:p>
    <w:p w14:paraId="3836D6A7" w14:textId="77777777" w:rsidR="009E62EB" w:rsidRPr="002B3438" w:rsidRDefault="009E62EB" w:rsidP="00CE5BCD">
      <w:pPr>
        <w:autoSpaceDE w:val="0"/>
        <w:autoSpaceDN w:val="0"/>
        <w:adjustRightInd w:val="0"/>
        <w:rPr>
          <w:sz w:val="22"/>
          <w:szCs w:val="22"/>
        </w:rPr>
      </w:pPr>
    </w:p>
    <w:p w14:paraId="2AD58602" w14:textId="77777777" w:rsidR="00995868" w:rsidRPr="002B3438" w:rsidRDefault="00F52E06" w:rsidP="00F52E06">
      <w:pPr>
        <w:autoSpaceDE w:val="0"/>
        <w:autoSpaceDN w:val="0"/>
        <w:adjustRightInd w:val="0"/>
        <w:rPr>
          <w:rFonts w:eastAsia="Calibri"/>
          <w:sz w:val="22"/>
          <w:szCs w:val="22"/>
        </w:rPr>
      </w:pPr>
      <w:r w:rsidRPr="002B3438">
        <w:rPr>
          <w:rFonts w:eastAsia="Calibri"/>
          <w:sz w:val="22"/>
          <w:szCs w:val="22"/>
        </w:rPr>
        <w:t xml:space="preserve">Cho H, Stout SD. 2001. Age-associated bone loss in an Imperial </w:t>
      </w:r>
      <w:r w:rsidR="00995868" w:rsidRPr="002B3438">
        <w:rPr>
          <w:rFonts w:eastAsia="Calibri"/>
          <w:sz w:val="22"/>
          <w:szCs w:val="22"/>
        </w:rPr>
        <w:t>Roman population. Am J Phys</w:t>
      </w:r>
    </w:p>
    <w:p w14:paraId="5C82BD30" w14:textId="77777777" w:rsidR="00F52E06" w:rsidRPr="002B3438" w:rsidRDefault="006A3BEE" w:rsidP="00F52E06">
      <w:pPr>
        <w:autoSpaceDE w:val="0"/>
        <w:autoSpaceDN w:val="0"/>
        <w:adjustRightInd w:val="0"/>
        <w:rPr>
          <w:rFonts w:eastAsia="Calibri"/>
          <w:sz w:val="22"/>
          <w:szCs w:val="22"/>
        </w:rPr>
      </w:pPr>
      <w:r>
        <w:rPr>
          <w:rFonts w:eastAsia="Calibri"/>
          <w:sz w:val="22"/>
          <w:szCs w:val="22"/>
        </w:rPr>
        <w:t xml:space="preserve">  </w:t>
      </w:r>
      <w:r w:rsidR="00F52E06" w:rsidRPr="002B3438">
        <w:rPr>
          <w:rFonts w:eastAsia="Calibri"/>
          <w:sz w:val="22"/>
          <w:szCs w:val="22"/>
        </w:rPr>
        <w:t>Anthropol 32:49, 50.</w:t>
      </w:r>
    </w:p>
    <w:p w14:paraId="1EA0B8B3" w14:textId="77777777" w:rsidR="00F52E06" w:rsidRPr="002B3438" w:rsidRDefault="00F52E06" w:rsidP="00F52E06">
      <w:pPr>
        <w:autoSpaceDE w:val="0"/>
        <w:autoSpaceDN w:val="0"/>
        <w:adjustRightInd w:val="0"/>
        <w:rPr>
          <w:sz w:val="22"/>
          <w:szCs w:val="22"/>
        </w:rPr>
      </w:pPr>
    </w:p>
    <w:p w14:paraId="16DA71D6" w14:textId="77777777" w:rsidR="00B14D52" w:rsidRPr="002B3438" w:rsidRDefault="00B14D52" w:rsidP="00F52E06">
      <w:pPr>
        <w:autoSpaceDE w:val="0"/>
        <w:autoSpaceDN w:val="0"/>
        <w:adjustRightInd w:val="0"/>
        <w:rPr>
          <w:sz w:val="22"/>
          <w:szCs w:val="22"/>
        </w:rPr>
      </w:pPr>
      <w:r w:rsidRPr="002B3438">
        <w:rPr>
          <w:sz w:val="22"/>
          <w:szCs w:val="22"/>
        </w:rPr>
        <w:t xml:space="preserve">Christiansen P. 2001. The skeleton in primary hyperparathyroidism: a review focusing on </w:t>
      </w:r>
    </w:p>
    <w:p w14:paraId="554DEB2B" w14:textId="77777777" w:rsidR="00B14D52" w:rsidRPr="002B3438" w:rsidRDefault="00B14D52" w:rsidP="00B14D52">
      <w:pPr>
        <w:autoSpaceDE w:val="0"/>
        <w:autoSpaceDN w:val="0"/>
        <w:adjustRightInd w:val="0"/>
        <w:ind w:left="405"/>
        <w:rPr>
          <w:sz w:val="22"/>
          <w:szCs w:val="22"/>
        </w:rPr>
      </w:pPr>
      <w:r w:rsidRPr="002B3438">
        <w:rPr>
          <w:sz w:val="22"/>
          <w:szCs w:val="22"/>
        </w:rPr>
        <w:t>bone remodeling, structure, mass, and fracture. Acta Pathologica, Microbiologica et Immunologica Scandinavica (Supplement 102) 109:1-52.</w:t>
      </w:r>
    </w:p>
    <w:p w14:paraId="2943B4F4" w14:textId="77777777" w:rsidR="00B14D52" w:rsidRPr="002B3438" w:rsidRDefault="00B14D52" w:rsidP="00F52E06">
      <w:pPr>
        <w:autoSpaceDE w:val="0"/>
        <w:autoSpaceDN w:val="0"/>
        <w:adjustRightInd w:val="0"/>
        <w:rPr>
          <w:sz w:val="22"/>
          <w:szCs w:val="22"/>
        </w:rPr>
      </w:pPr>
    </w:p>
    <w:p w14:paraId="2581B06F" w14:textId="77777777" w:rsidR="00FA75FD" w:rsidRPr="002B3438" w:rsidRDefault="00FA75FD" w:rsidP="00FA75FD">
      <w:pPr>
        <w:autoSpaceDE w:val="0"/>
        <w:autoSpaceDN w:val="0"/>
        <w:adjustRightInd w:val="0"/>
        <w:rPr>
          <w:sz w:val="22"/>
          <w:szCs w:val="22"/>
        </w:rPr>
      </w:pPr>
      <w:r w:rsidRPr="002B3438">
        <w:rPr>
          <w:sz w:val="22"/>
          <w:szCs w:val="22"/>
        </w:rPr>
        <w:t xml:space="preserve">Chiu J-F, Lan S-J, Yang C-Y, Wang P-W, Yao W-J, Su I-H, Hsieh C-C. 1997. Long-term </w:t>
      </w:r>
    </w:p>
    <w:p w14:paraId="7B5A6A36" w14:textId="77777777" w:rsidR="00FA75FD" w:rsidRPr="002B3438" w:rsidRDefault="00FA75FD" w:rsidP="00FA75FD">
      <w:pPr>
        <w:autoSpaceDE w:val="0"/>
        <w:autoSpaceDN w:val="0"/>
        <w:adjustRightInd w:val="0"/>
        <w:ind w:left="375"/>
        <w:rPr>
          <w:sz w:val="22"/>
          <w:szCs w:val="22"/>
        </w:rPr>
      </w:pPr>
      <w:r w:rsidRPr="002B3438">
        <w:rPr>
          <w:sz w:val="22"/>
          <w:szCs w:val="22"/>
        </w:rPr>
        <w:t>vegetarian diet and bone mineral density in postmenopausal Taiwanese women. Calcif Tissue Int 60:245–249.</w:t>
      </w:r>
    </w:p>
    <w:p w14:paraId="56A99C4B" w14:textId="77777777" w:rsidR="00FA75FD" w:rsidRPr="002B3438" w:rsidRDefault="00FA75FD" w:rsidP="00FA75FD">
      <w:pPr>
        <w:autoSpaceDE w:val="0"/>
        <w:autoSpaceDN w:val="0"/>
        <w:adjustRightInd w:val="0"/>
        <w:rPr>
          <w:sz w:val="22"/>
          <w:szCs w:val="22"/>
        </w:rPr>
      </w:pPr>
    </w:p>
    <w:p w14:paraId="43DDBAB1" w14:textId="77777777" w:rsidR="00065BB5" w:rsidRPr="002B3438" w:rsidRDefault="00065BB5" w:rsidP="00F52E06">
      <w:pPr>
        <w:autoSpaceDE w:val="0"/>
        <w:autoSpaceDN w:val="0"/>
        <w:adjustRightInd w:val="0"/>
        <w:rPr>
          <w:sz w:val="22"/>
          <w:szCs w:val="22"/>
        </w:rPr>
      </w:pPr>
      <w:r w:rsidRPr="002B3438">
        <w:rPr>
          <w:sz w:val="22"/>
          <w:szCs w:val="22"/>
        </w:rPr>
        <w:t xml:space="preserve">Clark NG, Sheard NF, Kelleher JF. 1992. Treatment of iron-deficiency anemia </w:t>
      </w:r>
    </w:p>
    <w:p w14:paraId="2C500326" w14:textId="77777777" w:rsidR="00065BB5" w:rsidRPr="002B3438" w:rsidRDefault="006A3BEE" w:rsidP="00065BB5">
      <w:pPr>
        <w:autoSpaceDE w:val="0"/>
        <w:autoSpaceDN w:val="0"/>
        <w:adjustRightInd w:val="0"/>
        <w:rPr>
          <w:sz w:val="22"/>
          <w:szCs w:val="22"/>
        </w:rPr>
      </w:pPr>
      <w:r>
        <w:rPr>
          <w:sz w:val="22"/>
          <w:szCs w:val="22"/>
        </w:rPr>
        <w:t xml:space="preserve">  </w:t>
      </w:r>
      <w:r w:rsidR="00065BB5" w:rsidRPr="002B3438">
        <w:rPr>
          <w:sz w:val="22"/>
          <w:szCs w:val="22"/>
        </w:rPr>
        <w:t>complicated by scurvy and folic acid deficiency. Nutrition Review 50:134-137.</w:t>
      </w:r>
    </w:p>
    <w:p w14:paraId="1495A365" w14:textId="77777777" w:rsidR="00065BB5" w:rsidRPr="002B3438" w:rsidRDefault="00065BB5" w:rsidP="00F52E06">
      <w:pPr>
        <w:autoSpaceDE w:val="0"/>
        <w:autoSpaceDN w:val="0"/>
        <w:adjustRightInd w:val="0"/>
        <w:rPr>
          <w:sz w:val="22"/>
          <w:szCs w:val="22"/>
        </w:rPr>
      </w:pPr>
    </w:p>
    <w:p w14:paraId="4BAA2452" w14:textId="77777777" w:rsidR="000E0F94" w:rsidRPr="002B3438" w:rsidRDefault="000E0F94" w:rsidP="00F52E06">
      <w:pPr>
        <w:autoSpaceDE w:val="0"/>
        <w:autoSpaceDN w:val="0"/>
        <w:adjustRightInd w:val="0"/>
        <w:rPr>
          <w:sz w:val="22"/>
          <w:szCs w:val="22"/>
        </w:rPr>
      </w:pPr>
      <w:r w:rsidRPr="002B3438">
        <w:rPr>
          <w:sz w:val="22"/>
          <w:szCs w:val="22"/>
        </w:rPr>
        <w:t xml:space="preserve">Clark EM, Ness AR, Tobias JH. 2008. Bone fragility contributes to the risk of fracture in </w:t>
      </w:r>
    </w:p>
    <w:p w14:paraId="59403454" w14:textId="77777777" w:rsidR="000E0F94" w:rsidRPr="002B3438" w:rsidRDefault="006A3BEE" w:rsidP="000E0F94">
      <w:pPr>
        <w:autoSpaceDE w:val="0"/>
        <w:autoSpaceDN w:val="0"/>
        <w:adjustRightInd w:val="0"/>
        <w:rPr>
          <w:sz w:val="22"/>
          <w:szCs w:val="22"/>
        </w:rPr>
      </w:pPr>
      <w:r>
        <w:rPr>
          <w:sz w:val="22"/>
          <w:szCs w:val="22"/>
        </w:rPr>
        <w:t xml:space="preserve">  </w:t>
      </w:r>
      <w:r w:rsidR="000E0F94" w:rsidRPr="002B3438">
        <w:rPr>
          <w:sz w:val="22"/>
          <w:szCs w:val="22"/>
        </w:rPr>
        <w:t>children, even after maderate and severe trauma. J Bone Miner Res 23:173-179.</w:t>
      </w:r>
    </w:p>
    <w:p w14:paraId="0F2472DB" w14:textId="77777777" w:rsidR="000E0F94" w:rsidRPr="002B3438" w:rsidRDefault="000E0F94" w:rsidP="00F52E06">
      <w:pPr>
        <w:autoSpaceDE w:val="0"/>
        <w:autoSpaceDN w:val="0"/>
        <w:adjustRightInd w:val="0"/>
        <w:rPr>
          <w:sz w:val="22"/>
          <w:szCs w:val="22"/>
        </w:rPr>
      </w:pPr>
    </w:p>
    <w:p w14:paraId="0456E419" w14:textId="77777777" w:rsidR="004362F5" w:rsidRPr="002B3438" w:rsidRDefault="004362F5" w:rsidP="00F52E06">
      <w:pPr>
        <w:autoSpaceDE w:val="0"/>
        <w:autoSpaceDN w:val="0"/>
        <w:adjustRightInd w:val="0"/>
        <w:rPr>
          <w:sz w:val="22"/>
          <w:szCs w:val="22"/>
        </w:rPr>
      </w:pPr>
      <w:r w:rsidRPr="002B3438">
        <w:rPr>
          <w:sz w:val="22"/>
          <w:szCs w:val="22"/>
        </w:rPr>
        <w:t>Cohen MN. 1989. Health and the rise of civilization. New Haven: Yale University Press</w:t>
      </w:r>
    </w:p>
    <w:p w14:paraId="147950D3" w14:textId="77777777" w:rsidR="004362F5" w:rsidRPr="002B3438" w:rsidRDefault="004362F5" w:rsidP="00F52E06">
      <w:pPr>
        <w:autoSpaceDE w:val="0"/>
        <w:autoSpaceDN w:val="0"/>
        <w:adjustRightInd w:val="0"/>
        <w:rPr>
          <w:sz w:val="22"/>
          <w:szCs w:val="22"/>
        </w:rPr>
      </w:pPr>
    </w:p>
    <w:p w14:paraId="0D1E7BE8" w14:textId="77777777" w:rsidR="005C58AA" w:rsidRPr="002B3438" w:rsidRDefault="005C58AA" w:rsidP="00F52E06">
      <w:pPr>
        <w:autoSpaceDE w:val="0"/>
        <w:autoSpaceDN w:val="0"/>
        <w:adjustRightInd w:val="0"/>
        <w:rPr>
          <w:rStyle w:val="CommentReference"/>
          <w:sz w:val="22"/>
          <w:szCs w:val="22"/>
        </w:rPr>
      </w:pPr>
      <w:r w:rsidRPr="002B3438">
        <w:rPr>
          <w:rStyle w:val="CommentReference"/>
          <w:sz w:val="22"/>
          <w:szCs w:val="22"/>
        </w:rPr>
        <w:t xml:space="preserve">Cook DC. 1979. Subsistence base and health in prehistoric Illinois Valley: evidence from the </w:t>
      </w:r>
    </w:p>
    <w:p w14:paraId="6584312C" w14:textId="77777777" w:rsidR="005C58AA" w:rsidRPr="002B3438" w:rsidRDefault="005C58AA" w:rsidP="005C58AA">
      <w:pPr>
        <w:autoSpaceDE w:val="0"/>
        <w:autoSpaceDN w:val="0"/>
        <w:adjustRightInd w:val="0"/>
        <w:ind w:firstLine="360"/>
        <w:rPr>
          <w:rStyle w:val="CommentReference"/>
          <w:sz w:val="22"/>
          <w:szCs w:val="22"/>
        </w:rPr>
      </w:pPr>
      <w:r w:rsidRPr="002B3438">
        <w:rPr>
          <w:rStyle w:val="CommentReference"/>
          <w:sz w:val="22"/>
          <w:szCs w:val="22"/>
        </w:rPr>
        <w:t>human skeleton. Med Anthropol 4:109-124.</w:t>
      </w:r>
    </w:p>
    <w:p w14:paraId="1B5F402D" w14:textId="77777777" w:rsidR="005C58AA" w:rsidRPr="002B3438" w:rsidRDefault="005C58AA" w:rsidP="00F52E06">
      <w:pPr>
        <w:autoSpaceDE w:val="0"/>
        <w:autoSpaceDN w:val="0"/>
        <w:adjustRightInd w:val="0"/>
        <w:rPr>
          <w:sz w:val="22"/>
          <w:szCs w:val="22"/>
        </w:rPr>
      </w:pPr>
    </w:p>
    <w:p w14:paraId="302DB3FF" w14:textId="77777777" w:rsidR="004362F5" w:rsidRPr="002B3438" w:rsidRDefault="004362F5" w:rsidP="004362F5">
      <w:pPr>
        <w:ind w:left="360" w:hanging="360"/>
        <w:rPr>
          <w:sz w:val="22"/>
          <w:szCs w:val="22"/>
        </w:rPr>
      </w:pPr>
      <w:r w:rsidRPr="002B3438">
        <w:rPr>
          <w:sz w:val="22"/>
          <w:szCs w:val="22"/>
        </w:rPr>
        <w:t>Cook D. 1984. Subsistence and health in the lower Illinois valley: osteological evidence. In: Cohen M and Armelagos G, editors. Subsistence and health in the lower Illinois valley: osteological evidence. New York: Academic Press. p 237-269.</w:t>
      </w:r>
    </w:p>
    <w:p w14:paraId="645F1992" w14:textId="77777777" w:rsidR="004362F5" w:rsidRPr="002B3438" w:rsidRDefault="004362F5" w:rsidP="00F52E06">
      <w:pPr>
        <w:autoSpaceDE w:val="0"/>
        <w:autoSpaceDN w:val="0"/>
        <w:adjustRightInd w:val="0"/>
        <w:rPr>
          <w:sz w:val="22"/>
          <w:szCs w:val="22"/>
        </w:rPr>
      </w:pPr>
    </w:p>
    <w:p w14:paraId="2F64F15F" w14:textId="77777777" w:rsidR="00657E55" w:rsidRPr="002B3438" w:rsidRDefault="00657E55" w:rsidP="00F52E06">
      <w:pPr>
        <w:autoSpaceDE w:val="0"/>
        <w:autoSpaceDN w:val="0"/>
        <w:adjustRightInd w:val="0"/>
        <w:rPr>
          <w:sz w:val="22"/>
          <w:szCs w:val="22"/>
        </w:rPr>
      </w:pPr>
      <w:r w:rsidRPr="002B3438">
        <w:rPr>
          <w:sz w:val="22"/>
          <w:szCs w:val="22"/>
        </w:rPr>
        <w:t xml:space="preserve">Cooper DM, Thomas CD, Clement JG, Hallgrimsson B. Three-dimensional </w:t>
      </w:r>
    </w:p>
    <w:p w14:paraId="4E8CA29A" w14:textId="77777777" w:rsidR="00657E55" w:rsidRPr="002B3438" w:rsidRDefault="00657E55" w:rsidP="00657E55">
      <w:pPr>
        <w:autoSpaceDE w:val="0"/>
        <w:autoSpaceDN w:val="0"/>
        <w:adjustRightInd w:val="0"/>
        <w:ind w:left="345"/>
        <w:rPr>
          <w:sz w:val="22"/>
          <w:szCs w:val="22"/>
        </w:rPr>
      </w:pPr>
      <w:r w:rsidRPr="002B3438">
        <w:rPr>
          <w:sz w:val="22"/>
          <w:szCs w:val="22"/>
        </w:rPr>
        <w:t>microcomputed tomography imaging of basic multicellular unit-related resorption spaces in human cortical bone. Anat Rec A Discov Mol Cell Evol Biol 288:806-816.</w:t>
      </w:r>
    </w:p>
    <w:p w14:paraId="0446C6AA" w14:textId="77777777" w:rsidR="00657E55" w:rsidRPr="002B3438" w:rsidRDefault="00657E55" w:rsidP="00F52E06">
      <w:pPr>
        <w:autoSpaceDE w:val="0"/>
        <w:autoSpaceDN w:val="0"/>
        <w:adjustRightInd w:val="0"/>
        <w:rPr>
          <w:sz w:val="22"/>
          <w:szCs w:val="22"/>
        </w:rPr>
      </w:pPr>
    </w:p>
    <w:p w14:paraId="2A401DA2" w14:textId="77777777" w:rsidR="001C63C7" w:rsidRPr="002B3438" w:rsidRDefault="001C63C7" w:rsidP="001C63C7">
      <w:pPr>
        <w:autoSpaceDE w:val="0"/>
        <w:autoSpaceDN w:val="0"/>
        <w:adjustRightInd w:val="0"/>
        <w:rPr>
          <w:rFonts w:eastAsia="Calibri"/>
          <w:color w:val="231F20"/>
          <w:sz w:val="22"/>
          <w:szCs w:val="22"/>
        </w:rPr>
      </w:pPr>
      <w:r w:rsidRPr="002B3438">
        <w:rPr>
          <w:rFonts w:eastAsia="Calibri"/>
          <w:color w:val="231F20"/>
          <w:sz w:val="22"/>
          <w:szCs w:val="22"/>
        </w:rPr>
        <w:t>Cooper C, Westlake S, Harvey N, Javaid K, Dennison E, Hanson M. 2006.</w:t>
      </w:r>
      <w:r w:rsidR="006A3BEE">
        <w:rPr>
          <w:rFonts w:eastAsia="Calibri"/>
          <w:color w:val="231F20"/>
          <w:sz w:val="22"/>
          <w:szCs w:val="22"/>
        </w:rPr>
        <w:t xml:space="preserve"> </w:t>
      </w:r>
      <w:r w:rsidRPr="002B3438">
        <w:rPr>
          <w:rFonts w:eastAsia="Calibri"/>
          <w:color w:val="231F20"/>
          <w:sz w:val="22"/>
          <w:szCs w:val="22"/>
        </w:rPr>
        <w:t xml:space="preserve">Review: </w:t>
      </w:r>
    </w:p>
    <w:p w14:paraId="78BD9A54" w14:textId="77777777" w:rsidR="001C63C7" w:rsidRPr="002B3438" w:rsidRDefault="006A3BEE" w:rsidP="001C63C7">
      <w:pPr>
        <w:autoSpaceDE w:val="0"/>
        <w:autoSpaceDN w:val="0"/>
        <w:adjustRightInd w:val="0"/>
        <w:rPr>
          <w:rFonts w:eastAsia="Calibri"/>
          <w:color w:val="231F20"/>
          <w:sz w:val="22"/>
          <w:szCs w:val="22"/>
        </w:rPr>
      </w:pPr>
      <w:r>
        <w:rPr>
          <w:rFonts w:eastAsia="Calibri"/>
          <w:color w:val="231F20"/>
          <w:sz w:val="22"/>
          <w:szCs w:val="22"/>
        </w:rPr>
        <w:t xml:space="preserve">  </w:t>
      </w:r>
      <w:r w:rsidR="001C63C7" w:rsidRPr="002B3438">
        <w:rPr>
          <w:rFonts w:eastAsia="Calibri"/>
          <w:color w:val="231F20"/>
          <w:sz w:val="22"/>
          <w:szCs w:val="22"/>
        </w:rPr>
        <w:t>developmental origins of osteoporotic fracture. Osteoporos Int 17:337–47.</w:t>
      </w:r>
    </w:p>
    <w:p w14:paraId="1CD6777D" w14:textId="77777777" w:rsidR="001C63C7" w:rsidRPr="002B3438" w:rsidRDefault="001C63C7" w:rsidP="001C63C7">
      <w:pPr>
        <w:autoSpaceDE w:val="0"/>
        <w:autoSpaceDN w:val="0"/>
        <w:adjustRightInd w:val="0"/>
        <w:rPr>
          <w:sz w:val="22"/>
          <w:szCs w:val="22"/>
        </w:rPr>
      </w:pPr>
    </w:p>
    <w:p w14:paraId="6AB2AA55" w14:textId="77777777" w:rsidR="0004239A" w:rsidRPr="002B3438" w:rsidRDefault="00351BB9" w:rsidP="00CE5BCD">
      <w:pPr>
        <w:autoSpaceDE w:val="0"/>
        <w:autoSpaceDN w:val="0"/>
        <w:adjustRightInd w:val="0"/>
        <w:rPr>
          <w:sz w:val="22"/>
          <w:szCs w:val="22"/>
        </w:rPr>
      </w:pPr>
      <w:r w:rsidRPr="002B3438">
        <w:rPr>
          <w:sz w:val="22"/>
          <w:szCs w:val="22"/>
        </w:rPr>
        <w:t>Cormier JM, Stitzel JD, Duma SM, Matsuoka F. 2005. Regional variation in th</w:t>
      </w:r>
      <w:r w:rsidR="0004239A" w:rsidRPr="002B3438">
        <w:rPr>
          <w:sz w:val="22"/>
          <w:szCs w:val="22"/>
        </w:rPr>
        <w:t>e structural</w:t>
      </w:r>
    </w:p>
    <w:p w14:paraId="633D7A5C" w14:textId="77777777" w:rsidR="00351BB9" w:rsidRPr="002B3438" w:rsidRDefault="00351BB9" w:rsidP="0004239A">
      <w:pPr>
        <w:autoSpaceDE w:val="0"/>
        <w:autoSpaceDN w:val="0"/>
        <w:adjustRightInd w:val="0"/>
        <w:ind w:left="375"/>
        <w:rPr>
          <w:sz w:val="22"/>
          <w:szCs w:val="22"/>
        </w:rPr>
      </w:pPr>
      <w:r w:rsidRPr="002B3438">
        <w:rPr>
          <w:sz w:val="22"/>
          <w:szCs w:val="22"/>
        </w:rPr>
        <w:t>response and geometrical properties of human ribs. Proceedings of Association for the Advanc</w:t>
      </w:r>
      <w:r w:rsidR="0004239A" w:rsidRPr="002B3438">
        <w:rPr>
          <w:sz w:val="22"/>
          <w:szCs w:val="22"/>
        </w:rPr>
        <w:t>ement of Automotive Medicine 9:</w:t>
      </w:r>
      <w:r w:rsidRPr="002B3438">
        <w:rPr>
          <w:sz w:val="22"/>
          <w:szCs w:val="22"/>
        </w:rPr>
        <w:t>153–170.</w:t>
      </w:r>
    </w:p>
    <w:p w14:paraId="488C0273" w14:textId="77777777" w:rsidR="00995868" w:rsidRPr="002B3438" w:rsidRDefault="00995868" w:rsidP="00995868">
      <w:pPr>
        <w:autoSpaceDE w:val="0"/>
        <w:autoSpaceDN w:val="0"/>
        <w:adjustRightInd w:val="0"/>
        <w:rPr>
          <w:sz w:val="22"/>
          <w:szCs w:val="22"/>
        </w:rPr>
      </w:pPr>
    </w:p>
    <w:p w14:paraId="3E46C640" w14:textId="77777777" w:rsidR="000075C8" w:rsidRPr="002B3438" w:rsidRDefault="000075C8" w:rsidP="000075C8">
      <w:pPr>
        <w:autoSpaceDE w:val="0"/>
        <w:autoSpaceDN w:val="0"/>
        <w:adjustRightInd w:val="0"/>
        <w:rPr>
          <w:rFonts w:eastAsia="Calibri"/>
          <w:color w:val="231F20"/>
          <w:sz w:val="22"/>
          <w:szCs w:val="22"/>
        </w:rPr>
      </w:pPr>
      <w:r w:rsidRPr="002B3438">
        <w:rPr>
          <w:rFonts w:eastAsia="Calibri"/>
          <w:color w:val="231F20"/>
          <w:sz w:val="22"/>
          <w:szCs w:val="22"/>
        </w:rPr>
        <w:t>Cowin SC. 2001. Handbook of bone mechanics. Raton, FL: CRC Press.</w:t>
      </w:r>
    </w:p>
    <w:p w14:paraId="3C30623D" w14:textId="77777777" w:rsidR="000075C8" w:rsidRPr="002B3438" w:rsidRDefault="000075C8" w:rsidP="000075C8">
      <w:pPr>
        <w:autoSpaceDE w:val="0"/>
        <w:autoSpaceDN w:val="0"/>
        <w:adjustRightInd w:val="0"/>
        <w:rPr>
          <w:sz w:val="22"/>
          <w:szCs w:val="22"/>
        </w:rPr>
      </w:pPr>
    </w:p>
    <w:p w14:paraId="27358199" w14:textId="77777777" w:rsidR="007B300A" w:rsidRPr="002B3438" w:rsidRDefault="007B300A" w:rsidP="000075C8">
      <w:pPr>
        <w:autoSpaceDE w:val="0"/>
        <w:autoSpaceDN w:val="0"/>
        <w:adjustRightInd w:val="0"/>
        <w:rPr>
          <w:sz w:val="22"/>
          <w:szCs w:val="22"/>
        </w:rPr>
      </w:pPr>
      <w:r w:rsidRPr="002B3438">
        <w:rPr>
          <w:sz w:val="22"/>
          <w:szCs w:val="22"/>
        </w:rPr>
        <w:t xml:space="preserve">Cowin SC, Moss-Salentijn L and Moss ML. 1991. Candidate for the mechanosensory </w:t>
      </w:r>
    </w:p>
    <w:p w14:paraId="4AB99057" w14:textId="77777777" w:rsidR="007B300A" w:rsidRPr="002B3438" w:rsidRDefault="007B300A" w:rsidP="007B300A">
      <w:pPr>
        <w:autoSpaceDE w:val="0"/>
        <w:autoSpaceDN w:val="0"/>
        <w:adjustRightInd w:val="0"/>
        <w:ind w:firstLine="360"/>
        <w:rPr>
          <w:sz w:val="22"/>
          <w:szCs w:val="22"/>
        </w:rPr>
      </w:pPr>
      <w:r w:rsidRPr="002B3438">
        <w:rPr>
          <w:sz w:val="22"/>
          <w:szCs w:val="22"/>
        </w:rPr>
        <w:t>system in bone. J Biomech Eng 113:191-197.</w:t>
      </w:r>
    </w:p>
    <w:p w14:paraId="4BE33791" w14:textId="77777777" w:rsidR="007B300A" w:rsidRPr="002B3438" w:rsidRDefault="007B300A" w:rsidP="000075C8">
      <w:pPr>
        <w:autoSpaceDE w:val="0"/>
        <w:autoSpaceDN w:val="0"/>
        <w:adjustRightInd w:val="0"/>
        <w:rPr>
          <w:sz w:val="22"/>
          <w:szCs w:val="22"/>
        </w:rPr>
      </w:pPr>
    </w:p>
    <w:p w14:paraId="66D786F9" w14:textId="77777777" w:rsidR="003B35F5" w:rsidRPr="002B3438" w:rsidRDefault="003B35F5" w:rsidP="000075C8">
      <w:pPr>
        <w:autoSpaceDE w:val="0"/>
        <w:autoSpaceDN w:val="0"/>
        <w:adjustRightInd w:val="0"/>
        <w:rPr>
          <w:sz w:val="22"/>
          <w:szCs w:val="22"/>
        </w:rPr>
      </w:pPr>
      <w:r w:rsidRPr="002B3438">
        <w:rPr>
          <w:sz w:val="22"/>
          <w:szCs w:val="22"/>
        </w:rPr>
        <w:t xml:space="preserve">Cowgill LW. 2006. Postcranial growth and development of immature skeletons from </w:t>
      </w:r>
    </w:p>
    <w:p w14:paraId="7561DB5D" w14:textId="77777777" w:rsidR="003B35F5" w:rsidRPr="002B3438" w:rsidRDefault="003B35F5" w:rsidP="003B35F5">
      <w:pPr>
        <w:autoSpaceDE w:val="0"/>
        <w:autoSpaceDN w:val="0"/>
        <w:adjustRightInd w:val="0"/>
        <w:ind w:firstLine="360"/>
        <w:rPr>
          <w:sz w:val="22"/>
          <w:szCs w:val="22"/>
        </w:rPr>
      </w:pPr>
      <w:r w:rsidRPr="002B3438">
        <w:rPr>
          <w:sz w:val="22"/>
          <w:szCs w:val="22"/>
        </w:rPr>
        <w:t>Point Hope, Alaska. Amer J Phys Anthropol 129:78</w:t>
      </w:r>
    </w:p>
    <w:p w14:paraId="462987FB" w14:textId="77777777" w:rsidR="003B35F5" w:rsidRPr="002B3438" w:rsidRDefault="003B35F5" w:rsidP="000075C8">
      <w:pPr>
        <w:autoSpaceDE w:val="0"/>
        <w:autoSpaceDN w:val="0"/>
        <w:adjustRightInd w:val="0"/>
        <w:rPr>
          <w:sz w:val="22"/>
          <w:szCs w:val="22"/>
        </w:rPr>
      </w:pPr>
    </w:p>
    <w:p w14:paraId="42527223" w14:textId="77777777" w:rsidR="00291ACE" w:rsidRPr="002B3438" w:rsidRDefault="00291ACE" w:rsidP="00291ACE">
      <w:pPr>
        <w:ind w:left="360" w:hanging="360"/>
        <w:rPr>
          <w:sz w:val="22"/>
          <w:szCs w:val="22"/>
        </w:rPr>
      </w:pPr>
      <w:r w:rsidRPr="002B3438">
        <w:rPr>
          <w:sz w:val="22"/>
          <w:szCs w:val="22"/>
        </w:rPr>
        <w:lastRenderedPageBreak/>
        <w:t>Cowgill LW. 2008. The ontogeny of recent and Late Pleistocene human postcranial robusticity. Ph.D. dissertation, Washington University, St. Louis, Missouri.</w:t>
      </w:r>
    </w:p>
    <w:p w14:paraId="6FF18D44" w14:textId="77777777" w:rsidR="00291ACE" w:rsidRPr="002B3438" w:rsidRDefault="00291ACE" w:rsidP="00995868">
      <w:pPr>
        <w:autoSpaceDE w:val="0"/>
        <w:autoSpaceDN w:val="0"/>
        <w:adjustRightInd w:val="0"/>
        <w:rPr>
          <w:sz w:val="22"/>
          <w:szCs w:val="22"/>
        </w:rPr>
      </w:pPr>
    </w:p>
    <w:p w14:paraId="20C560C4" w14:textId="77777777" w:rsidR="0000652E" w:rsidRPr="002B3438" w:rsidRDefault="00995868" w:rsidP="00CE5BCD">
      <w:pPr>
        <w:autoSpaceDE w:val="0"/>
        <w:autoSpaceDN w:val="0"/>
        <w:adjustRightInd w:val="0"/>
        <w:rPr>
          <w:sz w:val="22"/>
          <w:szCs w:val="22"/>
        </w:rPr>
      </w:pPr>
      <w:r w:rsidRPr="002B3438">
        <w:rPr>
          <w:sz w:val="22"/>
          <w:szCs w:val="22"/>
        </w:rPr>
        <w:t xml:space="preserve">Cowgill LW. </w:t>
      </w:r>
      <w:r w:rsidR="0000652E" w:rsidRPr="002B3438">
        <w:rPr>
          <w:sz w:val="22"/>
          <w:szCs w:val="22"/>
        </w:rPr>
        <w:t xml:space="preserve">2010 </w:t>
      </w:r>
      <w:r w:rsidRPr="002B3438">
        <w:rPr>
          <w:sz w:val="22"/>
          <w:szCs w:val="22"/>
        </w:rPr>
        <w:t>The ontology of Holocene and Late Pleistoc</w:t>
      </w:r>
      <w:r w:rsidR="0000652E" w:rsidRPr="002B3438">
        <w:rPr>
          <w:sz w:val="22"/>
          <w:szCs w:val="22"/>
        </w:rPr>
        <w:t xml:space="preserve">ene human postcranial strength. </w:t>
      </w:r>
    </w:p>
    <w:p w14:paraId="4F1E0ACE" w14:textId="77777777" w:rsidR="00995868" w:rsidRPr="002B3438" w:rsidRDefault="006A3BEE" w:rsidP="00995868">
      <w:pPr>
        <w:autoSpaceDE w:val="0"/>
        <w:autoSpaceDN w:val="0"/>
        <w:adjustRightInd w:val="0"/>
        <w:rPr>
          <w:sz w:val="22"/>
          <w:szCs w:val="22"/>
        </w:rPr>
      </w:pPr>
      <w:r>
        <w:rPr>
          <w:sz w:val="22"/>
          <w:szCs w:val="22"/>
        </w:rPr>
        <w:t xml:space="preserve">  </w:t>
      </w:r>
      <w:r w:rsidR="00995868" w:rsidRPr="002B3438">
        <w:rPr>
          <w:sz w:val="22"/>
          <w:szCs w:val="22"/>
        </w:rPr>
        <w:t>Am J Phys Anthrop 141:16-37.</w:t>
      </w:r>
    </w:p>
    <w:p w14:paraId="4E91653D" w14:textId="77777777" w:rsidR="0000652E" w:rsidRPr="002B3438" w:rsidRDefault="0000652E" w:rsidP="00995868">
      <w:pPr>
        <w:autoSpaceDE w:val="0"/>
        <w:autoSpaceDN w:val="0"/>
        <w:adjustRightInd w:val="0"/>
        <w:rPr>
          <w:sz w:val="22"/>
          <w:szCs w:val="22"/>
        </w:rPr>
      </w:pPr>
    </w:p>
    <w:p w14:paraId="3AE5BE49" w14:textId="77777777" w:rsidR="0000652E" w:rsidRPr="002B3438" w:rsidRDefault="0000652E" w:rsidP="00995868">
      <w:pPr>
        <w:autoSpaceDE w:val="0"/>
        <w:autoSpaceDN w:val="0"/>
        <w:adjustRightInd w:val="0"/>
        <w:rPr>
          <w:sz w:val="22"/>
          <w:szCs w:val="22"/>
        </w:rPr>
      </w:pPr>
      <w:r w:rsidRPr="002B3438">
        <w:rPr>
          <w:sz w:val="22"/>
          <w:szCs w:val="22"/>
        </w:rPr>
        <w:t xml:space="preserve">Cowgill LW, Hager LD. 2007. Variation in the development of postcranial robusticity; an </w:t>
      </w:r>
    </w:p>
    <w:p w14:paraId="1AC1CA4B" w14:textId="77777777" w:rsidR="0000652E" w:rsidRPr="002B3438" w:rsidRDefault="006A3BEE" w:rsidP="0000652E">
      <w:pPr>
        <w:autoSpaceDE w:val="0"/>
        <w:autoSpaceDN w:val="0"/>
        <w:adjustRightInd w:val="0"/>
        <w:rPr>
          <w:sz w:val="22"/>
          <w:szCs w:val="22"/>
        </w:rPr>
      </w:pPr>
      <w:r>
        <w:rPr>
          <w:sz w:val="22"/>
          <w:szCs w:val="22"/>
        </w:rPr>
        <w:t xml:space="preserve">  </w:t>
      </w:r>
      <w:r w:rsidR="0000652E" w:rsidRPr="002B3438">
        <w:rPr>
          <w:sz w:val="22"/>
          <w:szCs w:val="22"/>
        </w:rPr>
        <w:t>example ftom</w:t>
      </w:r>
      <w:r w:rsidR="0000652E" w:rsidRPr="002B3438">
        <w:rPr>
          <w:color w:val="000000"/>
          <w:sz w:val="22"/>
          <w:szCs w:val="22"/>
          <w:shd w:val="clear" w:color="auto" w:fill="FFFFFF"/>
        </w:rPr>
        <w:t xml:space="preserve"> Çatalhöyük </w:t>
      </w:r>
      <w:r w:rsidR="0000652E" w:rsidRPr="002B3438">
        <w:rPr>
          <w:sz w:val="22"/>
          <w:szCs w:val="22"/>
        </w:rPr>
        <w:t xml:space="preserve">, Turkey. Int J Osteoarchaeology. 17:235-252. </w:t>
      </w:r>
    </w:p>
    <w:p w14:paraId="177A5592" w14:textId="77777777" w:rsidR="0000652E" w:rsidRPr="002B3438" w:rsidRDefault="0000652E" w:rsidP="00CE5BCD">
      <w:pPr>
        <w:autoSpaceDE w:val="0"/>
        <w:autoSpaceDN w:val="0"/>
        <w:adjustRightInd w:val="0"/>
        <w:rPr>
          <w:sz w:val="22"/>
          <w:szCs w:val="22"/>
        </w:rPr>
      </w:pPr>
    </w:p>
    <w:p w14:paraId="4B318FF7" w14:textId="77777777" w:rsidR="00291ACE" w:rsidRPr="002B3438" w:rsidRDefault="00291ACE" w:rsidP="00291ACE">
      <w:pPr>
        <w:ind w:left="360" w:hanging="360"/>
        <w:rPr>
          <w:sz w:val="22"/>
          <w:szCs w:val="22"/>
        </w:rPr>
      </w:pPr>
      <w:r w:rsidRPr="002B3438">
        <w:rPr>
          <w:sz w:val="22"/>
          <w:szCs w:val="22"/>
        </w:rPr>
        <w:t>Cowgill LW, Warrener A, Pontzer H, Ocobock C. 2010. Waddling and toddling: the biomechanical effects of an immature gait. Am J Phys Anthropol 143:52-61.</w:t>
      </w:r>
    </w:p>
    <w:p w14:paraId="476CCCF9" w14:textId="77777777" w:rsidR="00291ACE" w:rsidRPr="002B3438" w:rsidRDefault="00291ACE" w:rsidP="00CE5BCD">
      <w:pPr>
        <w:autoSpaceDE w:val="0"/>
        <w:autoSpaceDN w:val="0"/>
        <w:adjustRightInd w:val="0"/>
        <w:rPr>
          <w:sz w:val="22"/>
          <w:szCs w:val="22"/>
        </w:rPr>
      </w:pPr>
    </w:p>
    <w:p w14:paraId="340048EB" w14:textId="77777777" w:rsidR="00F03F94" w:rsidRPr="002B3438" w:rsidRDefault="00F03F94" w:rsidP="00F03F94">
      <w:pPr>
        <w:autoSpaceDE w:val="0"/>
        <w:autoSpaceDN w:val="0"/>
        <w:adjustRightInd w:val="0"/>
        <w:rPr>
          <w:i/>
          <w:iCs/>
          <w:sz w:val="22"/>
          <w:szCs w:val="22"/>
        </w:rPr>
      </w:pPr>
      <w:r w:rsidRPr="002B3438">
        <w:rPr>
          <w:sz w:val="22"/>
          <w:szCs w:val="22"/>
        </w:rPr>
        <w:t xml:space="preserve">Cowin SC. 2001. The false premise in Wolff’s law. In: SC Cowin, editor. </w:t>
      </w:r>
      <w:r w:rsidRPr="002B3438">
        <w:rPr>
          <w:i/>
          <w:iCs/>
          <w:sz w:val="22"/>
          <w:szCs w:val="22"/>
        </w:rPr>
        <w:t>Bone biomechanics</w:t>
      </w:r>
    </w:p>
    <w:p w14:paraId="09FA3EC2" w14:textId="77777777" w:rsidR="00EB263B" w:rsidRPr="002B3438" w:rsidRDefault="00F03F94" w:rsidP="00CE5BCD">
      <w:pPr>
        <w:ind w:left="360"/>
        <w:rPr>
          <w:sz w:val="22"/>
          <w:szCs w:val="22"/>
        </w:rPr>
      </w:pPr>
      <w:r w:rsidRPr="002B3438">
        <w:rPr>
          <w:i/>
          <w:iCs/>
          <w:sz w:val="22"/>
          <w:szCs w:val="22"/>
        </w:rPr>
        <w:t>handbook</w:t>
      </w:r>
      <w:r w:rsidRPr="002B3438">
        <w:rPr>
          <w:sz w:val="22"/>
          <w:szCs w:val="22"/>
        </w:rPr>
        <w:t>, 2nd edition. Boca Raton: CRC Press.</w:t>
      </w:r>
    </w:p>
    <w:p w14:paraId="604654B8" w14:textId="77777777" w:rsidR="00C27558" w:rsidRPr="002B3438" w:rsidRDefault="00C27558" w:rsidP="00CE5BCD">
      <w:pPr>
        <w:ind w:left="360"/>
        <w:rPr>
          <w:sz w:val="22"/>
          <w:szCs w:val="22"/>
        </w:rPr>
      </w:pPr>
    </w:p>
    <w:p w14:paraId="052CF22F" w14:textId="77777777" w:rsidR="00C27558" w:rsidRPr="002B3438" w:rsidRDefault="00C27558" w:rsidP="00C27558">
      <w:pPr>
        <w:pStyle w:val="CommentText"/>
        <w:rPr>
          <w:sz w:val="22"/>
          <w:szCs w:val="22"/>
        </w:rPr>
      </w:pPr>
      <w:r w:rsidRPr="002B3438">
        <w:rPr>
          <w:sz w:val="22"/>
          <w:szCs w:val="22"/>
        </w:rPr>
        <w:t>Currey JD.1964. Some effects of ageing in human Haversian systems. J Anat 98:69-75.</w:t>
      </w:r>
    </w:p>
    <w:p w14:paraId="2853B8A9" w14:textId="77777777" w:rsidR="00F03F94" w:rsidRPr="002B3438" w:rsidRDefault="00F03F94" w:rsidP="00F03F94">
      <w:pPr>
        <w:ind w:left="360" w:hanging="360"/>
        <w:rPr>
          <w:sz w:val="22"/>
          <w:szCs w:val="22"/>
        </w:rPr>
      </w:pPr>
    </w:p>
    <w:p w14:paraId="2EDFFF17" w14:textId="77777777" w:rsidR="008B04DB" w:rsidRPr="002B3438" w:rsidRDefault="0000652E" w:rsidP="00F03F94">
      <w:pPr>
        <w:ind w:left="360" w:hanging="360"/>
        <w:rPr>
          <w:sz w:val="22"/>
          <w:szCs w:val="22"/>
        </w:rPr>
      </w:pPr>
      <w:r w:rsidRPr="002B3438">
        <w:rPr>
          <w:sz w:val="22"/>
          <w:szCs w:val="22"/>
        </w:rPr>
        <w:t>Currey J</w:t>
      </w:r>
      <w:r w:rsidR="00AE7891" w:rsidRPr="002B3438">
        <w:rPr>
          <w:sz w:val="22"/>
          <w:szCs w:val="22"/>
        </w:rPr>
        <w:t>D</w:t>
      </w:r>
      <w:r w:rsidRPr="002B3438">
        <w:rPr>
          <w:sz w:val="22"/>
          <w:szCs w:val="22"/>
        </w:rPr>
        <w:t xml:space="preserve">. </w:t>
      </w:r>
      <w:r w:rsidR="008B04DB" w:rsidRPr="002B3438">
        <w:rPr>
          <w:sz w:val="22"/>
          <w:szCs w:val="22"/>
        </w:rPr>
        <w:t>1984. The mechanical adaptations of bones. Princeton University Press.</w:t>
      </w:r>
    </w:p>
    <w:p w14:paraId="6249EB12" w14:textId="77777777" w:rsidR="008B04DB" w:rsidRPr="002B3438" w:rsidRDefault="008B04DB" w:rsidP="00F03F94">
      <w:pPr>
        <w:ind w:left="360" w:hanging="360"/>
        <w:rPr>
          <w:sz w:val="22"/>
          <w:szCs w:val="22"/>
        </w:rPr>
      </w:pPr>
    </w:p>
    <w:p w14:paraId="48CC09F3" w14:textId="77777777" w:rsidR="00B436A2" w:rsidRPr="002B3438" w:rsidRDefault="00B436A2" w:rsidP="00B436A2">
      <w:pPr>
        <w:autoSpaceDE w:val="0"/>
        <w:autoSpaceDN w:val="0"/>
        <w:adjustRightInd w:val="0"/>
        <w:rPr>
          <w:sz w:val="22"/>
          <w:szCs w:val="22"/>
        </w:rPr>
      </w:pPr>
      <w:r w:rsidRPr="002B3438">
        <w:rPr>
          <w:sz w:val="22"/>
          <w:szCs w:val="22"/>
        </w:rPr>
        <w:t xml:space="preserve">Currey JD. 1988. The effect of porosity and mineral content on the Young’s modulus of elasticity of compact bone. </w:t>
      </w:r>
      <w:r w:rsidRPr="002B3438">
        <w:rPr>
          <w:i/>
          <w:iCs/>
          <w:sz w:val="22"/>
          <w:szCs w:val="22"/>
        </w:rPr>
        <w:t>J</w:t>
      </w:r>
      <w:r w:rsidRPr="002B3438">
        <w:rPr>
          <w:sz w:val="22"/>
          <w:szCs w:val="22"/>
        </w:rPr>
        <w:t xml:space="preserve"> </w:t>
      </w:r>
      <w:r w:rsidRPr="002B3438">
        <w:rPr>
          <w:i/>
          <w:iCs/>
          <w:sz w:val="22"/>
          <w:szCs w:val="22"/>
        </w:rPr>
        <w:t xml:space="preserve">Biomech </w:t>
      </w:r>
      <w:r w:rsidRPr="002B3438">
        <w:rPr>
          <w:bCs/>
          <w:sz w:val="22"/>
          <w:szCs w:val="22"/>
        </w:rPr>
        <w:t>2:</w:t>
      </w:r>
      <w:r w:rsidRPr="002B3438">
        <w:rPr>
          <w:sz w:val="22"/>
          <w:szCs w:val="22"/>
        </w:rPr>
        <w:t>131–139.</w:t>
      </w:r>
      <w:r w:rsidR="003A3F6B" w:rsidRPr="002B3438">
        <w:rPr>
          <w:sz w:val="22"/>
          <w:szCs w:val="22"/>
        </w:rPr>
        <w:t xml:space="preserve"> </w:t>
      </w:r>
    </w:p>
    <w:p w14:paraId="56A68525" w14:textId="77777777" w:rsidR="00B436A2" w:rsidRPr="002B3438" w:rsidRDefault="00B436A2" w:rsidP="00B436A2">
      <w:pPr>
        <w:ind w:left="360" w:hanging="360"/>
        <w:rPr>
          <w:sz w:val="22"/>
          <w:szCs w:val="22"/>
        </w:rPr>
      </w:pPr>
    </w:p>
    <w:p w14:paraId="4D4EBC6D" w14:textId="77777777" w:rsidR="008B04DB" w:rsidRPr="002B3438" w:rsidRDefault="008B04DB" w:rsidP="008B04DB">
      <w:pPr>
        <w:ind w:left="360" w:hanging="360"/>
        <w:rPr>
          <w:sz w:val="22"/>
          <w:szCs w:val="22"/>
        </w:rPr>
      </w:pPr>
      <w:r w:rsidRPr="002B3438">
        <w:rPr>
          <w:sz w:val="22"/>
          <w:szCs w:val="22"/>
        </w:rPr>
        <w:t>Currey J</w:t>
      </w:r>
      <w:r w:rsidR="00AE7891" w:rsidRPr="002B3438">
        <w:rPr>
          <w:sz w:val="22"/>
          <w:szCs w:val="22"/>
        </w:rPr>
        <w:t>D</w:t>
      </w:r>
      <w:r w:rsidRPr="002B3438">
        <w:rPr>
          <w:sz w:val="22"/>
          <w:szCs w:val="22"/>
        </w:rPr>
        <w:t>. 2002. Bones: structure and mechanics. Princeton: Princeton University Press.</w:t>
      </w:r>
    </w:p>
    <w:p w14:paraId="609F6F39" w14:textId="77777777" w:rsidR="00AE7891" w:rsidRPr="002B3438" w:rsidRDefault="00AE7891" w:rsidP="008B04DB">
      <w:pPr>
        <w:ind w:left="360" w:hanging="360"/>
        <w:rPr>
          <w:sz w:val="22"/>
          <w:szCs w:val="22"/>
        </w:rPr>
      </w:pPr>
    </w:p>
    <w:p w14:paraId="5F7ABE70" w14:textId="77777777" w:rsidR="00F43FA3" w:rsidRPr="002B3438" w:rsidRDefault="00AE7891" w:rsidP="008F3FE8">
      <w:pPr>
        <w:rPr>
          <w:sz w:val="22"/>
          <w:szCs w:val="22"/>
        </w:rPr>
      </w:pPr>
      <w:r w:rsidRPr="002B3438">
        <w:rPr>
          <w:sz w:val="22"/>
          <w:szCs w:val="22"/>
        </w:rPr>
        <w:t>Currey JD. 2003. How well are bones designed to resist fracture</w:t>
      </w:r>
      <w:r w:rsidR="00ED1F1B" w:rsidRPr="002B3438">
        <w:rPr>
          <w:sz w:val="22"/>
          <w:szCs w:val="22"/>
        </w:rPr>
        <w:t>. J Bone Miner Res 18:591-598.</w:t>
      </w:r>
    </w:p>
    <w:p w14:paraId="02E8BBA3" w14:textId="77777777" w:rsidR="00AE7891" w:rsidRPr="002B3438" w:rsidRDefault="00AE7891" w:rsidP="008F3FE8">
      <w:pPr>
        <w:rPr>
          <w:sz w:val="22"/>
          <w:szCs w:val="22"/>
        </w:rPr>
      </w:pPr>
    </w:p>
    <w:p w14:paraId="357313BD" w14:textId="77777777" w:rsidR="00A05DA4" w:rsidRPr="002B3438" w:rsidRDefault="008F1F18" w:rsidP="008F3FE8">
      <w:pPr>
        <w:rPr>
          <w:sz w:val="22"/>
          <w:szCs w:val="22"/>
        </w:rPr>
      </w:pPr>
      <w:r w:rsidRPr="002B3438">
        <w:rPr>
          <w:sz w:val="22"/>
          <w:szCs w:val="22"/>
        </w:rPr>
        <w:t xml:space="preserve">Daly RM. 2007. The effect of exercise on bone mass and structural geometry during growth. In: </w:t>
      </w:r>
    </w:p>
    <w:p w14:paraId="1AC903FE" w14:textId="77777777" w:rsidR="008F1F18" w:rsidRPr="002B3438" w:rsidRDefault="008F1F18" w:rsidP="00A05DA4">
      <w:pPr>
        <w:ind w:left="375"/>
        <w:rPr>
          <w:sz w:val="22"/>
          <w:szCs w:val="22"/>
        </w:rPr>
      </w:pPr>
      <w:r w:rsidRPr="002B3438">
        <w:rPr>
          <w:sz w:val="22"/>
          <w:szCs w:val="22"/>
        </w:rPr>
        <w:t>Daly, Petit M, editors. Optimizing Bose Mass and Strength: The Role of Physical Activity</w:t>
      </w:r>
      <w:r w:rsidR="006A3BEE">
        <w:rPr>
          <w:sz w:val="22"/>
          <w:szCs w:val="22"/>
        </w:rPr>
        <w:t xml:space="preserve"> </w:t>
      </w:r>
      <w:r w:rsidRPr="002B3438">
        <w:rPr>
          <w:sz w:val="22"/>
          <w:szCs w:val="22"/>
        </w:rPr>
        <w:t>and Nutrition during Growth. Med Sports Sci</w:t>
      </w:r>
      <w:r w:rsidR="00A05DA4" w:rsidRPr="002B3438">
        <w:rPr>
          <w:sz w:val="22"/>
          <w:szCs w:val="22"/>
        </w:rPr>
        <w:t xml:space="preserve"> 51:33-49.</w:t>
      </w:r>
    </w:p>
    <w:p w14:paraId="2CAAF8F2" w14:textId="77777777" w:rsidR="00A05DA4" w:rsidRPr="002B3438" w:rsidRDefault="00A05DA4" w:rsidP="008F3FE8">
      <w:pPr>
        <w:rPr>
          <w:sz w:val="22"/>
          <w:szCs w:val="22"/>
        </w:rPr>
      </w:pPr>
    </w:p>
    <w:p w14:paraId="361D354E" w14:textId="77777777" w:rsidR="00CD5490" w:rsidRPr="002B3438" w:rsidRDefault="00CD5490" w:rsidP="00CD5490">
      <w:pPr>
        <w:autoSpaceDE w:val="0"/>
        <w:autoSpaceDN w:val="0"/>
        <w:adjustRightInd w:val="0"/>
        <w:rPr>
          <w:sz w:val="22"/>
          <w:szCs w:val="22"/>
        </w:rPr>
      </w:pPr>
      <w:r w:rsidRPr="002B3438">
        <w:rPr>
          <w:sz w:val="22"/>
          <w:szCs w:val="22"/>
        </w:rPr>
        <w:t xml:space="preserve">Daly RM, Bass SL. 2006. Lifetime sport and leisure activity participation is associated with </w:t>
      </w:r>
    </w:p>
    <w:p w14:paraId="1992BF90" w14:textId="77777777" w:rsidR="00CD5490" w:rsidRPr="002B3438" w:rsidRDefault="006A3BEE" w:rsidP="00CD5490">
      <w:pPr>
        <w:autoSpaceDE w:val="0"/>
        <w:autoSpaceDN w:val="0"/>
        <w:adjustRightInd w:val="0"/>
        <w:rPr>
          <w:sz w:val="22"/>
          <w:szCs w:val="22"/>
        </w:rPr>
      </w:pPr>
      <w:r>
        <w:rPr>
          <w:sz w:val="22"/>
          <w:szCs w:val="22"/>
        </w:rPr>
        <w:t xml:space="preserve">  </w:t>
      </w:r>
      <w:r w:rsidR="00CD5490" w:rsidRPr="002B3438">
        <w:rPr>
          <w:sz w:val="22"/>
          <w:szCs w:val="22"/>
        </w:rPr>
        <w:t xml:space="preserve">greater bone size, quality and strength in older men. </w:t>
      </w:r>
      <w:r w:rsidR="00CD5490" w:rsidRPr="002B3438">
        <w:rPr>
          <w:iCs/>
          <w:sz w:val="22"/>
          <w:szCs w:val="22"/>
        </w:rPr>
        <w:t>Osteoporos Int</w:t>
      </w:r>
      <w:r w:rsidR="00CD5490" w:rsidRPr="002B3438">
        <w:rPr>
          <w:i/>
          <w:iCs/>
          <w:sz w:val="22"/>
          <w:szCs w:val="22"/>
        </w:rPr>
        <w:t xml:space="preserve"> </w:t>
      </w:r>
      <w:r w:rsidR="00CD5490" w:rsidRPr="002B3438">
        <w:rPr>
          <w:sz w:val="22"/>
          <w:szCs w:val="22"/>
        </w:rPr>
        <w:t>17: 1258-1267.</w:t>
      </w:r>
    </w:p>
    <w:p w14:paraId="2DCBC311" w14:textId="77777777" w:rsidR="00CD5490" w:rsidRPr="002B3438" w:rsidRDefault="00CD5490" w:rsidP="005C30FD">
      <w:pPr>
        <w:rPr>
          <w:sz w:val="22"/>
          <w:szCs w:val="22"/>
        </w:rPr>
      </w:pPr>
    </w:p>
    <w:p w14:paraId="7D072F26" w14:textId="77777777" w:rsidR="005C30FD" w:rsidRPr="002B3438" w:rsidRDefault="005C30FD" w:rsidP="005C30FD">
      <w:pPr>
        <w:contextualSpacing/>
        <w:rPr>
          <w:sz w:val="22"/>
          <w:szCs w:val="22"/>
        </w:rPr>
      </w:pPr>
      <w:r w:rsidRPr="002B3438">
        <w:rPr>
          <w:sz w:val="22"/>
          <w:szCs w:val="22"/>
        </w:rPr>
        <w:t xml:space="preserve">Davison KS, Siminoski K, Adachi JD, Hanley DA, Goltzman D, Hodsman AB, Josse R, </w:t>
      </w:r>
    </w:p>
    <w:p w14:paraId="17A8CC0E" w14:textId="77777777" w:rsidR="005C30FD" w:rsidRPr="002B3438" w:rsidRDefault="005C30FD" w:rsidP="005C30FD">
      <w:pPr>
        <w:ind w:left="405"/>
        <w:contextualSpacing/>
        <w:rPr>
          <w:sz w:val="22"/>
          <w:szCs w:val="22"/>
        </w:rPr>
      </w:pPr>
      <w:r w:rsidRPr="002B3438">
        <w:rPr>
          <w:sz w:val="22"/>
          <w:szCs w:val="22"/>
        </w:rPr>
        <w:t>Kaiser S, Olszyanski WP, Papaioannou A, Ste-Marie L-G, Kendler DL, Tenenhouse A, Brown. 2006. Bone strength: the whole is greater than the sum of its parts. Semin Arthritis Rheum 36:22–31.</w:t>
      </w:r>
    </w:p>
    <w:p w14:paraId="41A8E351" w14:textId="77777777" w:rsidR="005C30FD" w:rsidRPr="002B3438" w:rsidRDefault="005C30FD" w:rsidP="005C30FD">
      <w:pPr>
        <w:rPr>
          <w:sz w:val="22"/>
          <w:szCs w:val="22"/>
        </w:rPr>
      </w:pPr>
    </w:p>
    <w:p w14:paraId="0725770A" w14:textId="77777777" w:rsidR="00472909" w:rsidRPr="002B3438" w:rsidRDefault="00472909" w:rsidP="00472909">
      <w:pPr>
        <w:autoSpaceDE w:val="0"/>
        <w:autoSpaceDN w:val="0"/>
        <w:adjustRightInd w:val="0"/>
        <w:rPr>
          <w:sz w:val="22"/>
          <w:szCs w:val="22"/>
        </w:rPr>
      </w:pPr>
      <w:r w:rsidRPr="002B3438">
        <w:rPr>
          <w:sz w:val="22"/>
          <w:szCs w:val="22"/>
        </w:rPr>
        <w:t>De Boer WF, Blijdenstein AF, Longamane F. 2000. Prey choice, habitat choice, and timing</w:t>
      </w:r>
    </w:p>
    <w:p w14:paraId="43548197" w14:textId="77777777" w:rsidR="00472909" w:rsidRPr="002B3438" w:rsidRDefault="006A3BEE" w:rsidP="00472909">
      <w:pPr>
        <w:autoSpaceDE w:val="0"/>
        <w:autoSpaceDN w:val="0"/>
        <w:adjustRightInd w:val="0"/>
        <w:rPr>
          <w:sz w:val="22"/>
          <w:szCs w:val="22"/>
        </w:rPr>
      </w:pPr>
      <w:r>
        <w:rPr>
          <w:sz w:val="22"/>
          <w:szCs w:val="22"/>
        </w:rPr>
        <w:t xml:space="preserve">  </w:t>
      </w:r>
      <w:r w:rsidR="00472909" w:rsidRPr="002B3438">
        <w:rPr>
          <w:sz w:val="22"/>
          <w:szCs w:val="22"/>
        </w:rPr>
        <w:t>of people exploiting intertial resources, explained with optimal foraging models.</w:t>
      </w:r>
    </w:p>
    <w:p w14:paraId="1BFC5839" w14:textId="77777777" w:rsidR="00472909" w:rsidRPr="002B3438" w:rsidRDefault="006A3BEE" w:rsidP="00472909">
      <w:pPr>
        <w:autoSpaceDE w:val="0"/>
        <w:autoSpaceDN w:val="0"/>
        <w:adjustRightInd w:val="0"/>
        <w:rPr>
          <w:iCs/>
          <w:sz w:val="22"/>
          <w:szCs w:val="22"/>
        </w:rPr>
      </w:pPr>
      <w:r>
        <w:rPr>
          <w:sz w:val="22"/>
          <w:szCs w:val="22"/>
        </w:rPr>
        <w:t xml:space="preserve">  </w:t>
      </w:r>
      <w:r w:rsidR="00472909" w:rsidRPr="002B3438">
        <w:rPr>
          <w:sz w:val="22"/>
          <w:szCs w:val="22"/>
        </w:rPr>
        <w:t xml:space="preserve">In: </w:t>
      </w:r>
      <w:r w:rsidR="00472909" w:rsidRPr="002B3438">
        <w:rPr>
          <w:iCs/>
          <w:sz w:val="22"/>
          <w:szCs w:val="22"/>
        </w:rPr>
        <w:t>Between the tides: the impact of human exploitation on an intertial ecosystem,</w:t>
      </w:r>
    </w:p>
    <w:p w14:paraId="3AD1386E" w14:textId="77777777" w:rsidR="00472909" w:rsidRPr="002B3438" w:rsidRDefault="006A3BEE" w:rsidP="00472909">
      <w:pPr>
        <w:rPr>
          <w:sz w:val="22"/>
          <w:szCs w:val="22"/>
        </w:rPr>
      </w:pPr>
      <w:r>
        <w:rPr>
          <w:iCs/>
          <w:sz w:val="22"/>
          <w:szCs w:val="22"/>
        </w:rPr>
        <w:t xml:space="preserve">  </w:t>
      </w:r>
      <w:r w:rsidR="00472909" w:rsidRPr="002B3438">
        <w:rPr>
          <w:iCs/>
          <w:sz w:val="22"/>
          <w:szCs w:val="22"/>
        </w:rPr>
        <w:t>Mozambique</w:t>
      </w:r>
      <w:r w:rsidR="00472909" w:rsidRPr="002B3438">
        <w:rPr>
          <w:sz w:val="22"/>
          <w:szCs w:val="22"/>
        </w:rPr>
        <w:t>. Pgs. 63-88.</w:t>
      </w:r>
    </w:p>
    <w:p w14:paraId="076EB6DF" w14:textId="77777777" w:rsidR="00472909" w:rsidRPr="002B3438" w:rsidRDefault="00472909" w:rsidP="008F3FE8">
      <w:pPr>
        <w:rPr>
          <w:sz w:val="22"/>
          <w:szCs w:val="22"/>
        </w:rPr>
      </w:pPr>
    </w:p>
    <w:p w14:paraId="3D6A337F" w14:textId="77777777" w:rsidR="002D6C9D" w:rsidRPr="002B3438" w:rsidRDefault="002D6C9D" w:rsidP="008F3FE8">
      <w:pPr>
        <w:rPr>
          <w:sz w:val="22"/>
          <w:szCs w:val="22"/>
        </w:rPr>
      </w:pPr>
      <w:r w:rsidRPr="002B3438">
        <w:rPr>
          <w:sz w:val="22"/>
          <w:szCs w:val="22"/>
        </w:rPr>
        <w:t xml:space="preserve">Devlin MJ, Cloutier AM, Thomas NA, Panus DA, Lotinun S, Pinz I, Baron R, Rosen CJ, </w:t>
      </w:r>
    </w:p>
    <w:p w14:paraId="2E46689A" w14:textId="77777777" w:rsidR="002D6C9D" w:rsidRPr="002B3438" w:rsidRDefault="002D6C9D" w:rsidP="002D6C9D">
      <w:pPr>
        <w:ind w:left="375"/>
        <w:rPr>
          <w:sz w:val="22"/>
          <w:szCs w:val="22"/>
        </w:rPr>
      </w:pPr>
      <w:r w:rsidRPr="002B3438">
        <w:rPr>
          <w:sz w:val="22"/>
          <w:szCs w:val="22"/>
        </w:rPr>
        <w:t>Bouxsein ML. 2010. Caloric restriction leads to high marrow adiposity and low bone mass in growing mice. J Bone Miner Res 25:2078-2088.</w:t>
      </w:r>
    </w:p>
    <w:p w14:paraId="5E27B123" w14:textId="77777777" w:rsidR="002D6C9D" w:rsidRPr="002B3438" w:rsidRDefault="002D6C9D" w:rsidP="008F3FE8">
      <w:pPr>
        <w:rPr>
          <w:sz w:val="22"/>
          <w:szCs w:val="22"/>
        </w:rPr>
      </w:pPr>
    </w:p>
    <w:p w14:paraId="33C379B6" w14:textId="77777777" w:rsidR="00CD3679" w:rsidRPr="002B3438" w:rsidRDefault="00CD3679" w:rsidP="008F3FE8">
      <w:pPr>
        <w:rPr>
          <w:rFonts w:eastAsia="Calibri"/>
          <w:bCs/>
          <w:iCs/>
          <w:sz w:val="22"/>
          <w:szCs w:val="22"/>
        </w:rPr>
      </w:pPr>
      <w:r w:rsidRPr="002B3438">
        <w:rPr>
          <w:sz w:val="22"/>
          <w:szCs w:val="22"/>
        </w:rPr>
        <w:t>Dickerson JWT and</w:t>
      </w:r>
      <w:r w:rsidR="006A3BEE">
        <w:rPr>
          <w:sz w:val="22"/>
          <w:szCs w:val="22"/>
        </w:rPr>
        <w:t xml:space="preserve"> </w:t>
      </w:r>
      <w:r w:rsidRPr="002B3438">
        <w:rPr>
          <w:rFonts w:eastAsia="Calibri"/>
          <w:bCs/>
          <w:iCs/>
          <w:sz w:val="22"/>
          <w:szCs w:val="22"/>
        </w:rPr>
        <w:t xml:space="preserve">McCance RA. 1961. Severe undernutrition in growing and adult animals: </w:t>
      </w:r>
    </w:p>
    <w:p w14:paraId="6D210777" w14:textId="77777777" w:rsidR="00CD3679" w:rsidRPr="002B3438" w:rsidRDefault="00CD3679" w:rsidP="00CD3679">
      <w:pPr>
        <w:ind w:firstLine="360"/>
        <w:rPr>
          <w:rFonts w:eastAsia="Calibri"/>
          <w:bCs/>
          <w:iCs/>
          <w:sz w:val="22"/>
          <w:szCs w:val="22"/>
        </w:rPr>
      </w:pPr>
      <w:r w:rsidRPr="002B3438">
        <w:rPr>
          <w:rFonts w:eastAsia="Calibri"/>
          <w:bCs/>
          <w:iCs/>
          <w:sz w:val="22"/>
          <w:szCs w:val="22"/>
        </w:rPr>
        <w:t>the dimensions and chemistry of the long bones. Brit J Nutr 15:567-576.</w:t>
      </w:r>
    </w:p>
    <w:p w14:paraId="272863F5" w14:textId="77777777" w:rsidR="00CD3679" w:rsidRPr="002B3438" w:rsidRDefault="00CD3679" w:rsidP="008F3FE8">
      <w:pPr>
        <w:rPr>
          <w:sz w:val="22"/>
          <w:szCs w:val="22"/>
        </w:rPr>
      </w:pPr>
    </w:p>
    <w:p w14:paraId="538F6E11" w14:textId="77777777" w:rsidR="00992BB5" w:rsidRPr="002B3438" w:rsidRDefault="00992BB5" w:rsidP="00992BB5">
      <w:pPr>
        <w:autoSpaceDE w:val="0"/>
        <w:autoSpaceDN w:val="0"/>
        <w:adjustRightInd w:val="0"/>
        <w:rPr>
          <w:sz w:val="22"/>
          <w:szCs w:val="22"/>
        </w:rPr>
      </w:pPr>
      <w:r w:rsidRPr="002B3438">
        <w:rPr>
          <w:sz w:val="22"/>
          <w:szCs w:val="22"/>
        </w:rPr>
        <w:lastRenderedPageBreak/>
        <w:t xml:space="preserve">DiVista AD, Beck TJ, Petit MA, Feldman HA, LeBoff MS, Gordon CM. 2007. Bone </w:t>
      </w:r>
    </w:p>
    <w:p w14:paraId="407E67A1" w14:textId="77777777" w:rsidR="00992BB5" w:rsidRPr="002B3438" w:rsidRDefault="006A3BEE" w:rsidP="00992BB5">
      <w:pPr>
        <w:autoSpaceDE w:val="0"/>
        <w:autoSpaceDN w:val="0"/>
        <w:adjustRightInd w:val="0"/>
        <w:rPr>
          <w:sz w:val="22"/>
          <w:szCs w:val="22"/>
        </w:rPr>
      </w:pPr>
      <w:r>
        <w:rPr>
          <w:sz w:val="22"/>
          <w:szCs w:val="22"/>
        </w:rPr>
        <w:t xml:space="preserve">  </w:t>
      </w:r>
      <w:r w:rsidR="00992BB5" w:rsidRPr="002B3438">
        <w:rPr>
          <w:sz w:val="22"/>
          <w:szCs w:val="22"/>
        </w:rPr>
        <w:t>crosssectional geometry in adolescents and young women with anorexia nervosa: a</w:t>
      </w:r>
    </w:p>
    <w:p w14:paraId="4C5A6314" w14:textId="77777777" w:rsidR="00992BB5" w:rsidRPr="002B3438" w:rsidRDefault="00992BB5" w:rsidP="00992BB5">
      <w:pPr>
        <w:ind w:firstLine="360"/>
        <w:rPr>
          <w:sz w:val="22"/>
          <w:szCs w:val="22"/>
        </w:rPr>
      </w:pPr>
      <w:r w:rsidRPr="002B3438">
        <w:rPr>
          <w:sz w:val="22"/>
          <w:szCs w:val="22"/>
        </w:rPr>
        <w:t xml:space="preserve">hip structural analysis study. </w:t>
      </w:r>
      <w:r w:rsidRPr="002B3438">
        <w:rPr>
          <w:iCs/>
          <w:sz w:val="22"/>
          <w:szCs w:val="22"/>
        </w:rPr>
        <w:t>Osteoporos Int</w:t>
      </w:r>
      <w:r w:rsidRPr="002B3438">
        <w:rPr>
          <w:i/>
          <w:iCs/>
          <w:sz w:val="22"/>
          <w:szCs w:val="22"/>
        </w:rPr>
        <w:t xml:space="preserve"> </w:t>
      </w:r>
      <w:r w:rsidRPr="002B3438">
        <w:rPr>
          <w:sz w:val="22"/>
          <w:szCs w:val="22"/>
        </w:rPr>
        <w:t>18: 797-804.</w:t>
      </w:r>
    </w:p>
    <w:p w14:paraId="4297DD11" w14:textId="77777777" w:rsidR="00992BB5" w:rsidRPr="002B3438" w:rsidRDefault="00992BB5" w:rsidP="00992BB5">
      <w:pPr>
        <w:rPr>
          <w:sz w:val="22"/>
          <w:szCs w:val="22"/>
        </w:rPr>
      </w:pPr>
    </w:p>
    <w:p w14:paraId="5708B71B" w14:textId="77777777" w:rsidR="0068508E" w:rsidRPr="002B3438" w:rsidRDefault="0068508E" w:rsidP="0068508E">
      <w:pPr>
        <w:ind w:left="360" w:hanging="360"/>
        <w:rPr>
          <w:sz w:val="22"/>
          <w:szCs w:val="22"/>
        </w:rPr>
      </w:pPr>
      <w:r w:rsidRPr="002B3438">
        <w:rPr>
          <w:sz w:val="22"/>
          <w:szCs w:val="22"/>
        </w:rPr>
        <w:t>Dong XN, Guo XE. 2004. The dependence of transversely isotropic elasticity of human femoral cortical bone on porosity. J Biomech 37:1281:1287.</w:t>
      </w:r>
    </w:p>
    <w:p w14:paraId="04657029" w14:textId="77777777" w:rsidR="00631DEC" w:rsidRPr="002B3438" w:rsidRDefault="00631DEC" w:rsidP="00631DEC">
      <w:pPr>
        <w:autoSpaceDE w:val="0"/>
        <w:autoSpaceDN w:val="0"/>
        <w:adjustRightInd w:val="0"/>
        <w:rPr>
          <w:sz w:val="22"/>
          <w:szCs w:val="22"/>
        </w:rPr>
      </w:pPr>
    </w:p>
    <w:p w14:paraId="428C9735" w14:textId="77777777" w:rsidR="00794F68" w:rsidRPr="002B3438" w:rsidRDefault="00631DEC" w:rsidP="00794F68">
      <w:pPr>
        <w:autoSpaceDE w:val="0"/>
        <w:autoSpaceDN w:val="0"/>
        <w:adjustRightInd w:val="0"/>
        <w:rPr>
          <w:sz w:val="22"/>
          <w:szCs w:val="22"/>
        </w:rPr>
      </w:pPr>
      <w:r w:rsidRPr="002B3438">
        <w:rPr>
          <w:sz w:val="22"/>
          <w:szCs w:val="22"/>
        </w:rPr>
        <w:t>Doppler S</w:t>
      </w:r>
      <w:r w:rsidR="00794F68" w:rsidRPr="002B3438">
        <w:rPr>
          <w:sz w:val="22"/>
          <w:szCs w:val="22"/>
        </w:rPr>
        <w:t>, Neuberger FM, Grupe G. 2006.</w:t>
      </w:r>
      <w:r w:rsidRPr="002B3438">
        <w:rPr>
          <w:sz w:val="22"/>
          <w:szCs w:val="22"/>
        </w:rPr>
        <w:t xml:space="preserve"> Histomorphology of archa</w:t>
      </w:r>
      <w:r w:rsidR="00794F68" w:rsidRPr="002B3438">
        <w:rPr>
          <w:sz w:val="22"/>
          <w:szCs w:val="22"/>
        </w:rPr>
        <w:t xml:space="preserve">eological human compact </w:t>
      </w:r>
    </w:p>
    <w:p w14:paraId="26919C94" w14:textId="77777777" w:rsidR="00631DEC" w:rsidRPr="002B3438" w:rsidRDefault="00794F68" w:rsidP="00794F68">
      <w:pPr>
        <w:autoSpaceDE w:val="0"/>
        <w:autoSpaceDN w:val="0"/>
        <w:adjustRightInd w:val="0"/>
        <w:ind w:left="360"/>
        <w:rPr>
          <w:sz w:val="22"/>
          <w:szCs w:val="22"/>
        </w:rPr>
      </w:pPr>
      <w:r w:rsidRPr="002B3438">
        <w:rPr>
          <w:sz w:val="22"/>
          <w:szCs w:val="22"/>
        </w:rPr>
        <w:t xml:space="preserve">bone: a </w:t>
      </w:r>
      <w:r w:rsidR="00631DEC" w:rsidRPr="002B3438">
        <w:rPr>
          <w:sz w:val="22"/>
          <w:szCs w:val="22"/>
        </w:rPr>
        <w:t>neglected methodological approac</w:t>
      </w:r>
      <w:r w:rsidRPr="002B3438">
        <w:rPr>
          <w:sz w:val="22"/>
          <w:szCs w:val="22"/>
        </w:rPr>
        <w:t>h. In: Grupe G, Peters J, editors.</w:t>
      </w:r>
      <w:r w:rsidR="00631DEC" w:rsidRPr="002B3438">
        <w:rPr>
          <w:sz w:val="22"/>
          <w:szCs w:val="22"/>
        </w:rPr>
        <w:t xml:space="preserve"> Documenta Archaeobiologiae 4:</w:t>
      </w:r>
      <w:r w:rsidRPr="002B3438">
        <w:rPr>
          <w:sz w:val="22"/>
          <w:szCs w:val="22"/>
        </w:rPr>
        <w:t xml:space="preserve"> </w:t>
      </w:r>
      <w:r w:rsidR="00631DEC" w:rsidRPr="002B3438">
        <w:rPr>
          <w:sz w:val="22"/>
          <w:szCs w:val="22"/>
        </w:rPr>
        <w:t>Microscopic examinations of bioarchaeological remains. Keeping a close eye on ancient tissues. Verlag</w:t>
      </w:r>
      <w:r w:rsidRPr="002B3438">
        <w:rPr>
          <w:sz w:val="22"/>
          <w:szCs w:val="22"/>
        </w:rPr>
        <w:t xml:space="preserve"> </w:t>
      </w:r>
      <w:r w:rsidR="00631DEC" w:rsidRPr="002B3438">
        <w:rPr>
          <w:sz w:val="22"/>
          <w:szCs w:val="22"/>
        </w:rPr>
        <w:t xml:space="preserve">Marie Leidorf GmbH, Rahden/Westfahlen: </w:t>
      </w:r>
      <w:r w:rsidRPr="002B3438">
        <w:rPr>
          <w:sz w:val="22"/>
          <w:szCs w:val="22"/>
        </w:rPr>
        <w:t xml:space="preserve">p </w:t>
      </w:r>
      <w:r w:rsidR="00631DEC" w:rsidRPr="002B3438">
        <w:rPr>
          <w:sz w:val="22"/>
          <w:szCs w:val="22"/>
        </w:rPr>
        <w:t>29-48</w:t>
      </w:r>
      <w:r w:rsidRPr="002B3438">
        <w:rPr>
          <w:sz w:val="22"/>
          <w:szCs w:val="22"/>
        </w:rPr>
        <w:t>.</w:t>
      </w:r>
    </w:p>
    <w:p w14:paraId="3B30A8D1" w14:textId="77777777" w:rsidR="005875C9" w:rsidRPr="002B3438" w:rsidRDefault="005875C9" w:rsidP="00794F68">
      <w:pPr>
        <w:autoSpaceDE w:val="0"/>
        <w:autoSpaceDN w:val="0"/>
        <w:adjustRightInd w:val="0"/>
        <w:ind w:left="360"/>
        <w:rPr>
          <w:sz w:val="22"/>
          <w:szCs w:val="22"/>
        </w:rPr>
      </w:pPr>
    </w:p>
    <w:p w14:paraId="54C9259A" w14:textId="77777777" w:rsidR="0002257E" w:rsidRPr="002B3438" w:rsidRDefault="0002257E" w:rsidP="0002257E">
      <w:pPr>
        <w:autoSpaceDE w:val="0"/>
        <w:autoSpaceDN w:val="0"/>
        <w:adjustRightInd w:val="0"/>
        <w:ind w:left="360" w:hanging="360"/>
        <w:rPr>
          <w:sz w:val="22"/>
          <w:szCs w:val="22"/>
        </w:rPr>
      </w:pPr>
      <w:r w:rsidRPr="002B3438">
        <w:rPr>
          <w:sz w:val="22"/>
          <w:szCs w:val="22"/>
        </w:rPr>
        <w:t>Drapeau MSM, Streeter MA. 2006. Modeling and remodeling responses to normal loading in the human lower limb. Am J Phys Anthropol 129:403-409.</w:t>
      </w:r>
    </w:p>
    <w:p w14:paraId="43B47051" w14:textId="77777777" w:rsidR="0002257E" w:rsidRPr="002B3438" w:rsidRDefault="0002257E" w:rsidP="008F3FE8">
      <w:pPr>
        <w:rPr>
          <w:sz w:val="22"/>
          <w:szCs w:val="22"/>
        </w:rPr>
      </w:pPr>
    </w:p>
    <w:p w14:paraId="7C45B86D" w14:textId="77777777" w:rsidR="0060407E" w:rsidRPr="002B3438" w:rsidRDefault="005875C9" w:rsidP="008F3FE8">
      <w:pPr>
        <w:rPr>
          <w:rStyle w:val="hps"/>
          <w:color w:val="333333"/>
          <w:sz w:val="22"/>
          <w:szCs w:val="22"/>
          <w:highlight w:val="yellow"/>
        </w:rPr>
      </w:pPr>
      <w:r w:rsidRPr="002B3438">
        <w:rPr>
          <w:sz w:val="22"/>
          <w:szCs w:val="22"/>
          <w:highlight w:val="yellow"/>
          <w:lang w:val="lt-LT"/>
        </w:rPr>
        <w:t>Dubonis A.</w:t>
      </w:r>
      <w:r w:rsidRPr="002B3438">
        <w:rPr>
          <w:color w:val="333333"/>
          <w:sz w:val="22"/>
          <w:szCs w:val="22"/>
          <w:highlight w:val="yellow"/>
        </w:rPr>
        <w:t xml:space="preserve"> “of the Lithuanian Grand </w:t>
      </w:r>
      <w:r w:rsidRPr="002B3438">
        <w:rPr>
          <w:rStyle w:val="hps"/>
          <w:color w:val="333333"/>
          <w:sz w:val="22"/>
          <w:szCs w:val="22"/>
          <w:highlight w:val="yellow"/>
        </w:rPr>
        <w:t>Duke</w:t>
      </w:r>
      <w:r w:rsidRPr="002B3438">
        <w:rPr>
          <w:color w:val="333333"/>
          <w:sz w:val="22"/>
          <w:szCs w:val="22"/>
          <w:highlight w:val="yellow"/>
        </w:rPr>
        <w:t xml:space="preserve"> </w:t>
      </w:r>
      <w:r w:rsidRPr="002B3438">
        <w:rPr>
          <w:rStyle w:val="hps"/>
          <w:color w:val="333333"/>
          <w:sz w:val="22"/>
          <w:szCs w:val="22"/>
          <w:highlight w:val="yellow"/>
        </w:rPr>
        <w:t>leičiai</w:t>
      </w:r>
      <w:r w:rsidRPr="002B3438">
        <w:rPr>
          <w:color w:val="333333"/>
          <w:sz w:val="22"/>
          <w:szCs w:val="22"/>
          <w:highlight w:val="yellow"/>
        </w:rPr>
        <w:t xml:space="preserve"> </w:t>
      </w:r>
      <w:r w:rsidRPr="002B3438">
        <w:rPr>
          <w:rStyle w:val="hps"/>
          <w:color w:val="333333"/>
          <w:sz w:val="22"/>
          <w:szCs w:val="22"/>
          <w:highlight w:val="yellow"/>
        </w:rPr>
        <w:t>XIII</w:t>
      </w:r>
      <w:r w:rsidRPr="002B3438">
        <w:rPr>
          <w:rStyle w:val="atn"/>
          <w:color w:val="333333"/>
          <w:sz w:val="22"/>
          <w:szCs w:val="22"/>
          <w:highlight w:val="yellow"/>
        </w:rPr>
        <w:t>-</w:t>
      </w:r>
      <w:r w:rsidRPr="002B3438">
        <w:rPr>
          <w:color w:val="333333"/>
          <w:sz w:val="22"/>
          <w:szCs w:val="22"/>
          <w:highlight w:val="yellow"/>
        </w:rPr>
        <w:t xml:space="preserve">XVI </w:t>
      </w:r>
      <w:r w:rsidRPr="002B3438">
        <w:rPr>
          <w:rStyle w:val="hps"/>
          <w:color w:val="333333"/>
          <w:sz w:val="22"/>
          <w:szCs w:val="22"/>
          <w:highlight w:val="yellow"/>
        </w:rPr>
        <w:t>century.</w:t>
      </w:r>
      <w:r w:rsidRPr="002B3438">
        <w:rPr>
          <w:color w:val="333333"/>
          <w:sz w:val="22"/>
          <w:szCs w:val="22"/>
          <w:highlight w:val="yellow"/>
        </w:rPr>
        <w:t xml:space="preserve">: </w:t>
      </w:r>
      <w:r w:rsidRPr="002B3438">
        <w:rPr>
          <w:rStyle w:val="hps"/>
          <w:color w:val="333333"/>
          <w:sz w:val="22"/>
          <w:szCs w:val="22"/>
          <w:highlight w:val="yellow"/>
        </w:rPr>
        <w:t>Lithuanian</w:t>
      </w:r>
      <w:r w:rsidRPr="002B3438">
        <w:rPr>
          <w:color w:val="333333"/>
          <w:sz w:val="22"/>
          <w:szCs w:val="22"/>
          <w:highlight w:val="yellow"/>
        </w:rPr>
        <w:t xml:space="preserve"> </w:t>
      </w:r>
      <w:r w:rsidRPr="002B3438">
        <w:rPr>
          <w:rStyle w:val="hps"/>
          <w:color w:val="333333"/>
          <w:sz w:val="22"/>
          <w:szCs w:val="22"/>
          <w:highlight w:val="yellow"/>
        </w:rPr>
        <w:t xml:space="preserve">Society for the </w:t>
      </w:r>
    </w:p>
    <w:p w14:paraId="19C1281C" w14:textId="77777777" w:rsidR="005875C9" w:rsidRPr="002B3438" w:rsidRDefault="006A3BEE" w:rsidP="0060407E">
      <w:pPr>
        <w:rPr>
          <w:rStyle w:val="hps"/>
          <w:color w:val="333333"/>
          <w:sz w:val="22"/>
          <w:szCs w:val="22"/>
        </w:rPr>
      </w:pPr>
      <w:r>
        <w:rPr>
          <w:rStyle w:val="hps"/>
          <w:color w:val="333333"/>
          <w:sz w:val="22"/>
          <w:szCs w:val="22"/>
          <w:highlight w:val="yellow"/>
        </w:rPr>
        <w:t xml:space="preserve">  </w:t>
      </w:r>
      <w:r w:rsidR="005875C9" w:rsidRPr="002B3438">
        <w:rPr>
          <w:rStyle w:val="hps"/>
          <w:color w:val="333333"/>
          <w:sz w:val="22"/>
          <w:szCs w:val="22"/>
          <w:highlight w:val="yellow"/>
        </w:rPr>
        <w:t>Study</w:t>
      </w:r>
      <w:r w:rsidR="005875C9" w:rsidRPr="002B3438">
        <w:rPr>
          <w:color w:val="333333"/>
          <w:sz w:val="22"/>
          <w:szCs w:val="22"/>
          <w:highlight w:val="yellow"/>
        </w:rPr>
        <w:t xml:space="preserve"> </w:t>
      </w:r>
      <w:r w:rsidR="005875C9" w:rsidRPr="002B3438">
        <w:rPr>
          <w:rStyle w:val="hps"/>
          <w:color w:val="333333"/>
          <w:sz w:val="22"/>
          <w:szCs w:val="22"/>
          <w:highlight w:val="yellow"/>
        </w:rPr>
        <w:t>of early</w:t>
      </w:r>
      <w:r w:rsidR="005875C9" w:rsidRPr="002B3438">
        <w:rPr>
          <w:color w:val="333333"/>
          <w:sz w:val="22"/>
          <w:szCs w:val="22"/>
          <w:highlight w:val="yellow"/>
        </w:rPr>
        <w:t xml:space="preserve"> </w:t>
      </w:r>
      <w:r w:rsidR="005875C9" w:rsidRPr="002B3438">
        <w:rPr>
          <w:rStyle w:val="hps"/>
          <w:color w:val="333333"/>
          <w:sz w:val="22"/>
          <w:szCs w:val="22"/>
          <w:highlight w:val="yellow"/>
        </w:rPr>
        <w:t>feudalism</w:t>
      </w:r>
      <w:r w:rsidR="005875C9" w:rsidRPr="002B3438">
        <w:rPr>
          <w:color w:val="333333"/>
          <w:sz w:val="22"/>
          <w:szCs w:val="22"/>
          <w:highlight w:val="yellow"/>
        </w:rPr>
        <w:t xml:space="preserve">, </w:t>
      </w:r>
      <w:r w:rsidR="005875C9" w:rsidRPr="002B3438">
        <w:rPr>
          <w:rStyle w:val="hps"/>
          <w:color w:val="333333"/>
          <w:sz w:val="22"/>
          <w:szCs w:val="22"/>
          <w:highlight w:val="yellow"/>
        </w:rPr>
        <w:t>Ph.D dissertation.Vilnius Univ</w:t>
      </w:r>
      <w:r w:rsidR="005875C9" w:rsidRPr="002B3438">
        <w:rPr>
          <w:rStyle w:val="hps"/>
          <w:color w:val="333333"/>
          <w:sz w:val="22"/>
          <w:szCs w:val="22"/>
        </w:rPr>
        <w:t xml:space="preserve"> INCOMPLETE</w:t>
      </w:r>
    </w:p>
    <w:p w14:paraId="222C6D0D" w14:textId="77777777" w:rsidR="005875C9" w:rsidRPr="002B3438" w:rsidRDefault="005875C9" w:rsidP="008F3FE8">
      <w:pPr>
        <w:rPr>
          <w:sz w:val="22"/>
          <w:szCs w:val="22"/>
        </w:rPr>
      </w:pPr>
    </w:p>
    <w:p w14:paraId="1D604C03" w14:textId="77777777" w:rsidR="0061427F" w:rsidRPr="002B3438" w:rsidRDefault="0061427F" w:rsidP="008F3FE8">
      <w:pPr>
        <w:rPr>
          <w:sz w:val="22"/>
          <w:szCs w:val="22"/>
        </w:rPr>
      </w:pPr>
      <w:r w:rsidRPr="002B3438">
        <w:rPr>
          <w:sz w:val="22"/>
          <w:szCs w:val="22"/>
        </w:rPr>
        <w:t xml:space="preserve">Dunnigan MG and Henderson JB. 1997. An epidemiological model of privational rickets </w:t>
      </w:r>
    </w:p>
    <w:p w14:paraId="1250E316" w14:textId="77777777" w:rsidR="0061427F" w:rsidRPr="002B3438" w:rsidRDefault="006A3BEE" w:rsidP="008F3FE8">
      <w:pPr>
        <w:rPr>
          <w:sz w:val="22"/>
          <w:szCs w:val="22"/>
        </w:rPr>
      </w:pPr>
      <w:r>
        <w:rPr>
          <w:sz w:val="22"/>
          <w:szCs w:val="22"/>
        </w:rPr>
        <w:t xml:space="preserve">  </w:t>
      </w:r>
      <w:r w:rsidR="0061427F" w:rsidRPr="002B3438">
        <w:rPr>
          <w:sz w:val="22"/>
          <w:szCs w:val="22"/>
        </w:rPr>
        <w:t>and osteomalacia. Proc Nutr Soc 56:939-956.</w:t>
      </w:r>
    </w:p>
    <w:p w14:paraId="44248E38" w14:textId="77777777" w:rsidR="0061427F" w:rsidRPr="002B3438" w:rsidRDefault="0061427F" w:rsidP="008F3FE8">
      <w:pPr>
        <w:rPr>
          <w:sz w:val="22"/>
          <w:szCs w:val="22"/>
        </w:rPr>
      </w:pPr>
    </w:p>
    <w:p w14:paraId="4970E245" w14:textId="77777777" w:rsidR="0060407E" w:rsidRPr="002B3438" w:rsidRDefault="0060407E" w:rsidP="008F3FE8">
      <w:pPr>
        <w:rPr>
          <w:sz w:val="22"/>
          <w:szCs w:val="22"/>
        </w:rPr>
      </w:pPr>
      <w:r w:rsidRPr="002B3438">
        <w:rPr>
          <w:sz w:val="22"/>
          <w:szCs w:val="22"/>
        </w:rPr>
        <w:t xml:space="preserve">Dupras TL, Pfeiffer. 1996. Determination of sex from adult human ribs. Can Soc Forens Sci J </w:t>
      </w:r>
    </w:p>
    <w:p w14:paraId="0AA54870" w14:textId="77777777" w:rsidR="0060407E" w:rsidRPr="002B3438" w:rsidRDefault="006A3BEE" w:rsidP="0060407E">
      <w:pPr>
        <w:rPr>
          <w:sz w:val="22"/>
          <w:szCs w:val="22"/>
        </w:rPr>
      </w:pPr>
      <w:r>
        <w:rPr>
          <w:sz w:val="22"/>
          <w:szCs w:val="22"/>
        </w:rPr>
        <w:t xml:space="preserve">  </w:t>
      </w:r>
      <w:r w:rsidR="0060407E" w:rsidRPr="002B3438">
        <w:rPr>
          <w:sz w:val="22"/>
          <w:szCs w:val="22"/>
        </w:rPr>
        <w:t xml:space="preserve">29:221-231. </w:t>
      </w:r>
    </w:p>
    <w:p w14:paraId="01D89C3A" w14:textId="77777777" w:rsidR="0060407E" w:rsidRPr="002B3438" w:rsidRDefault="0060407E" w:rsidP="008F3FE8">
      <w:pPr>
        <w:rPr>
          <w:sz w:val="22"/>
          <w:szCs w:val="22"/>
        </w:rPr>
      </w:pPr>
    </w:p>
    <w:p w14:paraId="6DEDFEA3" w14:textId="77777777" w:rsidR="002F624D" w:rsidRPr="002B3438" w:rsidRDefault="002F624D" w:rsidP="002F624D">
      <w:pPr>
        <w:autoSpaceDE w:val="0"/>
        <w:autoSpaceDN w:val="0"/>
        <w:adjustRightInd w:val="0"/>
        <w:rPr>
          <w:rFonts w:eastAsia="Calibri"/>
          <w:sz w:val="22"/>
          <w:szCs w:val="22"/>
        </w:rPr>
      </w:pPr>
      <w:r w:rsidRPr="002B3438">
        <w:rPr>
          <w:rFonts w:eastAsia="Calibri"/>
          <w:sz w:val="22"/>
          <w:szCs w:val="22"/>
        </w:rPr>
        <w:t xml:space="preserve">Dyson K, Blimkie CJ, Davison KS, Webber CE, Adachi JD. 1997. Gynmastic training and bone </w:t>
      </w:r>
    </w:p>
    <w:p w14:paraId="5E4E9B71" w14:textId="77777777" w:rsidR="002F624D" w:rsidRPr="002B3438" w:rsidRDefault="006A3BEE" w:rsidP="002F624D">
      <w:pPr>
        <w:autoSpaceDE w:val="0"/>
        <w:autoSpaceDN w:val="0"/>
        <w:adjustRightInd w:val="0"/>
        <w:rPr>
          <w:rFonts w:eastAsia="Calibri"/>
          <w:sz w:val="22"/>
          <w:szCs w:val="22"/>
        </w:rPr>
      </w:pPr>
      <w:r>
        <w:rPr>
          <w:rFonts w:eastAsia="Calibri"/>
          <w:sz w:val="22"/>
          <w:szCs w:val="22"/>
        </w:rPr>
        <w:t xml:space="preserve">  </w:t>
      </w:r>
      <w:r w:rsidR="002F624D" w:rsidRPr="002B3438">
        <w:rPr>
          <w:rFonts w:eastAsia="Calibri"/>
          <w:sz w:val="22"/>
          <w:szCs w:val="22"/>
        </w:rPr>
        <w:t>density in pre-adolescent females. Med Sci Sports Exerc 29:443-450.</w:t>
      </w:r>
    </w:p>
    <w:p w14:paraId="08AE21EF" w14:textId="77777777" w:rsidR="002F624D" w:rsidRPr="002B3438" w:rsidRDefault="002F624D" w:rsidP="002F624D">
      <w:pPr>
        <w:rPr>
          <w:sz w:val="22"/>
          <w:szCs w:val="22"/>
        </w:rPr>
      </w:pPr>
    </w:p>
    <w:p w14:paraId="1B58862C" w14:textId="77777777" w:rsidR="00CE5BCD" w:rsidRPr="002B3438" w:rsidRDefault="00CE5BCD" w:rsidP="008F3FE8">
      <w:pPr>
        <w:rPr>
          <w:sz w:val="22"/>
          <w:szCs w:val="22"/>
        </w:rPr>
      </w:pPr>
      <w:r w:rsidRPr="002B3438">
        <w:rPr>
          <w:sz w:val="22"/>
          <w:szCs w:val="22"/>
        </w:rPr>
        <w:t>Enlow, DH. 1963. Principles of Bone Remodeling. Charles C. Thomas, Springfield, Il,</w:t>
      </w:r>
    </w:p>
    <w:p w14:paraId="2E20103D" w14:textId="77777777" w:rsidR="00CE5BCD" w:rsidRPr="002B3438" w:rsidRDefault="001B27F1" w:rsidP="00CE5BCD">
      <w:pPr>
        <w:ind w:firstLine="360"/>
        <w:rPr>
          <w:sz w:val="22"/>
          <w:szCs w:val="22"/>
        </w:rPr>
      </w:pPr>
      <w:r w:rsidRPr="002B3438">
        <w:rPr>
          <w:sz w:val="22"/>
          <w:szCs w:val="22"/>
        </w:rPr>
        <w:t>p</w:t>
      </w:r>
      <w:r w:rsidR="00CE5BCD" w:rsidRPr="002B3438">
        <w:rPr>
          <w:sz w:val="22"/>
          <w:szCs w:val="22"/>
        </w:rPr>
        <w:t xml:space="preserve">1-131. </w:t>
      </w:r>
    </w:p>
    <w:p w14:paraId="1F1BCE3A" w14:textId="77777777" w:rsidR="00CE5BCD" w:rsidRPr="002B3438" w:rsidRDefault="00CE5BCD" w:rsidP="008F3FE8">
      <w:pPr>
        <w:rPr>
          <w:sz w:val="22"/>
          <w:szCs w:val="22"/>
        </w:rPr>
      </w:pPr>
    </w:p>
    <w:p w14:paraId="08C3474A" w14:textId="77777777" w:rsidR="006B3E6C" w:rsidRPr="002B3438" w:rsidRDefault="006B3E6C" w:rsidP="006B3E6C">
      <w:pPr>
        <w:rPr>
          <w:sz w:val="22"/>
          <w:szCs w:val="22"/>
        </w:rPr>
      </w:pPr>
      <w:r w:rsidRPr="002B3438">
        <w:rPr>
          <w:sz w:val="22"/>
          <w:szCs w:val="22"/>
        </w:rPr>
        <w:t>Epker BN, Frost HM. 1966. Periosteal appositional bone growth from age two to age seventy in</w:t>
      </w:r>
    </w:p>
    <w:p w14:paraId="4692888C" w14:textId="77777777" w:rsidR="006B3E6C" w:rsidRPr="002B3438" w:rsidRDefault="006B3E6C" w:rsidP="006B3E6C">
      <w:pPr>
        <w:ind w:firstLine="360"/>
        <w:rPr>
          <w:sz w:val="22"/>
          <w:szCs w:val="22"/>
        </w:rPr>
      </w:pPr>
      <w:r w:rsidRPr="002B3438">
        <w:rPr>
          <w:sz w:val="22"/>
          <w:szCs w:val="22"/>
        </w:rPr>
        <w:t xml:space="preserve">man, a tetracycline evaluation. </w:t>
      </w:r>
      <w:r w:rsidR="00D40D10">
        <w:rPr>
          <w:sz w:val="22"/>
          <w:szCs w:val="22"/>
        </w:rPr>
        <w:t>Anat Rec</w:t>
      </w:r>
      <w:r w:rsidRPr="002B3438">
        <w:rPr>
          <w:sz w:val="22"/>
          <w:szCs w:val="22"/>
        </w:rPr>
        <w:t xml:space="preserve"> 154:573-577.</w:t>
      </w:r>
    </w:p>
    <w:p w14:paraId="7E8D3234" w14:textId="77777777" w:rsidR="006B3E6C" w:rsidRPr="002B3438" w:rsidRDefault="006B3E6C" w:rsidP="008F3FE8">
      <w:pPr>
        <w:rPr>
          <w:sz w:val="22"/>
          <w:szCs w:val="22"/>
        </w:rPr>
      </w:pPr>
    </w:p>
    <w:p w14:paraId="09CC02CF" w14:textId="77777777" w:rsidR="0060407E" w:rsidRPr="002B3438" w:rsidRDefault="0060407E" w:rsidP="0060407E">
      <w:pPr>
        <w:autoSpaceDE w:val="0"/>
        <w:autoSpaceDN w:val="0"/>
        <w:adjustRightInd w:val="0"/>
        <w:rPr>
          <w:rFonts w:eastAsia="UB-Times"/>
          <w:sz w:val="22"/>
          <w:szCs w:val="22"/>
        </w:rPr>
      </w:pPr>
      <w:r w:rsidRPr="002B3438">
        <w:rPr>
          <w:rFonts w:eastAsia="UB-Times"/>
          <w:sz w:val="22"/>
          <w:szCs w:val="22"/>
        </w:rPr>
        <w:t xml:space="preserve">Erben RG. 1996. Trabecular and endocortical bone surfaces in the rat: modeling or remodeling. </w:t>
      </w:r>
    </w:p>
    <w:p w14:paraId="729473DF" w14:textId="77777777" w:rsidR="0060407E" w:rsidRDefault="0060407E" w:rsidP="0060407E">
      <w:pPr>
        <w:autoSpaceDE w:val="0"/>
        <w:autoSpaceDN w:val="0"/>
        <w:adjustRightInd w:val="0"/>
        <w:ind w:firstLine="360"/>
        <w:rPr>
          <w:rFonts w:eastAsia="UB-Times"/>
          <w:sz w:val="22"/>
          <w:szCs w:val="22"/>
        </w:rPr>
      </w:pPr>
      <w:r w:rsidRPr="002B3438">
        <w:rPr>
          <w:rFonts w:eastAsia="UB-Times"/>
          <w:sz w:val="22"/>
          <w:szCs w:val="22"/>
        </w:rPr>
        <w:t>Anat Rec 246:39-46.</w:t>
      </w:r>
    </w:p>
    <w:p w14:paraId="442E2673" w14:textId="77777777" w:rsidR="00D40D10" w:rsidRPr="002B3438" w:rsidRDefault="00D40D10" w:rsidP="0060407E">
      <w:pPr>
        <w:autoSpaceDE w:val="0"/>
        <w:autoSpaceDN w:val="0"/>
        <w:adjustRightInd w:val="0"/>
        <w:ind w:firstLine="360"/>
        <w:rPr>
          <w:rFonts w:eastAsia="UB-Times"/>
          <w:sz w:val="22"/>
          <w:szCs w:val="22"/>
        </w:rPr>
      </w:pPr>
    </w:p>
    <w:p w14:paraId="3985EE1B" w14:textId="77777777" w:rsidR="0012412D" w:rsidRPr="002B3438" w:rsidRDefault="0012412D" w:rsidP="0012412D">
      <w:pPr>
        <w:ind w:left="360" w:hanging="360"/>
        <w:rPr>
          <w:sz w:val="22"/>
          <w:szCs w:val="22"/>
        </w:rPr>
      </w:pPr>
      <w:r w:rsidRPr="002B3438">
        <w:rPr>
          <w:sz w:val="22"/>
          <w:szCs w:val="22"/>
        </w:rPr>
        <w:t>Ericksen M. 1980. Patterns of microscopic bone remodeling in three aboriginal American populations. In: Browman D, editors. Patterns of microscopic bone remodeling in three aboriginal American populations. Houton: The Hague. p 239-270.</w:t>
      </w:r>
    </w:p>
    <w:p w14:paraId="620C63F7" w14:textId="77777777" w:rsidR="0012412D" w:rsidRPr="002B3438" w:rsidRDefault="0012412D" w:rsidP="008F3FE8">
      <w:pPr>
        <w:rPr>
          <w:sz w:val="22"/>
          <w:szCs w:val="22"/>
        </w:rPr>
      </w:pPr>
    </w:p>
    <w:p w14:paraId="1063D2A0" w14:textId="77777777" w:rsidR="00772C78" w:rsidRPr="002B3438" w:rsidRDefault="00772C78" w:rsidP="008F3FE8">
      <w:pPr>
        <w:rPr>
          <w:sz w:val="22"/>
          <w:szCs w:val="22"/>
        </w:rPr>
      </w:pPr>
      <w:r w:rsidRPr="002B3438">
        <w:rPr>
          <w:sz w:val="22"/>
          <w:szCs w:val="22"/>
        </w:rPr>
        <w:t>Evans FG, Bang S. 1967. Differences and relationships between the physical</w:t>
      </w:r>
    </w:p>
    <w:p w14:paraId="6093FA12" w14:textId="77777777" w:rsidR="00772C78" w:rsidRPr="002B3438" w:rsidRDefault="00772C78" w:rsidP="00CB4014">
      <w:pPr>
        <w:ind w:left="360"/>
        <w:rPr>
          <w:sz w:val="22"/>
          <w:szCs w:val="22"/>
        </w:rPr>
      </w:pPr>
      <w:r w:rsidRPr="002B3438">
        <w:rPr>
          <w:sz w:val="22"/>
          <w:szCs w:val="22"/>
        </w:rPr>
        <w:t>properties and microscopic structure of human femoral, tibial, and fibular cortical bone. Amer J Anat 120:79-88.</w:t>
      </w:r>
    </w:p>
    <w:p w14:paraId="27ED7C5A" w14:textId="77777777" w:rsidR="00CB4014" w:rsidRPr="002B3438" w:rsidRDefault="00CB4014" w:rsidP="00CB4014">
      <w:pPr>
        <w:pStyle w:val="CommentText"/>
        <w:rPr>
          <w:sz w:val="22"/>
          <w:szCs w:val="22"/>
        </w:rPr>
      </w:pPr>
    </w:p>
    <w:p w14:paraId="5CC84D2E" w14:textId="77777777" w:rsidR="00CB4014" w:rsidRPr="002B3438" w:rsidRDefault="00CB4014" w:rsidP="00CB4014">
      <w:pPr>
        <w:rPr>
          <w:sz w:val="22"/>
          <w:szCs w:val="22"/>
        </w:rPr>
      </w:pPr>
      <w:r w:rsidRPr="002B3438">
        <w:rPr>
          <w:sz w:val="22"/>
          <w:szCs w:val="22"/>
        </w:rPr>
        <w:t xml:space="preserve">Eveleth PB and Tanner JM. 1990. Worldwide Variation in Human Growth. Cambridge, </w:t>
      </w:r>
    </w:p>
    <w:p w14:paraId="0B45B84E" w14:textId="77777777" w:rsidR="00CB4014" w:rsidRPr="002B3438" w:rsidRDefault="00CB4014" w:rsidP="00CB4014">
      <w:pPr>
        <w:ind w:firstLine="360"/>
        <w:rPr>
          <w:sz w:val="22"/>
          <w:szCs w:val="22"/>
        </w:rPr>
      </w:pPr>
      <w:r w:rsidRPr="002B3438">
        <w:rPr>
          <w:sz w:val="22"/>
          <w:szCs w:val="22"/>
        </w:rPr>
        <w:t>UK: Cambridge University Press.</w:t>
      </w:r>
    </w:p>
    <w:p w14:paraId="0CBC2C9B" w14:textId="77777777" w:rsidR="00CB4014" w:rsidRPr="002B3438" w:rsidRDefault="00CB4014" w:rsidP="00CB4014">
      <w:pPr>
        <w:rPr>
          <w:sz w:val="22"/>
          <w:szCs w:val="22"/>
        </w:rPr>
      </w:pPr>
    </w:p>
    <w:p w14:paraId="2A07E67D" w14:textId="77777777" w:rsidR="00DF678C" w:rsidRPr="002B3438" w:rsidRDefault="00DF678C" w:rsidP="00CB4014">
      <w:pPr>
        <w:rPr>
          <w:sz w:val="22"/>
          <w:szCs w:val="22"/>
        </w:rPr>
      </w:pPr>
      <w:r w:rsidRPr="002B3438">
        <w:rPr>
          <w:sz w:val="22"/>
          <w:szCs w:val="22"/>
        </w:rPr>
        <w:t xml:space="preserve">Faerman M, Jankauskas R, Gorski A, Bercovier H, Greenblatt CL. 1999. Detecting </w:t>
      </w:r>
    </w:p>
    <w:p w14:paraId="0C221B63" w14:textId="77777777" w:rsidR="00DF678C" w:rsidRPr="002B3438" w:rsidRDefault="00DF678C" w:rsidP="00DF678C">
      <w:pPr>
        <w:ind w:left="375"/>
        <w:rPr>
          <w:sz w:val="22"/>
          <w:szCs w:val="22"/>
        </w:rPr>
      </w:pPr>
      <w:r w:rsidRPr="002B3438">
        <w:rPr>
          <w:sz w:val="22"/>
          <w:szCs w:val="22"/>
        </w:rPr>
        <w:lastRenderedPageBreak/>
        <w:t>Mycobacterium tuberculosis DNA in medieval skeletal remains from Lithuania. Tuberculosis, Past and Present:371-376.</w:t>
      </w:r>
    </w:p>
    <w:p w14:paraId="13814D81" w14:textId="77777777" w:rsidR="00DF678C" w:rsidRPr="002B3438" w:rsidRDefault="00DF678C" w:rsidP="00CB4014">
      <w:pPr>
        <w:rPr>
          <w:sz w:val="22"/>
          <w:szCs w:val="22"/>
        </w:rPr>
      </w:pPr>
    </w:p>
    <w:p w14:paraId="62870B9A" w14:textId="77777777" w:rsidR="00065BB5" w:rsidRPr="002B3438" w:rsidRDefault="00065BB5" w:rsidP="00CB4014">
      <w:pPr>
        <w:rPr>
          <w:sz w:val="22"/>
          <w:szCs w:val="22"/>
        </w:rPr>
      </w:pPr>
      <w:r w:rsidRPr="002B3438">
        <w:rPr>
          <w:sz w:val="22"/>
          <w:szCs w:val="22"/>
        </w:rPr>
        <w:t>Fain O. 2005. Musculoskeletal manifestations of scurvy. Joint Bone Spine 72:124-128.</w:t>
      </w:r>
    </w:p>
    <w:p w14:paraId="71D5068F" w14:textId="77777777" w:rsidR="00DF678C" w:rsidRPr="002B3438" w:rsidRDefault="00DF678C" w:rsidP="00CB4014">
      <w:pPr>
        <w:rPr>
          <w:sz w:val="22"/>
          <w:szCs w:val="22"/>
        </w:rPr>
      </w:pPr>
    </w:p>
    <w:p w14:paraId="14698035" w14:textId="77777777" w:rsidR="00C27558" w:rsidRPr="002B3438" w:rsidRDefault="00C27558" w:rsidP="00C27558">
      <w:pPr>
        <w:pStyle w:val="CommentText"/>
        <w:rPr>
          <w:sz w:val="22"/>
          <w:szCs w:val="22"/>
        </w:rPr>
      </w:pPr>
      <w:r w:rsidRPr="002B3438">
        <w:rPr>
          <w:sz w:val="22"/>
          <w:szCs w:val="22"/>
        </w:rPr>
        <w:t xml:space="preserve">Feik SA, Thomas CD, Clement JG. 1997. Age-related changes in cortical porosity of the midshaft </w:t>
      </w:r>
    </w:p>
    <w:p w14:paraId="2E68263B" w14:textId="77777777" w:rsidR="00C27558" w:rsidRPr="002B3438" w:rsidRDefault="006A3BEE" w:rsidP="00C27558">
      <w:pPr>
        <w:pStyle w:val="CommentText"/>
        <w:rPr>
          <w:sz w:val="22"/>
          <w:szCs w:val="22"/>
        </w:rPr>
      </w:pPr>
      <w:r>
        <w:rPr>
          <w:sz w:val="22"/>
          <w:szCs w:val="22"/>
        </w:rPr>
        <w:t xml:space="preserve">  </w:t>
      </w:r>
      <w:r w:rsidR="00C27558" w:rsidRPr="002B3438">
        <w:rPr>
          <w:sz w:val="22"/>
          <w:szCs w:val="22"/>
        </w:rPr>
        <w:t>of the human femur. J Anat 191:407-416.</w:t>
      </w:r>
    </w:p>
    <w:p w14:paraId="6C8F6904" w14:textId="77777777" w:rsidR="00C27558" w:rsidRPr="002B3438" w:rsidRDefault="00C27558" w:rsidP="00CB4014">
      <w:pPr>
        <w:rPr>
          <w:sz w:val="22"/>
          <w:szCs w:val="22"/>
        </w:rPr>
      </w:pPr>
    </w:p>
    <w:p w14:paraId="54BCB883" w14:textId="77777777" w:rsidR="00A62100" w:rsidRPr="002B3438" w:rsidRDefault="00A62100" w:rsidP="00CB4014">
      <w:pPr>
        <w:rPr>
          <w:sz w:val="22"/>
          <w:szCs w:val="22"/>
        </w:rPr>
      </w:pPr>
      <w:r w:rsidRPr="002B3438">
        <w:rPr>
          <w:sz w:val="22"/>
          <w:szCs w:val="22"/>
        </w:rPr>
        <w:t>Fernándaz-Garcia D, Rodríguez M, García Alemán J, García-Almeida JM, Picón MJ, Fernández-</w:t>
      </w:r>
    </w:p>
    <w:p w14:paraId="66FF4F61" w14:textId="77777777" w:rsidR="00A62100" w:rsidRPr="002B3438" w:rsidRDefault="00A62100" w:rsidP="00A62100">
      <w:pPr>
        <w:ind w:left="420"/>
        <w:rPr>
          <w:sz w:val="22"/>
          <w:szCs w:val="22"/>
        </w:rPr>
      </w:pPr>
      <w:r w:rsidRPr="002B3438">
        <w:rPr>
          <w:sz w:val="22"/>
          <w:szCs w:val="22"/>
        </w:rPr>
        <w:t>Aranda F, Tinahones FJ. 2009. Thin healthy women have a similar bone mass to women with anorexia nervosa. Brit J Nutr 102:709-714.</w:t>
      </w:r>
    </w:p>
    <w:p w14:paraId="6B953B9D" w14:textId="77777777" w:rsidR="00A62100" w:rsidRPr="002B3438" w:rsidRDefault="00A62100" w:rsidP="00CB4014">
      <w:pPr>
        <w:rPr>
          <w:sz w:val="22"/>
          <w:szCs w:val="22"/>
        </w:rPr>
      </w:pPr>
    </w:p>
    <w:p w14:paraId="571CEE25" w14:textId="77777777" w:rsidR="00CB4014" w:rsidRPr="002B3438" w:rsidRDefault="00CB4014" w:rsidP="00CB4014">
      <w:pPr>
        <w:rPr>
          <w:sz w:val="22"/>
          <w:szCs w:val="22"/>
        </w:rPr>
      </w:pPr>
      <w:r w:rsidRPr="002B3438">
        <w:rPr>
          <w:sz w:val="22"/>
          <w:szCs w:val="22"/>
        </w:rPr>
        <w:t>Foote K and Marriott L. 2003. Weaning of infants. Arch Dis Childhood 88:488-492.</w:t>
      </w:r>
    </w:p>
    <w:p w14:paraId="0BE8E1E1" w14:textId="77777777" w:rsidR="00CB4014" w:rsidRPr="002B3438" w:rsidRDefault="00CB4014" w:rsidP="00CB4014">
      <w:pPr>
        <w:rPr>
          <w:sz w:val="22"/>
          <w:szCs w:val="22"/>
        </w:rPr>
      </w:pPr>
    </w:p>
    <w:p w14:paraId="002E1F74" w14:textId="77777777" w:rsidR="0060407E" w:rsidRPr="002B3438" w:rsidRDefault="0060407E" w:rsidP="0060407E">
      <w:pPr>
        <w:ind w:left="360" w:hanging="360"/>
        <w:rPr>
          <w:sz w:val="22"/>
          <w:szCs w:val="22"/>
        </w:rPr>
      </w:pPr>
      <w:r w:rsidRPr="002B3438">
        <w:rPr>
          <w:sz w:val="22"/>
          <w:szCs w:val="22"/>
        </w:rPr>
        <w:t>Forwood MR. 2008. Physical activity and bone development during childhood: insights from animal models. J Appl Physiol 105:334-341.</w:t>
      </w:r>
    </w:p>
    <w:p w14:paraId="047946CA" w14:textId="77777777" w:rsidR="0060407E" w:rsidRPr="002B3438" w:rsidRDefault="0060407E" w:rsidP="00CB4014">
      <w:pPr>
        <w:rPr>
          <w:sz w:val="22"/>
          <w:szCs w:val="22"/>
        </w:rPr>
      </w:pPr>
    </w:p>
    <w:p w14:paraId="3B9D55DA" w14:textId="77777777" w:rsidR="007C1D9B" w:rsidRPr="002B3438" w:rsidRDefault="007C1D9B" w:rsidP="007C1D9B">
      <w:pPr>
        <w:ind w:left="360" w:hanging="360"/>
        <w:rPr>
          <w:sz w:val="22"/>
          <w:szCs w:val="22"/>
        </w:rPr>
      </w:pPr>
      <w:r w:rsidRPr="002B3438">
        <w:rPr>
          <w:sz w:val="22"/>
          <w:szCs w:val="22"/>
        </w:rPr>
        <w:t>Forwood MR, Burr DB. 1993. Physical activity and bone mass: exercise in futility? Bone Miner 21:89-112.</w:t>
      </w:r>
    </w:p>
    <w:p w14:paraId="1DF36353" w14:textId="77777777" w:rsidR="00703338" w:rsidRPr="002B3438" w:rsidRDefault="00703338" w:rsidP="007C1D9B">
      <w:pPr>
        <w:ind w:left="360" w:hanging="360"/>
        <w:rPr>
          <w:sz w:val="22"/>
          <w:szCs w:val="22"/>
        </w:rPr>
      </w:pPr>
    </w:p>
    <w:p w14:paraId="1D3633A8" w14:textId="77777777" w:rsidR="00703338" w:rsidRPr="00D40D10" w:rsidRDefault="00703338" w:rsidP="00703338">
      <w:pPr>
        <w:ind w:left="360" w:hanging="360"/>
        <w:rPr>
          <w:sz w:val="22"/>
          <w:szCs w:val="22"/>
        </w:rPr>
      </w:pPr>
      <w:r w:rsidRPr="00D40D10">
        <w:rPr>
          <w:sz w:val="22"/>
          <w:szCs w:val="22"/>
        </w:rPr>
        <w:t xml:space="preserve">Forwood, MR, Turner CH. 1995. Skeletal adaptations to mechanical usage: results from </w:t>
      </w:r>
    </w:p>
    <w:p w14:paraId="436878F7" w14:textId="77777777" w:rsidR="006A0BA5" w:rsidRPr="002B3438" w:rsidRDefault="00703338" w:rsidP="008A04B6">
      <w:pPr>
        <w:ind w:left="360"/>
        <w:rPr>
          <w:sz w:val="22"/>
          <w:szCs w:val="22"/>
        </w:rPr>
      </w:pPr>
      <w:r w:rsidRPr="00D40D10">
        <w:rPr>
          <w:sz w:val="22"/>
          <w:szCs w:val="22"/>
        </w:rPr>
        <w:t>tibial loading studies in rats. Bone 17:197S–205S.</w:t>
      </w:r>
      <w:r w:rsidR="006A3BEE">
        <w:rPr>
          <w:sz w:val="22"/>
          <w:szCs w:val="22"/>
        </w:rPr>
        <w:t xml:space="preserve"> </w:t>
      </w:r>
    </w:p>
    <w:p w14:paraId="19F579C5" w14:textId="77777777" w:rsidR="008A04B6" w:rsidRPr="002B3438" w:rsidRDefault="008A04B6" w:rsidP="007C1D9B">
      <w:pPr>
        <w:ind w:left="360" w:hanging="360"/>
        <w:rPr>
          <w:sz w:val="22"/>
          <w:szCs w:val="22"/>
        </w:rPr>
      </w:pPr>
    </w:p>
    <w:p w14:paraId="794D2C77" w14:textId="77777777" w:rsidR="007C03B5" w:rsidRPr="002B3438" w:rsidRDefault="007C03B5" w:rsidP="007C03B5">
      <w:pPr>
        <w:autoSpaceDE w:val="0"/>
        <w:autoSpaceDN w:val="0"/>
        <w:adjustRightInd w:val="0"/>
        <w:rPr>
          <w:rFonts w:eastAsia="Calibri"/>
          <w:sz w:val="22"/>
          <w:szCs w:val="22"/>
        </w:rPr>
      </w:pPr>
      <w:r w:rsidRPr="002B3438">
        <w:rPr>
          <w:rFonts w:eastAsia="Calibri"/>
          <w:sz w:val="22"/>
          <w:szCs w:val="22"/>
        </w:rPr>
        <w:t xml:space="preserve">Forwood MR, Baxter-Jones AD, Beck N, Mirwald RL, Howard A, Bailey DA. 2006. Physical </w:t>
      </w:r>
    </w:p>
    <w:p w14:paraId="20AFD063" w14:textId="77777777" w:rsidR="007C03B5" w:rsidRPr="002B3438" w:rsidRDefault="007C03B5" w:rsidP="007C03B5">
      <w:pPr>
        <w:autoSpaceDE w:val="0"/>
        <w:autoSpaceDN w:val="0"/>
        <w:adjustRightInd w:val="0"/>
        <w:ind w:left="360"/>
        <w:rPr>
          <w:rFonts w:eastAsia="Calibri"/>
          <w:sz w:val="22"/>
          <w:szCs w:val="22"/>
        </w:rPr>
      </w:pPr>
      <w:r w:rsidRPr="002B3438">
        <w:rPr>
          <w:rFonts w:eastAsia="Calibri"/>
          <w:sz w:val="22"/>
          <w:szCs w:val="22"/>
        </w:rPr>
        <w:t>activity and strength of the femoral neck during the adolescent growth spurt: a longitudinal analysis. Bone 38:576-583.</w:t>
      </w:r>
    </w:p>
    <w:p w14:paraId="13DA22E2" w14:textId="77777777" w:rsidR="00950A9D" w:rsidRPr="002B3438" w:rsidRDefault="00950A9D" w:rsidP="007C03B5">
      <w:pPr>
        <w:autoSpaceDE w:val="0"/>
        <w:autoSpaceDN w:val="0"/>
        <w:adjustRightInd w:val="0"/>
        <w:ind w:left="360"/>
        <w:rPr>
          <w:rFonts w:eastAsia="Calibri"/>
          <w:sz w:val="22"/>
          <w:szCs w:val="22"/>
        </w:rPr>
      </w:pPr>
    </w:p>
    <w:p w14:paraId="3279056E" w14:textId="77777777" w:rsidR="0045547A" w:rsidRPr="002B3438" w:rsidRDefault="00772C78" w:rsidP="0045547A">
      <w:pPr>
        <w:ind w:left="360" w:hanging="360"/>
        <w:rPr>
          <w:sz w:val="22"/>
          <w:szCs w:val="22"/>
        </w:rPr>
      </w:pPr>
      <w:r w:rsidRPr="002B3438">
        <w:rPr>
          <w:sz w:val="22"/>
          <w:szCs w:val="22"/>
        </w:rPr>
        <w:t>Frost HM.</w:t>
      </w:r>
      <w:r w:rsidR="0045547A" w:rsidRPr="002B3438">
        <w:rPr>
          <w:sz w:val="22"/>
          <w:szCs w:val="22"/>
        </w:rPr>
        <w:t xml:space="preserve"> 1960. Presence of microscopic cracks in vivo in bone. Henry Ford Hospital </w:t>
      </w:r>
    </w:p>
    <w:p w14:paraId="67D211D1" w14:textId="77777777" w:rsidR="0045547A" w:rsidRPr="002B3438" w:rsidRDefault="00383E0C" w:rsidP="0045547A">
      <w:pPr>
        <w:ind w:firstLine="360"/>
        <w:rPr>
          <w:sz w:val="22"/>
          <w:szCs w:val="22"/>
        </w:rPr>
      </w:pPr>
      <w:r w:rsidRPr="002B3438">
        <w:rPr>
          <w:sz w:val="22"/>
          <w:szCs w:val="22"/>
        </w:rPr>
        <w:t>Bulletin 8:</w:t>
      </w:r>
      <w:r w:rsidR="0045547A" w:rsidRPr="002B3438">
        <w:rPr>
          <w:sz w:val="22"/>
          <w:szCs w:val="22"/>
        </w:rPr>
        <w:t>25-35.</w:t>
      </w:r>
    </w:p>
    <w:p w14:paraId="01027C5C" w14:textId="77777777" w:rsidR="0045547A" w:rsidRPr="002B3438" w:rsidRDefault="0045547A" w:rsidP="0045547A">
      <w:pPr>
        <w:ind w:left="360" w:hanging="360"/>
        <w:rPr>
          <w:sz w:val="22"/>
          <w:szCs w:val="22"/>
        </w:rPr>
      </w:pPr>
    </w:p>
    <w:p w14:paraId="57698B72" w14:textId="77777777" w:rsidR="00BC1BB0" w:rsidRPr="002B3438" w:rsidRDefault="00BC1BB0" w:rsidP="007C1D9B">
      <w:pPr>
        <w:ind w:left="360" w:hanging="360"/>
        <w:rPr>
          <w:sz w:val="22"/>
          <w:szCs w:val="22"/>
        </w:rPr>
      </w:pPr>
      <w:r w:rsidRPr="002B3438">
        <w:rPr>
          <w:iCs/>
          <w:sz w:val="22"/>
          <w:szCs w:val="22"/>
        </w:rPr>
        <w:t>Frost HM. 1963. Bone remodelling dynamics</w:t>
      </w:r>
      <w:r w:rsidRPr="002B3438">
        <w:rPr>
          <w:sz w:val="22"/>
          <w:szCs w:val="22"/>
        </w:rPr>
        <w:t>, The Henry For</w:t>
      </w:r>
      <w:r w:rsidR="007204EA" w:rsidRPr="002B3438">
        <w:rPr>
          <w:sz w:val="22"/>
          <w:szCs w:val="22"/>
        </w:rPr>
        <w:t xml:space="preserve">d Hospital surgical monographs, </w:t>
      </w:r>
      <w:r w:rsidRPr="002B3438">
        <w:rPr>
          <w:sz w:val="22"/>
          <w:szCs w:val="22"/>
        </w:rPr>
        <w:t>Spring</w:t>
      </w:r>
      <w:r w:rsidR="007204EA" w:rsidRPr="002B3438">
        <w:rPr>
          <w:sz w:val="22"/>
          <w:szCs w:val="22"/>
        </w:rPr>
        <w:t>field, IL: Charles C. Thomas.</w:t>
      </w:r>
    </w:p>
    <w:p w14:paraId="07176CD6" w14:textId="77777777" w:rsidR="00BC1BB0" w:rsidRPr="002B3438" w:rsidRDefault="00BC1BB0" w:rsidP="007C1D9B">
      <w:pPr>
        <w:ind w:left="360" w:hanging="360"/>
        <w:rPr>
          <w:sz w:val="22"/>
          <w:szCs w:val="22"/>
        </w:rPr>
      </w:pPr>
    </w:p>
    <w:p w14:paraId="28B6F335" w14:textId="77777777" w:rsidR="008B04DB" w:rsidRPr="002B3438" w:rsidRDefault="0042542E" w:rsidP="007C1D9B">
      <w:pPr>
        <w:ind w:left="360" w:hanging="360"/>
        <w:rPr>
          <w:sz w:val="22"/>
          <w:szCs w:val="22"/>
        </w:rPr>
      </w:pPr>
      <w:r w:rsidRPr="002B3438">
        <w:rPr>
          <w:sz w:val="22"/>
          <w:szCs w:val="22"/>
        </w:rPr>
        <w:t>Frost HM. 1964</w:t>
      </w:r>
      <w:r w:rsidR="008A04B6" w:rsidRPr="002B3438">
        <w:rPr>
          <w:sz w:val="22"/>
          <w:szCs w:val="22"/>
        </w:rPr>
        <w:t>a</w:t>
      </w:r>
      <w:r w:rsidR="003F6EC3" w:rsidRPr="002B3438">
        <w:rPr>
          <w:sz w:val="22"/>
          <w:szCs w:val="22"/>
        </w:rPr>
        <w:t>. The l</w:t>
      </w:r>
      <w:r w:rsidRPr="002B3438">
        <w:rPr>
          <w:sz w:val="22"/>
          <w:szCs w:val="22"/>
        </w:rPr>
        <w:t xml:space="preserve">aws of </w:t>
      </w:r>
      <w:r w:rsidR="003F6EC3" w:rsidRPr="002B3438">
        <w:rPr>
          <w:sz w:val="22"/>
          <w:szCs w:val="22"/>
        </w:rPr>
        <w:t>bone s</w:t>
      </w:r>
      <w:r w:rsidRPr="002B3438">
        <w:rPr>
          <w:sz w:val="22"/>
          <w:szCs w:val="22"/>
        </w:rPr>
        <w:t xml:space="preserve">tructure. </w:t>
      </w:r>
      <w:r w:rsidR="007204EA" w:rsidRPr="002B3438">
        <w:rPr>
          <w:sz w:val="22"/>
          <w:szCs w:val="22"/>
        </w:rPr>
        <w:t xml:space="preserve">The Henry Ford Hospital surgical monographs, </w:t>
      </w:r>
      <w:r w:rsidRPr="002B3438">
        <w:rPr>
          <w:sz w:val="22"/>
          <w:szCs w:val="22"/>
        </w:rPr>
        <w:t>Springfield, IL: Charles C. Thomas</w:t>
      </w:r>
    </w:p>
    <w:p w14:paraId="0D9D0B34" w14:textId="77777777" w:rsidR="000178F5" w:rsidRPr="002B3438" w:rsidRDefault="000178F5" w:rsidP="007C1D9B">
      <w:pPr>
        <w:ind w:left="360" w:hanging="360"/>
        <w:rPr>
          <w:sz w:val="22"/>
          <w:szCs w:val="22"/>
        </w:rPr>
      </w:pPr>
    </w:p>
    <w:p w14:paraId="5CC3804A" w14:textId="77777777" w:rsidR="000178F5" w:rsidRPr="002B3438" w:rsidRDefault="003F6EC3" w:rsidP="007C1D9B">
      <w:pPr>
        <w:ind w:left="360" w:hanging="360"/>
        <w:rPr>
          <w:sz w:val="22"/>
          <w:szCs w:val="22"/>
        </w:rPr>
      </w:pPr>
      <w:r w:rsidRPr="002B3438">
        <w:rPr>
          <w:sz w:val="22"/>
          <w:szCs w:val="22"/>
        </w:rPr>
        <w:t>Frost HM. 1964b. Mathematical elements of lamellar bone r</w:t>
      </w:r>
      <w:r w:rsidR="000178F5" w:rsidRPr="002B3438">
        <w:rPr>
          <w:sz w:val="22"/>
          <w:szCs w:val="22"/>
        </w:rPr>
        <w:t>emodelling, The Henry Ford Hospital surgical monographs, Springfield, IL: Charles C. Thomas</w:t>
      </w:r>
      <w:r w:rsidRPr="002B3438">
        <w:rPr>
          <w:sz w:val="22"/>
          <w:szCs w:val="22"/>
        </w:rPr>
        <w:t>.</w:t>
      </w:r>
    </w:p>
    <w:p w14:paraId="531D6BC7" w14:textId="77777777" w:rsidR="003F6EC3" w:rsidRPr="002B3438" w:rsidRDefault="003F6EC3" w:rsidP="007C1D9B">
      <w:pPr>
        <w:ind w:left="360" w:hanging="360"/>
        <w:rPr>
          <w:sz w:val="22"/>
          <w:szCs w:val="22"/>
        </w:rPr>
      </w:pPr>
    </w:p>
    <w:p w14:paraId="2ABC836A" w14:textId="77777777" w:rsidR="003F6EC3" w:rsidRPr="002B3438" w:rsidRDefault="003F6EC3" w:rsidP="007C1D9B">
      <w:pPr>
        <w:ind w:left="360" w:hanging="360"/>
        <w:rPr>
          <w:sz w:val="22"/>
          <w:szCs w:val="22"/>
        </w:rPr>
      </w:pPr>
      <w:r w:rsidRPr="002B3438">
        <w:rPr>
          <w:sz w:val="22"/>
          <w:szCs w:val="22"/>
        </w:rPr>
        <w:t>Frost HM. 1966. The bone dynamics in osteoporosis and osteomalacia. The Henry Ford Hospital surgical monographs. Springfield, IL: Charles C. Thomas.</w:t>
      </w:r>
    </w:p>
    <w:p w14:paraId="1D0A5659" w14:textId="77777777" w:rsidR="003F6EC3" w:rsidRPr="002B3438" w:rsidRDefault="003F6EC3" w:rsidP="003F6EC3">
      <w:pPr>
        <w:rPr>
          <w:sz w:val="22"/>
          <w:szCs w:val="22"/>
        </w:rPr>
      </w:pPr>
    </w:p>
    <w:p w14:paraId="309F49D5" w14:textId="77777777" w:rsidR="000178F5" w:rsidRPr="002B3438" w:rsidRDefault="000178F5" w:rsidP="007C1D9B">
      <w:pPr>
        <w:ind w:left="360" w:hanging="360"/>
        <w:rPr>
          <w:sz w:val="22"/>
          <w:szCs w:val="22"/>
        </w:rPr>
      </w:pPr>
      <w:r w:rsidRPr="002B3438">
        <w:rPr>
          <w:sz w:val="22"/>
          <w:szCs w:val="22"/>
        </w:rPr>
        <w:t>Frost HM. 1969. Tetracycline-based histological analysis of bone remodeling. Calcif Tiss Res 3:211-237.</w:t>
      </w:r>
    </w:p>
    <w:p w14:paraId="69E03E61" w14:textId="77777777" w:rsidR="000178F5" w:rsidRPr="002B3438" w:rsidRDefault="000178F5" w:rsidP="007C1D9B">
      <w:pPr>
        <w:ind w:left="360" w:hanging="360"/>
        <w:rPr>
          <w:sz w:val="22"/>
          <w:szCs w:val="22"/>
        </w:rPr>
      </w:pPr>
    </w:p>
    <w:p w14:paraId="5AC5EC73" w14:textId="77777777" w:rsidR="00A41EB9" w:rsidRPr="002B3438" w:rsidRDefault="00A41EB9" w:rsidP="007C1D9B">
      <w:pPr>
        <w:ind w:left="360" w:hanging="360"/>
        <w:rPr>
          <w:sz w:val="22"/>
          <w:szCs w:val="22"/>
        </w:rPr>
      </w:pPr>
      <w:r w:rsidRPr="002B3438">
        <w:rPr>
          <w:sz w:val="22"/>
          <w:szCs w:val="22"/>
        </w:rPr>
        <w:t xml:space="preserve">Frost HM. 1973. Bone :Remodeling and Its Relationship to Metabolic Bone Disease. </w:t>
      </w:r>
      <w:r w:rsidRPr="002B3438">
        <w:rPr>
          <w:iCs/>
          <w:color w:val="000000"/>
          <w:sz w:val="22"/>
          <w:szCs w:val="22"/>
          <w:shd w:val="clear" w:color="auto" w:fill="FFFFFF"/>
        </w:rPr>
        <w:t>Orthopaedic lectures Vol. 3</w:t>
      </w:r>
      <w:r w:rsidRPr="002B3438">
        <w:rPr>
          <w:color w:val="000000"/>
          <w:sz w:val="22"/>
          <w:szCs w:val="22"/>
          <w:shd w:val="clear" w:color="auto" w:fill="FFFFFF"/>
        </w:rPr>
        <w:t>,</w:t>
      </w:r>
      <w:r w:rsidR="006A3BEE">
        <w:rPr>
          <w:color w:val="000000"/>
          <w:sz w:val="22"/>
          <w:szCs w:val="22"/>
          <w:shd w:val="clear" w:color="auto" w:fill="FFFFFF"/>
        </w:rPr>
        <w:t xml:space="preserve"> </w:t>
      </w:r>
      <w:r w:rsidRPr="002B3438">
        <w:rPr>
          <w:color w:val="000000"/>
          <w:sz w:val="22"/>
          <w:szCs w:val="22"/>
          <w:shd w:val="clear" w:color="auto" w:fill="FFFFFF"/>
        </w:rPr>
        <w:t>Springfield, IL: Charles C. Thomas.</w:t>
      </w:r>
    </w:p>
    <w:p w14:paraId="760CD01D" w14:textId="77777777" w:rsidR="00A41EB9" w:rsidRPr="002B3438" w:rsidRDefault="00A41EB9" w:rsidP="007C1D9B">
      <w:pPr>
        <w:ind w:left="360" w:hanging="360"/>
        <w:rPr>
          <w:sz w:val="22"/>
          <w:szCs w:val="22"/>
        </w:rPr>
      </w:pPr>
    </w:p>
    <w:p w14:paraId="6498EEA8" w14:textId="77777777" w:rsidR="00C506D0" w:rsidRPr="002B3438" w:rsidRDefault="00C506D0" w:rsidP="00C506D0">
      <w:pPr>
        <w:ind w:left="360" w:hanging="360"/>
        <w:rPr>
          <w:sz w:val="22"/>
          <w:szCs w:val="22"/>
        </w:rPr>
      </w:pPr>
      <w:r w:rsidRPr="002B3438">
        <w:rPr>
          <w:sz w:val="22"/>
          <w:szCs w:val="22"/>
        </w:rPr>
        <w:t>Frost HM. 1987. Bone "mass" and the "mechanostat": a proposal. Anat Rec 219:1-9.</w:t>
      </w:r>
    </w:p>
    <w:p w14:paraId="5A088244" w14:textId="77777777" w:rsidR="00C506D0" w:rsidRPr="002B3438" w:rsidRDefault="00C506D0" w:rsidP="007C1D9B">
      <w:pPr>
        <w:ind w:left="360" w:hanging="360"/>
        <w:rPr>
          <w:sz w:val="22"/>
          <w:szCs w:val="22"/>
        </w:rPr>
      </w:pPr>
    </w:p>
    <w:p w14:paraId="137A3F60" w14:textId="77777777" w:rsidR="00CE5BCD" w:rsidRPr="002B3438" w:rsidRDefault="00D31096" w:rsidP="00CE5BCD">
      <w:pPr>
        <w:pStyle w:val="CommentText"/>
        <w:rPr>
          <w:sz w:val="22"/>
          <w:szCs w:val="22"/>
        </w:rPr>
      </w:pPr>
      <w:r w:rsidRPr="002B3438">
        <w:rPr>
          <w:sz w:val="22"/>
          <w:szCs w:val="22"/>
        </w:rPr>
        <w:lastRenderedPageBreak/>
        <w:t>Frost, H</w:t>
      </w:r>
      <w:r w:rsidR="00CE5BCD" w:rsidRPr="002B3438">
        <w:rPr>
          <w:sz w:val="22"/>
          <w:szCs w:val="22"/>
        </w:rPr>
        <w:t>M. 1988. Structural adaptations to mechanical usage: A three-way rule for lamellar bone</w:t>
      </w:r>
    </w:p>
    <w:p w14:paraId="53DE0317" w14:textId="77777777" w:rsidR="00CE5BCD" w:rsidRPr="002B3438" w:rsidRDefault="00CE5BCD" w:rsidP="00CE5BCD">
      <w:pPr>
        <w:pStyle w:val="CommentText"/>
        <w:ind w:firstLine="360"/>
        <w:rPr>
          <w:sz w:val="22"/>
          <w:szCs w:val="22"/>
        </w:rPr>
      </w:pPr>
      <w:r w:rsidRPr="002B3438">
        <w:rPr>
          <w:sz w:val="22"/>
          <w:szCs w:val="22"/>
        </w:rPr>
        <w:t>modeling. Comp. Vet. Orthop. Trauma, 1:7-17; 2:80-85.</w:t>
      </w:r>
    </w:p>
    <w:p w14:paraId="0729728F" w14:textId="77777777" w:rsidR="007204EA" w:rsidRPr="002B3438" w:rsidRDefault="007204EA" w:rsidP="00CE5BCD">
      <w:pPr>
        <w:pStyle w:val="CommentText"/>
        <w:ind w:firstLine="360"/>
        <w:rPr>
          <w:sz w:val="22"/>
          <w:szCs w:val="22"/>
        </w:rPr>
      </w:pPr>
    </w:p>
    <w:p w14:paraId="5C1C8C53" w14:textId="77777777" w:rsidR="008B04DB" w:rsidRPr="002B3438" w:rsidRDefault="008B04DB" w:rsidP="008B04DB">
      <w:pPr>
        <w:ind w:left="360" w:hanging="360"/>
        <w:rPr>
          <w:sz w:val="22"/>
          <w:szCs w:val="22"/>
        </w:rPr>
      </w:pPr>
      <w:r w:rsidRPr="002B3438">
        <w:rPr>
          <w:sz w:val="22"/>
          <w:szCs w:val="22"/>
        </w:rPr>
        <w:t>Frost HM. 1990</w:t>
      </w:r>
      <w:r w:rsidR="008F3FE8" w:rsidRPr="002B3438">
        <w:rPr>
          <w:sz w:val="22"/>
          <w:szCs w:val="22"/>
        </w:rPr>
        <w:t>a</w:t>
      </w:r>
      <w:r w:rsidRPr="002B3438">
        <w:rPr>
          <w:sz w:val="22"/>
          <w:szCs w:val="22"/>
        </w:rPr>
        <w:t>. Skeletal structural adaptations to mechanical usage (SATMU): 1. redefining Wolff’s law: the bone modeling problem. Anat Rec 4:403-413.</w:t>
      </w:r>
    </w:p>
    <w:p w14:paraId="4E4024B8" w14:textId="77777777" w:rsidR="008F3FE8" w:rsidRPr="002B3438" w:rsidRDefault="008F3FE8" w:rsidP="008B04DB">
      <w:pPr>
        <w:ind w:left="360" w:hanging="360"/>
        <w:rPr>
          <w:sz w:val="22"/>
          <w:szCs w:val="22"/>
        </w:rPr>
      </w:pPr>
    </w:p>
    <w:p w14:paraId="0DCD7526" w14:textId="77777777" w:rsidR="008F3FE8" w:rsidRPr="002B3438" w:rsidRDefault="008F3FE8" w:rsidP="008F3FE8">
      <w:pPr>
        <w:ind w:left="360" w:hanging="360"/>
        <w:rPr>
          <w:sz w:val="22"/>
          <w:szCs w:val="22"/>
        </w:rPr>
      </w:pPr>
      <w:r w:rsidRPr="00D40D10">
        <w:rPr>
          <w:sz w:val="22"/>
          <w:szCs w:val="22"/>
        </w:rPr>
        <w:t>Frost HM. 1990</w:t>
      </w:r>
      <w:r w:rsidR="006A0BA5" w:rsidRPr="00D40D10">
        <w:rPr>
          <w:sz w:val="22"/>
          <w:szCs w:val="22"/>
        </w:rPr>
        <w:t>b</w:t>
      </w:r>
      <w:r w:rsidRPr="00D40D10">
        <w:rPr>
          <w:sz w:val="22"/>
          <w:szCs w:val="22"/>
        </w:rPr>
        <w:t>. Skeletal structural adaptation</w:t>
      </w:r>
      <w:r w:rsidR="006A0BA5" w:rsidRPr="00D40D10">
        <w:rPr>
          <w:sz w:val="22"/>
          <w:szCs w:val="22"/>
        </w:rPr>
        <w:t>s to mechanical usage (SATMU): 2</w:t>
      </w:r>
      <w:r w:rsidRPr="00D40D10">
        <w:rPr>
          <w:sz w:val="22"/>
          <w:szCs w:val="22"/>
        </w:rPr>
        <w:t>. redefining</w:t>
      </w:r>
      <w:r w:rsidRPr="002B3438">
        <w:rPr>
          <w:sz w:val="22"/>
          <w:szCs w:val="22"/>
        </w:rPr>
        <w:t xml:space="preserve"> Wolff’s law: the re</w:t>
      </w:r>
      <w:r w:rsidR="006A0BA5" w:rsidRPr="002B3438">
        <w:rPr>
          <w:sz w:val="22"/>
          <w:szCs w:val="22"/>
        </w:rPr>
        <w:t>modeling problem. Anat Rec 4:414-422</w:t>
      </w:r>
      <w:r w:rsidRPr="002B3438">
        <w:rPr>
          <w:sz w:val="22"/>
          <w:szCs w:val="22"/>
        </w:rPr>
        <w:t>.</w:t>
      </w:r>
    </w:p>
    <w:p w14:paraId="1E13DF2A" w14:textId="77777777" w:rsidR="0042542E" w:rsidRPr="002B3438" w:rsidRDefault="0042542E" w:rsidP="008B04DB">
      <w:pPr>
        <w:ind w:left="360" w:hanging="360"/>
        <w:rPr>
          <w:sz w:val="22"/>
          <w:szCs w:val="22"/>
        </w:rPr>
      </w:pPr>
    </w:p>
    <w:p w14:paraId="7B65161C" w14:textId="77777777" w:rsidR="005F438C" w:rsidRPr="00D40D10" w:rsidRDefault="00D40D10" w:rsidP="005F438C">
      <w:pPr>
        <w:autoSpaceDE w:val="0"/>
        <w:autoSpaceDN w:val="0"/>
        <w:adjustRightInd w:val="0"/>
        <w:rPr>
          <w:sz w:val="22"/>
          <w:szCs w:val="22"/>
          <w:highlight w:val="yellow"/>
        </w:rPr>
      </w:pPr>
      <w:r w:rsidRPr="00D40D10">
        <w:rPr>
          <w:sz w:val="22"/>
          <w:szCs w:val="22"/>
          <w:highlight w:val="yellow"/>
        </w:rPr>
        <w:t>Frost HM. 1997. Perspectives o</w:t>
      </w:r>
      <w:r w:rsidR="005F438C" w:rsidRPr="00D40D10">
        <w:rPr>
          <w:sz w:val="22"/>
          <w:szCs w:val="22"/>
          <w:highlight w:val="yellow"/>
        </w:rPr>
        <w:t>n increased fractures during the human adolescent growth spurt</w:t>
      </w:r>
      <w:r w:rsidRPr="00D40D10">
        <w:rPr>
          <w:sz w:val="22"/>
          <w:szCs w:val="22"/>
          <w:highlight w:val="yellow"/>
        </w:rPr>
        <w:t>:</w:t>
      </w:r>
      <w:r w:rsidR="005F438C" w:rsidRPr="00D40D10">
        <w:rPr>
          <w:sz w:val="22"/>
          <w:szCs w:val="22"/>
          <w:highlight w:val="yellow"/>
        </w:rPr>
        <w:t xml:space="preserve"> </w:t>
      </w:r>
    </w:p>
    <w:p w14:paraId="700E37CA" w14:textId="77777777" w:rsidR="005F438C" w:rsidRPr="002B3438" w:rsidRDefault="00D40D10" w:rsidP="005F438C">
      <w:pPr>
        <w:autoSpaceDE w:val="0"/>
        <w:autoSpaceDN w:val="0"/>
        <w:adjustRightInd w:val="0"/>
        <w:ind w:firstLine="360"/>
        <w:rPr>
          <w:sz w:val="22"/>
          <w:szCs w:val="22"/>
        </w:rPr>
      </w:pPr>
      <w:r w:rsidRPr="00D40D10">
        <w:rPr>
          <w:sz w:val="22"/>
          <w:szCs w:val="22"/>
          <w:highlight w:val="yellow"/>
        </w:rPr>
        <w:t>s</w:t>
      </w:r>
      <w:r w:rsidR="005F438C" w:rsidRPr="00D40D10">
        <w:rPr>
          <w:sz w:val="22"/>
          <w:szCs w:val="22"/>
          <w:highlight w:val="yellow"/>
        </w:rPr>
        <w:t>ummary of a new vital-biomechanical explanation</w:t>
      </w:r>
      <w:r w:rsidRPr="00D40D10">
        <w:rPr>
          <w:sz w:val="22"/>
          <w:szCs w:val="22"/>
          <w:highlight w:val="yellow"/>
        </w:rPr>
        <w:t>. J Bone Miner Metab 15:115–121.</w:t>
      </w:r>
    </w:p>
    <w:p w14:paraId="6C7F37E4" w14:textId="77777777" w:rsidR="005F438C" w:rsidRPr="002B3438" w:rsidRDefault="005F438C" w:rsidP="005F438C">
      <w:pPr>
        <w:autoSpaceDE w:val="0"/>
        <w:autoSpaceDN w:val="0"/>
        <w:adjustRightInd w:val="0"/>
        <w:rPr>
          <w:sz w:val="22"/>
          <w:szCs w:val="22"/>
        </w:rPr>
      </w:pPr>
    </w:p>
    <w:p w14:paraId="67901B3D" w14:textId="77777777" w:rsidR="007C1D9B" w:rsidRPr="002B3438" w:rsidRDefault="0042542E" w:rsidP="007C1D9B">
      <w:pPr>
        <w:ind w:left="360" w:hanging="360"/>
        <w:rPr>
          <w:sz w:val="22"/>
          <w:szCs w:val="22"/>
        </w:rPr>
      </w:pPr>
      <w:r w:rsidRPr="00D40D10">
        <w:rPr>
          <w:sz w:val="22"/>
          <w:szCs w:val="22"/>
        </w:rPr>
        <w:t>Frost HM. 2003. Bone’s mechanostat: a 2003 update. Anat Rec 275A:</w:t>
      </w:r>
      <w:r w:rsidR="00F43FA3" w:rsidRPr="00D40D10">
        <w:rPr>
          <w:sz w:val="22"/>
          <w:szCs w:val="22"/>
        </w:rPr>
        <w:t>1081–1101.</w:t>
      </w:r>
    </w:p>
    <w:p w14:paraId="1E71E547" w14:textId="77777777" w:rsidR="00F622C7" w:rsidRPr="002B3438" w:rsidRDefault="00F622C7" w:rsidP="007C1D9B">
      <w:pPr>
        <w:ind w:left="360" w:hanging="360"/>
        <w:rPr>
          <w:sz w:val="22"/>
          <w:szCs w:val="22"/>
        </w:rPr>
      </w:pPr>
    </w:p>
    <w:p w14:paraId="1275A0C6" w14:textId="77777777" w:rsidR="00CD0AF6" w:rsidRPr="002B3438" w:rsidRDefault="00CD0AF6" w:rsidP="00CD0AF6">
      <w:pPr>
        <w:ind w:left="360" w:hanging="360"/>
        <w:rPr>
          <w:sz w:val="22"/>
          <w:szCs w:val="22"/>
        </w:rPr>
      </w:pPr>
      <w:r w:rsidRPr="002B3438">
        <w:rPr>
          <w:sz w:val="22"/>
          <w:szCs w:val="22"/>
        </w:rPr>
        <w:t>Frost HM, Schönau E. 2000. The “muscle-bone unit” in children and adolescents: a 2000 overview. J Pediatric Endocrinology and Metabolism 13:571-590.</w:t>
      </w:r>
    </w:p>
    <w:p w14:paraId="45A58673" w14:textId="77777777" w:rsidR="00070298" w:rsidRPr="002B3438" w:rsidRDefault="00070298" w:rsidP="00CD0AF6">
      <w:pPr>
        <w:ind w:left="360" w:hanging="360"/>
        <w:rPr>
          <w:sz w:val="22"/>
          <w:szCs w:val="22"/>
        </w:rPr>
      </w:pPr>
    </w:p>
    <w:p w14:paraId="7A23BE4B" w14:textId="77777777" w:rsidR="00992BB5" w:rsidRPr="002B3438" w:rsidRDefault="00992BB5" w:rsidP="00CD0AF6">
      <w:pPr>
        <w:ind w:left="360" w:hanging="360"/>
        <w:rPr>
          <w:sz w:val="22"/>
          <w:szCs w:val="22"/>
        </w:rPr>
      </w:pPr>
      <w:r w:rsidRPr="002B3438">
        <w:rPr>
          <w:sz w:val="22"/>
          <w:szCs w:val="22"/>
        </w:rPr>
        <w:t xml:space="preserve">Galusca B, Zouch M, Germain N, Bossu C, Frere D, Lang F, Lafage-Proust M-H, Thomas T, Vico L, Estour B. 2008. Constitutuinal thinness: unusual human phenotype of low bone quality. J Clin Endocrinol Metab 93:110-117. </w:t>
      </w:r>
    </w:p>
    <w:p w14:paraId="48483F41" w14:textId="77777777" w:rsidR="00992BB5" w:rsidRPr="002B3438" w:rsidRDefault="00992BB5" w:rsidP="00CD0AF6">
      <w:pPr>
        <w:ind w:left="360" w:hanging="360"/>
        <w:rPr>
          <w:sz w:val="22"/>
          <w:szCs w:val="22"/>
        </w:rPr>
      </w:pPr>
    </w:p>
    <w:p w14:paraId="16AF6BC5" w14:textId="77777777" w:rsidR="00AF75DB" w:rsidRPr="002B3438" w:rsidRDefault="00AF75DB" w:rsidP="00AF75DB">
      <w:pPr>
        <w:ind w:left="360" w:hanging="360"/>
        <w:rPr>
          <w:sz w:val="22"/>
          <w:szCs w:val="22"/>
        </w:rPr>
      </w:pPr>
      <w:r w:rsidRPr="002B3438">
        <w:rPr>
          <w:sz w:val="22"/>
          <w:szCs w:val="22"/>
        </w:rPr>
        <w:t xml:space="preserve">Garn S, Rohmann C, Behar M, Viteri F, Guzman M. 1964. Compact bone deficiency in protein-calorie malnutrition. Science 145:1444-1445. </w:t>
      </w:r>
    </w:p>
    <w:p w14:paraId="62C61F29" w14:textId="77777777" w:rsidR="00AF75DB" w:rsidRPr="002B3438" w:rsidRDefault="00AF75DB" w:rsidP="00CD0AF6">
      <w:pPr>
        <w:ind w:left="360" w:hanging="360"/>
        <w:rPr>
          <w:sz w:val="22"/>
          <w:szCs w:val="22"/>
        </w:rPr>
      </w:pPr>
    </w:p>
    <w:p w14:paraId="65A64361" w14:textId="77777777" w:rsidR="00AF75DB" w:rsidRPr="002B3438" w:rsidRDefault="00AF75DB" w:rsidP="00AF75DB">
      <w:pPr>
        <w:ind w:left="360" w:hanging="360"/>
        <w:rPr>
          <w:sz w:val="22"/>
          <w:szCs w:val="22"/>
        </w:rPr>
      </w:pPr>
      <w:r w:rsidRPr="002B3438">
        <w:rPr>
          <w:sz w:val="22"/>
          <w:szCs w:val="22"/>
        </w:rPr>
        <w:t>Garn S, Guzman M, Wagner B. 1969. Subperiosteal gain and endosteal loss in protein-calorie malnutrition. Am J Phys Anthropol 30:153-156.</w:t>
      </w:r>
    </w:p>
    <w:p w14:paraId="3673D820" w14:textId="77777777" w:rsidR="00AF75DB" w:rsidRPr="002B3438" w:rsidRDefault="00AF75DB" w:rsidP="00CD0AF6">
      <w:pPr>
        <w:ind w:left="360" w:hanging="360"/>
        <w:rPr>
          <w:sz w:val="22"/>
          <w:szCs w:val="22"/>
        </w:rPr>
      </w:pPr>
    </w:p>
    <w:p w14:paraId="15370F15" w14:textId="77777777" w:rsidR="004362F5" w:rsidRPr="002B3438" w:rsidRDefault="004362F5" w:rsidP="00CD0AF6">
      <w:pPr>
        <w:ind w:left="360" w:hanging="360"/>
        <w:rPr>
          <w:sz w:val="22"/>
          <w:szCs w:val="22"/>
        </w:rPr>
      </w:pPr>
      <w:r w:rsidRPr="002B3438">
        <w:rPr>
          <w:sz w:val="22"/>
          <w:szCs w:val="22"/>
        </w:rPr>
        <w:t>Garn SM. 1970. The Earlier Gain and Later Loss of Cortical Bone. Springfield, IL: Charles C. Thomas.</w:t>
      </w:r>
    </w:p>
    <w:p w14:paraId="7C4A48BB" w14:textId="77777777" w:rsidR="00070298" w:rsidRPr="002B3438" w:rsidRDefault="00070298" w:rsidP="00070298">
      <w:pPr>
        <w:autoSpaceDE w:val="0"/>
        <w:autoSpaceDN w:val="0"/>
        <w:adjustRightInd w:val="0"/>
        <w:rPr>
          <w:sz w:val="22"/>
          <w:szCs w:val="22"/>
        </w:rPr>
      </w:pPr>
      <w:r w:rsidRPr="002B3438">
        <w:rPr>
          <w:sz w:val="22"/>
          <w:szCs w:val="22"/>
        </w:rPr>
        <w:t xml:space="preserve">Glencross B, Stuart-Macadam P. 2000. Childhood trauma in the archaeological record. </w:t>
      </w:r>
    </w:p>
    <w:p w14:paraId="48D51F4D" w14:textId="77777777" w:rsidR="00070298" w:rsidRPr="002B3438" w:rsidRDefault="00070298" w:rsidP="00070298">
      <w:pPr>
        <w:autoSpaceDE w:val="0"/>
        <w:autoSpaceDN w:val="0"/>
        <w:adjustRightInd w:val="0"/>
        <w:ind w:firstLine="360"/>
        <w:rPr>
          <w:sz w:val="22"/>
          <w:szCs w:val="22"/>
        </w:rPr>
      </w:pPr>
      <w:r w:rsidRPr="002B3438">
        <w:rPr>
          <w:sz w:val="22"/>
          <w:szCs w:val="22"/>
        </w:rPr>
        <w:t>Int J Osteoarch 10:198-209.</w:t>
      </w:r>
    </w:p>
    <w:p w14:paraId="331EA012" w14:textId="77777777" w:rsidR="00CD0AF6" w:rsidRPr="002B3438" w:rsidRDefault="00CD0AF6" w:rsidP="007C1D9B">
      <w:pPr>
        <w:ind w:left="360" w:hanging="360"/>
        <w:rPr>
          <w:sz w:val="22"/>
          <w:szCs w:val="22"/>
        </w:rPr>
      </w:pPr>
    </w:p>
    <w:p w14:paraId="38EF96E0" w14:textId="77777777" w:rsidR="00F422CE" w:rsidRPr="002B3438" w:rsidRDefault="00F422CE" w:rsidP="007C1D9B">
      <w:pPr>
        <w:ind w:left="360" w:hanging="360"/>
        <w:rPr>
          <w:sz w:val="22"/>
          <w:szCs w:val="22"/>
        </w:rPr>
      </w:pPr>
      <w:r w:rsidRPr="002B3438">
        <w:rPr>
          <w:sz w:val="22"/>
          <w:szCs w:val="22"/>
        </w:rPr>
        <w:t>Goldman HM, McFarlin SC, Cooper DLM, Thomas CDL, Clement JG.</w:t>
      </w:r>
      <w:r w:rsidR="00317B3C" w:rsidRPr="002B3438">
        <w:rPr>
          <w:sz w:val="22"/>
          <w:szCs w:val="22"/>
        </w:rPr>
        <w:t xml:space="preserve"> 2009.</w:t>
      </w:r>
      <w:r w:rsidRPr="002B3438">
        <w:rPr>
          <w:sz w:val="22"/>
          <w:szCs w:val="22"/>
        </w:rPr>
        <w:t xml:space="preserve"> Ontogenetic patterning of cortical bone microstructure and geometry at the human mid-shaft femur. Anatom Rec 292:48-64.</w:t>
      </w:r>
    </w:p>
    <w:p w14:paraId="5A7BDC06" w14:textId="77777777" w:rsidR="00F422CE" w:rsidRPr="002B3438" w:rsidRDefault="00F422CE" w:rsidP="007C1D9B">
      <w:pPr>
        <w:ind w:left="360" w:hanging="360"/>
        <w:rPr>
          <w:sz w:val="22"/>
          <w:szCs w:val="22"/>
        </w:rPr>
      </w:pPr>
    </w:p>
    <w:p w14:paraId="5CB4CB6A" w14:textId="77777777" w:rsidR="007C2C97" w:rsidRPr="002B3438" w:rsidRDefault="007C2C97" w:rsidP="007C1D9B">
      <w:pPr>
        <w:ind w:left="360" w:hanging="360"/>
        <w:rPr>
          <w:sz w:val="22"/>
          <w:szCs w:val="22"/>
        </w:rPr>
      </w:pPr>
      <w:r w:rsidRPr="002B3438">
        <w:rPr>
          <w:sz w:val="22"/>
          <w:szCs w:val="22"/>
        </w:rPr>
        <w:t>Goodman AH. 1991. Health, adaptation, and maladaptation in past societies. In: Bush H and Zvelebil M, editors. Health in Past Societies. BAR International Series, London. p. 31-38.</w:t>
      </w:r>
    </w:p>
    <w:p w14:paraId="1EEC774E" w14:textId="77777777" w:rsidR="007C2C97" w:rsidRPr="002B3438" w:rsidRDefault="007C2C97" w:rsidP="007C1D9B">
      <w:pPr>
        <w:ind w:left="360" w:hanging="360"/>
        <w:rPr>
          <w:sz w:val="22"/>
          <w:szCs w:val="22"/>
        </w:rPr>
      </w:pPr>
    </w:p>
    <w:p w14:paraId="70A99DFC" w14:textId="77777777" w:rsidR="00CB4014" w:rsidRPr="002B3438" w:rsidRDefault="00CB4014" w:rsidP="007C1D9B">
      <w:pPr>
        <w:ind w:left="360" w:hanging="360"/>
        <w:rPr>
          <w:sz w:val="22"/>
          <w:szCs w:val="22"/>
        </w:rPr>
      </w:pPr>
      <w:r w:rsidRPr="002B3438">
        <w:rPr>
          <w:sz w:val="22"/>
          <w:szCs w:val="22"/>
        </w:rPr>
        <w:t xml:space="preserve">Goodman AH, Armelagos GJ. 1988. Childhood stress and decreased longevity in a prehistoric population. </w:t>
      </w:r>
      <w:r w:rsidR="00065BB5" w:rsidRPr="002B3438">
        <w:rPr>
          <w:sz w:val="22"/>
          <w:szCs w:val="22"/>
        </w:rPr>
        <w:t>Am Anthropol</w:t>
      </w:r>
      <w:r w:rsidRPr="002B3438">
        <w:rPr>
          <w:sz w:val="22"/>
          <w:szCs w:val="22"/>
        </w:rPr>
        <w:t xml:space="preserve"> 90(4):936-944.</w:t>
      </w:r>
    </w:p>
    <w:p w14:paraId="361EC4A8" w14:textId="77777777" w:rsidR="00CB4014" w:rsidRPr="002B3438" w:rsidRDefault="00CB4014" w:rsidP="007C1D9B">
      <w:pPr>
        <w:ind w:left="360" w:hanging="360"/>
        <w:rPr>
          <w:sz w:val="22"/>
          <w:szCs w:val="22"/>
        </w:rPr>
      </w:pPr>
    </w:p>
    <w:p w14:paraId="556B4177" w14:textId="77777777" w:rsidR="007C2C97" w:rsidRPr="002B3438" w:rsidRDefault="007C2C97" w:rsidP="007C2C97">
      <w:pPr>
        <w:contextualSpacing/>
        <w:rPr>
          <w:sz w:val="22"/>
          <w:szCs w:val="22"/>
        </w:rPr>
      </w:pPr>
      <w:r w:rsidRPr="002B3438">
        <w:rPr>
          <w:sz w:val="22"/>
          <w:szCs w:val="22"/>
        </w:rPr>
        <w:t xml:space="preserve">Goodman AH, Armelagos GJ. 1989. Infant and childhood morbidity and mortality risks </w:t>
      </w:r>
    </w:p>
    <w:p w14:paraId="0EBB434E" w14:textId="77777777" w:rsidR="007C2C97" w:rsidRPr="002B3438" w:rsidRDefault="007C2C97" w:rsidP="007C2C97">
      <w:pPr>
        <w:ind w:firstLine="360"/>
        <w:contextualSpacing/>
        <w:rPr>
          <w:sz w:val="22"/>
          <w:szCs w:val="22"/>
        </w:rPr>
      </w:pPr>
      <w:r w:rsidRPr="002B3438">
        <w:rPr>
          <w:sz w:val="22"/>
          <w:szCs w:val="22"/>
        </w:rPr>
        <w:t>in archaeological populations. World Arch 21:225-243.</w:t>
      </w:r>
    </w:p>
    <w:p w14:paraId="4111CF58" w14:textId="77777777" w:rsidR="007C2C97" w:rsidRPr="002B3438" w:rsidRDefault="007C2C97" w:rsidP="007C1D9B">
      <w:pPr>
        <w:ind w:left="360" w:hanging="360"/>
        <w:rPr>
          <w:sz w:val="22"/>
          <w:szCs w:val="22"/>
        </w:rPr>
      </w:pPr>
    </w:p>
    <w:p w14:paraId="634C2BCC" w14:textId="77777777" w:rsidR="002F0EEE" w:rsidRPr="002B3438" w:rsidRDefault="002F0EEE" w:rsidP="002F0EEE">
      <w:pPr>
        <w:ind w:left="360" w:hanging="360"/>
        <w:rPr>
          <w:sz w:val="22"/>
          <w:szCs w:val="22"/>
        </w:rPr>
      </w:pPr>
      <w:r w:rsidRPr="002B3438">
        <w:rPr>
          <w:sz w:val="22"/>
          <w:szCs w:val="22"/>
        </w:rPr>
        <w:t>Goodman AH, Martin DL. 2002. Reconstructing health profiles from skeletal remains. In: Steckel RH, Rose JC, editors. The backbone of history: health and nutrition in the western hemisphere. London: Cambridge University Press. p 11-59.</w:t>
      </w:r>
    </w:p>
    <w:p w14:paraId="7C39203A" w14:textId="77777777" w:rsidR="002F0EEE" w:rsidRPr="002B3438" w:rsidRDefault="002F0EEE" w:rsidP="007C1D9B">
      <w:pPr>
        <w:ind w:left="360" w:hanging="360"/>
        <w:rPr>
          <w:sz w:val="22"/>
          <w:szCs w:val="22"/>
        </w:rPr>
      </w:pPr>
    </w:p>
    <w:p w14:paraId="36963939" w14:textId="77777777" w:rsidR="00317B3C" w:rsidRPr="002B3438" w:rsidRDefault="00317B3C" w:rsidP="007C1D9B">
      <w:pPr>
        <w:ind w:left="360" w:hanging="360"/>
        <w:rPr>
          <w:sz w:val="22"/>
          <w:szCs w:val="22"/>
        </w:rPr>
      </w:pPr>
      <w:r w:rsidRPr="002B3438">
        <w:rPr>
          <w:sz w:val="22"/>
          <w:szCs w:val="22"/>
        </w:rPr>
        <w:lastRenderedPageBreak/>
        <w:t>Goodman AH, Martin D, Armelagos GJ, Clark G. 1984. Indications of stress from bone and teeth. In Cohen MN and Armelagos GJ, editors. Paleopathology at the Origins of Agriculture</w:t>
      </w:r>
      <w:r w:rsidRPr="002B3438">
        <w:rPr>
          <w:i/>
          <w:sz w:val="22"/>
          <w:szCs w:val="22"/>
        </w:rPr>
        <w:t xml:space="preserve">. </w:t>
      </w:r>
      <w:r w:rsidRPr="002B3438">
        <w:rPr>
          <w:sz w:val="22"/>
          <w:szCs w:val="22"/>
        </w:rPr>
        <w:t>Orlando, Academic Press. p 13-49.</w:t>
      </w:r>
    </w:p>
    <w:p w14:paraId="3C1E05C4" w14:textId="77777777" w:rsidR="00317B3C" w:rsidRPr="002B3438" w:rsidRDefault="00317B3C" w:rsidP="007C1D9B">
      <w:pPr>
        <w:ind w:left="360" w:hanging="360"/>
        <w:rPr>
          <w:sz w:val="22"/>
          <w:szCs w:val="22"/>
        </w:rPr>
      </w:pPr>
    </w:p>
    <w:p w14:paraId="66D003AC" w14:textId="77777777" w:rsidR="007C2C97" w:rsidRPr="002B3438" w:rsidRDefault="007C2C97" w:rsidP="007C1D9B">
      <w:pPr>
        <w:ind w:left="360" w:hanging="360"/>
        <w:rPr>
          <w:sz w:val="22"/>
          <w:szCs w:val="22"/>
        </w:rPr>
      </w:pPr>
      <w:r w:rsidRPr="002B3438">
        <w:rPr>
          <w:sz w:val="22"/>
          <w:szCs w:val="22"/>
        </w:rPr>
        <w:t>Goodman AH, Thomas R, Swedlund A, Armelagos G. 1988. Biocultural perspectives on stress in prehistoric, historical, and contemporary population research. Yrbk Phys Anth 31:169-202.</w:t>
      </w:r>
    </w:p>
    <w:p w14:paraId="5529C4A9" w14:textId="77777777" w:rsidR="007C2C97" w:rsidRPr="002B3438" w:rsidRDefault="007C2C97" w:rsidP="007C1D9B">
      <w:pPr>
        <w:ind w:left="360" w:hanging="360"/>
        <w:rPr>
          <w:sz w:val="22"/>
          <w:szCs w:val="22"/>
        </w:rPr>
      </w:pPr>
    </w:p>
    <w:p w14:paraId="3E6A65CE" w14:textId="77777777" w:rsidR="00B248DC" w:rsidRPr="002B3438" w:rsidRDefault="00B248DC" w:rsidP="00B248DC">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Goodship AE, Cunningham JL. 2001. Pathophysiology of functional adaptation of bone in </w:t>
      </w:r>
    </w:p>
    <w:p w14:paraId="12D06495" w14:textId="77777777" w:rsidR="00B248DC" w:rsidRPr="002B3438" w:rsidRDefault="00B248DC" w:rsidP="00B248DC">
      <w:pPr>
        <w:autoSpaceDE w:val="0"/>
        <w:autoSpaceDN w:val="0"/>
        <w:adjustRightInd w:val="0"/>
        <w:ind w:left="375"/>
        <w:rPr>
          <w:rFonts w:eastAsia="NewCenturySchlbk-Roman"/>
          <w:color w:val="231F20"/>
          <w:sz w:val="22"/>
          <w:szCs w:val="22"/>
        </w:rPr>
      </w:pPr>
      <w:r w:rsidRPr="002B3438">
        <w:rPr>
          <w:rFonts w:eastAsia="NewCenturySchlbk-Roman"/>
          <w:color w:val="231F20"/>
          <w:sz w:val="22"/>
          <w:szCs w:val="22"/>
        </w:rPr>
        <w:t xml:space="preserve">remodeling and repair </w:t>
      </w:r>
      <w:r w:rsidRPr="002B3438">
        <w:rPr>
          <w:rFonts w:eastAsia="NewCenturySchlbk-Roman"/>
          <w:i/>
          <w:iCs/>
          <w:color w:val="231F20"/>
          <w:sz w:val="22"/>
          <w:szCs w:val="22"/>
        </w:rPr>
        <w:t>in vivo</w:t>
      </w:r>
      <w:r w:rsidRPr="002B3438">
        <w:rPr>
          <w:rFonts w:eastAsia="NewCenturySchlbk-Roman"/>
          <w:color w:val="231F20"/>
          <w:sz w:val="22"/>
          <w:szCs w:val="22"/>
        </w:rPr>
        <w:t>. In: Cowin SC, editor. Bone biomechanics handbook. Boca Raton: CRC Press. p 26-1–26-31.</w:t>
      </w:r>
    </w:p>
    <w:p w14:paraId="5FAF6C50" w14:textId="77777777" w:rsidR="00B248DC" w:rsidRPr="002B3438" w:rsidRDefault="00B248DC" w:rsidP="007C1D9B">
      <w:pPr>
        <w:ind w:left="360" w:hanging="360"/>
        <w:rPr>
          <w:sz w:val="22"/>
          <w:szCs w:val="22"/>
        </w:rPr>
      </w:pPr>
    </w:p>
    <w:p w14:paraId="67DB1E23" w14:textId="77777777" w:rsidR="00726D36" w:rsidRPr="002B3438" w:rsidRDefault="00726D36" w:rsidP="00726D36">
      <w:pPr>
        <w:autoSpaceDE w:val="0"/>
        <w:autoSpaceDN w:val="0"/>
        <w:adjustRightInd w:val="0"/>
        <w:rPr>
          <w:rFonts w:eastAsia="Calibri"/>
          <w:color w:val="231F20"/>
          <w:sz w:val="22"/>
          <w:szCs w:val="22"/>
        </w:rPr>
      </w:pPr>
      <w:r w:rsidRPr="002B3438">
        <w:rPr>
          <w:rFonts w:eastAsia="Calibri"/>
          <w:color w:val="231F20"/>
          <w:sz w:val="22"/>
          <w:szCs w:val="22"/>
        </w:rPr>
        <w:t>Goulding A, Jones IE, Taylor RW, Manning PJ, Williams SM. 2000. More broken bones: a 4-</w:t>
      </w:r>
    </w:p>
    <w:p w14:paraId="5C202631" w14:textId="77777777" w:rsidR="00726D36" w:rsidRPr="002B3438" w:rsidRDefault="00726D36" w:rsidP="00726D36">
      <w:pPr>
        <w:autoSpaceDE w:val="0"/>
        <w:autoSpaceDN w:val="0"/>
        <w:adjustRightInd w:val="0"/>
        <w:ind w:left="375"/>
        <w:rPr>
          <w:rFonts w:eastAsia="Calibri"/>
          <w:color w:val="231F20"/>
          <w:sz w:val="22"/>
          <w:szCs w:val="22"/>
        </w:rPr>
      </w:pPr>
      <w:r w:rsidRPr="002B3438">
        <w:rPr>
          <w:rFonts w:eastAsia="Calibri"/>
          <w:color w:val="231F20"/>
          <w:sz w:val="22"/>
          <w:szCs w:val="22"/>
        </w:rPr>
        <w:t>year double cohort study of young girls with and without distal forearm fractures. J Bone Miner Res 15:2011–2018.</w:t>
      </w:r>
    </w:p>
    <w:p w14:paraId="5865FAD8" w14:textId="77777777" w:rsidR="00726D36" w:rsidRPr="002B3438" w:rsidRDefault="00726D36" w:rsidP="00726D36">
      <w:pPr>
        <w:autoSpaceDE w:val="0"/>
        <w:autoSpaceDN w:val="0"/>
        <w:adjustRightInd w:val="0"/>
        <w:rPr>
          <w:rFonts w:eastAsia="Calibri"/>
          <w:color w:val="231F20"/>
          <w:sz w:val="22"/>
          <w:szCs w:val="22"/>
        </w:rPr>
      </w:pPr>
    </w:p>
    <w:p w14:paraId="5B551087" w14:textId="77777777" w:rsidR="00726D36" w:rsidRPr="002B3438" w:rsidRDefault="00726D36" w:rsidP="00726D36">
      <w:pPr>
        <w:autoSpaceDE w:val="0"/>
        <w:autoSpaceDN w:val="0"/>
        <w:adjustRightInd w:val="0"/>
        <w:rPr>
          <w:rFonts w:eastAsia="Calibri"/>
          <w:color w:val="231F20"/>
          <w:sz w:val="22"/>
          <w:szCs w:val="22"/>
        </w:rPr>
      </w:pPr>
      <w:r w:rsidRPr="002B3438">
        <w:rPr>
          <w:rFonts w:eastAsia="Calibri"/>
          <w:color w:val="231F20"/>
          <w:sz w:val="22"/>
          <w:szCs w:val="22"/>
        </w:rPr>
        <w:t xml:space="preserve">Goulding A, Jones IE, Taylor RW, Williams SM, Manning PJ. 2001. Bone mineral density and </w:t>
      </w:r>
    </w:p>
    <w:p w14:paraId="6967DFA3" w14:textId="77777777" w:rsidR="00726D36" w:rsidRPr="002B3438" w:rsidRDefault="00726D36" w:rsidP="00726D36">
      <w:pPr>
        <w:autoSpaceDE w:val="0"/>
        <w:autoSpaceDN w:val="0"/>
        <w:adjustRightInd w:val="0"/>
        <w:ind w:left="360"/>
        <w:rPr>
          <w:rFonts w:eastAsia="Calibri"/>
          <w:color w:val="231F20"/>
          <w:sz w:val="22"/>
          <w:szCs w:val="22"/>
        </w:rPr>
      </w:pPr>
      <w:r w:rsidRPr="002B3438">
        <w:rPr>
          <w:rFonts w:eastAsia="Calibri"/>
          <w:color w:val="231F20"/>
          <w:sz w:val="22"/>
          <w:szCs w:val="22"/>
        </w:rPr>
        <w:t>body composition in boys with distal forearm fractures: a dual-energy x-ray absorptiometry study. J Pediatr 139:509–15</w:t>
      </w:r>
    </w:p>
    <w:p w14:paraId="50FB4CD3" w14:textId="77777777" w:rsidR="00726D36" w:rsidRPr="002B3438" w:rsidRDefault="00726D36" w:rsidP="007C1D9B">
      <w:pPr>
        <w:ind w:left="360" w:hanging="360"/>
        <w:rPr>
          <w:sz w:val="22"/>
          <w:szCs w:val="22"/>
        </w:rPr>
      </w:pPr>
    </w:p>
    <w:p w14:paraId="53BF27F9" w14:textId="77777777" w:rsidR="000E3CEF" w:rsidRPr="002B3438" w:rsidRDefault="00351BB9" w:rsidP="000E3CEF">
      <w:pPr>
        <w:ind w:left="360" w:hanging="360"/>
        <w:rPr>
          <w:sz w:val="22"/>
          <w:szCs w:val="22"/>
        </w:rPr>
      </w:pPr>
      <w:r w:rsidRPr="002B3438">
        <w:rPr>
          <w:sz w:val="22"/>
          <w:szCs w:val="22"/>
        </w:rPr>
        <w:t>Granik G, Stein I.</w:t>
      </w:r>
      <w:r w:rsidR="00F622C7" w:rsidRPr="002B3438">
        <w:rPr>
          <w:sz w:val="22"/>
          <w:szCs w:val="22"/>
        </w:rPr>
        <w:t xml:space="preserve"> 1973. Human ribs: static testing as a promising medi</w:t>
      </w:r>
      <w:r w:rsidRPr="002B3438">
        <w:rPr>
          <w:sz w:val="22"/>
          <w:szCs w:val="22"/>
        </w:rPr>
        <w:t>cal application. J Biomech 6:</w:t>
      </w:r>
      <w:r w:rsidR="00F622C7" w:rsidRPr="002B3438">
        <w:rPr>
          <w:sz w:val="22"/>
          <w:szCs w:val="22"/>
        </w:rPr>
        <w:t>237–240.</w:t>
      </w:r>
    </w:p>
    <w:p w14:paraId="676D55D2" w14:textId="77777777" w:rsidR="000E3CEF" w:rsidRPr="002B3438" w:rsidRDefault="000E3CEF" w:rsidP="000E3CEF">
      <w:pPr>
        <w:ind w:left="360" w:hanging="360"/>
        <w:rPr>
          <w:sz w:val="22"/>
          <w:szCs w:val="22"/>
        </w:rPr>
      </w:pPr>
    </w:p>
    <w:p w14:paraId="68823560" w14:textId="77777777" w:rsidR="008135B6" w:rsidRPr="002B3438" w:rsidRDefault="008135B6" w:rsidP="000E3CEF">
      <w:pPr>
        <w:ind w:left="360" w:hanging="360"/>
        <w:rPr>
          <w:sz w:val="22"/>
          <w:szCs w:val="22"/>
        </w:rPr>
      </w:pPr>
      <w:r w:rsidRPr="002B3438">
        <w:rPr>
          <w:sz w:val="22"/>
          <w:szCs w:val="22"/>
        </w:rPr>
        <w:t>Grech P, Martin TJ, Barrington NA and Ell PJ. 1985. Diagnosis of Metabolic Bone Disease. London: Chapman &amp; Hall Medical.</w:t>
      </w:r>
    </w:p>
    <w:p w14:paraId="664686C7" w14:textId="77777777" w:rsidR="008135B6" w:rsidRPr="002B3438" w:rsidRDefault="008135B6" w:rsidP="000E3CEF">
      <w:pPr>
        <w:ind w:left="360" w:hanging="360"/>
        <w:rPr>
          <w:sz w:val="22"/>
          <w:szCs w:val="22"/>
        </w:rPr>
      </w:pPr>
    </w:p>
    <w:p w14:paraId="3AAD7781" w14:textId="77777777" w:rsidR="00065BB5" w:rsidRPr="002B3438" w:rsidRDefault="00065BB5" w:rsidP="000E3CEF">
      <w:pPr>
        <w:ind w:left="360" w:hanging="360"/>
        <w:rPr>
          <w:sz w:val="22"/>
          <w:szCs w:val="22"/>
        </w:rPr>
      </w:pPr>
      <w:r w:rsidRPr="002B3438">
        <w:rPr>
          <w:sz w:val="22"/>
          <w:szCs w:val="22"/>
        </w:rPr>
        <w:t>Grewar D. 1965. Infantile scurvy. Clin Pediatr 4:82-89.</w:t>
      </w:r>
    </w:p>
    <w:p w14:paraId="2BCE6954" w14:textId="77777777" w:rsidR="00065BB5" w:rsidRPr="002B3438" w:rsidRDefault="00065BB5" w:rsidP="000E3CEF">
      <w:pPr>
        <w:ind w:left="360" w:hanging="360"/>
        <w:rPr>
          <w:sz w:val="22"/>
          <w:szCs w:val="22"/>
        </w:rPr>
      </w:pPr>
    </w:p>
    <w:p w14:paraId="28AB90B6" w14:textId="77777777" w:rsidR="008135B6" w:rsidRPr="002B3438" w:rsidRDefault="008135B6" w:rsidP="000E3CEF">
      <w:pPr>
        <w:ind w:left="360" w:hanging="360"/>
        <w:rPr>
          <w:sz w:val="22"/>
          <w:szCs w:val="22"/>
        </w:rPr>
      </w:pPr>
      <w:r w:rsidRPr="002B3438">
        <w:rPr>
          <w:sz w:val="22"/>
          <w:szCs w:val="22"/>
        </w:rPr>
        <w:t>Grynpas MD. 2003. The role of bone quality on bone loss and bone fragility. In: Agarwal SC and Stout SD, editors. Bone Loss and Osteoporosis: An Anthropological Perspective. New York: Kluwer Academic Press, pp. 33-44.</w:t>
      </w:r>
    </w:p>
    <w:p w14:paraId="58DB5DBF" w14:textId="77777777" w:rsidR="00070298" w:rsidRPr="002B3438" w:rsidRDefault="00070298" w:rsidP="000E3CEF">
      <w:pPr>
        <w:ind w:left="360" w:hanging="360"/>
        <w:rPr>
          <w:sz w:val="22"/>
          <w:szCs w:val="22"/>
        </w:rPr>
      </w:pPr>
    </w:p>
    <w:p w14:paraId="72A85B19" w14:textId="77777777" w:rsidR="00070298" w:rsidRPr="002B3438" w:rsidRDefault="00070298" w:rsidP="000E3CEF">
      <w:pPr>
        <w:ind w:left="360" w:hanging="360"/>
        <w:rPr>
          <w:sz w:val="22"/>
          <w:szCs w:val="22"/>
        </w:rPr>
      </w:pPr>
      <w:r w:rsidRPr="002B3438">
        <w:rPr>
          <w:sz w:val="22"/>
          <w:szCs w:val="22"/>
        </w:rPr>
        <w:t>Grynpas MD and Holmyard D. 1988. Changes in quality of bone mineral on aging and</w:t>
      </w:r>
      <w:r w:rsidR="00B92502" w:rsidRPr="002B3438">
        <w:rPr>
          <w:sz w:val="22"/>
          <w:szCs w:val="22"/>
        </w:rPr>
        <w:t xml:space="preserve"> in disease. Scanning Microsc</w:t>
      </w:r>
      <w:r w:rsidRPr="002B3438">
        <w:rPr>
          <w:sz w:val="22"/>
          <w:szCs w:val="22"/>
        </w:rPr>
        <w:t xml:space="preserve"> 2:1045-1054.</w:t>
      </w:r>
    </w:p>
    <w:p w14:paraId="3FBBD1CE" w14:textId="77777777" w:rsidR="00070298" w:rsidRPr="002B3438" w:rsidRDefault="00070298" w:rsidP="000E3CEF">
      <w:pPr>
        <w:ind w:left="360" w:hanging="360"/>
        <w:rPr>
          <w:sz w:val="22"/>
          <w:szCs w:val="22"/>
        </w:rPr>
      </w:pPr>
    </w:p>
    <w:p w14:paraId="236CB244" w14:textId="77777777" w:rsidR="00601B09" w:rsidRPr="002B3438" w:rsidRDefault="00601B09" w:rsidP="00601B09">
      <w:pPr>
        <w:pStyle w:val="ListParagraph"/>
        <w:autoSpaceDE w:val="0"/>
        <w:autoSpaceDN w:val="0"/>
        <w:adjustRightInd w:val="0"/>
        <w:ind w:left="0"/>
        <w:jc w:val="both"/>
        <w:rPr>
          <w:sz w:val="22"/>
          <w:szCs w:val="22"/>
        </w:rPr>
      </w:pPr>
      <w:r w:rsidRPr="002B3438">
        <w:rPr>
          <w:sz w:val="22"/>
          <w:szCs w:val="22"/>
        </w:rPr>
        <w:t>Gudavičius E. 1989. Alytau</w:t>
      </w:r>
      <w:r w:rsidR="00F50D1A" w:rsidRPr="002B3438">
        <w:rPr>
          <w:sz w:val="22"/>
          <w:szCs w:val="22"/>
        </w:rPr>
        <w:t>s žemė. In Leščinskienė, D</w:t>
      </w:r>
      <w:r w:rsidRPr="002B3438">
        <w:rPr>
          <w:sz w:val="22"/>
          <w:szCs w:val="22"/>
        </w:rPr>
        <w:t xml:space="preserve">, editor. Alytaus miesto ir apylinkių </w:t>
      </w:r>
    </w:p>
    <w:p w14:paraId="1BFF99CC" w14:textId="77777777" w:rsidR="00601B09" w:rsidRPr="002B3438" w:rsidRDefault="00601B09" w:rsidP="00601B09">
      <w:pPr>
        <w:pStyle w:val="ListParagraph"/>
        <w:autoSpaceDE w:val="0"/>
        <w:autoSpaceDN w:val="0"/>
        <w:adjustRightInd w:val="0"/>
        <w:ind w:left="0" w:firstLine="360"/>
        <w:jc w:val="both"/>
        <w:rPr>
          <w:sz w:val="22"/>
          <w:szCs w:val="22"/>
        </w:rPr>
      </w:pPr>
      <w:r w:rsidRPr="002B3438">
        <w:rPr>
          <w:sz w:val="22"/>
          <w:szCs w:val="22"/>
        </w:rPr>
        <w:t>istorijos bruožai. Mokslas, Vilnius</w:t>
      </w:r>
    </w:p>
    <w:p w14:paraId="37BBD857" w14:textId="77777777" w:rsidR="00601B09" w:rsidRPr="002B3438" w:rsidRDefault="00601B09" w:rsidP="000E3CEF">
      <w:pPr>
        <w:ind w:left="360" w:hanging="360"/>
        <w:rPr>
          <w:sz w:val="22"/>
          <w:szCs w:val="22"/>
        </w:rPr>
      </w:pPr>
    </w:p>
    <w:p w14:paraId="3C67420B" w14:textId="77777777" w:rsidR="000E3CEF" w:rsidRPr="002B3438" w:rsidRDefault="000E3CEF" w:rsidP="000E3CEF">
      <w:pPr>
        <w:ind w:left="360" w:hanging="360"/>
        <w:rPr>
          <w:sz w:val="22"/>
          <w:szCs w:val="22"/>
        </w:rPr>
      </w:pPr>
      <w:r w:rsidRPr="002B3438">
        <w:rPr>
          <w:sz w:val="22"/>
          <w:szCs w:val="22"/>
        </w:rPr>
        <w:t>Gurven M, Kaplan H, Gutierrez M. 2006. How long does it take to become a proficient hunter? Implications for the evolution of extended development and long life span. J Hum Evol 51:454-470.</w:t>
      </w:r>
    </w:p>
    <w:p w14:paraId="605D81ED" w14:textId="77777777" w:rsidR="001C63C7" w:rsidRPr="002B3438" w:rsidRDefault="001C63C7" w:rsidP="001C63C7">
      <w:pPr>
        <w:ind w:left="360" w:hanging="360"/>
        <w:rPr>
          <w:sz w:val="22"/>
          <w:szCs w:val="22"/>
        </w:rPr>
      </w:pPr>
    </w:p>
    <w:p w14:paraId="7E4E4A71" w14:textId="77777777" w:rsidR="00ED2F2C" w:rsidRPr="002B3438" w:rsidRDefault="00ED2F2C" w:rsidP="00ED2F2C">
      <w:pPr>
        <w:autoSpaceDE w:val="0"/>
        <w:autoSpaceDN w:val="0"/>
        <w:adjustRightInd w:val="0"/>
        <w:rPr>
          <w:rFonts w:eastAsia="Calibri"/>
          <w:sz w:val="22"/>
          <w:szCs w:val="22"/>
        </w:rPr>
      </w:pPr>
      <w:r w:rsidRPr="002B3438">
        <w:rPr>
          <w:rFonts w:eastAsia="Calibri"/>
          <w:sz w:val="22"/>
          <w:szCs w:val="22"/>
        </w:rPr>
        <w:t xml:space="preserve">Haapasalo H, Sievanen H, Kannlls P, Heinonen A, Oja P, Vuori I. 1996. Dimensions and </w:t>
      </w:r>
    </w:p>
    <w:p w14:paraId="1C8AE017" w14:textId="77777777" w:rsidR="00ED2F2C" w:rsidRPr="002B3438" w:rsidRDefault="00ED2F2C" w:rsidP="00ED2F2C">
      <w:pPr>
        <w:autoSpaceDE w:val="0"/>
        <w:autoSpaceDN w:val="0"/>
        <w:adjustRightInd w:val="0"/>
        <w:ind w:left="375"/>
        <w:rPr>
          <w:rFonts w:eastAsia="Calibri"/>
          <w:sz w:val="22"/>
          <w:szCs w:val="22"/>
        </w:rPr>
      </w:pPr>
      <w:r w:rsidRPr="002B3438">
        <w:rPr>
          <w:rFonts w:eastAsia="Calibri"/>
          <w:sz w:val="22"/>
          <w:szCs w:val="22"/>
        </w:rPr>
        <w:t>estimated mechanical characteristics of the humerus after long-term tennis loading. J Bone Miner Res 11:864-872.</w:t>
      </w:r>
    </w:p>
    <w:p w14:paraId="16C3A2C2" w14:textId="77777777" w:rsidR="00ED2F2C" w:rsidRPr="002B3438" w:rsidRDefault="00ED2F2C" w:rsidP="00ED2F2C">
      <w:pPr>
        <w:ind w:left="360" w:hanging="360"/>
        <w:rPr>
          <w:sz w:val="22"/>
          <w:szCs w:val="22"/>
        </w:rPr>
      </w:pPr>
    </w:p>
    <w:p w14:paraId="6A479C21" w14:textId="77777777" w:rsidR="001C63C7" w:rsidRPr="002B3438" w:rsidRDefault="001C63C7" w:rsidP="001C63C7">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Haapasalo H, Kannus P, Sievänen H, Pasanen M, Uusi-Rasi K, Heinonen A, Oja P, Vuori I. </w:t>
      </w:r>
    </w:p>
    <w:p w14:paraId="583D8BE8" w14:textId="77777777" w:rsidR="001C63C7" w:rsidRPr="002B3438" w:rsidRDefault="001C63C7" w:rsidP="001C63C7">
      <w:pPr>
        <w:autoSpaceDE w:val="0"/>
        <w:autoSpaceDN w:val="0"/>
        <w:adjustRightInd w:val="0"/>
        <w:ind w:left="360"/>
        <w:rPr>
          <w:rFonts w:eastAsia="NewCenturySchlbk-Roman"/>
          <w:color w:val="231F20"/>
          <w:sz w:val="22"/>
          <w:szCs w:val="22"/>
        </w:rPr>
      </w:pPr>
      <w:r w:rsidRPr="002B3438">
        <w:rPr>
          <w:rFonts w:eastAsia="NewCenturySchlbk-Roman"/>
          <w:color w:val="231F20"/>
          <w:sz w:val="22"/>
          <w:szCs w:val="22"/>
        </w:rPr>
        <w:t>1998. Effect of long-term unilateral activity on bone mineral density of female junior tennis players. J Bone Miner Res 13:310–319.</w:t>
      </w:r>
    </w:p>
    <w:p w14:paraId="4C2D2F07" w14:textId="77777777" w:rsidR="001C63C7" w:rsidRPr="002B3438" w:rsidRDefault="001C63C7" w:rsidP="001C63C7">
      <w:pPr>
        <w:ind w:left="360" w:hanging="360"/>
        <w:rPr>
          <w:sz w:val="22"/>
          <w:szCs w:val="22"/>
        </w:rPr>
      </w:pPr>
    </w:p>
    <w:p w14:paraId="7C720105" w14:textId="77777777" w:rsidR="006F36B3" w:rsidRPr="002B3438" w:rsidRDefault="006F36B3" w:rsidP="006F36B3">
      <w:pPr>
        <w:autoSpaceDE w:val="0"/>
        <w:autoSpaceDN w:val="0"/>
        <w:adjustRightInd w:val="0"/>
        <w:rPr>
          <w:sz w:val="22"/>
          <w:szCs w:val="22"/>
        </w:rPr>
      </w:pPr>
      <w:r w:rsidRPr="002B3438">
        <w:rPr>
          <w:sz w:val="22"/>
          <w:szCs w:val="22"/>
        </w:rPr>
        <w:t>Haapasalo H, Kontulainen S, Sievänen H, Kannus P, Järvinen M, Vouri I. 2000. Exercise</w:t>
      </w:r>
      <w:r w:rsidR="007C03B5" w:rsidRPr="002B3438">
        <w:rPr>
          <w:sz w:val="22"/>
          <w:szCs w:val="22"/>
        </w:rPr>
        <w:t xml:space="preserve"> </w:t>
      </w:r>
      <w:r w:rsidRPr="002B3438">
        <w:rPr>
          <w:sz w:val="22"/>
          <w:szCs w:val="22"/>
        </w:rPr>
        <w:t>induced</w:t>
      </w:r>
    </w:p>
    <w:p w14:paraId="3C9E2915" w14:textId="77777777" w:rsidR="006F36B3" w:rsidRPr="002B3438" w:rsidRDefault="006F36B3" w:rsidP="006F36B3">
      <w:pPr>
        <w:autoSpaceDE w:val="0"/>
        <w:autoSpaceDN w:val="0"/>
        <w:adjustRightInd w:val="0"/>
        <w:ind w:left="360"/>
        <w:rPr>
          <w:sz w:val="22"/>
          <w:szCs w:val="22"/>
        </w:rPr>
      </w:pPr>
      <w:r w:rsidRPr="002B3438">
        <w:rPr>
          <w:sz w:val="22"/>
          <w:szCs w:val="22"/>
        </w:rPr>
        <w:lastRenderedPageBreak/>
        <w:t xml:space="preserve">bone gain is due to enlargement in bone size with a change in volumetric bone density: A peripheral quantitative computed tomography study of the upper arms of male tennis players. </w:t>
      </w:r>
      <w:r w:rsidRPr="002B3438">
        <w:rPr>
          <w:iCs/>
          <w:sz w:val="22"/>
          <w:szCs w:val="22"/>
        </w:rPr>
        <w:t xml:space="preserve">Bone </w:t>
      </w:r>
      <w:r w:rsidRPr="002B3438">
        <w:rPr>
          <w:sz w:val="22"/>
          <w:szCs w:val="22"/>
        </w:rPr>
        <w:t>27:351-357.</w:t>
      </w:r>
    </w:p>
    <w:p w14:paraId="1A9AE5AB" w14:textId="77777777" w:rsidR="005C58AA" w:rsidRPr="002B3438" w:rsidRDefault="005C58AA" w:rsidP="005C58AA">
      <w:pPr>
        <w:ind w:left="360" w:hanging="360"/>
        <w:rPr>
          <w:sz w:val="22"/>
          <w:szCs w:val="22"/>
        </w:rPr>
      </w:pPr>
    </w:p>
    <w:p w14:paraId="43699F32" w14:textId="77777777" w:rsidR="005C58AA" w:rsidRPr="002B3438" w:rsidRDefault="005C58AA" w:rsidP="005C58AA">
      <w:pPr>
        <w:ind w:left="360" w:hanging="360"/>
        <w:rPr>
          <w:sz w:val="22"/>
          <w:szCs w:val="22"/>
        </w:rPr>
      </w:pPr>
      <w:r w:rsidRPr="002B3438">
        <w:rPr>
          <w:sz w:val="22"/>
          <w:szCs w:val="22"/>
        </w:rPr>
        <w:t>Halioua L, Anderson JJB. 1989. Lifetime calcium intake and physical activity habits: independent and combined effects on the radial bone of healthy premenopausal Caucasian women. Am J Clin Nutr 49:534-541.</w:t>
      </w:r>
    </w:p>
    <w:p w14:paraId="460D2558" w14:textId="77777777" w:rsidR="005C58AA" w:rsidRPr="002B3438" w:rsidRDefault="005C58AA" w:rsidP="005C58AA">
      <w:pPr>
        <w:ind w:left="360" w:hanging="360"/>
        <w:rPr>
          <w:sz w:val="22"/>
          <w:szCs w:val="22"/>
        </w:rPr>
      </w:pPr>
    </w:p>
    <w:p w14:paraId="015E7531" w14:textId="77777777" w:rsidR="005C58AA" w:rsidRPr="002B3438" w:rsidRDefault="005C58AA" w:rsidP="005C58AA">
      <w:pPr>
        <w:autoSpaceDE w:val="0"/>
        <w:autoSpaceDN w:val="0"/>
        <w:adjustRightInd w:val="0"/>
        <w:rPr>
          <w:sz w:val="22"/>
          <w:szCs w:val="22"/>
        </w:rPr>
      </w:pPr>
      <w:r w:rsidRPr="002B3438">
        <w:rPr>
          <w:rFonts w:eastAsia="Calibri"/>
          <w:sz w:val="22"/>
          <w:szCs w:val="22"/>
        </w:rPr>
        <w:t xml:space="preserve">Hall MC. 1965.The Locomotor System: Functional Histology. </w:t>
      </w:r>
      <w:r w:rsidRPr="002B3438">
        <w:rPr>
          <w:sz w:val="22"/>
          <w:szCs w:val="22"/>
        </w:rPr>
        <w:t>The Henry Ford Hospital surgical</w:t>
      </w:r>
    </w:p>
    <w:p w14:paraId="1FC29293" w14:textId="77777777" w:rsidR="005C58AA" w:rsidRPr="002B3438" w:rsidRDefault="005C58AA" w:rsidP="005C58AA">
      <w:pPr>
        <w:autoSpaceDE w:val="0"/>
        <w:autoSpaceDN w:val="0"/>
        <w:adjustRightInd w:val="0"/>
        <w:ind w:firstLine="360"/>
        <w:rPr>
          <w:rFonts w:eastAsia="Calibri"/>
          <w:sz w:val="22"/>
          <w:szCs w:val="22"/>
        </w:rPr>
      </w:pPr>
      <w:r w:rsidRPr="002B3438">
        <w:rPr>
          <w:sz w:val="22"/>
          <w:szCs w:val="22"/>
        </w:rPr>
        <w:t xml:space="preserve">monographs, </w:t>
      </w:r>
      <w:r w:rsidRPr="002B3438">
        <w:rPr>
          <w:rFonts w:eastAsia="Calibri"/>
          <w:sz w:val="22"/>
          <w:szCs w:val="22"/>
        </w:rPr>
        <w:t>Springfield, IL: Charles C. Thomas.</w:t>
      </w:r>
    </w:p>
    <w:p w14:paraId="067DC69B" w14:textId="77777777" w:rsidR="005C58AA" w:rsidRPr="002B3438" w:rsidRDefault="005C58AA" w:rsidP="005C58AA">
      <w:pPr>
        <w:ind w:left="360" w:hanging="360"/>
        <w:rPr>
          <w:sz w:val="22"/>
          <w:szCs w:val="22"/>
        </w:rPr>
      </w:pPr>
    </w:p>
    <w:p w14:paraId="2238E5F0" w14:textId="77777777" w:rsidR="005C58AA" w:rsidRPr="002B3438" w:rsidRDefault="005C58AA" w:rsidP="005C58AA">
      <w:pPr>
        <w:autoSpaceDE w:val="0"/>
        <w:autoSpaceDN w:val="0"/>
        <w:adjustRightInd w:val="0"/>
        <w:rPr>
          <w:rFonts w:eastAsia="Calibri"/>
          <w:sz w:val="22"/>
          <w:szCs w:val="22"/>
        </w:rPr>
      </w:pPr>
      <w:r w:rsidRPr="002B3438">
        <w:rPr>
          <w:rFonts w:eastAsia="Calibri"/>
          <w:sz w:val="22"/>
          <w:szCs w:val="22"/>
        </w:rPr>
        <w:t>Harel Z, Gold M, Cromer B, Bruner A, Stager M, Bachrach L,</w:t>
      </w:r>
      <w:r w:rsidRPr="002B3438">
        <w:rPr>
          <w:rStyle w:val="apple-converted-space"/>
          <w:sz w:val="22"/>
          <w:szCs w:val="22"/>
          <w:shd w:val="clear" w:color="auto" w:fill="FFFFFF"/>
        </w:rPr>
        <w:t> </w:t>
      </w:r>
      <w:hyperlink r:id="rId25" w:history="1">
        <w:r w:rsidRPr="002B3438">
          <w:rPr>
            <w:rStyle w:val="Hyperlink"/>
            <w:color w:val="auto"/>
            <w:sz w:val="22"/>
            <w:szCs w:val="22"/>
            <w:u w:val="none"/>
            <w:shd w:val="clear" w:color="auto" w:fill="FFFFFF"/>
          </w:rPr>
          <w:t>Wolter K</w:t>
        </w:r>
      </w:hyperlink>
      <w:r w:rsidRPr="002B3438">
        <w:rPr>
          <w:sz w:val="22"/>
          <w:szCs w:val="22"/>
          <w:shd w:val="clear" w:color="auto" w:fill="FFFFFF"/>
        </w:rPr>
        <w:t>,</w:t>
      </w:r>
      <w:r w:rsidRPr="002B3438">
        <w:rPr>
          <w:rStyle w:val="apple-converted-space"/>
          <w:sz w:val="22"/>
          <w:szCs w:val="22"/>
          <w:shd w:val="clear" w:color="auto" w:fill="FFFFFF"/>
        </w:rPr>
        <w:t> </w:t>
      </w:r>
      <w:hyperlink r:id="rId26" w:history="1">
        <w:r w:rsidRPr="002B3438">
          <w:rPr>
            <w:rStyle w:val="Hyperlink"/>
            <w:color w:val="auto"/>
            <w:sz w:val="22"/>
            <w:szCs w:val="22"/>
            <w:u w:val="none"/>
            <w:shd w:val="clear" w:color="auto" w:fill="FFFFFF"/>
          </w:rPr>
          <w:t>Reid C</w:t>
        </w:r>
      </w:hyperlink>
      <w:r w:rsidRPr="002B3438">
        <w:rPr>
          <w:sz w:val="22"/>
          <w:szCs w:val="22"/>
          <w:shd w:val="clear" w:color="auto" w:fill="FFFFFF"/>
        </w:rPr>
        <w:t>,</w:t>
      </w:r>
      <w:r w:rsidRPr="002B3438">
        <w:rPr>
          <w:rStyle w:val="apple-converted-space"/>
          <w:sz w:val="22"/>
          <w:szCs w:val="22"/>
          <w:shd w:val="clear" w:color="auto" w:fill="FFFFFF"/>
        </w:rPr>
        <w:t> </w:t>
      </w:r>
      <w:hyperlink r:id="rId27" w:history="1">
        <w:r w:rsidRPr="002B3438">
          <w:rPr>
            <w:rStyle w:val="Hyperlink"/>
            <w:color w:val="auto"/>
            <w:sz w:val="22"/>
            <w:szCs w:val="22"/>
            <w:u w:val="none"/>
            <w:shd w:val="clear" w:color="auto" w:fill="FFFFFF"/>
          </w:rPr>
          <w:t>Hertweck P</w:t>
        </w:r>
      </w:hyperlink>
      <w:r w:rsidRPr="002B3438">
        <w:rPr>
          <w:sz w:val="22"/>
          <w:szCs w:val="22"/>
          <w:shd w:val="clear" w:color="auto" w:fill="FFFFFF"/>
        </w:rPr>
        <w:t>,</w:t>
      </w:r>
      <w:r w:rsidRPr="002B3438">
        <w:rPr>
          <w:rStyle w:val="apple-converted-space"/>
          <w:sz w:val="22"/>
          <w:szCs w:val="22"/>
          <w:shd w:val="clear" w:color="auto" w:fill="FFFFFF"/>
        </w:rPr>
        <w:t> </w:t>
      </w:r>
      <w:hyperlink r:id="rId28" w:history="1">
        <w:r w:rsidRPr="002B3438">
          <w:rPr>
            <w:rStyle w:val="Hyperlink"/>
            <w:color w:val="auto"/>
            <w:sz w:val="22"/>
            <w:szCs w:val="22"/>
            <w:u w:val="none"/>
            <w:shd w:val="clear" w:color="auto" w:fill="FFFFFF"/>
          </w:rPr>
          <w:t>Nelson A</w:t>
        </w:r>
      </w:hyperlink>
      <w:r w:rsidRPr="002B3438">
        <w:rPr>
          <w:sz w:val="22"/>
          <w:szCs w:val="22"/>
          <w:shd w:val="clear" w:color="auto" w:fill="FFFFFF"/>
        </w:rPr>
        <w:t>,</w:t>
      </w:r>
      <w:r w:rsidRPr="002B3438">
        <w:rPr>
          <w:rStyle w:val="apple-converted-space"/>
          <w:sz w:val="22"/>
          <w:szCs w:val="22"/>
          <w:shd w:val="clear" w:color="auto" w:fill="FFFFFF"/>
        </w:rPr>
        <w:t> </w:t>
      </w:r>
      <w:hyperlink r:id="rId29" w:history="1">
        <w:r w:rsidRPr="002B3438">
          <w:rPr>
            <w:rStyle w:val="Hyperlink"/>
            <w:color w:val="auto"/>
            <w:sz w:val="22"/>
            <w:szCs w:val="22"/>
            <w:u w:val="none"/>
            <w:shd w:val="clear" w:color="auto" w:fill="FFFFFF"/>
          </w:rPr>
          <w:t>Nelson D</w:t>
        </w:r>
      </w:hyperlink>
      <w:r w:rsidRPr="002B3438">
        <w:rPr>
          <w:sz w:val="22"/>
          <w:szCs w:val="22"/>
          <w:shd w:val="clear" w:color="auto" w:fill="FFFFFF"/>
        </w:rPr>
        <w:t>,</w:t>
      </w:r>
      <w:r w:rsidRPr="002B3438">
        <w:rPr>
          <w:rStyle w:val="apple-converted-space"/>
          <w:sz w:val="22"/>
          <w:szCs w:val="22"/>
          <w:shd w:val="clear" w:color="auto" w:fill="FFFFFF"/>
        </w:rPr>
        <w:t> </w:t>
      </w:r>
      <w:hyperlink r:id="rId30" w:history="1">
        <w:r w:rsidRPr="002B3438">
          <w:rPr>
            <w:rStyle w:val="Hyperlink"/>
            <w:color w:val="auto"/>
            <w:sz w:val="22"/>
            <w:szCs w:val="22"/>
            <w:u w:val="none"/>
            <w:shd w:val="clear" w:color="auto" w:fill="FFFFFF"/>
          </w:rPr>
          <w:t>Coupey S</w:t>
        </w:r>
      </w:hyperlink>
      <w:r w:rsidRPr="002B3438">
        <w:rPr>
          <w:sz w:val="22"/>
          <w:szCs w:val="22"/>
          <w:shd w:val="clear" w:color="auto" w:fill="FFFFFF"/>
        </w:rPr>
        <w:t>,</w:t>
      </w:r>
      <w:r w:rsidRPr="002B3438">
        <w:rPr>
          <w:rStyle w:val="apple-converted-space"/>
          <w:sz w:val="22"/>
          <w:szCs w:val="22"/>
          <w:shd w:val="clear" w:color="auto" w:fill="FFFFFF"/>
        </w:rPr>
        <w:t> </w:t>
      </w:r>
      <w:hyperlink r:id="rId31" w:history="1">
        <w:r w:rsidRPr="002B3438">
          <w:rPr>
            <w:rStyle w:val="Hyperlink"/>
            <w:color w:val="auto"/>
            <w:sz w:val="22"/>
            <w:szCs w:val="22"/>
            <w:u w:val="none"/>
            <w:shd w:val="clear" w:color="auto" w:fill="FFFFFF"/>
          </w:rPr>
          <w:t>Johnson C</w:t>
        </w:r>
      </w:hyperlink>
      <w:r w:rsidRPr="002B3438">
        <w:rPr>
          <w:sz w:val="22"/>
          <w:szCs w:val="22"/>
          <w:shd w:val="clear" w:color="auto" w:fill="FFFFFF"/>
        </w:rPr>
        <w:t>,</w:t>
      </w:r>
      <w:r w:rsidRPr="002B3438">
        <w:rPr>
          <w:rStyle w:val="apple-converted-space"/>
          <w:sz w:val="22"/>
          <w:szCs w:val="22"/>
          <w:shd w:val="clear" w:color="auto" w:fill="FFFFFF"/>
        </w:rPr>
        <w:t> </w:t>
      </w:r>
      <w:hyperlink r:id="rId32" w:history="1">
        <w:r w:rsidRPr="002B3438">
          <w:rPr>
            <w:rStyle w:val="Hyperlink"/>
            <w:color w:val="auto"/>
            <w:sz w:val="22"/>
            <w:szCs w:val="22"/>
            <w:u w:val="none"/>
            <w:shd w:val="clear" w:color="auto" w:fill="FFFFFF"/>
          </w:rPr>
          <w:t>Burkman R</w:t>
        </w:r>
      </w:hyperlink>
      <w:r w:rsidRPr="002B3438">
        <w:rPr>
          <w:sz w:val="22"/>
          <w:szCs w:val="22"/>
          <w:shd w:val="clear" w:color="auto" w:fill="FFFFFF"/>
        </w:rPr>
        <w:t>,</w:t>
      </w:r>
      <w:r w:rsidRPr="002B3438">
        <w:rPr>
          <w:rStyle w:val="apple-converted-space"/>
          <w:sz w:val="22"/>
          <w:szCs w:val="22"/>
          <w:shd w:val="clear" w:color="auto" w:fill="FFFFFF"/>
        </w:rPr>
        <w:t> </w:t>
      </w:r>
      <w:r w:rsidRPr="002B3438">
        <w:rPr>
          <w:sz w:val="22"/>
          <w:szCs w:val="22"/>
          <w:shd w:val="clear" w:color="auto" w:fill="FFFFFF"/>
        </w:rPr>
        <w:t xml:space="preserve">Bone H. </w:t>
      </w:r>
      <w:r w:rsidRPr="002B3438">
        <w:rPr>
          <w:rFonts w:eastAsia="Calibri"/>
          <w:sz w:val="22"/>
          <w:szCs w:val="22"/>
        </w:rPr>
        <w:t xml:space="preserve">2007. Bone mineral density </w:t>
      </w:r>
    </w:p>
    <w:p w14:paraId="7BD9FE2A" w14:textId="77777777" w:rsidR="005C58AA" w:rsidRPr="002B3438" w:rsidRDefault="005C58AA" w:rsidP="005C58AA">
      <w:pPr>
        <w:autoSpaceDE w:val="0"/>
        <w:autoSpaceDN w:val="0"/>
        <w:adjustRightInd w:val="0"/>
        <w:ind w:left="360"/>
        <w:rPr>
          <w:rFonts w:eastAsia="Calibri"/>
          <w:sz w:val="22"/>
          <w:szCs w:val="22"/>
        </w:rPr>
      </w:pPr>
      <w:r w:rsidRPr="002B3438">
        <w:rPr>
          <w:rFonts w:eastAsia="Calibri"/>
          <w:sz w:val="22"/>
          <w:szCs w:val="22"/>
        </w:rPr>
        <w:t>in postmenarchal adolescent girls in the United States: associated biopsychosocial variables and bone turnover markers. J Adolesc Health 40:44–53.</w:t>
      </w:r>
    </w:p>
    <w:p w14:paraId="74F88EDF" w14:textId="77777777" w:rsidR="006F36B3" w:rsidRPr="002B3438" w:rsidRDefault="006F36B3" w:rsidP="006F36B3">
      <w:pPr>
        <w:ind w:left="360" w:hanging="360"/>
        <w:rPr>
          <w:sz w:val="22"/>
          <w:szCs w:val="22"/>
        </w:rPr>
      </w:pPr>
    </w:p>
    <w:p w14:paraId="7E8E021C" w14:textId="77777777" w:rsidR="005C58AA" w:rsidRPr="002B3438" w:rsidRDefault="005C58AA" w:rsidP="006F36B3">
      <w:pPr>
        <w:ind w:left="360" w:hanging="360"/>
        <w:rPr>
          <w:sz w:val="22"/>
          <w:szCs w:val="22"/>
        </w:rPr>
      </w:pPr>
      <w:r w:rsidRPr="002B3438">
        <w:rPr>
          <w:sz w:val="22"/>
          <w:szCs w:val="22"/>
        </w:rPr>
        <w:t>Hatch JW, Eiley PS, Hunt EE. 1983. Indicators of status-related stress in Dallas society: transverse lines and cortical thickness in long bones. Midcontinental Journal of Archaeology 8:49-71.</w:t>
      </w:r>
    </w:p>
    <w:p w14:paraId="28F3EB2D" w14:textId="77777777" w:rsidR="005C58AA" w:rsidRPr="002B3438" w:rsidRDefault="005C58AA" w:rsidP="006F36B3">
      <w:pPr>
        <w:ind w:left="360" w:hanging="360"/>
        <w:rPr>
          <w:sz w:val="22"/>
          <w:szCs w:val="22"/>
        </w:rPr>
      </w:pPr>
    </w:p>
    <w:p w14:paraId="3091F2B1" w14:textId="77777777" w:rsidR="0045547A" w:rsidRPr="002B3438" w:rsidRDefault="0045547A" w:rsidP="000178F5">
      <w:pPr>
        <w:ind w:left="360" w:hanging="360"/>
        <w:rPr>
          <w:bCs/>
          <w:color w:val="000000"/>
          <w:sz w:val="22"/>
          <w:szCs w:val="22"/>
          <w:shd w:val="clear" w:color="auto" w:fill="FFFFFF"/>
        </w:rPr>
      </w:pPr>
      <w:r w:rsidRPr="002B3438">
        <w:rPr>
          <w:bCs/>
          <w:color w:val="000000"/>
          <w:sz w:val="22"/>
          <w:szCs w:val="22"/>
          <w:shd w:val="clear" w:color="auto" w:fill="FFFFFF"/>
        </w:rPr>
        <w:t>Hattner R, Epker BN, Frost HM. 1965. Suggested Sequential Mode of Control of Changes in Cell Behaviour in Adult Bone Remodelling. Nature 206:489-490.</w:t>
      </w:r>
    </w:p>
    <w:p w14:paraId="6A1845DE" w14:textId="77777777" w:rsidR="0045547A" w:rsidRPr="002B3438" w:rsidRDefault="0045547A" w:rsidP="000178F5">
      <w:pPr>
        <w:ind w:left="360" w:hanging="360"/>
        <w:rPr>
          <w:sz w:val="22"/>
          <w:szCs w:val="22"/>
        </w:rPr>
      </w:pPr>
    </w:p>
    <w:p w14:paraId="403D401F" w14:textId="77777777" w:rsidR="005879AA" w:rsidRPr="002B3438" w:rsidRDefault="005879AA" w:rsidP="005879AA">
      <w:pPr>
        <w:autoSpaceDE w:val="0"/>
        <w:autoSpaceDN w:val="0"/>
        <w:adjustRightInd w:val="0"/>
        <w:rPr>
          <w:sz w:val="22"/>
          <w:szCs w:val="22"/>
        </w:rPr>
      </w:pPr>
      <w:r w:rsidRPr="002B3438">
        <w:rPr>
          <w:sz w:val="22"/>
          <w:szCs w:val="22"/>
        </w:rPr>
        <w:t>Hawkes K, O’Connell JF, Blurton Jones NG. 1995. Hadza children’s foraging: Juvenile</w:t>
      </w:r>
    </w:p>
    <w:p w14:paraId="08D1C360" w14:textId="77777777" w:rsidR="005879AA" w:rsidRPr="002B3438" w:rsidRDefault="005879AA" w:rsidP="00B92502">
      <w:pPr>
        <w:autoSpaceDE w:val="0"/>
        <w:autoSpaceDN w:val="0"/>
        <w:adjustRightInd w:val="0"/>
        <w:ind w:left="360"/>
        <w:rPr>
          <w:iCs/>
          <w:sz w:val="22"/>
          <w:szCs w:val="22"/>
        </w:rPr>
      </w:pPr>
      <w:r w:rsidRPr="002B3438">
        <w:rPr>
          <w:sz w:val="22"/>
          <w:szCs w:val="22"/>
        </w:rPr>
        <w:t xml:space="preserve">dependency, social arrangements, and mobility among hunter-gatherers. </w:t>
      </w:r>
      <w:r w:rsidR="00B92502" w:rsidRPr="002B3438">
        <w:rPr>
          <w:iCs/>
          <w:sz w:val="22"/>
          <w:szCs w:val="22"/>
        </w:rPr>
        <w:t>Curr Anth</w:t>
      </w:r>
      <w:r w:rsidRPr="002B3438">
        <w:rPr>
          <w:iCs/>
          <w:sz w:val="22"/>
          <w:szCs w:val="22"/>
        </w:rPr>
        <w:t xml:space="preserve"> </w:t>
      </w:r>
      <w:r w:rsidRPr="002B3438">
        <w:rPr>
          <w:sz w:val="22"/>
          <w:szCs w:val="22"/>
        </w:rPr>
        <w:t>36: 688-700.</w:t>
      </w:r>
    </w:p>
    <w:p w14:paraId="7240F2BE" w14:textId="77777777" w:rsidR="005879AA" w:rsidRPr="002B3438" w:rsidRDefault="005879AA" w:rsidP="005879AA">
      <w:pPr>
        <w:ind w:left="360" w:hanging="360"/>
        <w:rPr>
          <w:sz w:val="22"/>
          <w:szCs w:val="22"/>
        </w:rPr>
      </w:pPr>
    </w:p>
    <w:p w14:paraId="40AD5E0E" w14:textId="77777777" w:rsidR="0061427F" w:rsidRPr="002B3438" w:rsidRDefault="0061427F" w:rsidP="005879AA">
      <w:pPr>
        <w:ind w:left="360" w:hanging="360"/>
        <w:rPr>
          <w:sz w:val="22"/>
          <w:szCs w:val="22"/>
        </w:rPr>
      </w:pPr>
      <w:r w:rsidRPr="002B3438">
        <w:rPr>
          <w:sz w:val="22"/>
          <w:szCs w:val="22"/>
        </w:rPr>
        <w:t>Heaney RP. 1997. Vitamin D: role in the calcium economy. In: Feldman D, Glorieux F, Pike J, editors. Vitamin D. San Diego: Academic Press. p 485-497.</w:t>
      </w:r>
    </w:p>
    <w:p w14:paraId="55FE22D1" w14:textId="77777777" w:rsidR="0061427F" w:rsidRPr="002B3438" w:rsidRDefault="0061427F" w:rsidP="005879AA">
      <w:pPr>
        <w:ind w:left="360" w:hanging="360"/>
        <w:rPr>
          <w:sz w:val="22"/>
          <w:szCs w:val="22"/>
        </w:rPr>
      </w:pPr>
    </w:p>
    <w:p w14:paraId="118A7CB4" w14:textId="77777777" w:rsidR="00667438" w:rsidRPr="002B3438" w:rsidRDefault="00667438" w:rsidP="005879AA">
      <w:pPr>
        <w:ind w:left="360" w:hanging="360"/>
        <w:rPr>
          <w:sz w:val="22"/>
          <w:szCs w:val="22"/>
        </w:rPr>
      </w:pPr>
      <w:r w:rsidRPr="002B3438">
        <w:rPr>
          <w:sz w:val="22"/>
          <w:szCs w:val="22"/>
        </w:rPr>
        <w:t xml:space="preserve">Heaney RP. 2000. Calcium, dairy products and osteoporosis. J Am Coll Nutr. 19:83S-99S. </w:t>
      </w:r>
    </w:p>
    <w:p w14:paraId="08DEB187" w14:textId="77777777" w:rsidR="00667438" w:rsidRPr="002B3438" w:rsidRDefault="00667438" w:rsidP="005879AA">
      <w:pPr>
        <w:ind w:left="360" w:hanging="360"/>
        <w:rPr>
          <w:sz w:val="22"/>
          <w:szCs w:val="22"/>
        </w:rPr>
      </w:pPr>
    </w:p>
    <w:p w14:paraId="624D3AFE" w14:textId="77777777" w:rsidR="009D34AE" w:rsidRPr="002B3438" w:rsidRDefault="009D34AE" w:rsidP="005879AA">
      <w:pPr>
        <w:ind w:left="360" w:hanging="360"/>
        <w:rPr>
          <w:rStyle w:val="HTMLCite"/>
          <w:sz w:val="22"/>
          <w:szCs w:val="22"/>
        </w:rPr>
      </w:pPr>
      <w:r w:rsidRPr="002B3438">
        <w:rPr>
          <w:rStyle w:val="author"/>
          <w:iCs/>
          <w:sz w:val="22"/>
          <w:szCs w:val="22"/>
        </w:rPr>
        <w:t>Heinrich CH</w:t>
      </w:r>
      <w:r w:rsidRPr="002B3438">
        <w:rPr>
          <w:rStyle w:val="HTMLCite"/>
          <w:sz w:val="22"/>
          <w:szCs w:val="22"/>
        </w:rPr>
        <w:t xml:space="preserve">, </w:t>
      </w:r>
      <w:r w:rsidRPr="002B3438">
        <w:rPr>
          <w:rStyle w:val="author"/>
          <w:iCs/>
          <w:sz w:val="22"/>
          <w:szCs w:val="22"/>
        </w:rPr>
        <w:t>Going SB</w:t>
      </w:r>
      <w:r w:rsidRPr="002B3438">
        <w:rPr>
          <w:rStyle w:val="HTMLCite"/>
          <w:sz w:val="22"/>
          <w:szCs w:val="22"/>
        </w:rPr>
        <w:t xml:space="preserve">, </w:t>
      </w:r>
      <w:r w:rsidRPr="002B3438">
        <w:rPr>
          <w:rStyle w:val="author"/>
          <w:iCs/>
          <w:sz w:val="22"/>
          <w:szCs w:val="22"/>
        </w:rPr>
        <w:t>Pamenter RW</w:t>
      </w:r>
      <w:r w:rsidRPr="002B3438">
        <w:rPr>
          <w:rStyle w:val="HTMLCite"/>
          <w:sz w:val="22"/>
          <w:szCs w:val="22"/>
        </w:rPr>
        <w:t xml:space="preserve">, </w:t>
      </w:r>
      <w:r w:rsidRPr="002B3438">
        <w:rPr>
          <w:rStyle w:val="author"/>
          <w:iCs/>
          <w:sz w:val="22"/>
          <w:szCs w:val="22"/>
        </w:rPr>
        <w:t>Perry CD</w:t>
      </w:r>
      <w:r w:rsidRPr="002B3438">
        <w:rPr>
          <w:rStyle w:val="HTMLCite"/>
          <w:sz w:val="22"/>
          <w:szCs w:val="22"/>
        </w:rPr>
        <w:t xml:space="preserve">, </w:t>
      </w:r>
      <w:r w:rsidRPr="002B3438">
        <w:rPr>
          <w:rStyle w:val="author"/>
          <w:iCs/>
          <w:sz w:val="22"/>
          <w:szCs w:val="22"/>
        </w:rPr>
        <w:t>Boyden TW</w:t>
      </w:r>
      <w:r w:rsidRPr="002B3438">
        <w:rPr>
          <w:rStyle w:val="HTMLCite"/>
          <w:sz w:val="22"/>
          <w:szCs w:val="22"/>
        </w:rPr>
        <w:t xml:space="preserve">, </w:t>
      </w:r>
      <w:r w:rsidRPr="002B3438">
        <w:rPr>
          <w:rStyle w:val="author"/>
          <w:iCs/>
          <w:sz w:val="22"/>
          <w:szCs w:val="22"/>
        </w:rPr>
        <w:t>Lohman TG.</w:t>
      </w:r>
      <w:r w:rsidRPr="002B3438">
        <w:rPr>
          <w:rStyle w:val="HTMLCite"/>
          <w:sz w:val="22"/>
          <w:szCs w:val="22"/>
        </w:rPr>
        <w:t xml:space="preserve"> </w:t>
      </w:r>
      <w:r w:rsidRPr="002B3438">
        <w:rPr>
          <w:rStyle w:val="pubyear"/>
          <w:iCs/>
          <w:sz w:val="22"/>
          <w:szCs w:val="22"/>
        </w:rPr>
        <w:t>1990.</w:t>
      </w:r>
      <w:r w:rsidRPr="002B3438">
        <w:rPr>
          <w:rStyle w:val="HTMLCite"/>
          <w:sz w:val="22"/>
          <w:szCs w:val="22"/>
        </w:rPr>
        <w:t xml:space="preserve"> </w:t>
      </w:r>
      <w:r w:rsidRPr="002B3438">
        <w:rPr>
          <w:rStyle w:val="articletitle"/>
          <w:iCs/>
          <w:sz w:val="22"/>
          <w:szCs w:val="22"/>
        </w:rPr>
        <w:t>Bone mineral content of cyclically menstruating female resistance and endurance trained athletes</w:t>
      </w:r>
      <w:r w:rsidRPr="002B3438">
        <w:rPr>
          <w:rStyle w:val="HTMLCite"/>
          <w:sz w:val="22"/>
          <w:szCs w:val="22"/>
        </w:rPr>
        <w:t xml:space="preserve"> </w:t>
      </w:r>
      <w:r w:rsidRPr="002B3438">
        <w:rPr>
          <w:rStyle w:val="journaltitle3"/>
          <w:i w:val="0"/>
          <w:sz w:val="22"/>
          <w:szCs w:val="22"/>
        </w:rPr>
        <w:t>Med Sci Sports Exerc</w:t>
      </w:r>
      <w:r w:rsidRPr="002B3438">
        <w:rPr>
          <w:rStyle w:val="HTMLCite"/>
          <w:i w:val="0"/>
          <w:sz w:val="22"/>
          <w:szCs w:val="22"/>
        </w:rPr>
        <w:t xml:space="preserve"> </w:t>
      </w:r>
      <w:r w:rsidRPr="002B3438">
        <w:rPr>
          <w:rStyle w:val="vol3"/>
          <w:b w:val="0"/>
          <w:i/>
          <w:iCs/>
          <w:sz w:val="22"/>
          <w:szCs w:val="22"/>
        </w:rPr>
        <w:t>22</w:t>
      </w:r>
      <w:r w:rsidRPr="002B3438">
        <w:rPr>
          <w:rStyle w:val="HTMLCite"/>
          <w:sz w:val="22"/>
          <w:szCs w:val="22"/>
        </w:rPr>
        <w:t xml:space="preserve">: </w:t>
      </w:r>
      <w:r w:rsidRPr="002B3438">
        <w:rPr>
          <w:rStyle w:val="pagefirst"/>
          <w:iCs/>
          <w:sz w:val="22"/>
          <w:szCs w:val="22"/>
        </w:rPr>
        <w:t>558</w:t>
      </w:r>
      <w:r w:rsidRPr="002B3438">
        <w:rPr>
          <w:rStyle w:val="HTMLCite"/>
          <w:sz w:val="22"/>
          <w:szCs w:val="22"/>
        </w:rPr>
        <w:t>–</w:t>
      </w:r>
      <w:r w:rsidRPr="002B3438">
        <w:rPr>
          <w:rStyle w:val="pagelast"/>
          <w:iCs/>
          <w:sz w:val="22"/>
          <w:szCs w:val="22"/>
        </w:rPr>
        <w:t>563</w:t>
      </w:r>
      <w:r w:rsidRPr="002B3438">
        <w:rPr>
          <w:rStyle w:val="HTMLCite"/>
          <w:sz w:val="22"/>
          <w:szCs w:val="22"/>
        </w:rPr>
        <w:t>.</w:t>
      </w:r>
    </w:p>
    <w:p w14:paraId="47DD0FE5" w14:textId="77777777" w:rsidR="009D34AE" w:rsidRPr="002B3438" w:rsidRDefault="009D34AE" w:rsidP="005879AA">
      <w:pPr>
        <w:ind w:left="360" w:hanging="360"/>
        <w:rPr>
          <w:sz w:val="22"/>
          <w:szCs w:val="22"/>
        </w:rPr>
      </w:pPr>
    </w:p>
    <w:p w14:paraId="06B79412" w14:textId="77777777" w:rsidR="008F1D58" w:rsidRPr="002B3438" w:rsidRDefault="008F1D58" w:rsidP="005879AA">
      <w:pPr>
        <w:ind w:left="360" w:hanging="360"/>
        <w:rPr>
          <w:sz w:val="22"/>
          <w:szCs w:val="22"/>
        </w:rPr>
      </w:pPr>
      <w:r w:rsidRPr="002B3438">
        <w:rPr>
          <w:sz w:val="22"/>
          <w:szCs w:val="22"/>
        </w:rPr>
        <w:t>Heinonen A, Oja P, Kannus P, Sievänen H, Mänttäri A, Vuori I. 1993. Bone mineral density of female athletes in different sports. Bone and Mineral 23:1-14.</w:t>
      </w:r>
    </w:p>
    <w:p w14:paraId="4BB81BC7" w14:textId="77777777" w:rsidR="008F1D58" w:rsidRPr="002B3438" w:rsidRDefault="008F1D58" w:rsidP="005879AA">
      <w:pPr>
        <w:ind w:left="360" w:hanging="360"/>
        <w:rPr>
          <w:sz w:val="22"/>
          <w:szCs w:val="22"/>
        </w:rPr>
      </w:pPr>
    </w:p>
    <w:p w14:paraId="710E85B2" w14:textId="77777777" w:rsidR="00E74F2B" w:rsidRPr="002B3438" w:rsidRDefault="00E74F2B" w:rsidP="00E74F2B">
      <w:pPr>
        <w:autoSpaceDE w:val="0"/>
        <w:autoSpaceDN w:val="0"/>
        <w:adjustRightInd w:val="0"/>
        <w:rPr>
          <w:sz w:val="22"/>
          <w:szCs w:val="22"/>
        </w:rPr>
      </w:pPr>
      <w:r w:rsidRPr="002B3438">
        <w:rPr>
          <w:sz w:val="22"/>
          <w:szCs w:val="22"/>
        </w:rPr>
        <w:t xml:space="preserve">Heinonen A, Kannus P, Sievänen H, Oja P, Pasanen P, Rinne M, Uusi-Rasi K, Vuori I. 1996. </w:t>
      </w:r>
    </w:p>
    <w:p w14:paraId="552BE6CA" w14:textId="77777777" w:rsidR="00E74F2B" w:rsidRPr="002B3438" w:rsidRDefault="00E74F2B" w:rsidP="00E74F2B">
      <w:pPr>
        <w:autoSpaceDE w:val="0"/>
        <w:autoSpaceDN w:val="0"/>
        <w:adjustRightInd w:val="0"/>
        <w:ind w:left="360"/>
        <w:rPr>
          <w:sz w:val="22"/>
          <w:szCs w:val="22"/>
        </w:rPr>
      </w:pPr>
      <w:r w:rsidRPr="002B3438">
        <w:rPr>
          <w:sz w:val="22"/>
          <w:szCs w:val="22"/>
        </w:rPr>
        <w:t xml:space="preserve">Randomized controlled trial of effect of high-impact exercise on selected risk factors of osteoporotic fractures. </w:t>
      </w:r>
      <w:r w:rsidRPr="002B3438">
        <w:rPr>
          <w:iCs/>
          <w:sz w:val="22"/>
          <w:szCs w:val="22"/>
        </w:rPr>
        <w:t>Lancet</w:t>
      </w:r>
      <w:r w:rsidRPr="002B3438">
        <w:rPr>
          <w:i/>
          <w:iCs/>
          <w:sz w:val="22"/>
          <w:szCs w:val="22"/>
        </w:rPr>
        <w:t xml:space="preserve"> </w:t>
      </w:r>
      <w:r w:rsidRPr="002B3438">
        <w:rPr>
          <w:sz w:val="22"/>
          <w:szCs w:val="22"/>
        </w:rPr>
        <w:t>348:1343-1347.</w:t>
      </w:r>
    </w:p>
    <w:p w14:paraId="1041A73B" w14:textId="77777777" w:rsidR="00CD5490" w:rsidRPr="002B3438" w:rsidRDefault="00CD5490" w:rsidP="00CD5490">
      <w:pPr>
        <w:autoSpaceDE w:val="0"/>
        <w:autoSpaceDN w:val="0"/>
        <w:adjustRightInd w:val="0"/>
        <w:rPr>
          <w:sz w:val="22"/>
          <w:szCs w:val="22"/>
        </w:rPr>
      </w:pPr>
    </w:p>
    <w:p w14:paraId="41B93FBA" w14:textId="77777777" w:rsidR="00CD5490" w:rsidRPr="002B3438" w:rsidRDefault="00CD5490" w:rsidP="00CD5490">
      <w:pPr>
        <w:autoSpaceDE w:val="0"/>
        <w:autoSpaceDN w:val="0"/>
        <w:adjustRightInd w:val="0"/>
        <w:rPr>
          <w:sz w:val="22"/>
          <w:szCs w:val="22"/>
        </w:rPr>
      </w:pPr>
      <w:r w:rsidRPr="002B3438">
        <w:rPr>
          <w:sz w:val="22"/>
          <w:szCs w:val="22"/>
        </w:rPr>
        <w:t>Heinonen A, Sievanen H, Kannus P, Oja P, Vuori I. 2002. Site-specific skeletal response to long-</w:t>
      </w:r>
    </w:p>
    <w:p w14:paraId="7ACE8C5F" w14:textId="77777777" w:rsidR="00CD5490" w:rsidRPr="002B3438" w:rsidRDefault="00CD5490" w:rsidP="00CD5490">
      <w:pPr>
        <w:autoSpaceDE w:val="0"/>
        <w:autoSpaceDN w:val="0"/>
        <w:adjustRightInd w:val="0"/>
        <w:ind w:left="375"/>
        <w:rPr>
          <w:sz w:val="22"/>
          <w:szCs w:val="22"/>
        </w:rPr>
      </w:pPr>
      <w:r w:rsidRPr="002B3438">
        <w:rPr>
          <w:sz w:val="22"/>
          <w:szCs w:val="22"/>
        </w:rPr>
        <w:t xml:space="preserve">term weight training seems to be attributable to principal loading modality: a pQCT study of female weightlifters. </w:t>
      </w:r>
      <w:r w:rsidRPr="002B3438">
        <w:rPr>
          <w:iCs/>
          <w:sz w:val="22"/>
          <w:szCs w:val="22"/>
        </w:rPr>
        <w:t xml:space="preserve">Calcif Tissue Int </w:t>
      </w:r>
      <w:r w:rsidRPr="002B3438">
        <w:rPr>
          <w:sz w:val="22"/>
          <w:szCs w:val="22"/>
        </w:rPr>
        <w:t>70:469–74.</w:t>
      </w:r>
    </w:p>
    <w:p w14:paraId="60EC157E" w14:textId="77777777" w:rsidR="00E74F2B" w:rsidRPr="002B3438" w:rsidRDefault="00E74F2B" w:rsidP="00E74F2B">
      <w:pPr>
        <w:ind w:left="360" w:hanging="360"/>
        <w:rPr>
          <w:sz w:val="22"/>
          <w:szCs w:val="22"/>
        </w:rPr>
      </w:pPr>
    </w:p>
    <w:p w14:paraId="5C015BB6" w14:textId="77777777" w:rsidR="0045547A" w:rsidRPr="002B3438" w:rsidRDefault="008F3FE8" w:rsidP="0045547A">
      <w:pPr>
        <w:autoSpaceDE w:val="0"/>
        <w:autoSpaceDN w:val="0"/>
        <w:adjustRightInd w:val="0"/>
        <w:rPr>
          <w:sz w:val="22"/>
          <w:szCs w:val="22"/>
        </w:rPr>
      </w:pPr>
      <w:r w:rsidRPr="002B3438">
        <w:rPr>
          <w:sz w:val="22"/>
          <w:szCs w:val="22"/>
        </w:rPr>
        <w:t>Henderson JH, Carter DR. 2002. Mechanical induction in limb morphogenesis: The role</w:t>
      </w:r>
      <w:r w:rsidR="0045547A" w:rsidRPr="002B3438">
        <w:rPr>
          <w:sz w:val="22"/>
          <w:szCs w:val="22"/>
        </w:rPr>
        <w:t xml:space="preserve"> </w:t>
      </w:r>
      <w:r w:rsidRPr="002B3438">
        <w:rPr>
          <w:sz w:val="22"/>
          <w:szCs w:val="22"/>
        </w:rPr>
        <w:t xml:space="preserve">of </w:t>
      </w:r>
    </w:p>
    <w:p w14:paraId="3B284642" w14:textId="77777777" w:rsidR="008F3FE8" w:rsidRPr="002B3438" w:rsidRDefault="008F3FE8" w:rsidP="0045547A">
      <w:pPr>
        <w:autoSpaceDE w:val="0"/>
        <w:autoSpaceDN w:val="0"/>
        <w:adjustRightInd w:val="0"/>
        <w:ind w:firstLine="360"/>
        <w:rPr>
          <w:sz w:val="22"/>
          <w:szCs w:val="22"/>
        </w:rPr>
      </w:pPr>
      <w:r w:rsidRPr="002B3438">
        <w:rPr>
          <w:sz w:val="22"/>
          <w:szCs w:val="22"/>
        </w:rPr>
        <w:t xml:space="preserve">growth-generated strains and pressures. </w:t>
      </w:r>
      <w:r w:rsidRPr="002B3438">
        <w:rPr>
          <w:iCs/>
          <w:sz w:val="22"/>
          <w:szCs w:val="22"/>
        </w:rPr>
        <w:t>Bone</w:t>
      </w:r>
      <w:r w:rsidRPr="002B3438">
        <w:rPr>
          <w:i/>
          <w:iCs/>
          <w:sz w:val="22"/>
          <w:szCs w:val="22"/>
        </w:rPr>
        <w:t xml:space="preserve"> </w:t>
      </w:r>
      <w:r w:rsidRPr="002B3438">
        <w:rPr>
          <w:sz w:val="22"/>
          <w:szCs w:val="22"/>
        </w:rPr>
        <w:t>31: 645-653.</w:t>
      </w:r>
    </w:p>
    <w:p w14:paraId="131C3675" w14:textId="77777777" w:rsidR="008F3FE8" w:rsidRPr="002B3438" w:rsidRDefault="008F3FE8" w:rsidP="007C1D9B">
      <w:pPr>
        <w:ind w:left="360" w:hanging="360"/>
        <w:rPr>
          <w:sz w:val="22"/>
          <w:szCs w:val="22"/>
        </w:rPr>
      </w:pPr>
    </w:p>
    <w:p w14:paraId="3C61F03C" w14:textId="77777777" w:rsidR="0006305D" w:rsidRPr="002B3438" w:rsidRDefault="00726D36" w:rsidP="0006305D">
      <w:pPr>
        <w:autoSpaceDE w:val="0"/>
        <w:autoSpaceDN w:val="0"/>
        <w:adjustRightInd w:val="0"/>
        <w:rPr>
          <w:rFonts w:eastAsia="Calibri"/>
          <w:color w:val="231F20"/>
          <w:sz w:val="22"/>
          <w:szCs w:val="22"/>
        </w:rPr>
      </w:pPr>
      <w:r w:rsidRPr="002B3438">
        <w:rPr>
          <w:rFonts w:eastAsia="Calibri"/>
          <w:color w:val="231F20"/>
          <w:sz w:val="22"/>
          <w:szCs w:val="22"/>
        </w:rPr>
        <w:t xml:space="preserve">Hernandez CJ, Beaupre GS, Carter DR. 2003. A theoretical analysis of the relative influences of </w:t>
      </w:r>
    </w:p>
    <w:p w14:paraId="1449FD73" w14:textId="77777777" w:rsidR="00726D36" w:rsidRPr="002B3438" w:rsidRDefault="00726D36" w:rsidP="0006305D">
      <w:pPr>
        <w:autoSpaceDE w:val="0"/>
        <w:autoSpaceDN w:val="0"/>
        <w:adjustRightInd w:val="0"/>
        <w:ind w:left="375"/>
        <w:rPr>
          <w:rFonts w:eastAsia="Calibri"/>
          <w:color w:val="231F20"/>
          <w:sz w:val="22"/>
          <w:szCs w:val="22"/>
        </w:rPr>
      </w:pPr>
      <w:r w:rsidRPr="002B3438">
        <w:rPr>
          <w:rFonts w:eastAsia="Calibri"/>
          <w:color w:val="231F20"/>
          <w:sz w:val="22"/>
          <w:szCs w:val="22"/>
        </w:rPr>
        <w:lastRenderedPageBreak/>
        <w:t>peak BMD, age-related bone loss and menopause on the development of o</w:t>
      </w:r>
      <w:r w:rsidR="0006305D" w:rsidRPr="002B3438">
        <w:rPr>
          <w:rFonts w:eastAsia="Calibri"/>
          <w:color w:val="231F20"/>
          <w:sz w:val="22"/>
          <w:szCs w:val="22"/>
        </w:rPr>
        <w:t xml:space="preserve">steoporosis. </w:t>
      </w:r>
      <w:r w:rsidRPr="002B3438">
        <w:rPr>
          <w:rFonts w:eastAsia="Calibri"/>
          <w:color w:val="231F20"/>
          <w:sz w:val="22"/>
          <w:szCs w:val="22"/>
        </w:rPr>
        <w:t>Osteoporos Int 14:843–847.</w:t>
      </w:r>
    </w:p>
    <w:p w14:paraId="758CDB79" w14:textId="77777777" w:rsidR="00726D36" w:rsidRPr="002B3438" w:rsidRDefault="00726D36" w:rsidP="00726D36">
      <w:pPr>
        <w:ind w:left="360" w:hanging="360"/>
        <w:rPr>
          <w:sz w:val="22"/>
          <w:szCs w:val="22"/>
        </w:rPr>
      </w:pPr>
    </w:p>
    <w:p w14:paraId="37CCA1BA" w14:textId="77777777" w:rsidR="00CB4014" w:rsidRPr="002B3438" w:rsidRDefault="00CB4014" w:rsidP="00CB4014">
      <w:pPr>
        <w:autoSpaceDE w:val="0"/>
        <w:autoSpaceDN w:val="0"/>
        <w:adjustRightInd w:val="0"/>
        <w:contextualSpacing/>
        <w:rPr>
          <w:rFonts w:eastAsia="Calibri"/>
          <w:color w:val="131413"/>
          <w:sz w:val="22"/>
          <w:szCs w:val="22"/>
        </w:rPr>
      </w:pPr>
      <w:r w:rsidRPr="002B3438">
        <w:rPr>
          <w:rFonts w:eastAsia="Calibri"/>
          <w:color w:val="131413"/>
          <w:sz w:val="22"/>
          <w:szCs w:val="22"/>
        </w:rPr>
        <w:t xml:space="preserve">Herring DA, Saunders SR, Katzenberg MA. 1998. Investigating the weaning process in </w:t>
      </w:r>
    </w:p>
    <w:p w14:paraId="40651E48" w14:textId="77777777" w:rsidR="00CB4014" w:rsidRPr="002B3438" w:rsidRDefault="00CB4014" w:rsidP="00CB4014">
      <w:pPr>
        <w:autoSpaceDE w:val="0"/>
        <w:autoSpaceDN w:val="0"/>
        <w:adjustRightInd w:val="0"/>
        <w:ind w:firstLine="360"/>
        <w:contextualSpacing/>
        <w:rPr>
          <w:rFonts w:eastAsia="Calibri"/>
          <w:color w:val="131413"/>
          <w:sz w:val="22"/>
          <w:szCs w:val="22"/>
        </w:rPr>
      </w:pPr>
      <w:r w:rsidRPr="002B3438">
        <w:rPr>
          <w:rFonts w:eastAsia="Calibri"/>
          <w:color w:val="131413"/>
          <w:sz w:val="22"/>
          <w:szCs w:val="22"/>
        </w:rPr>
        <w:t>past populations. Am J Phys Anthpop 105:425–439.</w:t>
      </w:r>
    </w:p>
    <w:p w14:paraId="02479577" w14:textId="77777777" w:rsidR="00CB4014" w:rsidRPr="002B3438" w:rsidRDefault="00CB4014" w:rsidP="00726D36">
      <w:pPr>
        <w:ind w:left="360" w:hanging="360"/>
        <w:rPr>
          <w:sz w:val="22"/>
          <w:szCs w:val="22"/>
        </w:rPr>
      </w:pPr>
    </w:p>
    <w:p w14:paraId="0F3D9986" w14:textId="77777777" w:rsidR="009667EA" w:rsidRPr="002B3438" w:rsidRDefault="009667EA" w:rsidP="00726D36">
      <w:pPr>
        <w:ind w:left="360" w:hanging="360"/>
        <w:rPr>
          <w:sz w:val="22"/>
          <w:szCs w:val="22"/>
        </w:rPr>
      </w:pPr>
      <w:r w:rsidRPr="002B3438">
        <w:rPr>
          <w:sz w:val="22"/>
          <w:szCs w:val="22"/>
        </w:rPr>
        <w:t>Hert J, Kucera P, Vavra M, and Volenik V. 1965. Comparison of the mechanical properties of both the primary and Haversian bone tissue. Acta Anatomica 61:412-423.</w:t>
      </w:r>
    </w:p>
    <w:p w14:paraId="4937725D" w14:textId="77777777" w:rsidR="009667EA" w:rsidRPr="002B3438" w:rsidRDefault="009667EA" w:rsidP="00726D36">
      <w:pPr>
        <w:ind w:left="360" w:hanging="360"/>
        <w:rPr>
          <w:sz w:val="22"/>
          <w:szCs w:val="22"/>
        </w:rPr>
      </w:pPr>
    </w:p>
    <w:p w14:paraId="6F2B2B9B" w14:textId="77777777" w:rsidR="0006305D" w:rsidRPr="002B3438" w:rsidRDefault="0006305D" w:rsidP="0006305D">
      <w:pPr>
        <w:autoSpaceDE w:val="0"/>
        <w:autoSpaceDN w:val="0"/>
        <w:adjustRightInd w:val="0"/>
        <w:rPr>
          <w:sz w:val="22"/>
          <w:szCs w:val="22"/>
        </w:rPr>
      </w:pPr>
      <w:r w:rsidRPr="002B3438">
        <w:rPr>
          <w:sz w:val="22"/>
          <w:szCs w:val="22"/>
        </w:rPr>
        <w:t xml:space="preserve">Hill K, Hurtado AM. 1996. </w:t>
      </w:r>
      <w:r w:rsidRPr="002B3438">
        <w:rPr>
          <w:iCs/>
          <w:sz w:val="22"/>
          <w:szCs w:val="22"/>
        </w:rPr>
        <w:t>Ache life history: The ecology and demography of a foraging people</w:t>
      </w:r>
      <w:r w:rsidRPr="002B3438">
        <w:rPr>
          <w:sz w:val="22"/>
          <w:szCs w:val="22"/>
        </w:rPr>
        <w:t>.</w:t>
      </w:r>
    </w:p>
    <w:p w14:paraId="6634C0A2" w14:textId="77777777" w:rsidR="0006305D" w:rsidRPr="002B3438" w:rsidRDefault="0006305D" w:rsidP="0006305D">
      <w:pPr>
        <w:ind w:firstLine="360"/>
        <w:rPr>
          <w:sz w:val="22"/>
          <w:szCs w:val="22"/>
        </w:rPr>
      </w:pPr>
      <w:r w:rsidRPr="002B3438">
        <w:rPr>
          <w:sz w:val="22"/>
          <w:szCs w:val="22"/>
        </w:rPr>
        <w:t>New York: Aldine de Gruyter.</w:t>
      </w:r>
    </w:p>
    <w:p w14:paraId="10CEF347" w14:textId="77777777" w:rsidR="0006305D" w:rsidRPr="002B3438" w:rsidRDefault="0006305D" w:rsidP="0006305D">
      <w:pPr>
        <w:ind w:left="360" w:hanging="360"/>
        <w:rPr>
          <w:sz w:val="22"/>
          <w:szCs w:val="22"/>
        </w:rPr>
      </w:pPr>
    </w:p>
    <w:p w14:paraId="6E5797E6" w14:textId="77777777" w:rsidR="000075C8" w:rsidRPr="002B3438" w:rsidRDefault="000075C8" w:rsidP="000075C8">
      <w:pPr>
        <w:ind w:left="360" w:hanging="360"/>
        <w:rPr>
          <w:sz w:val="22"/>
          <w:szCs w:val="22"/>
        </w:rPr>
      </w:pPr>
      <w:r w:rsidRPr="002B3438">
        <w:rPr>
          <w:sz w:val="22"/>
          <w:szCs w:val="22"/>
        </w:rPr>
        <w:t>Hoc T, Henry L, Verdier M, Aubry D, Sedel L, Meunier A. 2006. Effect of microstructure on the mechanical properties of Haversian cortical bone. Bone 38:466-474.</w:t>
      </w:r>
    </w:p>
    <w:p w14:paraId="316B39BB" w14:textId="77777777" w:rsidR="000075C8" w:rsidRPr="002B3438" w:rsidRDefault="000075C8" w:rsidP="0006305D">
      <w:pPr>
        <w:ind w:left="360" w:hanging="360"/>
        <w:rPr>
          <w:sz w:val="22"/>
          <w:szCs w:val="22"/>
        </w:rPr>
      </w:pPr>
    </w:p>
    <w:p w14:paraId="7992996A" w14:textId="77777777" w:rsidR="00305E34" w:rsidRPr="002B3438" w:rsidRDefault="00305E34" w:rsidP="0006305D">
      <w:pPr>
        <w:ind w:left="360" w:hanging="360"/>
        <w:rPr>
          <w:sz w:val="22"/>
          <w:szCs w:val="22"/>
        </w:rPr>
      </w:pPr>
      <w:r w:rsidRPr="002B3438">
        <w:rPr>
          <w:sz w:val="22"/>
          <w:szCs w:val="22"/>
        </w:rPr>
        <w:t>Holland TD, O’Brien. 1997. Porotic hyperstosis and the implications of changing perspectives. Am Antiquity 62:183-193.</w:t>
      </w:r>
    </w:p>
    <w:p w14:paraId="08147996" w14:textId="77777777" w:rsidR="00CB4014" w:rsidRPr="002B3438" w:rsidRDefault="00CB4014" w:rsidP="00CB4014">
      <w:pPr>
        <w:ind w:left="360" w:hanging="360"/>
        <w:rPr>
          <w:sz w:val="22"/>
          <w:szCs w:val="22"/>
        </w:rPr>
      </w:pPr>
    </w:p>
    <w:p w14:paraId="14892F8F" w14:textId="77777777" w:rsidR="00B5122A" w:rsidRPr="002B3438" w:rsidRDefault="00B5122A" w:rsidP="00B5122A">
      <w:pPr>
        <w:autoSpaceDE w:val="0"/>
        <w:autoSpaceDN w:val="0"/>
        <w:adjustRightInd w:val="0"/>
        <w:rPr>
          <w:rFonts w:eastAsia="Calibri"/>
          <w:sz w:val="22"/>
          <w:szCs w:val="22"/>
        </w:rPr>
      </w:pPr>
      <w:r w:rsidRPr="002B3438">
        <w:rPr>
          <w:rFonts w:eastAsia="Calibri"/>
          <w:sz w:val="22"/>
          <w:szCs w:val="22"/>
        </w:rPr>
        <w:t xml:space="preserve">Hotta M, Shibasaki T, Sato K, Demura H. 1998. The importance of body weight history in the </w:t>
      </w:r>
    </w:p>
    <w:p w14:paraId="6DF24009" w14:textId="77777777" w:rsidR="00B5122A" w:rsidRPr="002B3438" w:rsidRDefault="006A3BEE" w:rsidP="00B5122A">
      <w:pPr>
        <w:autoSpaceDE w:val="0"/>
        <w:autoSpaceDN w:val="0"/>
        <w:adjustRightInd w:val="0"/>
        <w:rPr>
          <w:rFonts w:eastAsia="Calibri"/>
          <w:sz w:val="22"/>
          <w:szCs w:val="22"/>
        </w:rPr>
      </w:pPr>
      <w:r>
        <w:rPr>
          <w:rFonts w:eastAsia="Calibri"/>
          <w:sz w:val="22"/>
          <w:szCs w:val="22"/>
        </w:rPr>
        <w:t xml:space="preserve">  </w:t>
      </w:r>
      <w:r w:rsidR="00B5122A" w:rsidRPr="002B3438">
        <w:rPr>
          <w:rFonts w:eastAsia="Calibri"/>
          <w:sz w:val="22"/>
          <w:szCs w:val="22"/>
        </w:rPr>
        <w:t>occurrence and recovery of osteoporosis in patients with anorexia nervosa: evaluation by</w:t>
      </w:r>
    </w:p>
    <w:p w14:paraId="018F973A" w14:textId="77777777" w:rsidR="00B5122A" w:rsidRPr="002B3438" w:rsidRDefault="006A3BEE" w:rsidP="00B5122A">
      <w:pPr>
        <w:autoSpaceDE w:val="0"/>
        <w:autoSpaceDN w:val="0"/>
        <w:adjustRightInd w:val="0"/>
        <w:rPr>
          <w:rFonts w:eastAsia="Calibri"/>
          <w:sz w:val="22"/>
          <w:szCs w:val="22"/>
        </w:rPr>
      </w:pPr>
      <w:r>
        <w:rPr>
          <w:rFonts w:eastAsia="Calibri"/>
          <w:sz w:val="22"/>
          <w:szCs w:val="22"/>
        </w:rPr>
        <w:t xml:space="preserve">  </w:t>
      </w:r>
      <w:r w:rsidR="00B5122A" w:rsidRPr="002B3438">
        <w:rPr>
          <w:rFonts w:eastAsia="Calibri"/>
          <w:sz w:val="22"/>
          <w:szCs w:val="22"/>
        </w:rPr>
        <w:t>dual X-ray absorptiometry and bone metabolic markers. Eur J Endocrinol 139:276–283.</w:t>
      </w:r>
    </w:p>
    <w:p w14:paraId="7CA94C95" w14:textId="77777777" w:rsidR="00B5122A" w:rsidRPr="002B3438" w:rsidRDefault="00B5122A" w:rsidP="00B5122A">
      <w:pPr>
        <w:ind w:left="360" w:hanging="360"/>
        <w:rPr>
          <w:sz w:val="22"/>
          <w:szCs w:val="22"/>
        </w:rPr>
      </w:pPr>
    </w:p>
    <w:p w14:paraId="05EBD909" w14:textId="77777777" w:rsidR="00CB4014" w:rsidRPr="002B3438" w:rsidRDefault="00CB4014" w:rsidP="00CB4014">
      <w:pPr>
        <w:autoSpaceDE w:val="0"/>
        <w:autoSpaceDN w:val="0"/>
        <w:adjustRightInd w:val="0"/>
        <w:rPr>
          <w:sz w:val="22"/>
          <w:szCs w:val="22"/>
        </w:rPr>
      </w:pPr>
      <w:r w:rsidRPr="002B3438">
        <w:rPr>
          <w:sz w:val="22"/>
          <w:szCs w:val="22"/>
        </w:rPr>
        <w:t>Huiskes R. 1982. One the modeling of long bones in structural analysis</w:t>
      </w:r>
      <w:r w:rsidRPr="002B3438">
        <w:rPr>
          <w:iCs/>
          <w:sz w:val="22"/>
          <w:szCs w:val="22"/>
        </w:rPr>
        <w:t xml:space="preserve">. J Biomech </w:t>
      </w:r>
      <w:r w:rsidRPr="002B3438">
        <w:rPr>
          <w:sz w:val="22"/>
          <w:szCs w:val="22"/>
        </w:rPr>
        <w:t>15: 65-</w:t>
      </w:r>
    </w:p>
    <w:p w14:paraId="43F1D24F" w14:textId="77777777" w:rsidR="00CB4014" w:rsidRPr="002B3438" w:rsidRDefault="00CB4014" w:rsidP="00CB4014">
      <w:pPr>
        <w:ind w:left="360"/>
        <w:rPr>
          <w:sz w:val="22"/>
          <w:szCs w:val="22"/>
        </w:rPr>
      </w:pPr>
      <w:r w:rsidRPr="002B3438">
        <w:rPr>
          <w:sz w:val="22"/>
          <w:szCs w:val="22"/>
        </w:rPr>
        <w:t>69.</w:t>
      </w:r>
    </w:p>
    <w:p w14:paraId="2F1E08B3" w14:textId="77777777" w:rsidR="00305E34" w:rsidRPr="002B3438" w:rsidRDefault="00305E34" w:rsidP="0006305D">
      <w:pPr>
        <w:ind w:left="360" w:hanging="360"/>
        <w:rPr>
          <w:sz w:val="22"/>
          <w:szCs w:val="22"/>
        </w:rPr>
      </w:pPr>
    </w:p>
    <w:p w14:paraId="2E40995D" w14:textId="77777777" w:rsidR="002F0EEE" w:rsidRPr="002B3438" w:rsidRDefault="002F0EEE" w:rsidP="002F0EEE">
      <w:pPr>
        <w:ind w:left="360" w:hanging="360"/>
        <w:rPr>
          <w:sz w:val="22"/>
          <w:szCs w:val="22"/>
        </w:rPr>
      </w:pPr>
      <w:r w:rsidRPr="002B3438">
        <w:rPr>
          <w:sz w:val="22"/>
          <w:szCs w:val="22"/>
        </w:rPr>
        <w:t>Hummert J. 1983 Cortical bone growth and dietary stress among subadults from Nubia's Batn El Hajar. Am J Phys Anthropol 62:167-176.</w:t>
      </w:r>
    </w:p>
    <w:p w14:paraId="7F48528F" w14:textId="77777777" w:rsidR="002F0EEE" w:rsidRPr="002B3438" w:rsidRDefault="002F0EEE" w:rsidP="0006305D">
      <w:pPr>
        <w:ind w:left="360" w:hanging="360"/>
        <w:rPr>
          <w:sz w:val="22"/>
          <w:szCs w:val="22"/>
        </w:rPr>
      </w:pPr>
    </w:p>
    <w:p w14:paraId="1494269F" w14:textId="77777777" w:rsidR="002F0EEE" w:rsidRPr="002B3438" w:rsidRDefault="002F0EEE" w:rsidP="0006305D">
      <w:pPr>
        <w:ind w:left="360" w:hanging="360"/>
        <w:rPr>
          <w:sz w:val="22"/>
          <w:szCs w:val="22"/>
        </w:rPr>
      </w:pPr>
      <w:r w:rsidRPr="002B3438">
        <w:rPr>
          <w:sz w:val="22"/>
          <w:szCs w:val="22"/>
        </w:rPr>
        <w:t xml:space="preserve">Hummert JR and Van Gerven DP. 1983. Skeletal growth in a medieval population from Sudanese Nubia. </w:t>
      </w:r>
      <w:r w:rsidR="00065BB5" w:rsidRPr="002B3438">
        <w:rPr>
          <w:sz w:val="22"/>
          <w:szCs w:val="22"/>
        </w:rPr>
        <w:t>Am</w:t>
      </w:r>
      <w:r w:rsidRPr="002B3438">
        <w:rPr>
          <w:sz w:val="22"/>
          <w:szCs w:val="22"/>
        </w:rPr>
        <w:t xml:space="preserve"> J Phys Anthropol 62:471-78.</w:t>
      </w:r>
    </w:p>
    <w:p w14:paraId="129A602E" w14:textId="77777777" w:rsidR="002F0EEE" w:rsidRPr="002B3438" w:rsidRDefault="002F0EEE" w:rsidP="0006305D">
      <w:pPr>
        <w:ind w:left="360" w:hanging="360"/>
        <w:rPr>
          <w:sz w:val="22"/>
          <w:szCs w:val="22"/>
        </w:rPr>
      </w:pPr>
    </w:p>
    <w:p w14:paraId="476883F3" w14:textId="77777777" w:rsidR="00CB4014" w:rsidRPr="002B3438" w:rsidRDefault="00CB4014" w:rsidP="0006305D">
      <w:pPr>
        <w:ind w:left="360" w:hanging="360"/>
        <w:rPr>
          <w:sz w:val="22"/>
          <w:szCs w:val="22"/>
        </w:rPr>
      </w:pPr>
      <w:r w:rsidRPr="002B3438">
        <w:rPr>
          <w:sz w:val="22"/>
          <w:szCs w:val="22"/>
        </w:rPr>
        <w:t>Humphrey L. 2000. Interpretations of the growth of past populations. In JS Derevenski, ed. Children and Material Culture. London: Routledge, pp 193-205.</w:t>
      </w:r>
    </w:p>
    <w:p w14:paraId="0F9AE6CF" w14:textId="77777777" w:rsidR="000075C8" w:rsidRPr="002B3438" w:rsidRDefault="000075C8" w:rsidP="007C2C97">
      <w:pPr>
        <w:rPr>
          <w:sz w:val="22"/>
          <w:szCs w:val="22"/>
        </w:rPr>
      </w:pPr>
    </w:p>
    <w:p w14:paraId="44954B65" w14:textId="77777777" w:rsidR="007C2C97" w:rsidRPr="002B3438" w:rsidRDefault="007C2C97" w:rsidP="007C2C97">
      <w:pPr>
        <w:ind w:left="360" w:hanging="360"/>
        <w:rPr>
          <w:sz w:val="22"/>
          <w:szCs w:val="22"/>
        </w:rPr>
      </w:pPr>
      <w:r w:rsidRPr="002B3438">
        <w:rPr>
          <w:sz w:val="22"/>
          <w:szCs w:val="22"/>
        </w:rPr>
        <w:t>Huss-Ashmore R, Goodman A, Armelagos G. 1982. Nutritional inference from paleopathology. In: Schiffer M, editors. Nutritional inference from paleopathology. New York: Academic Press. p 395-474.</w:t>
      </w:r>
    </w:p>
    <w:p w14:paraId="2E7A4460" w14:textId="77777777" w:rsidR="007C2C97" w:rsidRPr="002B3438" w:rsidRDefault="007C2C97" w:rsidP="007C2C97">
      <w:pPr>
        <w:rPr>
          <w:sz w:val="22"/>
          <w:szCs w:val="22"/>
        </w:rPr>
      </w:pPr>
    </w:p>
    <w:p w14:paraId="239DD2D2" w14:textId="77777777" w:rsidR="009E62EB" w:rsidRPr="002B3438" w:rsidRDefault="009E62EB" w:rsidP="007C2C97">
      <w:pPr>
        <w:rPr>
          <w:sz w:val="22"/>
          <w:szCs w:val="22"/>
        </w:rPr>
      </w:pPr>
      <w:r w:rsidRPr="002B3438">
        <w:rPr>
          <w:sz w:val="22"/>
          <w:szCs w:val="22"/>
        </w:rPr>
        <w:t xml:space="preserve">Iorgi N, Rosol M, Mittelman SD, Gilsanz V. 2008. Reciprocal relation between marrow </w:t>
      </w:r>
    </w:p>
    <w:p w14:paraId="78AD81C0" w14:textId="77777777" w:rsidR="009E62EB" w:rsidRPr="002B3438" w:rsidRDefault="009E62EB" w:rsidP="009E62EB">
      <w:pPr>
        <w:ind w:left="405"/>
        <w:rPr>
          <w:sz w:val="22"/>
          <w:szCs w:val="22"/>
        </w:rPr>
      </w:pPr>
      <w:r w:rsidRPr="002B3438">
        <w:rPr>
          <w:sz w:val="22"/>
          <w:szCs w:val="22"/>
        </w:rPr>
        <w:t>adiposity and the amount of bone in the axial and appendicular skeleton of young adults. J Clin Endocrinol Metab 93:2281-2286.</w:t>
      </w:r>
    </w:p>
    <w:p w14:paraId="33579D2F" w14:textId="77777777" w:rsidR="009E62EB" w:rsidRPr="002B3438" w:rsidRDefault="009E62EB" w:rsidP="007C2C97">
      <w:pPr>
        <w:rPr>
          <w:sz w:val="22"/>
          <w:szCs w:val="22"/>
        </w:rPr>
      </w:pPr>
    </w:p>
    <w:p w14:paraId="4335E66C" w14:textId="77777777" w:rsidR="00DF678C" w:rsidRPr="002B3438" w:rsidRDefault="00DF678C" w:rsidP="007C2C97">
      <w:pPr>
        <w:rPr>
          <w:sz w:val="22"/>
          <w:szCs w:val="22"/>
        </w:rPr>
      </w:pPr>
      <w:r w:rsidRPr="002B3438">
        <w:rPr>
          <w:sz w:val="22"/>
          <w:szCs w:val="22"/>
        </w:rPr>
        <w:t xml:space="preserve">Jankauskas R. 1994. Variability of vertebral column measurements in Lithuanian </w:t>
      </w:r>
    </w:p>
    <w:p w14:paraId="05D5889E" w14:textId="77777777" w:rsidR="00DF678C" w:rsidRPr="002B3438" w:rsidRDefault="006A3BEE" w:rsidP="00DF678C">
      <w:pPr>
        <w:rPr>
          <w:sz w:val="22"/>
          <w:szCs w:val="22"/>
        </w:rPr>
      </w:pPr>
      <w:r>
        <w:rPr>
          <w:sz w:val="22"/>
          <w:szCs w:val="22"/>
        </w:rPr>
        <w:t xml:space="preserve">  </w:t>
      </w:r>
      <w:r w:rsidR="00DF678C" w:rsidRPr="002B3438">
        <w:rPr>
          <w:sz w:val="22"/>
          <w:szCs w:val="22"/>
        </w:rPr>
        <w:t>paleopopulation.</w:t>
      </w:r>
      <w:r>
        <w:rPr>
          <w:sz w:val="22"/>
          <w:szCs w:val="22"/>
        </w:rPr>
        <w:t xml:space="preserve"> </w:t>
      </w:r>
      <w:r w:rsidR="00DF678C" w:rsidRPr="002B3438">
        <w:rPr>
          <w:sz w:val="22"/>
          <w:szCs w:val="22"/>
        </w:rPr>
        <w:t>Int J Anth 9:137-151.</w:t>
      </w:r>
    </w:p>
    <w:p w14:paraId="6BE6BE88" w14:textId="77777777" w:rsidR="00DF678C" w:rsidRPr="002B3438" w:rsidRDefault="00DF678C" w:rsidP="007C2C97">
      <w:pPr>
        <w:rPr>
          <w:sz w:val="22"/>
          <w:szCs w:val="22"/>
        </w:rPr>
      </w:pPr>
    </w:p>
    <w:p w14:paraId="0E285CE6" w14:textId="77777777" w:rsidR="00F50D1A" w:rsidRPr="002B3438" w:rsidRDefault="00F50D1A" w:rsidP="00F50D1A">
      <w:pPr>
        <w:autoSpaceDE w:val="0"/>
        <w:autoSpaceDN w:val="0"/>
        <w:adjustRightInd w:val="0"/>
        <w:rPr>
          <w:sz w:val="22"/>
          <w:szCs w:val="22"/>
        </w:rPr>
      </w:pPr>
      <w:r w:rsidRPr="002B3438">
        <w:rPr>
          <w:sz w:val="22"/>
          <w:szCs w:val="22"/>
        </w:rPr>
        <w:t xml:space="preserve">Jankauskas R. 1998. History of human tuberculosis in Lithuania: possibilities and limitations of </w:t>
      </w:r>
    </w:p>
    <w:p w14:paraId="3D808FD6" w14:textId="77777777" w:rsidR="00F50D1A" w:rsidRPr="002B3438" w:rsidRDefault="00F50D1A" w:rsidP="00F50D1A">
      <w:pPr>
        <w:autoSpaceDE w:val="0"/>
        <w:autoSpaceDN w:val="0"/>
        <w:adjustRightInd w:val="0"/>
        <w:ind w:left="375"/>
        <w:rPr>
          <w:sz w:val="22"/>
          <w:szCs w:val="22"/>
        </w:rPr>
      </w:pPr>
      <w:r w:rsidRPr="002B3438">
        <w:rPr>
          <w:sz w:val="22"/>
          <w:szCs w:val="22"/>
        </w:rPr>
        <w:t>paleoosteological evidences. Bulletins et Mémoires de la Société d'anthropologie de Paris, Nouvelle Série. p 357-374.</w:t>
      </w:r>
    </w:p>
    <w:p w14:paraId="081AEBFF" w14:textId="77777777" w:rsidR="00F50D1A" w:rsidRPr="002B3438" w:rsidRDefault="00F50D1A" w:rsidP="00F50D1A">
      <w:pPr>
        <w:autoSpaceDE w:val="0"/>
        <w:autoSpaceDN w:val="0"/>
        <w:adjustRightInd w:val="0"/>
        <w:rPr>
          <w:sz w:val="22"/>
          <w:szCs w:val="22"/>
        </w:rPr>
      </w:pPr>
    </w:p>
    <w:p w14:paraId="0BDC54A8" w14:textId="77777777" w:rsidR="006E55E1" w:rsidRPr="002B3438" w:rsidRDefault="006E55E1" w:rsidP="00F50D1A">
      <w:pPr>
        <w:autoSpaceDE w:val="0"/>
        <w:autoSpaceDN w:val="0"/>
        <w:adjustRightInd w:val="0"/>
        <w:rPr>
          <w:sz w:val="22"/>
          <w:szCs w:val="22"/>
        </w:rPr>
      </w:pPr>
      <w:r w:rsidRPr="002B3438">
        <w:rPr>
          <w:sz w:val="22"/>
          <w:szCs w:val="22"/>
        </w:rPr>
        <w:lastRenderedPageBreak/>
        <w:t xml:space="preserve">Jankauskas R. 1999. Tuberculosis in Lithuania: paleopathological and historical correlations. In: </w:t>
      </w:r>
    </w:p>
    <w:p w14:paraId="1EA85B4B" w14:textId="77777777" w:rsidR="006E55E1" w:rsidRPr="002B3438" w:rsidRDefault="006A3BEE" w:rsidP="00F50D1A">
      <w:pPr>
        <w:autoSpaceDE w:val="0"/>
        <w:autoSpaceDN w:val="0"/>
        <w:adjustRightInd w:val="0"/>
        <w:rPr>
          <w:sz w:val="22"/>
          <w:szCs w:val="22"/>
        </w:rPr>
      </w:pPr>
      <w:r>
        <w:rPr>
          <w:sz w:val="22"/>
          <w:szCs w:val="22"/>
        </w:rPr>
        <w:t xml:space="preserve">  </w:t>
      </w:r>
      <w:r w:rsidR="006E55E1" w:rsidRPr="002B3438">
        <w:rPr>
          <w:sz w:val="22"/>
          <w:szCs w:val="22"/>
        </w:rPr>
        <w:t xml:space="preserve">Palfi GY, Dutour O, Deak J, kutas I, editors. Tuberculosis: Past and Present. Budapest, </w:t>
      </w:r>
    </w:p>
    <w:p w14:paraId="3BC310CE" w14:textId="77777777" w:rsidR="006E55E1" w:rsidRPr="002B3438" w:rsidRDefault="006A3BEE" w:rsidP="006E55E1">
      <w:pPr>
        <w:autoSpaceDE w:val="0"/>
        <w:autoSpaceDN w:val="0"/>
        <w:adjustRightInd w:val="0"/>
        <w:rPr>
          <w:sz w:val="22"/>
          <w:szCs w:val="22"/>
        </w:rPr>
      </w:pPr>
      <w:r>
        <w:rPr>
          <w:sz w:val="22"/>
          <w:szCs w:val="22"/>
        </w:rPr>
        <w:t xml:space="preserve">  </w:t>
      </w:r>
      <w:r w:rsidR="006E55E1" w:rsidRPr="002B3438">
        <w:rPr>
          <w:sz w:val="22"/>
          <w:szCs w:val="22"/>
        </w:rPr>
        <w:t>Szeged: Golden Book and Tuberculosis Foundation. p 551-558.</w:t>
      </w:r>
    </w:p>
    <w:p w14:paraId="45689064" w14:textId="77777777" w:rsidR="006E55E1" w:rsidRPr="002B3438" w:rsidRDefault="006E55E1" w:rsidP="00F50D1A">
      <w:pPr>
        <w:autoSpaceDE w:val="0"/>
        <w:autoSpaceDN w:val="0"/>
        <w:adjustRightInd w:val="0"/>
        <w:rPr>
          <w:sz w:val="22"/>
          <w:szCs w:val="22"/>
        </w:rPr>
      </w:pPr>
    </w:p>
    <w:p w14:paraId="57783933" w14:textId="77777777" w:rsidR="00A05597" w:rsidRPr="002B3438" w:rsidRDefault="00F50D1A" w:rsidP="00A05597">
      <w:pPr>
        <w:autoSpaceDE w:val="0"/>
        <w:autoSpaceDN w:val="0"/>
        <w:adjustRightInd w:val="0"/>
        <w:rPr>
          <w:sz w:val="22"/>
          <w:szCs w:val="22"/>
        </w:rPr>
      </w:pPr>
      <w:r w:rsidRPr="002B3438">
        <w:rPr>
          <w:sz w:val="22"/>
          <w:szCs w:val="22"/>
        </w:rPr>
        <w:t xml:space="preserve">Jankauskas R., Schultz M. </w:t>
      </w:r>
      <w:r w:rsidR="00A05597" w:rsidRPr="002B3438">
        <w:rPr>
          <w:sz w:val="22"/>
          <w:szCs w:val="22"/>
        </w:rPr>
        <w:t xml:space="preserve">1999. </w:t>
      </w:r>
      <w:r w:rsidRPr="002B3438">
        <w:rPr>
          <w:sz w:val="22"/>
          <w:szCs w:val="22"/>
        </w:rPr>
        <w:t xml:space="preserve">Infant diseases in Eastern Europe during the Late Middle Ages </w:t>
      </w:r>
    </w:p>
    <w:p w14:paraId="3A373072" w14:textId="77777777" w:rsidR="00F50D1A" w:rsidRPr="002B3438" w:rsidRDefault="006A3BEE" w:rsidP="00A05597">
      <w:pPr>
        <w:autoSpaceDE w:val="0"/>
        <w:autoSpaceDN w:val="0"/>
        <w:adjustRightInd w:val="0"/>
        <w:rPr>
          <w:sz w:val="22"/>
          <w:szCs w:val="22"/>
        </w:rPr>
      </w:pPr>
      <w:r>
        <w:rPr>
          <w:sz w:val="22"/>
          <w:szCs w:val="22"/>
        </w:rPr>
        <w:t xml:space="preserve">  </w:t>
      </w:r>
      <w:r w:rsidR="00F50D1A" w:rsidRPr="002B3438">
        <w:rPr>
          <w:sz w:val="22"/>
          <w:szCs w:val="22"/>
        </w:rPr>
        <w:t xml:space="preserve">and </w:t>
      </w:r>
      <w:r w:rsidR="00A05597" w:rsidRPr="002B3438">
        <w:rPr>
          <w:sz w:val="22"/>
          <w:szCs w:val="22"/>
        </w:rPr>
        <w:t>Early Modern Times. Am J Phys Anthrop S28:</w:t>
      </w:r>
      <w:r w:rsidR="00F50D1A" w:rsidRPr="002B3438">
        <w:rPr>
          <w:sz w:val="22"/>
          <w:szCs w:val="22"/>
        </w:rPr>
        <w:t>160-161.</w:t>
      </w:r>
    </w:p>
    <w:p w14:paraId="724A53DC" w14:textId="77777777" w:rsidR="00F50D1A" w:rsidRPr="002B3438" w:rsidRDefault="00F50D1A" w:rsidP="00F50D1A">
      <w:pPr>
        <w:autoSpaceDE w:val="0"/>
        <w:autoSpaceDN w:val="0"/>
        <w:adjustRightInd w:val="0"/>
        <w:rPr>
          <w:sz w:val="22"/>
          <w:szCs w:val="22"/>
        </w:rPr>
      </w:pPr>
    </w:p>
    <w:p w14:paraId="288025F2" w14:textId="77777777" w:rsidR="00A05597" w:rsidRPr="002B3438" w:rsidRDefault="00A05597" w:rsidP="00F50D1A">
      <w:pPr>
        <w:autoSpaceDE w:val="0"/>
        <w:autoSpaceDN w:val="0"/>
        <w:adjustRightInd w:val="0"/>
        <w:rPr>
          <w:sz w:val="22"/>
          <w:szCs w:val="22"/>
        </w:rPr>
      </w:pPr>
      <w:r w:rsidRPr="002B3438">
        <w:rPr>
          <w:sz w:val="22"/>
          <w:szCs w:val="22"/>
        </w:rPr>
        <w:t xml:space="preserve">Jankauskas R., Urbanavičius A. 1998. Diseases in European historical populations and their </w:t>
      </w:r>
    </w:p>
    <w:p w14:paraId="573C74AD" w14:textId="77777777" w:rsidR="00A05597" w:rsidRPr="002B3438" w:rsidRDefault="006A3BEE" w:rsidP="00F50D1A">
      <w:pPr>
        <w:autoSpaceDE w:val="0"/>
        <w:autoSpaceDN w:val="0"/>
        <w:adjustRightInd w:val="0"/>
        <w:rPr>
          <w:sz w:val="22"/>
          <w:szCs w:val="22"/>
        </w:rPr>
      </w:pPr>
      <w:r>
        <w:rPr>
          <w:sz w:val="22"/>
          <w:szCs w:val="22"/>
        </w:rPr>
        <w:t xml:space="preserve">  </w:t>
      </w:r>
      <w:r w:rsidR="00A05597" w:rsidRPr="002B3438">
        <w:rPr>
          <w:sz w:val="22"/>
          <w:szCs w:val="22"/>
        </w:rPr>
        <w:t>effects on individuals and society. Collegium Antropologicum 22:465-476.</w:t>
      </w:r>
    </w:p>
    <w:p w14:paraId="455500CA" w14:textId="77777777" w:rsidR="00A05597" w:rsidRPr="002B3438" w:rsidRDefault="00A05597" w:rsidP="00F50D1A">
      <w:pPr>
        <w:autoSpaceDE w:val="0"/>
        <w:autoSpaceDN w:val="0"/>
        <w:adjustRightInd w:val="0"/>
        <w:rPr>
          <w:sz w:val="22"/>
          <w:szCs w:val="22"/>
        </w:rPr>
      </w:pPr>
    </w:p>
    <w:p w14:paraId="690C2D75" w14:textId="77777777" w:rsidR="002F0EEE" w:rsidRPr="002B3438" w:rsidRDefault="002F0EEE" w:rsidP="007C2C97">
      <w:pPr>
        <w:rPr>
          <w:sz w:val="22"/>
          <w:szCs w:val="22"/>
        </w:rPr>
      </w:pPr>
      <w:r w:rsidRPr="002B3438">
        <w:rPr>
          <w:sz w:val="22"/>
          <w:szCs w:val="22"/>
        </w:rPr>
        <w:t xml:space="preserve">Jantz RL and Owsley DW. 1984. Long bone growth variation among Arikara skeletal </w:t>
      </w:r>
    </w:p>
    <w:p w14:paraId="1338C6CF" w14:textId="77777777" w:rsidR="002F0EEE" w:rsidRPr="002B3438" w:rsidRDefault="002F0EEE" w:rsidP="002F0EEE">
      <w:pPr>
        <w:ind w:firstLine="360"/>
        <w:rPr>
          <w:sz w:val="22"/>
          <w:szCs w:val="22"/>
        </w:rPr>
      </w:pPr>
      <w:r w:rsidRPr="002B3438">
        <w:rPr>
          <w:sz w:val="22"/>
          <w:szCs w:val="22"/>
        </w:rPr>
        <w:t xml:space="preserve">populations. </w:t>
      </w:r>
      <w:r w:rsidR="00065BB5" w:rsidRPr="002B3438">
        <w:rPr>
          <w:sz w:val="22"/>
          <w:szCs w:val="22"/>
        </w:rPr>
        <w:t>Am</w:t>
      </w:r>
      <w:r w:rsidRPr="002B3438">
        <w:rPr>
          <w:sz w:val="22"/>
          <w:szCs w:val="22"/>
        </w:rPr>
        <w:t xml:space="preserve"> J Phys Anthropol 63:13-20.</w:t>
      </w:r>
    </w:p>
    <w:p w14:paraId="042FBCDC" w14:textId="77777777" w:rsidR="002F0EEE" w:rsidRPr="002B3438" w:rsidRDefault="002F0EEE" w:rsidP="007C2C97">
      <w:pPr>
        <w:rPr>
          <w:sz w:val="22"/>
          <w:szCs w:val="22"/>
        </w:rPr>
      </w:pPr>
    </w:p>
    <w:p w14:paraId="366CE63D" w14:textId="77777777" w:rsidR="00530E17" w:rsidRPr="002B3438" w:rsidRDefault="00530E17" w:rsidP="0006305D">
      <w:pPr>
        <w:ind w:left="360" w:hanging="360"/>
        <w:rPr>
          <w:sz w:val="22"/>
          <w:szCs w:val="22"/>
        </w:rPr>
      </w:pPr>
      <w:r w:rsidRPr="002B3438">
        <w:rPr>
          <w:sz w:val="22"/>
          <w:szCs w:val="22"/>
        </w:rPr>
        <w:t>Jee WSS and Li XJ. 1990. Adaptation of cancellous bone to overloading in the adult rat: a single photon absorptiometry and histomorphometry study. Anat Rec 227:418-426.</w:t>
      </w:r>
    </w:p>
    <w:p w14:paraId="0AC99359" w14:textId="77777777" w:rsidR="0060407E" w:rsidRPr="002B3438" w:rsidRDefault="0060407E" w:rsidP="0006305D">
      <w:pPr>
        <w:ind w:left="360" w:hanging="360"/>
        <w:rPr>
          <w:sz w:val="22"/>
          <w:szCs w:val="22"/>
        </w:rPr>
      </w:pPr>
    </w:p>
    <w:p w14:paraId="722660FF" w14:textId="77777777" w:rsidR="0060407E" w:rsidRPr="002B3438" w:rsidRDefault="0060407E" w:rsidP="0060407E">
      <w:pPr>
        <w:ind w:left="360" w:hanging="360"/>
        <w:rPr>
          <w:sz w:val="22"/>
          <w:szCs w:val="22"/>
        </w:rPr>
      </w:pPr>
      <w:r w:rsidRPr="002B3438">
        <w:rPr>
          <w:sz w:val="22"/>
          <w:szCs w:val="22"/>
        </w:rPr>
        <w:t>Jee WSS, Yao W. 2001. Overview: animal models of osteopenia and osteoporosis. J Musculoskel Neuron Interact 1:193-207.</w:t>
      </w:r>
    </w:p>
    <w:p w14:paraId="45640229" w14:textId="77777777" w:rsidR="0060407E" w:rsidRPr="002B3438" w:rsidRDefault="0060407E" w:rsidP="0006305D">
      <w:pPr>
        <w:ind w:left="360" w:hanging="360"/>
        <w:rPr>
          <w:sz w:val="22"/>
          <w:szCs w:val="22"/>
        </w:rPr>
      </w:pPr>
    </w:p>
    <w:p w14:paraId="28B3AB8C" w14:textId="77777777" w:rsidR="0061427F" w:rsidRPr="002B3438" w:rsidRDefault="0061427F" w:rsidP="0006305D">
      <w:pPr>
        <w:ind w:left="360" w:hanging="360"/>
        <w:rPr>
          <w:sz w:val="22"/>
          <w:szCs w:val="22"/>
        </w:rPr>
      </w:pPr>
      <w:r w:rsidRPr="002B3438">
        <w:rPr>
          <w:sz w:val="22"/>
          <w:szCs w:val="22"/>
        </w:rPr>
        <w:t>Jelliffe DB. 1955. Infant feeding in the subtropics and tropics. Geneva: World Health Organization.</w:t>
      </w:r>
    </w:p>
    <w:p w14:paraId="0FC8ECBC" w14:textId="77777777" w:rsidR="0061427F" w:rsidRPr="002B3438" w:rsidRDefault="0061427F" w:rsidP="0006305D">
      <w:pPr>
        <w:ind w:left="360" w:hanging="360"/>
        <w:rPr>
          <w:sz w:val="22"/>
          <w:szCs w:val="22"/>
        </w:rPr>
      </w:pPr>
    </w:p>
    <w:p w14:paraId="2A2E97BA" w14:textId="77777777" w:rsidR="00DF678C" w:rsidRPr="002B3438" w:rsidRDefault="00DF678C" w:rsidP="0006305D">
      <w:pPr>
        <w:ind w:left="360" w:hanging="360"/>
        <w:rPr>
          <w:sz w:val="22"/>
          <w:szCs w:val="22"/>
        </w:rPr>
      </w:pPr>
      <w:r w:rsidRPr="002B3438">
        <w:rPr>
          <w:sz w:val="22"/>
          <w:szCs w:val="22"/>
        </w:rPr>
        <w:t>Johnson</w:t>
      </w:r>
      <w:r w:rsidR="006A3BEE">
        <w:rPr>
          <w:sz w:val="22"/>
          <w:szCs w:val="22"/>
        </w:rPr>
        <w:t xml:space="preserve"> </w:t>
      </w:r>
      <w:r w:rsidRPr="002B3438">
        <w:rPr>
          <w:sz w:val="22"/>
          <w:szCs w:val="22"/>
        </w:rPr>
        <w:t>YJ, Kaneene JB, Gardiner JC, Lloyd JW, Sprecher DJ, and Coe PH. 2001. The effect of subclinical mycobacterium paratuberculosis infection on milk production in Michigan dairy cows. J Dairy Sci 84:2188-2194.</w:t>
      </w:r>
    </w:p>
    <w:p w14:paraId="587F9395" w14:textId="77777777" w:rsidR="00DF678C" w:rsidRPr="002B3438" w:rsidRDefault="00DF678C" w:rsidP="0006305D">
      <w:pPr>
        <w:ind w:left="360" w:hanging="360"/>
        <w:rPr>
          <w:sz w:val="22"/>
          <w:szCs w:val="22"/>
        </w:rPr>
      </w:pPr>
    </w:p>
    <w:p w14:paraId="314DB33D" w14:textId="77777777" w:rsidR="0042542E" w:rsidRPr="002B3438" w:rsidRDefault="0042542E" w:rsidP="007C1D9B">
      <w:pPr>
        <w:ind w:left="360" w:hanging="360"/>
        <w:rPr>
          <w:sz w:val="22"/>
          <w:szCs w:val="22"/>
        </w:rPr>
      </w:pPr>
      <w:r w:rsidRPr="002B3438">
        <w:rPr>
          <w:sz w:val="22"/>
          <w:szCs w:val="22"/>
        </w:rPr>
        <w:t>Jones</w:t>
      </w:r>
      <w:r w:rsidR="00351BB9" w:rsidRPr="002B3438">
        <w:rPr>
          <w:sz w:val="22"/>
          <w:szCs w:val="22"/>
        </w:rPr>
        <w:t xml:space="preserve"> D, Leivseth G, </w:t>
      </w:r>
      <w:r w:rsidRPr="002B3438">
        <w:rPr>
          <w:sz w:val="22"/>
          <w:szCs w:val="22"/>
        </w:rPr>
        <w:t xml:space="preserve">Tenbosch, J. </w:t>
      </w:r>
      <w:r w:rsidR="00F43FA3" w:rsidRPr="002B3438">
        <w:rPr>
          <w:sz w:val="22"/>
          <w:szCs w:val="22"/>
        </w:rPr>
        <w:t xml:space="preserve">1995. </w:t>
      </w:r>
      <w:r w:rsidRPr="002B3438">
        <w:rPr>
          <w:sz w:val="22"/>
          <w:szCs w:val="22"/>
        </w:rPr>
        <w:t>Mechano-reception in osteoblast-like celss. Biochem Cell Biol 73:525-534.</w:t>
      </w:r>
    </w:p>
    <w:p w14:paraId="0CE20B85" w14:textId="77777777" w:rsidR="0042542E" w:rsidRPr="002B3438" w:rsidRDefault="0042542E" w:rsidP="007C1D9B">
      <w:pPr>
        <w:ind w:left="360" w:hanging="360"/>
        <w:rPr>
          <w:sz w:val="22"/>
          <w:szCs w:val="22"/>
        </w:rPr>
      </w:pPr>
    </w:p>
    <w:p w14:paraId="56E0B76B" w14:textId="77777777" w:rsidR="001F5B75" w:rsidRPr="002B3438" w:rsidRDefault="001F5B75" w:rsidP="001F5B75">
      <w:pPr>
        <w:autoSpaceDE w:val="0"/>
        <w:autoSpaceDN w:val="0"/>
        <w:adjustRightInd w:val="0"/>
        <w:rPr>
          <w:rFonts w:eastAsia="Calibri"/>
          <w:sz w:val="22"/>
          <w:szCs w:val="22"/>
        </w:rPr>
      </w:pPr>
      <w:r w:rsidRPr="002B3438">
        <w:rPr>
          <w:rFonts w:eastAsia="Calibri"/>
          <w:sz w:val="22"/>
          <w:szCs w:val="22"/>
        </w:rPr>
        <w:t xml:space="preserve">Jones HH, Priest JD, Hayes WC, Tichenor CC, Nagel DA. 1977. Humeral hypertrophy in </w:t>
      </w:r>
    </w:p>
    <w:p w14:paraId="05E9765E" w14:textId="77777777" w:rsidR="001F5B75" w:rsidRPr="002B3438" w:rsidRDefault="006A3BEE" w:rsidP="001F5B75">
      <w:pPr>
        <w:autoSpaceDE w:val="0"/>
        <w:autoSpaceDN w:val="0"/>
        <w:adjustRightInd w:val="0"/>
        <w:rPr>
          <w:rFonts w:eastAsia="Calibri"/>
          <w:sz w:val="22"/>
          <w:szCs w:val="22"/>
        </w:rPr>
      </w:pPr>
      <w:r>
        <w:rPr>
          <w:rFonts w:eastAsia="Calibri"/>
          <w:sz w:val="22"/>
          <w:szCs w:val="22"/>
        </w:rPr>
        <w:t xml:space="preserve">  </w:t>
      </w:r>
      <w:r w:rsidR="001F5B75" w:rsidRPr="002B3438">
        <w:rPr>
          <w:rFonts w:eastAsia="Calibri"/>
          <w:sz w:val="22"/>
          <w:szCs w:val="22"/>
        </w:rPr>
        <w:t>response to exercise. J Bone Joint Surg 59:204-208.</w:t>
      </w:r>
    </w:p>
    <w:p w14:paraId="686E963D" w14:textId="77777777" w:rsidR="001F5B75" w:rsidRPr="002B3438" w:rsidRDefault="001F5B75" w:rsidP="001F5B75">
      <w:pPr>
        <w:ind w:left="360" w:hanging="360"/>
        <w:rPr>
          <w:sz w:val="22"/>
          <w:szCs w:val="22"/>
        </w:rPr>
      </w:pPr>
    </w:p>
    <w:p w14:paraId="758694CC" w14:textId="77777777" w:rsidR="00B248DC" w:rsidRPr="002B3438" w:rsidRDefault="00B248DC" w:rsidP="00B248DC">
      <w:pPr>
        <w:autoSpaceDE w:val="0"/>
        <w:autoSpaceDN w:val="0"/>
        <w:adjustRightInd w:val="0"/>
        <w:rPr>
          <w:rFonts w:eastAsia="Calibri"/>
          <w:sz w:val="22"/>
          <w:szCs w:val="22"/>
        </w:rPr>
      </w:pPr>
      <w:r w:rsidRPr="002B3438">
        <w:rPr>
          <w:rFonts w:eastAsia="Calibri"/>
          <w:bCs/>
          <w:sz w:val="22"/>
          <w:szCs w:val="22"/>
        </w:rPr>
        <w:t xml:space="preserve">Jowsey J. </w:t>
      </w:r>
      <w:r w:rsidRPr="002B3438">
        <w:rPr>
          <w:rFonts w:eastAsia="Calibri"/>
          <w:sz w:val="22"/>
          <w:szCs w:val="22"/>
        </w:rPr>
        <w:t xml:space="preserve">1960. Age changes in human bone. </w:t>
      </w:r>
      <w:r w:rsidRPr="002B3438">
        <w:rPr>
          <w:rFonts w:eastAsia="Calibri"/>
          <w:i/>
          <w:iCs/>
          <w:sz w:val="22"/>
          <w:szCs w:val="22"/>
        </w:rPr>
        <w:t>Clin</w:t>
      </w:r>
      <w:r w:rsidRPr="002B3438">
        <w:rPr>
          <w:rFonts w:eastAsia="Calibri"/>
          <w:sz w:val="22"/>
          <w:szCs w:val="22"/>
        </w:rPr>
        <w:t xml:space="preserve">. </w:t>
      </w:r>
      <w:r w:rsidRPr="002B3438">
        <w:rPr>
          <w:rFonts w:eastAsia="Calibri"/>
          <w:i/>
          <w:iCs/>
          <w:sz w:val="22"/>
          <w:szCs w:val="22"/>
        </w:rPr>
        <w:t>Orthop</w:t>
      </w:r>
      <w:r w:rsidRPr="002B3438">
        <w:rPr>
          <w:rFonts w:eastAsia="Calibri"/>
          <w:sz w:val="22"/>
          <w:szCs w:val="22"/>
        </w:rPr>
        <w:t xml:space="preserve">. </w:t>
      </w:r>
      <w:r w:rsidRPr="002B3438">
        <w:rPr>
          <w:rFonts w:eastAsia="Calibri"/>
          <w:bCs/>
          <w:sz w:val="22"/>
          <w:szCs w:val="22"/>
        </w:rPr>
        <w:t>17</w:t>
      </w:r>
      <w:r w:rsidRPr="002B3438">
        <w:rPr>
          <w:rFonts w:eastAsia="Calibri"/>
          <w:sz w:val="22"/>
          <w:szCs w:val="22"/>
        </w:rPr>
        <w:t>:210–217.</w:t>
      </w:r>
    </w:p>
    <w:p w14:paraId="470752DD" w14:textId="77777777" w:rsidR="00B248DC" w:rsidRPr="002B3438" w:rsidRDefault="00B248DC" w:rsidP="00B248DC">
      <w:pPr>
        <w:ind w:left="360" w:hanging="360"/>
        <w:rPr>
          <w:sz w:val="22"/>
          <w:szCs w:val="22"/>
        </w:rPr>
      </w:pPr>
    </w:p>
    <w:p w14:paraId="7F02D2C1" w14:textId="77777777" w:rsidR="00C27558" w:rsidRPr="002B3438" w:rsidRDefault="00C27558" w:rsidP="00C27558">
      <w:pPr>
        <w:pStyle w:val="CommentText"/>
        <w:rPr>
          <w:sz w:val="22"/>
          <w:szCs w:val="22"/>
        </w:rPr>
      </w:pPr>
      <w:r w:rsidRPr="002B3438">
        <w:rPr>
          <w:sz w:val="22"/>
          <w:szCs w:val="22"/>
        </w:rPr>
        <w:t>Jowsey J. 1966. Studies of Haversian systems in man and some animals. J Anat 100:857-864.</w:t>
      </w:r>
    </w:p>
    <w:p w14:paraId="2A5C3A97" w14:textId="77777777" w:rsidR="00C27558" w:rsidRPr="002B3438" w:rsidRDefault="00C27558" w:rsidP="00B248DC">
      <w:pPr>
        <w:ind w:left="360" w:hanging="360"/>
        <w:rPr>
          <w:sz w:val="22"/>
          <w:szCs w:val="22"/>
        </w:rPr>
      </w:pPr>
    </w:p>
    <w:p w14:paraId="2F406BBA" w14:textId="77777777" w:rsidR="00F422CE" w:rsidRPr="002B3438" w:rsidRDefault="00F422CE" w:rsidP="00B248DC">
      <w:pPr>
        <w:ind w:left="360" w:hanging="360"/>
        <w:rPr>
          <w:sz w:val="22"/>
          <w:szCs w:val="22"/>
        </w:rPr>
      </w:pPr>
      <w:r w:rsidRPr="002B3438">
        <w:rPr>
          <w:sz w:val="22"/>
          <w:szCs w:val="22"/>
        </w:rPr>
        <w:t>Jowsey J. 1968. Age and species differences in bone. Cornell Vet 56 (suppl): 74-94.</w:t>
      </w:r>
    </w:p>
    <w:p w14:paraId="5571933D" w14:textId="77777777" w:rsidR="00F422CE" w:rsidRPr="002B3438" w:rsidRDefault="00F422CE" w:rsidP="00B248DC">
      <w:pPr>
        <w:ind w:left="360" w:hanging="360"/>
        <w:rPr>
          <w:sz w:val="22"/>
          <w:szCs w:val="22"/>
        </w:rPr>
      </w:pPr>
    </w:p>
    <w:p w14:paraId="012A6EBE" w14:textId="77777777" w:rsidR="00E13F24" w:rsidRPr="002B3438" w:rsidRDefault="00E13F24" w:rsidP="00E13F24">
      <w:pPr>
        <w:ind w:left="360" w:hanging="360"/>
        <w:rPr>
          <w:sz w:val="22"/>
          <w:szCs w:val="22"/>
        </w:rPr>
      </w:pPr>
      <w:r w:rsidRPr="002B3438">
        <w:rPr>
          <w:sz w:val="22"/>
          <w:szCs w:val="22"/>
        </w:rPr>
        <w:t>Kamp KA. 2001.</w:t>
      </w:r>
      <w:r w:rsidR="006A3BEE">
        <w:rPr>
          <w:sz w:val="22"/>
          <w:szCs w:val="22"/>
        </w:rPr>
        <w:t xml:space="preserve"> </w:t>
      </w:r>
      <w:r w:rsidRPr="002B3438">
        <w:rPr>
          <w:sz w:val="22"/>
          <w:szCs w:val="22"/>
        </w:rPr>
        <w:t>Where have all the children gone?: the archaeology of childhood. J Arch Method Theory 8:1-34.</w:t>
      </w:r>
    </w:p>
    <w:p w14:paraId="53E731DC" w14:textId="77777777" w:rsidR="00E13F24" w:rsidRPr="002B3438" w:rsidRDefault="00E13F24" w:rsidP="001F5B75">
      <w:pPr>
        <w:ind w:left="360" w:hanging="360"/>
        <w:rPr>
          <w:sz w:val="22"/>
          <w:szCs w:val="22"/>
        </w:rPr>
      </w:pPr>
    </w:p>
    <w:p w14:paraId="67709FA9" w14:textId="77777777" w:rsidR="001C63C7" w:rsidRPr="002B3438" w:rsidRDefault="001C63C7" w:rsidP="001C63C7">
      <w:pPr>
        <w:ind w:left="360" w:hanging="360"/>
        <w:rPr>
          <w:sz w:val="22"/>
          <w:szCs w:val="22"/>
        </w:rPr>
      </w:pPr>
      <w:r w:rsidRPr="002B3438">
        <w:rPr>
          <w:sz w:val="22"/>
          <w:szCs w:val="22"/>
        </w:rPr>
        <w:t>Kannus P, Haapasalo H, Sankelo M, Sievänen H, Pasanen M, Heinonen A, Pekka O, Vuori I. 1995. Effect of starting age of physical activity on bone mass in the dominant arm of tennis and squash players. Ann Intern Med 123: 27-31.</w:t>
      </w:r>
    </w:p>
    <w:p w14:paraId="66A9FA6C" w14:textId="77777777" w:rsidR="001C63C7" w:rsidRPr="002B3438" w:rsidRDefault="001C63C7" w:rsidP="001F5B75">
      <w:pPr>
        <w:ind w:left="360" w:hanging="360"/>
        <w:rPr>
          <w:sz w:val="22"/>
          <w:szCs w:val="22"/>
        </w:rPr>
      </w:pPr>
    </w:p>
    <w:p w14:paraId="21F8EDE2" w14:textId="77777777" w:rsidR="005A6C0E" w:rsidRPr="002B3438" w:rsidRDefault="005A6C0E" w:rsidP="005A6C0E">
      <w:pPr>
        <w:autoSpaceDE w:val="0"/>
        <w:autoSpaceDN w:val="0"/>
        <w:adjustRightInd w:val="0"/>
        <w:rPr>
          <w:sz w:val="22"/>
          <w:szCs w:val="22"/>
        </w:rPr>
      </w:pPr>
      <w:r w:rsidRPr="002B3438">
        <w:rPr>
          <w:sz w:val="22"/>
          <w:szCs w:val="22"/>
        </w:rPr>
        <w:t xml:space="preserve">Kaplan H, Hill K, Lancaster J, Hurtado AM. 2000. A theory of human life history evolution: diet, </w:t>
      </w:r>
    </w:p>
    <w:p w14:paraId="65CAB91D" w14:textId="77777777" w:rsidR="005A6C0E" w:rsidRPr="002B3438" w:rsidRDefault="006A3BEE" w:rsidP="005A6C0E">
      <w:pPr>
        <w:autoSpaceDE w:val="0"/>
        <w:autoSpaceDN w:val="0"/>
        <w:adjustRightInd w:val="0"/>
        <w:rPr>
          <w:sz w:val="22"/>
          <w:szCs w:val="22"/>
        </w:rPr>
      </w:pPr>
      <w:r>
        <w:rPr>
          <w:sz w:val="22"/>
          <w:szCs w:val="22"/>
        </w:rPr>
        <w:t xml:space="preserve">  </w:t>
      </w:r>
      <w:r w:rsidR="005A6C0E" w:rsidRPr="002B3438">
        <w:rPr>
          <w:sz w:val="22"/>
          <w:szCs w:val="22"/>
        </w:rPr>
        <w:t xml:space="preserve">intelligence, and longevity. </w:t>
      </w:r>
      <w:r w:rsidR="005A6C0E" w:rsidRPr="002B3438">
        <w:rPr>
          <w:iCs/>
          <w:sz w:val="22"/>
          <w:szCs w:val="22"/>
        </w:rPr>
        <w:t xml:space="preserve">Evolutionary Anthropology </w:t>
      </w:r>
      <w:r w:rsidR="005A6C0E" w:rsidRPr="002B3438">
        <w:rPr>
          <w:sz w:val="22"/>
          <w:szCs w:val="22"/>
        </w:rPr>
        <w:t>9:149-186.</w:t>
      </w:r>
    </w:p>
    <w:p w14:paraId="2D2C685A" w14:textId="77777777" w:rsidR="005A6C0E" w:rsidRPr="002B3438" w:rsidRDefault="005A6C0E" w:rsidP="005A6C0E">
      <w:pPr>
        <w:ind w:left="360" w:hanging="360"/>
        <w:rPr>
          <w:sz w:val="22"/>
          <w:szCs w:val="22"/>
        </w:rPr>
      </w:pPr>
    </w:p>
    <w:p w14:paraId="1BABFDDE" w14:textId="77777777" w:rsidR="009D34AE" w:rsidRPr="002B3438" w:rsidRDefault="009D34AE" w:rsidP="009D34AE">
      <w:pPr>
        <w:autoSpaceDE w:val="0"/>
        <w:autoSpaceDN w:val="0"/>
        <w:adjustRightInd w:val="0"/>
        <w:rPr>
          <w:iCs/>
          <w:sz w:val="22"/>
          <w:szCs w:val="22"/>
        </w:rPr>
      </w:pPr>
      <w:r w:rsidRPr="002B3438">
        <w:rPr>
          <w:sz w:val="22"/>
          <w:szCs w:val="22"/>
        </w:rPr>
        <w:t xml:space="preserve">Karlsson MK, Johnell O, Obrant KJ. 1993. Bone mineral density weight lifters. </w:t>
      </w:r>
      <w:r w:rsidRPr="002B3438">
        <w:rPr>
          <w:iCs/>
          <w:sz w:val="22"/>
          <w:szCs w:val="22"/>
        </w:rPr>
        <w:t>Calcif</w:t>
      </w:r>
    </w:p>
    <w:p w14:paraId="3036F7D4" w14:textId="77777777" w:rsidR="009D34AE" w:rsidRPr="002B3438" w:rsidRDefault="009D34AE" w:rsidP="009D34AE">
      <w:pPr>
        <w:ind w:left="360"/>
        <w:rPr>
          <w:sz w:val="22"/>
          <w:szCs w:val="22"/>
        </w:rPr>
      </w:pPr>
      <w:r w:rsidRPr="002B3438">
        <w:rPr>
          <w:iCs/>
          <w:sz w:val="22"/>
          <w:szCs w:val="22"/>
        </w:rPr>
        <w:t xml:space="preserve">Tissue Int </w:t>
      </w:r>
      <w:r w:rsidRPr="002B3438">
        <w:rPr>
          <w:sz w:val="22"/>
          <w:szCs w:val="22"/>
        </w:rPr>
        <w:t>52: 212-215.</w:t>
      </w:r>
    </w:p>
    <w:p w14:paraId="47CE531C" w14:textId="77777777" w:rsidR="009D34AE" w:rsidRPr="002B3438" w:rsidRDefault="009D34AE" w:rsidP="009D34AE">
      <w:pPr>
        <w:ind w:left="360" w:hanging="360"/>
        <w:rPr>
          <w:sz w:val="22"/>
          <w:szCs w:val="22"/>
        </w:rPr>
      </w:pPr>
    </w:p>
    <w:p w14:paraId="515743DE" w14:textId="77777777" w:rsidR="000075C8" w:rsidRPr="002B3438" w:rsidRDefault="000075C8" w:rsidP="000075C8">
      <w:pPr>
        <w:autoSpaceDE w:val="0"/>
        <w:autoSpaceDN w:val="0"/>
        <w:adjustRightInd w:val="0"/>
        <w:rPr>
          <w:rFonts w:eastAsia="Calibri"/>
          <w:color w:val="231F20"/>
          <w:sz w:val="22"/>
          <w:szCs w:val="22"/>
        </w:rPr>
      </w:pPr>
      <w:r w:rsidRPr="002B3438">
        <w:rPr>
          <w:rFonts w:eastAsia="Calibri"/>
          <w:color w:val="231F20"/>
          <w:sz w:val="22"/>
          <w:szCs w:val="22"/>
        </w:rPr>
        <w:t xml:space="preserve">Katz JL. 1980. The structure and biomechanics of bone. In: Currey JD, Vincent JFV, editors. </w:t>
      </w:r>
    </w:p>
    <w:p w14:paraId="1BD38EAA" w14:textId="77777777" w:rsidR="000075C8" w:rsidRPr="002B3438" w:rsidRDefault="000075C8" w:rsidP="000075C8">
      <w:pPr>
        <w:autoSpaceDE w:val="0"/>
        <w:autoSpaceDN w:val="0"/>
        <w:adjustRightInd w:val="0"/>
        <w:ind w:left="375"/>
        <w:rPr>
          <w:rFonts w:eastAsia="Calibri"/>
          <w:color w:val="231F20"/>
          <w:sz w:val="22"/>
          <w:szCs w:val="22"/>
        </w:rPr>
      </w:pPr>
      <w:r w:rsidRPr="002B3438">
        <w:rPr>
          <w:rFonts w:eastAsia="Calibri"/>
          <w:color w:val="231F20"/>
          <w:sz w:val="22"/>
          <w:szCs w:val="22"/>
        </w:rPr>
        <w:t>Mechanical properties of biological materials. Cambridge: Cambridge Univ. Press; p 137–168.</w:t>
      </w:r>
    </w:p>
    <w:p w14:paraId="1E14E2A2" w14:textId="77777777" w:rsidR="00CB4014" w:rsidRPr="002B3438" w:rsidRDefault="00CB4014" w:rsidP="00CB4014">
      <w:pPr>
        <w:ind w:left="360" w:hanging="360"/>
        <w:rPr>
          <w:sz w:val="22"/>
          <w:szCs w:val="22"/>
        </w:rPr>
      </w:pPr>
      <w:r w:rsidRPr="002B3438">
        <w:rPr>
          <w:sz w:val="22"/>
          <w:szCs w:val="22"/>
        </w:rPr>
        <w:t>Katzenberg MA, Herring DA, Saunders SR. 1996. Weaning and infant mortality: evaluating the skeletal evidence.</w:t>
      </w:r>
      <w:r w:rsidR="006A3BEE">
        <w:rPr>
          <w:sz w:val="22"/>
          <w:szCs w:val="22"/>
        </w:rPr>
        <w:t xml:space="preserve"> </w:t>
      </w:r>
      <w:r w:rsidRPr="002B3438">
        <w:rPr>
          <w:sz w:val="22"/>
          <w:szCs w:val="22"/>
        </w:rPr>
        <w:t>Am J Phys Anthropol 101:177-199.</w:t>
      </w:r>
    </w:p>
    <w:p w14:paraId="22471049" w14:textId="77777777" w:rsidR="000075C8" w:rsidRPr="002B3438" w:rsidRDefault="000075C8" w:rsidP="000075C8">
      <w:pPr>
        <w:ind w:left="360" w:hanging="360"/>
        <w:rPr>
          <w:sz w:val="22"/>
          <w:szCs w:val="22"/>
        </w:rPr>
      </w:pPr>
    </w:p>
    <w:p w14:paraId="1B48732C" w14:textId="77777777" w:rsidR="0004239A" w:rsidRPr="002B3438" w:rsidRDefault="0004239A" w:rsidP="0004239A">
      <w:pPr>
        <w:pStyle w:val="CommentText"/>
        <w:rPr>
          <w:sz w:val="22"/>
          <w:szCs w:val="22"/>
        </w:rPr>
      </w:pPr>
      <w:r w:rsidRPr="002B3438">
        <w:rPr>
          <w:sz w:val="22"/>
          <w:szCs w:val="22"/>
        </w:rPr>
        <w:t xml:space="preserve">Kemper AR, McNally C, Kennedy EA, Manoogian SJ, Rath AL, Ng TP, Stitzel JD, Smith EP, </w:t>
      </w:r>
    </w:p>
    <w:p w14:paraId="457730BB" w14:textId="77777777" w:rsidR="0004239A" w:rsidRPr="002B3438" w:rsidRDefault="0004239A" w:rsidP="0004239A">
      <w:pPr>
        <w:pStyle w:val="CommentText"/>
        <w:ind w:left="375"/>
        <w:rPr>
          <w:sz w:val="22"/>
          <w:szCs w:val="22"/>
        </w:rPr>
      </w:pPr>
      <w:r w:rsidRPr="002B3438">
        <w:rPr>
          <w:sz w:val="22"/>
          <w:szCs w:val="22"/>
        </w:rPr>
        <w:t xml:space="preserve">Duma SM. 2005. Material properties of human rib cortical bone from dynamic tension coupon testing. Stapp Car Crash Journal 49:199–230. </w:t>
      </w:r>
    </w:p>
    <w:p w14:paraId="0895564C" w14:textId="77777777" w:rsidR="0004239A" w:rsidRPr="002B3438" w:rsidRDefault="0004239A" w:rsidP="0004239A">
      <w:pPr>
        <w:pStyle w:val="CommentText"/>
        <w:rPr>
          <w:sz w:val="22"/>
          <w:szCs w:val="22"/>
        </w:rPr>
      </w:pPr>
    </w:p>
    <w:p w14:paraId="641C4559" w14:textId="77777777" w:rsidR="0004239A" w:rsidRPr="002B3438" w:rsidRDefault="0004239A" w:rsidP="0004239A">
      <w:pPr>
        <w:pStyle w:val="CommentText"/>
        <w:rPr>
          <w:sz w:val="22"/>
          <w:szCs w:val="22"/>
        </w:rPr>
      </w:pPr>
      <w:r w:rsidRPr="002B3438">
        <w:rPr>
          <w:sz w:val="22"/>
          <w:szCs w:val="22"/>
        </w:rPr>
        <w:t xml:space="preserve">Kemper AR, McNally C, Pullins CA, Freeman LJ, Duma S. 2007. The biomechanics of human </w:t>
      </w:r>
    </w:p>
    <w:p w14:paraId="2B9D59D3" w14:textId="77777777" w:rsidR="0004239A" w:rsidRPr="002B3438" w:rsidRDefault="0004239A" w:rsidP="0004239A">
      <w:pPr>
        <w:pStyle w:val="CommentText"/>
        <w:ind w:left="360" w:firstLine="15"/>
        <w:rPr>
          <w:sz w:val="22"/>
          <w:szCs w:val="22"/>
        </w:rPr>
      </w:pPr>
      <w:r w:rsidRPr="002B3438">
        <w:rPr>
          <w:sz w:val="22"/>
          <w:szCs w:val="22"/>
        </w:rPr>
        <w:t>ribs: material and structural properties from dynamic tension and bending tests. Stapp Car Crash Journal 5:235–273.</w:t>
      </w:r>
    </w:p>
    <w:p w14:paraId="4E8BBC1C" w14:textId="77777777" w:rsidR="0004239A" w:rsidRPr="002B3438" w:rsidRDefault="0004239A" w:rsidP="007C1D9B">
      <w:pPr>
        <w:ind w:left="360" w:hanging="360"/>
        <w:rPr>
          <w:sz w:val="22"/>
          <w:szCs w:val="22"/>
        </w:rPr>
      </w:pPr>
    </w:p>
    <w:p w14:paraId="61BC4A72" w14:textId="77777777" w:rsidR="004E00E3" w:rsidRPr="002B3438" w:rsidRDefault="004E00E3" w:rsidP="004E00E3">
      <w:pPr>
        <w:ind w:left="360" w:hanging="360"/>
        <w:rPr>
          <w:sz w:val="22"/>
          <w:szCs w:val="22"/>
        </w:rPr>
      </w:pPr>
      <w:r w:rsidRPr="002B3438">
        <w:rPr>
          <w:sz w:val="22"/>
          <w:szCs w:val="22"/>
        </w:rPr>
        <w:t>Kerley ER. 1965. The microscopic determination of age in human bone. Am J Phys Anthropol 23:149-164.</w:t>
      </w:r>
    </w:p>
    <w:p w14:paraId="0F80F42C" w14:textId="77777777" w:rsidR="004E00E3" w:rsidRPr="002B3438" w:rsidRDefault="004E00E3" w:rsidP="007C1D9B">
      <w:pPr>
        <w:ind w:left="360" w:hanging="360"/>
        <w:rPr>
          <w:sz w:val="22"/>
          <w:szCs w:val="22"/>
        </w:rPr>
      </w:pPr>
    </w:p>
    <w:p w14:paraId="61240004" w14:textId="77777777" w:rsidR="00E74F2B" w:rsidRPr="002B3438" w:rsidRDefault="00E74F2B" w:rsidP="00E74F2B">
      <w:pPr>
        <w:autoSpaceDE w:val="0"/>
        <w:autoSpaceDN w:val="0"/>
        <w:adjustRightInd w:val="0"/>
        <w:rPr>
          <w:sz w:val="22"/>
          <w:szCs w:val="22"/>
        </w:rPr>
      </w:pPr>
      <w:r w:rsidRPr="002B3438">
        <w:rPr>
          <w:sz w:val="22"/>
          <w:szCs w:val="22"/>
        </w:rPr>
        <w:t xml:space="preserve">Kerr D, Morton A, Dick I, Prince R. 1996. Exercise effects on bone mass in postmenopausal </w:t>
      </w:r>
    </w:p>
    <w:p w14:paraId="3D2196F5" w14:textId="77777777" w:rsidR="00E74F2B" w:rsidRPr="002B3438" w:rsidRDefault="00E74F2B" w:rsidP="00E74F2B">
      <w:pPr>
        <w:autoSpaceDE w:val="0"/>
        <w:autoSpaceDN w:val="0"/>
        <w:adjustRightInd w:val="0"/>
        <w:ind w:firstLine="360"/>
        <w:rPr>
          <w:sz w:val="22"/>
          <w:szCs w:val="22"/>
        </w:rPr>
      </w:pPr>
      <w:r w:rsidRPr="002B3438">
        <w:rPr>
          <w:sz w:val="22"/>
          <w:szCs w:val="22"/>
        </w:rPr>
        <w:t xml:space="preserve">women are site-specific and load-dependent. </w:t>
      </w:r>
      <w:r w:rsidRPr="002B3438">
        <w:rPr>
          <w:i/>
          <w:iCs/>
          <w:sz w:val="22"/>
          <w:szCs w:val="22"/>
        </w:rPr>
        <w:t xml:space="preserve">J Bone Miner Res </w:t>
      </w:r>
      <w:r w:rsidRPr="002B3438">
        <w:rPr>
          <w:sz w:val="22"/>
          <w:szCs w:val="22"/>
        </w:rPr>
        <w:t>11:218-225.</w:t>
      </w:r>
    </w:p>
    <w:p w14:paraId="4CA9185C" w14:textId="77777777" w:rsidR="00E74F2B" w:rsidRPr="002B3438" w:rsidRDefault="00E74F2B" w:rsidP="00E74F2B">
      <w:pPr>
        <w:ind w:left="360" w:hanging="360"/>
        <w:rPr>
          <w:sz w:val="22"/>
          <w:szCs w:val="22"/>
        </w:rPr>
      </w:pPr>
    </w:p>
    <w:p w14:paraId="0E1855B8" w14:textId="77777777" w:rsidR="002D30BE" w:rsidRPr="002B3438" w:rsidRDefault="002D30BE" w:rsidP="002D30BE">
      <w:pPr>
        <w:pStyle w:val="ListParagraph"/>
        <w:autoSpaceDE w:val="0"/>
        <w:autoSpaceDN w:val="0"/>
        <w:adjustRightInd w:val="0"/>
        <w:ind w:left="0"/>
        <w:jc w:val="both"/>
        <w:rPr>
          <w:sz w:val="22"/>
          <w:szCs w:val="22"/>
          <w:lang w:val="lt-LT" w:eastAsia="lt-LT"/>
        </w:rPr>
      </w:pPr>
      <w:r w:rsidRPr="002B3438">
        <w:rPr>
          <w:sz w:val="22"/>
          <w:szCs w:val="22"/>
          <w:lang w:val="lt-LT" w:eastAsia="lt-LT"/>
        </w:rPr>
        <w:t>Kiaupa.1989. XVI a. Alytus: miestelis ir mie</w:t>
      </w:r>
      <w:r w:rsidR="00F50D1A" w:rsidRPr="002B3438">
        <w:rPr>
          <w:sz w:val="22"/>
          <w:szCs w:val="22"/>
          <w:lang w:val="lt-LT" w:eastAsia="lt-LT"/>
        </w:rPr>
        <w:t>stas. In Leščinskienė, D</w:t>
      </w:r>
      <w:r w:rsidRPr="002B3438">
        <w:rPr>
          <w:sz w:val="22"/>
          <w:szCs w:val="22"/>
          <w:lang w:val="lt-LT" w:eastAsia="lt-LT"/>
        </w:rPr>
        <w:t xml:space="preserve">, editor </w:t>
      </w:r>
      <w:r w:rsidRPr="002B3438">
        <w:rPr>
          <w:i/>
          <w:sz w:val="22"/>
          <w:szCs w:val="22"/>
          <w:lang w:val="lt-LT" w:eastAsia="lt-LT"/>
        </w:rPr>
        <w:t>Alytaus miesto ir apylinkių istorijos bruožai</w:t>
      </w:r>
      <w:r w:rsidRPr="002B3438">
        <w:rPr>
          <w:sz w:val="22"/>
          <w:szCs w:val="22"/>
          <w:lang w:val="lt-LT" w:eastAsia="lt-LT"/>
        </w:rPr>
        <w:t>. Mokslas, Vilnius</w:t>
      </w:r>
    </w:p>
    <w:p w14:paraId="569D3495" w14:textId="77777777" w:rsidR="002D30BE" w:rsidRPr="002B3438" w:rsidRDefault="002D30BE" w:rsidP="00E74F2B">
      <w:pPr>
        <w:ind w:left="360" w:hanging="360"/>
        <w:rPr>
          <w:sz w:val="22"/>
          <w:szCs w:val="22"/>
        </w:rPr>
      </w:pPr>
    </w:p>
    <w:p w14:paraId="67F70F91" w14:textId="77777777" w:rsidR="00CB4014" w:rsidRPr="002B3438" w:rsidRDefault="00CB4014" w:rsidP="00E74F2B">
      <w:pPr>
        <w:ind w:left="360" w:hanging="360"/>
        <w:rPr>
          <w:sz w:val="22"/>
          <w:szCs w:val="22"/>
        </w:rPr>
      </w:pPr>
      <w:r w:rsidRPr="002B3438">
        <w:rPr>
          <w:sz w:val="22"/>
          <w:szCs w:val="22"/>
        </w:rPr>
        <w:t>King SE and Ulijaszek SJ. 2000. Invisible insults during growth and development: contemporary theories and past populations. In RD Hoppa and CM Firzgerald, editors. Human Growth in the Past: Studies from Bones and Teeth. Cambridge, UK: Cambridge University Press. p 161-182.</w:t>
      </w:r>
    </w:p>
    <w:p w14:paraId="0C1D2CE8" w14:textId="77777777" w:rsidR="00CB4014" w:rsidRPr="002B3438" w:rsidRDefault="00CD3679" w:rsidP="00E74F2B">
      <w:pPr>
        <w:ind w:left="360" w:hanging="360"/>
        <w:rPr>
          <w:sz w:val="22"/>
          <w:szCs w:val="22"/>
        </w:rPr>
      </w:pPr>
      <w:r w:rsidRPr="002B3438">
        <w:rPr>
          <w:sz w:val="22"/>
          <w:szCs w:val="22"/>
        </w:rPr>
        <w:t>Kipp DE, McElvain M, Kimmel DB, Akhter MP, Robinson RG, Lukert BP. 1996. Scurvy results in decreased collagen synthesis and bone density in the guinea pig animal model. Bone 18:281-288.</w:t>
      </w:r>
    </w:p>
    <w:p w14:paraId="56508417" w14:textId="77777777" w:rsidR="00CD3679" w:rsidRPr="002B3438" w:rsidRDefault="00CD3679" w:rsidP="00E74F2B">
      <w:pPr>
        <w:ind w:left="360" w:hanging="360"/>
        <w:rPr>
          <w:sz w:val="22"/>
          <w:szCs w:val="22"/>
        </w:rPr>
      </w:pPr>
    </w:p>
    <w:p w14:paraId="69E84EF4" w14:textId="77777777" w:rsidR="00F43FA3" w:rsidRPr="002B3438" w:rsidRDefault="00F43FA3" w:rsidP="007C1D9B">
      <w:pPr>
        <w:ind w:left="360" w:hanging="360"/>
        <w:rPr>
          <w:sz w:val="22"/>
          <w:szCs w:val="22"/>
        </w:rPr>
      </w:pPr>
      <w:r w:rsidRPr="002B3438">
        <w:rPr>
          <w:sz w:val="22"/>
          <w:szCs w:val="22"/>
        </w:rPr>
        <w:t>Klein-Nulend J,Bakker AD, Bacabac RG, Vatsa A, Weinbaum S. 2013.</w:t>
      </w:r>
      <w:r w:rsidR="008F3FE8" w:rsidRPr="002B3438">
        <w:rPr>
          <w:sz w:val="22"/>
          <w:szCs w:val="22"/>
        </w:rPr>
        <w:t xml:space="preserve"> M</w:t>
      </w:r>
      <w:r w:rsidRPr="002B3438">
        <w:rPr>
          <w:sz w:val="22"/>
          <w:szCs w:val="22"/>
        </w:rPr>
        <w:t>echano</w:t>
      </w:r>
      <w:r w:rsidR="008F3FE8" w:rsidRPr="002B3438">
        <w:rPr>
          <w:sz w:val="22"/>
          <w:szCs w:val="22"/>
        </w:rPr>
        <w:t xml:space="preserve">sensation and </w:t>
      </w:r>
      <w:r w:rsidRPr="002B3438">
        <w:rPr>
          <w:sz w:val="22"/>
          <w:szCs w:val="22"/>
        </w:rPr>
        <w:t>transduction</w:t>
      </w:r>
      <w:r w:rsidR="008F3FE8" w:rsidRPr="002B3438">
        <w:rPr>
          <w:sz w:val="22"/>
          <w:szCs w:val="22"/>
        </w:rPr>
        <w:t xml:space="preserve"> in osteocytes. Bone 54:182-190.</w:t>
      </w:r>
    </w:p>
    <w:p w14:paraId="1029D65D" w14:textId="77777777" w:rsidR="00995868" w:rsidRPr="002B3438" w:rsidRDefault="00995868" w:rsidP="007C1D9B">
      <w:pPr>
        <w:ind w:left="360" w:hanging="360"/>
        <w:rPr>
          <w:sz w:val="22"/>
          <w:szCs w:val="22"/>
        </w:rPr>
      </w:pPr>
    </w:p>
    <w:p w14:paraId="30115A98" w14:textId="77777777" w:rsidR="00950A9D" w:rsidRPr="002B3438" w:rsidRDefault="00950A9D" w:rsidP="007C1D9B">
      <w:pPr>
        <w:ind w:left="360" w:hanging="360"/>
        <w:rPr>
          <w:sz w:val="22"/>
          <w:szCs w:val="22"/>
        </w:rPr>
      </w:pPr>
      <w:r w:rsidRPr="002B3438">
        <w:rPr>
          <w:sz w:val="22"/>
          <w:szCs w:val="22"/>
        </w:rPr>
        <w:t>Klibanski A, Biller BMK, Schoenfeld DA, Herzog DB, Saxe VC. 1995. The effects of estrogen administration on trabecular bone loss in young women with anorexia nervosa. J Endocrinol Metab 80:898-904.</w:t>
      </w:r>
    </w:p>
    <w:p w14:paraId="24CD4486" w14:textId="77777777" w:rsidR="00950A9D" w:rsidRPr="002B3438" w:rsidRDefault="00950A9D" w:rsidP="007C1D9B">
      <w:pPr>
        <w:ind w:left="360" w:hanging="360"/>
        <w:rPr>
          <w:sz w:val="22"/>
          <w:szCs w:val="22"/>
        </w:rPr>
      </w:pPr>
    </w:p>
    <w:p w14:paraId="71CA9135" w14:textId="77777777" w:rsidR="0060407E" w:rsidRPr="002B3438" w:rsidRDefault="0060407E" w:rsidP="007C1D9B">
      <w:pPr>
        <w:ind w:left="360" w:hanging="360"/>
        <w:rPr>
          <w:sz w:val="22"/>
          <w:szCs w:val="22"/>
        </w:rPr>
      </w:pPr>
      <w:r w:rsidRPr="002B3438">
        <w:rPr>
          <w:sz w:val="22"/>
          <w:szCs w:val="22"/>
        </w:rPr>
        <w:t>Konigsberg LW, Frankenberg SR. 1994. Paleodemography: “Not quite dead” . Evol Anth 3:92-105.</w:t>
      </w:r>
    </w:p>
    <w:p w14:paraId="033197DE" w14:textId="77777777" w:rsidR="0060407E" w:rsidRPr="002B3438" w:rsidRDefault="0060407E" w:rsidP="007C1D9B">
      <w:pPr>
        <w:ind w:left="360" w:hanging="360"/>
        <w:rPr>
          <w:sz w:val="22"/>
          <w:szCs w:val="22"/>
        </w:rPr>
      </w:pPr>
    </w:p>
    <w:p w14:paraId="209BCBA2" w14:textId="77777777" w:rsidR="00995868" w:rsidRPr="002B3438" w:rsidRDefault="00995868" w:rsidP="00995868">
      <w:pPr>
        <w:autoSpaceDE w:val="0"/>
        <w:autoSpaceDN w:val="0"/>
        <w:adjustRightInd w:val="0"/>
        <w:rPr>
          <w:rFonts w:eastAsia="NewCenturySchlbk-Roman"/>
          <w:color w:val="231F20"/>
          <w:sz w:val="22"/>
          <w:szCs w:val="22"/>
        </w:rPr>
      </w:pPr>
      <w:r w:rsidRPr="002B3438">
        <w:rPr>
          <w:rFonts w:eastAsia="NewCenturySchlbk-Roman"/>
          <w:color w:val="231F20"/>
          <w:sz w:val="22"/>
          <w:szCs w:val="22"/>
        </w:rPr>
        <w:t>Kontulainen S, Kannus P, Haapasalo H, Heinonen A, Siev</w:t>
      </w:r>
      <w:r w:rsidRPr="002B3438">
        <w:rPr>
          <w:sz w:val="22"/>
          <w:szCs w:val="22"/>
        </w:rPr>
        <w:t>ä</w:t>
      </w:r>
      <w:r w:rsidRPr="002B3438">
        <w:rPr>
          <w:rFonts w:eastAsia="NewCenturySchlbk-Roman"/>
          <w:color w:val="231F20"/>
          <w:sz w:val="22"/>
          <w:szCs w:val="22"/>
        </w:rPr>
        <w:t xml:space="preserve">nen, H, Oja P, Vuori I. 1999. Changes </w:t>
      </w:r>
    </w:p>
    <w:p w14:paraId="13DFD13C" w14:textId="77777777" w:rsidR="00995868" w:rsidRPr="002B3438" w:rsidRDefault="00995868" w:rsidP="00995868">
      <w:pPr>
        <w:autoSpaceDE w:val="0"/>
        <w:autoSpaceDN w:val="0"/>
        <w:adjustRightInd w:val="0"/>
        <w:ind w:left="360"/>
        <w:rPr>
          <w:rFonts w:eastAsia="NewCenturySchlbk-Roman"/>
          <w:color w:val="231F20"/>
          <w:sz w:val="22"/>
          <w:szCs w:val="22"/>
        </w:rPr>
      </w:pPr>
      <w:r w:rsidRPr="002B3438">
        <w:rPr>
          <w:rFonts w:eastAsia="NewCenturySchlbk-Roman"/>
          <w:color w:val="231F20"/>
          <w:sz w:val="22"/>
          <w:szCs w:val="22"/>
        </w:rPr>
        <w:t>in bone mineral content with decreased training in competitive young adult tennis players and controls: a prospective 4-year follow-up. Med Sci Sports Exerc 31:646–652.</w:t>
      </w:r>
    </w:p>
    <w:p w14:paraId="0C6AAAF0" w14:textId="77777777" w:rsidR="008F3FE8" w:rsidRPr="002B3438" w:rsidRDefault="008F3FE8" w:rsidP="00995868">
      <w:pPr>
        <w:rPr>
          <w:sz w:val="22"/>
          <w:szCs w:val="22"/>
        </w:rPr>
      </w:pPr>
    </w:p>
    <w:p w14:paraId="732C7F3E" w14:textId="77777777" w:rsidR="007C1D9B" w:rsidRPr="002B3438" w:rsidRDefault="007C1D9B" w:rsidP="007C1D9B">
      <w:pPr>
        <w:ind w:left="360" w:hanging="360"/>
        <w:rPr>
          <w:sz w:val="22"/>
          <w:szCs w:val="22"/>
        </w:rPr>
      </w:pPr>
      <w:r w:rsidRPr="002B3438">
        <w:rPr>
          <w:sz w:val="22"/>
          <w:szCs w:val="22"/>
        </w:rPr>
        <w:t xml:space="preserve">Kontulainen S, Kannus P, Haapasalo H, Sievänen H, Pasanen M, Heinonen A, Oja P, Vuori I. 2001. Good maintenance of exercise-induced bone gain with decreased training of female tennis and squash players: a prospective 5-year follow-up study of young and old starters </w:t>
      </w:r>
      <w:r w:rsidR="00995868" w:rsidRPr="002B3438">
        <w:rPr>
          <w:sz w:val="22"/>
          <w:szCs w:val="22"/>
        </w:rPr>
        <w:t>and controls. J Bone Miner Res 16</w:t>
      </w:r>
      <w:r w:rsidRPr="002B3438">
        <w:rPr>
          <w:sz w:val="22"/>
          <w:szCs w:val="22"/>
        </w:rPr>
        <w:t>:195-201.</w:t>
      </w:r>
    </w:p>
    <w:p w14:paraId="0D1A675C" w14:textId="77777777" w:rsidR="001F5B75" w:rsidRPr="002B3438" w:rsidRDefault="001F5B75" w:rsidP="007C1D9B">
      <w:pPr>
        <w:ind w:left="360" w:hanging="360"/>
        <w:rPr>
          <w:sz w:val="22"/>
          <w:szCs w:val="22"/>
        </w:rPr>
      </w:pPr>
    </w:p>
    <w:p w14:paraId="48FBF562" w14:textId="77777777" w:rsidR="001F5B75" w:rsidRPr="002B3438" w:rsidRDefault="001F5B75" w:rsidP="001F5B75">
      <w:pPr>
        <w:autoSpaceDE w:val="0"/>
        <w:autoSpaceDN w:val="0"/>
        <w:adjustRightInd w:val="0"/>
        <w:rPr>
          <w:rFonts w:eastAsia="Calibri"/>
          <w:sz w:val="22"/>
          <w:szCs w:val="22"/>
        </w:rPr>
      </w:pPr>
      <w:r w:rsidRPr="002B3438">
        <w:rPr>
          <w:rFonts w:eastAsia="Calibri"/>
          <w:sz w:val="22"/>
          <w:szCs w:val="22"/>
        </w:rPr>
        <w:t>Kontulainen S, Sievanen H, Kannus P, Pasanen M, Vuori I. 2002. Effect of long-term impact-</w:t>
      </w:r>
    </w:p>
    <w:p w14:paraId="05019CF4" w14:textId="77777777" w:rsidR="00BC1BB0" w:rsidRPr="002B3438" w:rsidRDefault="001F5B75" w:rsidP="001F5B75">
      <w:pPr>
        <w:autoSpaceDE w:val="0"/>
        <w:autoSpaceDN w:val="0"/>
        <w:adjustRightInd w:val="0"/>
        <w:ind w:left="360"/>
        <w:rPr>
          <w:rFonts w:eastAsia="Calibri"/>
          <w:sz w:val="22"/>
          <w:szCs w:val="22"/>
        </w:rPr>
      </w:pPr>
      <w:r w:rsidRPr="002B3438">
        <w:rPr>
          <w:rFonts w:eastAsia="Calibri"/>
          <w:sz w:val="22"/>
          <w:szCs w:val="22"/>
        </w:rPr>
        <w:lastRenderedPageBreak/>
        <w:t>loading on mass, size, and estimated strength of humerus and radius of female racquet-sports players: a peripheral quantitative computed tomography study between young and old starters and controls. J Bone Miner Res 17:2281-2289.</w:t>
      </w:r>
    </w:p>
    <w:p w14:paraId="29EEE2C8" w14:textId="77777777" w:rsidR="001F5B75" w:rsidRPr="002B3438" w:rsidRDefault="001F5B75" w:rsidP="001F5B75">
      <w:pPr>
        <w:ind w:left="360" w:hanging="360"/>
        <w:rPr>
          <w:sz w:val="22"/>
          <w:szCs w:val="22"/>
        </w:rPr>
      </w:pPr>
    </w:p>
    <w:p w14:paraId="4C7ED797" w14:textId="77777777" w:rsidR="007C03B5" w:rsidRPr="002B3438" w:rsidRDefault="007C03B5" w:rsidP="007C03B5">
      <w:pPr>
        <w:autoSpaceDE w:val="0"/>
        <w:autoSpaceDN w:val="0"/>
        <w:adjustRightInd w:val="0"/>
        <w:rPr>
          <w:rFonts w:eastAsia="Calibri"/>
          <w:sz w:val="22"/>
          <w:szCs w:val="22"/>
        </w:rPr>
      </w:pPr>
      <w:r w:rsidRPr="002B3438">
        <w:rPr>
          <w:rFonts w:eastAsia="Calibri"/>
          <w:sz w:val="22"/>
          <w:szCs w:val="22"/>
        </w:rPr>
        <w:t>Kontulainen S, Sievanen H, Kannus P, Pasanen M, Vuori I. 2003. Effect of long-term impact-</w:t>
      </w:r>
    </w:p>
    <w:p w14:paraId="392199E4" w14:textId="77777777" w:rsidR="007C03B5" w:rsidRPr="002B3438" w:rsidRDefault="007C03B5" w:rsidP="007C03B5">
      <w:pPr>
        <w:autoSpaceDE w:val="0"/>
        <w:autoSpaceDN w:val="0"/>
        <w:adjustRightInd w:val="0"/>
        <w:ind w:left="360"/>
        <w:rPr>
          <w:rFonts w:eastAsia="Calibri"/>
          <w:sz w:val="22"/>
          <w:szCs w:val="22"/>
        </w:rPr>
      </w:pPr>
      <w:r w:rsidRPr="002B3438">
        <w:rPr>
          <w:rFonts w:eastAsia="Calibri"/>
          <w:sz w:val="22"/>
          <w:szCs w:val="22"/>
        </w:rPr>
        <w:t>loading on mass, size, and estimated strength of humerus and radius of female racquet-sports players: a peripheral quantitative computed tomography study between young and old starters and controls. J Bone Miner Res 18:352-359.</w:t>
      </w:r>
    </w:p>
    <w:p w14:paraId="59199818" w14:textId="77777777" w:rsidR="007C03B5" w:rsidRPr="002B3438" w:rsidRDefault="007C03B5" w:rsidP="007C03B5">
      <w:pPr>
        <w:ind w:left="360" w:hanging="360"/>
        <w:rPr>
          <w:sz w:val="22"/>
          <w:szCs w:val="22"/>
        </w:rPr>
      </w:pPr>
    </w:p>
    <w:p w14:paraId="45ECA982" w14:textId="77777777" w:rsidR="00A6490F" w:rsidRPr="002B3438" w:rsidRDefault="00A6490F" w:rsidP="007C03B5">
      <w:pPr>
        <w:ind w:left="360" w:hanging="360"/>
        <w:rPr>
          <w:sz w:val="22"/>
          <w:szCs w:val="22"/>
        </w:rPr>
      </w:pPr>
      <w:r w:rsidRPr="002B3438">
        <w:rPr>
          <w:sz w:val="22"/>
          <w:szCs w:val="22"/>
        </w:rPr>
        <w:t>Kooh SW, Noriega E, Leslie K, Müller, Harrison JE. Bone mass and soft tissue composition in adolescents with anorexia nervosa. Bone 19:181-188.</w:t>
      </w:r>
    </w:p>
    <w:p w14:paraId="232FC36F" w14:textId="77777777" w:rsidR="00A6490F" w:rsidRPr="002B3438" w:rsidRDefault="00A6490F" w:rsidP="007C03B5">
      <w:pPr>
        <w:ind w:left="360" w:hanging="360"/>
        <w:rPr>
          <w:sz w:val="22"/>
          <w:szCs w:val="22"/>
        </w:rPr>
      </w:pPr>
    </w:p>
    <w:p w14:paraId="7A693FAE" w14:textId="77777777" w:rsidR="002174D8" w:rsidRPr="002B3438" w:rsidRDefault="002174D8" w:rsidP="007C03B5">
      <w:pPr>
        <w:ind w:left="360" w:hanging="360"/>
        <w:rPr>
          <w:sz w:val="22"/>
          <w:szCs w:val="22"/>
        </w:rPr>
      </w:pPr>
      <w:r w:rsidRPr="002B3438">
        <w:rPr>
          <w:sz w:val="22"/>
          <w:szCs w:val="22"/>
        </w:rPr>
        <w:t>Kozakaitė J. The analysis of long bone fractures and dislocations in 14</w:t>
      </w:r>
      <w:r w:rsidRPr="002B3438">
        <w:rPr>
          <w:sz w:val="22"/>
          <w:szCs w:val="22"/>
          <w:vertAlign w:val="superscript"/>
        </w:rPr>
        <w:t>th</w:t>
      </w:r>
      <w:r w:rsidRPr="002B3438">
        <w:rPr>
          <w:sz w:val="22"/>
          <w:szCs w:val="22"/>
        </w:rPr>
        <w:t xml:space="preserve"> – 17</w:t>
      </w:r>
      <w:r w:rsidRPr="002B3438">
        <w:rPr>
          <w:sz w:val="22"/>
          <w:szCs w:val="22"/>
          <w:vertAlign w:val="superscript"/>
        </w:rPr>
        <w:t>th</w:t>
      </w:r>
      <w:r w:rsidRPr="002B3438">
        <w:rPr>
          <w:sz w:val="22"/>
          <w:szCs w:val="22"/>
        </w:rPr>
        <w:t xml:space="preserve"> centure Alytus, Lithuania. Ph.D dissertation, Durham University.</w:t>
      </w:r>
    </w:p>
    <w:p w14:paraId="32BCE58E" w14:textId="77777777" w:rsidR="002174D8" w:rsidRPr="002B3438" w:rsidRDefault="002174D8" w:rsidP="007C03B5">
      <w:pPr>
        <w:ind w:left="360" w:hanging="360"/>
        <w:rPr>
          <w:sz w:val="22"/>
          <w:szCs w:val="22"/>
        </w:rPr>
      </w:pPr>
    </w:p>
    <w:p w14:paraId="13BF4F6E" w14:textId="77777777" w:rsidR="00667438" w:rsidRPr="002B3438" w:rsidRDefault="00667438" w:rsidP="007C03B5">
      <w:pPr>
        <w:ind w:left="360" w:hanging="360"/>
        <w:rPr>
          <w:sz w:val="22"/>
          <w:szCs w:val="22"/>
        </w:rPr>
      </w:pPr>
      <w:r w:rsidRPr="002B3438">
        <w:rPr>
          <w:sz w:val="22"/>
          <w:szCs w:val="22"/>
        </w:rPr>
        <w:t>Kumar A, Mittal S, Orito S, Ishitani K, Ohta H. 2010. Impact of dietary intake, education, and physical activity on bone mineral density among North Indian women. J Bone Miner Metab 28:192-201.</w:t>
      </w:r>
    </w:p>
    <w:p w14:paraId="2D56F672" w14:textId="77777777" w:rsidR="00667438" w:rsidRPr="002B3438" w:rsidRDefault="00667438" w:rsidP="007C03B5">
      <w:pPr>
        <w:ind w:left="360" w:hanging="360"/>
        <w:rPr>
          <w:sz w:val="22"/>
          <w:szCs w:val="22"/>
        </w:rPr>
      </w:pPr>
    </w:p>
    <w:p w14:paraId="7C3931D3" w14:textId="77777777" w:rsidR="00D31096" w:rsidRPr="002B3438" w:rsidRDefault="00D31096" w:rsidP="00D31096">
      <w:pPr>
        <w:autoSpaceDE w:val="0"/>
        <w:autoSpaceDN w:val="0"/>
        <w:adjustRightInd w:val="0"/>
        <w:rPr>
          <w:sz w:val="22"/>
          <w:szCs w:val="22"/>
        </w:rPr>
      </w:pPr>
      <w:r w:rsidRPr="002B3438">
        <w:rPr>
          <w:sz w:val="22"/>
          <w:szCs w:val="22"/>
        </w:rPr>
        <w:t xml:space="preserve">Lambert J, Lamothe JM, Zernicke RF, Auer RN, Reimer RA. 2005. Dietary restriction does not </w:t>
      </w:r>
    </w:p>
    <w:p w14:paraId="3939779E" w14:textId="77777777" w:rsidR="00D31096" w:rsidRPr="002B3438" w:rsidRDefault="00D31096" w:rsidP="00D31096">
      <w:pPr>
        <w:autoSpaceDE w:val="0"/>
        <w:autoSpaceDN w:val="0"/>
        <w:adjustRightInd w:val="0"/>
        <w:ind w:left="360"/>
        <w:rPr>
          <w:sz w:val="22"/>
          <w:szCs w:val="22"/>
        </w:rPr>
      </w:pPr>
      <w:r w:rsidRPr="002B3438">
        <w:rPr>
          <w:sz w:val="22"/>
          <w:szCs w:val="22"/>
        </w:rPr>
        <w:t xml:space="preserve">adversely affect bone geometry and mechanical in rapidly growing male Wistar rats. </w:t>
      </w:r>
      <w:r w:rsidRPr="002B3438">
        <w:rPr>
          <w:iCs/>
          <w:sz w:val="22"/>
          <w:szCs w:val="22"/>
        </w:rPr>
        <w:t xml:space="preserve">Pediatr Res </w:t>
      </w:r>
      <w:r w:rsidRPr="002B3438">
        <w:rPr>
          <w:sz w:val="22"/>
          <w:szCs w:val="22"/>
        </w:rPr>
        <w:t>57: 227-231.</w:t>
      </w:r>
    </w:p>
    <w:p w14:paraId="6CAECDED" w14:textId="77777777" w:rsidR="00D31096" w:rsidRPr="002B3438" w:rsidRDefault="00D31096" w:rsidP="00D31096">
      <w:pPr>
        <w:ind w:left="360" w:hanging="360"/>
        <w:rPr>
          <w:sz w:val="22"/>
          <w:szCs w:val="22"/>
        </w:rPr>
      </w:pPr>
    </w:p>
    <w:p w14:paraId="091EDBA9" w14:textId="77777777" w:rsidR="00EB263B" w:rsidRPr="002B3438" w:rsidRDefault="00BC1BB0" w:rsidP="00EB263B">
      <w:pPr>
        <w:ind w:left="360" w:hanging="360"/>
        <w:rPr>
          <w:sz w:val="22"/>
          <w:szCs w:val="22"/>
        </w:rPr>
      </w:pPr>
      <w:r w:rsidRPr="002B3438">
        <w:rPr>
          <w:sz w:val="22"/>
          <w:szCs w:val="22"/>
        </w:rPr>
        <w:t>Landeros O, Frost HM. 1964. The cross-sectional size of the osteon. Henry Ford Hosp Med Bull 12:517-525.</w:t>
      </w:r>
    </w:p>
    <w:p w14:paraId="7FDD9EDC" w14:textId="77777777" w:rsidR="00BC1BB0" w:rsidRPr="002B3438" w:rsidRDefault="00BC1BB0" w:rsidP="00EB263B">
      <w:pPr>
        <w:ind w:left="360" w:hanging="360"/>
        <w:rPr>
          <w:sz w:val="22"/>
          <w:szCs w:val="22"/>
        </w:rPr>
      </w:pPr>
    </w:p>
    <w:p w14:paraId="74244E29" w14:textId="77777777" w:rsidR="000075C8" w:rsidRPr="002B3438" w:rsidRDefault="001A3FD8" w:rsidP="001A3FD8">
      <w:pPr>
        <w:rPr>
          <w:sz w:val="22"/>
          <w:szCs w:val="22"/>
        </w:rPr>
      </w:pPr>
      <w:r w:rsidRPr="002B3438">
        <w:rPr>
          <w:sz w:val="22"/>
          <w:szCs w:val="22"/>
        </w:rPr>
        <w:t>Lanyon, LE. 1984. Functional strain as a determinant for bone remodeling. Calcif Tissue Int</w:t>
      </w:r>
      <w:r w:rsidR="006A3BEE">
        <w:rPr>
          <w:sz w:val="22"/>
          <w:szCs w:val="22"/>
        </w:rPr>
        <w:t xml:space="preserve"> </w:t>
      </w:r>
    </w:p>
    <w:p w14:paraId="2FD77EFF" w14:textId="77777777" w:rsidR="001A3FD8" w:rsidRPr="002B3438" w:rsidRDefault="006A3BEE" w:rsidP="001A3FD8">
      <w:pPr>
        <w:rPr>
          <w:sz w:val="22"/>
          <w:szCs w:val="22"/>
        </w:rPr>
      </w:pPr>
      <w:r>
        <w:rPr>
          <w:sz w:val="22"/>
          <w:szCs w:val="22"/>
        </w:rPr>
        <w:t xml:space="preserve">  </w:t>
      </w:r>
      <w:r w:rsidR="001A3FD8" w:rsidRPr="002B3438">
        <w:rPr>
          <w:sz w:val="22"/>
          <w:szCs w:val="22"/>
        </w:rPr>
        <w:t>36:S56-S61.</w:t>
      </w:r>
    </w:p>
    <w:p w14:paraId="792FB91A" w14:textId="77777777" w:rsidR="001A3FD8" w:rsidRPr="002B3438" w:rsidRDefault="001A3FD8" w:rsidP="00EB263B">
      <w:pPr>
        <w:ind w:left="360" w:hanging="360"/>
        <w:rPr>
          <w:sz w:val="22"/>
          <w:szCs w:val="22"/>
        </w:rPr>
      </w:pPr>
    </w:p>
    <w:p w14:paraId="36DD0AB0" w14:textId="77777777" w:rsidR="000075C8" w:rsidRPr="002B3438" w:rsidRDefault="00ED597F" w:rsidP="000075C8">
      <w:pPr>
        <w:autoSpaceDE w:val="0"/>
        <w:autoSpaceDN w:val="0"/>
        <w:adjustRightInd w:val="0"/>
        <w:rPr>
          <w:rFonts w:eastAsia="NewCenturySchlbk-Roman"/>
          <w:sz w:val="22"/>
          <w:szCs w:val="22"/>
        </w:rPr>
      </w:pPr>
      <w:r w:rsidRPr="002B3438">
        <w:rPr>
          <w:rFonts w:eastAsia="NewCenturySchlbk-Roman"/>
          <w:sz w:val="22"/>
          <w:szCs w:val="22"/>
        </w:rPr>
        <w:t>Lanyon LE</w:t>
      </w:r>
      <w:r w:rsidR="000075C8" w:rsidRPr="002B3438">
        <w:rPr>
          <w:rFonts w:eastAsia="NewCenturySchlbk-Roman"/>
          <w:sz w:val="22"/>
          <w:szCs w:val="22"/>
        </w:rPr>
        <w:t xml:space="preserve">, Baggott DG. 1976. Mechanical function as an influence on the structure and form of </w:t>
      </w:r>
    </w:p>
    <w:p w14:paraId="58EFDFAC" w14:textId="77777777" w:rsidR="000075C8" w:rsidRPr="002B3438" w:rsidRDefault="006A3BEE" w:rsidP="000075C8">
      <w:pPr>
        <w:autoSpaceDE w:val="0"/>
        <w:autoSpaceDN w:val="0"/>
        <w:adjustRightInd w:val="0"/>
        <w:rPr>
          <w:rFonts w:eastAsia="NewCenturySchlbk-Roman"/>
          <w:sz w:val="22"/>
          <w:szCs w:val="22"/>
        </w:rPr>
      </w:pPr>
      <w:r>
        <w:rPr>
          <w:rFonts w:eastAsia="NewCenturySchlbk-Roman"/>
          <w:sz w:val="22"/>
          <w:szCs w:val="22"/>
        </w:rPr>
        <w:t xml:space="preserve">  </w:t>
      </w:r>
      <w:r w:rsidR="000075C8" w:rsidRPr="002B3438">
        <w:rPr>
          <w:rFonts w:eastAsia="NewCenturySchlbk-Roman"/>
          <w:sz w:val="22"/>
          <w:szCs w:val="22"/>
        </w:rPr>
        <w:t>bone. J Bone Joint Surg 58-B:436–443.</w:t>
      </w:r>
    </w:p>
    <w:p w14:paraId="0564AC3E" w14:textId="77777777" w:rsidR="000075C8" w:rsidRPr="002B3438" w:rsidRDefault="000075C8" w:rsidP="000075C8">
      <w:pPr>
        <w:ind w:left="360" w:hanging="360"/>
        <w:rPr>
          <w:sz w:val="22"/>
          <w:szCs w:val="22"/>
        </w:rPr>
      </w:pPr>
    </w:p>
    <w:p w14:paraId="02308970" w14:textId="77777777" w:rsidR="006A0BA5" w:rsidRPr="002B3438" w:rsidRDefault="006A0BA5" w:rsidP="006A0BA5">
      <w:pPr>
        <w:autoSpaceDE w:val="0"/>
        <w:autoSpaceDN w:val="0"/>
        <w:adjustRightInd w:val="0"/>
        <w:rPr>
          <w:rFonts w:eastAsia="JansonText-Roman"/>
          <w:i/>
          <w:iCs/>
          <w:color w:val="231F20"/>
          <w:sz w:val="22"/>
          <w:szCs w:val="22"/>
        </w:rPr>
      </w:pPr>
      <w:r w:rsidRPr="002B3438">
        <w:rPr>
          <w:rFonts w:eastAsia="JansonText-Roman"/>
          <w:color w:val="231F20"/>
          <w:sz w:val="22"/>
          <w:szCs w:val="22"/>
        </w:rPr>
        <w:t xml:space="preserve">Lanyon LE, Rubin CT. 1984. Static vs dynamic loads as an influence on bone remodelling. </w:t>
      </w:r>
      <w:r w:rsidRPr="002B3438">
        <w:rPr>
          <w:rFonts w:eastAsia="JansonText-Roman"/>
          <w:i/>
          <w:iCs/>
          <w:color w:val="231F20"/>
          <w:sz w:val="22"/>
          <w:szCs w:val="22"/>
        </w:rPr>
        <w:t>J.</w:t>
      </w:r>
    </w:p>
    <w:p w14:paraId="1B154909" w14:textId="77777777" w:rsidR="008B04DB" w:rsidRPr="002B3438" w:rsidRDefault="006A0BA5" w:rsidP="006A0BA5">
      <w:pPr>
        <w:autoSpaceDE w:val="0"/>
        <w:autoSpaceDN w:val="0"/>
        <w:adjustRightInd w:val="0"/>
        <w:ind w:firstLine="360"/>
        <w:rPr>
          <w:rFonts w:eastAsia="JansonText-Roman"/>
          <w:color w:val="231F20"/>
          <w:sz w:val="22"/>
          <w:szCs w:val="22"/>
        </w:rPr>
      </w:pPr>
      <w:r w:rsidRPr="002B3438">
        <w:rPr>
          <w:rFonts w:eastAsia="JansonText-Roman"/>
          <w:i/>
          <w:iCs/>
          <w:color w:val="231F20"/>
          <w:sz w:val="22"/>
          <w:szCs w:val="22"/>
        </w:rPr>
        <w:t xml:space="preserve">Biomech. </w:t>
      </w:r>
      <w:r w:rsidRPr="002B3438">
        <w:rPr>
          <w:rFonts w:eastAsia="JansonText-Roman"/>
          <w:color w:val="231F20"/>
          <w:sz w:val="22"/>
          <w:szCs w:val="22"/>
        </w:rPr>
        <w:t>17:897–905.</w:t>
      </w:r>
    </w:p>
    <w:p w14:paraId="1A9F8C5B" w14:textId="77777777" w:rsidR="006A0BA5" w:rsidRPr="002B3438" w:rsidRDefault="006A0BA5" w:rsidP="006A0BA5">
      <w:pPr>
        <w:ind w:left="360" w:hanging="360"/>
        <w:rPr>
          <w:sz w:val="22"/>
          <w:szCs w:val="22"/>
        </w:rPr>
      </w:pPr>
    </w:p>
    <w:p w14:paraId="75D83E5F" w14:textId="77777777" w:rsidR="00EA4878" w:rsidRPr="002B3438" w:rsidRDefault="00EA4878" w:rsidP="00EA4878">
      <w:pPr>
        <w:rPr>
          <w:sz w:val="22"/>
          <w:szCs w:val="22"/>
        </w:rPr>
      </w:pPr>
      <w:r w:rsidRPr="002B3438">
        <w:rPr>
          <w:sz w:val="22"/>
          <w:szCs w:val="22"/>
        </w:rPr>
        <w:t>Larsen CS. 1997. Bioarchaeology: interpreting behavior from the human skeleton. Cambridge:</w:t>
      </w:r>
    </w:p>
    <w:p w14:paraId="03DDAF03" w14:textId="77777777" w:rsidR="00EA4878" w:rsidRPr="002B3438" w:rsidRDefault="006A3BEE" w:rsidP="00EA4878">
      <w:pPr>
        <w:rPr>
          <w:sz w:val="22"/>
          <w:szCs w:val="22"/>
        </w:rPr>
      </w:pPr>
      <w:r>
        <w:rPr>
          <w:sz w:val="22"/>
          <w:szCs w:val="22"/>
        </w:rPr>
        <w:t xml:space="preserve">  </w:t>
      </w:r>
      <w:r w:rsidR="00EA4878" w:rsidRPr="002B3438">
        <w:rPr>
          <w:sz w:val="22"/>
          <w:szCs w:val="22"/>
        </w:rPr>
        <w:t>Cambridge University Press.</w:t>
      </w:r>
    </w:p>
    <w:p w14:paraId="6A8FBA2A" w14:textId="77777777" w:rsidR="00EA4878" w:rsidRPr="002B3438" w:rsidRDefault="00EA4878" w:rsidP="006A0BA5">
      <w:pPr>
        <w:ind w:left="360" w:hanging="360"/>
        <w:rPr>
          <w:sz w:val="22"/>
          <w:szCs w:val="22"/>
        </w:rPr>
      </w:pPr>
    </w:p>
    <w:p w14:paraId="26E5C051" w14:textId="77777777" w:rsidR="005C58AA" w:rsidRPr="002B3438" w:rsidRDefault="005C58AA" w:rsidP="006A0BA5">
      <w:pPr>
        <w:ind w:left="360" w:hanging="360"/>
        <w:rPr>
          <w:sz w:val="22"/>
          <w:szCs w:val="22"/>
        </w:rPr>
      </w:pPr>
      <w:r w:rsidRPr="002B3438">
        <w:rPr>
          <w:sz w:val="22"/>
          <w:szCs w:val="22"/>
        </w:rPr>
        <w:t>Larsen CS. 2003. Animal source foods and human health during evolution. J Nutr 133:3893S-3897S.</w:t>
      </w:r>
    </w:p>
    <w:p w14:paraId="570F9BD9" w14:textId="77777777" w:rsidR="005C58AA" w:rsidRPr="002B3438" w:rsidRDefault="005C58AA" w:rsidP="006A0BA5">
      <w:pPr>
        <w:ind w:left="360" w:hanging="360"/>
        <w:rPr>
          <w:sz w:val="22"/>
          <w:szCs w:val="22"/>
        </w:rPr>
      </w:pPr>
    </w:p>
    <w:p w14:paraId="0CDAA50F" w14:textId="77777777" w:rsidR="00166434" w:rsidRPr="002B3438" w:rsidRDefault="00166434" w:rsidP="00166434">
      <w:pPr>
        <w:autoSpaceDE w:val="0"/>
        <w:autoSpaceDN w:val="0"/>
        <w:adjustRightInd w:val="0"/>
        <w:rPr>
          <w:sz w:val="22"/>
          <w:szCs w:val="22"/>
        </w:rPr>
      </w:pPr>
      <w:r w:rsidRPr="002B3438">
        <w:rPr>
          <w:sz w:val="22"/>
          <w:szCs w:val="22"/>
        </w:rPr>
        <w:t xml:space="preserve">Larsen CS, Ruff CB. 1991. Biomechanical adaptation and behavior on the prehistoric Georgia </w:t>
      </w:r>
    </w:p>
    <w:p w14:paraId="3AFAE008" w14:textId="77777777" w:rsidR="00166434" w:rsidRPr="002B3438" w:rsidRDefault="00166434" w:rsidP="00166434">
      <w:pPr>
        <w:autoSpaceDE w:val="0"/>
        <w:autoSpaceDN w:val="0"/>
        <w:adjustRightInd w:val="0"/>
        <w:ind w:left="360"/>
        <w:rPr>
          <w:sz w:val="22"/>
          <w:szCs w:val="22"/>
        </w:rPr>
      </w:pPr>
      <w:r w:rsidRPr="002B3438">
        <w:rPr>
          <w:sz w:val="22"/>
          <w:szCs w:val="22"/>
        </w:rPr>
        <w:t xml:space="preserve">Coast. . In: Powell ML, Bridges PS, Mires AM. </w:t>
      </w:r>
      <w:r w:rsidRPr="002B3438">
        <w:rPr>
          <w:iCs/>
          <w:sz w:val="22"/>
          <w:szCs w:val="22"/>
        </w:rPr>
        <w:t>What mean these bones?</w:t>
      </w:r>
      <w:r w:rsidRPr="002B3438">
        <w:rPr>
          <w:sz w:val="22"/>
          <w:szCs w:val="22"/>
        </w:rPr>
        <w:t xml:space="preserve"> </w:t>
      </w:r>
      <w:r w:rsidRPr="002B3438">
        <w:rPr>
          <w:iCs/>
          <w:sz w:val="22"/>
          <w:szCs w:val="22"/>
        </w:rPr>
        <w:t>Studies in Southeastern Bioarchaeology</w:t>
      </w:r>
      <w:r w:rsidRPr="002B3438">
        <w:rPr>
          <w:sz w:val="22"/>
          <w:szCs w:val="22"/>
        </w:rPr>
        <w:t>. Tuscaloosa: University of Alabama Press.</w:t>
      </w:r>
    </w:p>
    <w:p w14:paraId="4571537F" w14:textId="77777777" w:rsidR="00166434" w:rsidRPr="002B3438" w:rsidRDefault="00166434" w:rsidP="00166434">
      <w:pPr>
        <w:ind w:left="360" w:hanging="360"/>
        <w:rPr>
          <w:sz w:val="22"/>
          <w:szCs w:val="22"/>
        </w:rPr>
      </w:pPr>
    </w:p>
    <w:p w14:paraId="279CF8A5" w14:textId="77777777" w:rsidR="001B27F1" w:rsidRPr="002B3438" w:rsidRDefault="001B27F1" w:rsidP="001B27F1">
      <w:pPr>
        <w:autoSpaceDE w:val="0"/>
        <w:autoSpaceDN w:val="0"/>
        <w:adjustRightInd w:val="0"/>
        <w:rPr>
          <w:sz w:val="22"/>
          <w:szCs w:val="22"/>
        </w:rPr>
      </w:pPr>
      <w:r w:rsidRPr="002B3438">
        <w:rPr>
          <w:sz w:val="22"/>
          <w:szCs w:val="22"/>
        </w:rPr>
        <w:t xml:space="preserve">Larsen CS, Schoeninger MJ, Hutchinson DL, Russell KF, Ruff CB. 1990. Beyond demographic </w:t>
      </w:r>
    </w:p>
    <w:p w14:paraId="4BFB8CAF" w14:textId="77777777" w:rsidR="001B27F1" w:rsidRPr="002B3438" w:rsidRDefault="001B27F1" w:rsidP="001B27F1">
      <w:pPr>
        <w:autoSpaceDE w:val="0"/>
        <w:autoSpaceDN w:val="0"/>
        <w:adjustRightInd w:val="0"/>
        <w:ind w:left="375"/>
        <w:rPr>
          <w:sz w:val="22"/>
          <w:szCs w:val="22"/>
        </w:rPr>
      </w:pPr>
      <w:r w:rsidRPr="002B3438">
        <w:rPr>
          <w:sz w:val="22"/>
          <w:szCs w:val="22"/>
        </w:rPr>
        <w:t xml:space="preserve">collapse: Biological adaptation and change in Native populations of La Florida. In: Thomas DH, editor. </w:t>
      </w:r>
      <w:r w:rsidRPr="002B3438">
        <w:rPr>
          <w:iCs/>
          <w:sz w:val="22"/>
          <w:szCs w:val="22"/>
        </w:rPr>
        <w:t>Columbian consequences, vol. 2: Archaeological</w:t>
      </w:r>
      <w:r w:rsidRPr="002B3438">
        <w:rPr>
          <w:sz w:val="22"/>
          <w:szCs w:val="22"/>
        </w:rPr>
        <w:t xml:space="preserve"> </w:t>
      </w:r>
      <w:r w:rsidRPr="002B3438">
        <w:rPr>
          <w:iCs/>
          <w:sz w:val="22"/>
          <w:szCs w:val="22"/>
        </w:rPr>
        <w:t>and historical perspectives on the Spanish borderlands east</w:t>
      </w:r>
      <w:r w:rsidRPr="002B3438">
        <w:rPr>
          <w:sz w:val="22"/>
          <w:szCs w:val="22"/>
        </w:rPr>
        <w:t>. Washington: Smithsonian Institution Press. p 409-428.</w:t>
      </w:r>
    </w:p>
    <w:p w14:paraId="0C50FF00" w14:textId="77777777" w:rsidR="001B27F1" w:rsidRPr="002B3438" w:rsidRDefault="001B27F1" w:rsidP="005C58AA">
      <w:pPr>
        <w:rPr>
          <w:sz w:val="22"/>
          <w:szCs w:val="22"/>
        </w:rPr>
      </w:pPr>
    </w:p>
    <w:p w14:paraId="1A536C48" w14:textId="77777777" w:rsidR="005C58AA" w:rsidRPr="002B3438" w:rsidRDefault="005C58AA" w:rsidP="00166434">
      <w:pPr>
        <w:ind w:left="360" w:hanging="360"/>
        <w:rPr>
          <w:sz w:val="22"/>
          <w:szCs w:val="22"/>
        </w:rPr>
      </w:pPr>
      <w:r w:rsidRPr="002B3438">
        <w:rPr>
          <w:sz w:val="22"/>
          <w:szCs w:val="22"/>
        </w:rPr>
        <w:lastRenderedPageBreak/>
        <w:t>Larsen CS, Ruff CB, Kelly RL. 1995. Structural analysis of the Stillwater postcranial human remains: behavioral implications of articular joint pathology and long bone diaphyseal morphology. In: Larsen CS and Kelly RL, editors. Bioarhcaeology of the Stillwater Marsh: Prehistoric Human Adaptation in the Western Great Basin. New York: American Museum of Natural History. p 107-133.</w:t>
      </w:r>
    </w:p>
    <w:p w14:paraId="0D6DD25D" w14:textId="77777777" w:rsidR="005C58AA" w:rsidRPr="002B3438" w:rsidRDefault="005C58AA" w:rsidP="00166434">
      <w:pPr>
        <w:ind w:left="360" w:hanging="360"/>
        <w:rPr>
          <w:sz w:val="22"/>
          <w:szCs w:val="22"/>
        </w:rPr>
      </w:pPr>
    </w:p>
    <w:p w14:paraId="492BE2D8" w14:textId="77777777" w:rsidR="00AF75DB" w:rsidRPr="002B3438" w:rsidRDefault="00AF75DB" w:rsidP="00166434">
      <w:pPr>
        <w:ind w:left="360" w:hanging="360"/>
        <w:rPr>
          <w:sz w:val="22"/>
          <w:szCs w:val="22"/>
        </w:rPr>
      </w:pPr>
      <w:r w:rsidRPr="002B3438">
        <w:rPr>
          <w:sz w:val="22"/>
          <w:szCs w:val="22"/>
        </w:rPr>
        <w:t xml:space="preserve">Lawson EA, Miller KK, Bredella MA, Phan C, Misra M, Meenaghan E, Rosenblum L, Donoho D, Gupta R, Klibanski A. Hormone predictors of abnormal bone microstructure in women with anorexia nervosa. Bone 46:458-463. </w:t>
      </w:r>
    </w:p>
    <w:p w14:paraId="33AA66FD" w14:textId="77777777" w:rsidR="00AF75DB" w:rsidRPr="002B3438" w:rsidRDefault="00AF75DB" w:rsidP="00166434">
      <w:pPr>
        <w:ind w:left="360" w:hanging="360"/>
        <w:rPr>
          <w:sz w:val="22"/>
          <w:szCs w:val="22"/>
        </w:rPr>
      </w:pPr>
    </w:p>
    <w:p w14:paraId="2B3DCEAE" w14:textId="77777777" w:rsidR="00BC50EA" w:rsidRPr="002B3438" w:rsidRDefault="00BC50EA" w:rsidP="00BC50EA">
      <w:pPr>
        <w:rPr>
          <w:sz w:val="22"/>
          <w:szCs w:val="22"/>
        </w:rPr>
      </w:pPr>
      <w:r w:rsidRPr="002B3438">
        <w:rPr>
          <w:sz w:val="22"/>
          <w:szCs w:val="22"/>
        </w:rPr>
        <w:t xml:space="preserve">Lazenby R. 1986a. The interaction of bone porosity and cross-sectional geometry for the </w:t>
      </w:r>
    </w:p>
    <w:p w14:paraId="7D2EA9B9" w14:textId="77777777" w:rsidR="00BC50EA" w:rsidRPr="002B3438" w:rsidRDefault="00BC50EA" w:rsidP="00BC50EA">
      <w:pPr>
        <w:ind w:firstLine="360"/>
        <w:rPr>
          <w:sz w:val="22"/>
          <w:szCs w:val="22"/>
        </w:rPr>
      </w:pPr>
      <w:r w:rsidRPr="002B3438">
        <w:rPr>
          <w:sz w:val="22"/>
          <w:szCs w:val="22"/>
        </w:rPr>
        <w:t xml:space="preserve">conservation of bone strength. M.A. thesis, Simon Fraser University. </w:t>
      </w:r>
    </w:p>
    <w:p w14:paraId="0232071C" w14:textId="77777777" w:rsidR="00BC50EA" w:rsidRPr="002B3438" w:rsidRDefault="00BC50EA" w:rsidP="00BC50EA">
      <w:pPr>
        <w:rPr>
          <w:sz w:val="22"/>
          <w:szCs w:val="22"/>
        </w:rPr>
      </w:pPr>
    </w:p>
    <w:p w14:paraId="54477C09" w14:textId="77777777" w:rsidR="00BC50EA" w:rsidRPr="002B3438" w:rsidRDefault="00BC50EA" w:rsidP="00BC50EA">
      <w:pPr>
        <w:ind w:left="360" w:hanging="360"/>
        <w:rPr>
          <w:sz w:val="22"/>
          <w:szCs w:val="22"/>
        </w:rPr>
      </w:pPr>
      <w:r w:rsidRPr="002B3438">
        <w:rPr>
          <w:sz w:val="22"/>
          <w:szCs w:val="22"/>
        </w:rPr>
        <w:t xml:space="preserve">Lazenby R. 1986b. Porosity-geometry interaction in the conservation of bone strength. J Biomech 19:257-258. </w:t>
      </w:r>
    </w:p>
    <w:p w14:paraId="556E4E52" w14:textId="77777777" w:rsidR="003F6EC3" w:rsidRPr="002B3438" w:rsidRDefault="003F6EC3" w:rsidP="003F6EC3">
      <w:pPr>
        <w:ind w:left="360" w:hanging="360"/>
        <w:rPr>
          <w:sz w:val="22"/>
          <w:szCs w:val="22"/>
        </w:rPr>
      </w:pPr>
    </w:p>
    <w:p w14:paraId="03BF8399" w14:textId="77777777" w:rsidR="003F6EC3" w:rsidRPr="002B3438" w:rsidRDefault="003F6EC3" w:rsidP="003F6EC3">
      <w:pPr>
        <w:ind w:left="360" w:hanging="360"/>
        <w:rPr>
          <w:sz w:val="22"/>
          <w:szCs w:val="22"/>
        </w:rPr>
      </w:pPr>
      <w:r w:rsidRPr="002B3438">
        <w:rPr>
          <w:sz w:val="22"/>
          <w:szCs w:val="22"/>
        </w:rPr>
        <w:t>Lazenby RA. 1990a. Continuing periosteal apposition I: The significance of peak bone mass, strain equilibrium, and age-related activity differentials for mechanical compensation in human tubular bones. Am J Phys Anthropol 82:451-72.</w:t>
      </w:r>
    </w:p>
    <w:p w14:paraId="652835F5" w14:textId="77777777" w:rsidR="00BC50EA" w:rsidRPr="002B3438" w:rsidRDefault="00BC50EA" w:rsidP="00166434">
      <w:pPr>
        <w:ind w:left="360" w:hanging="360"/>
        <w:rPr>
          <w:sz w:val="22"/>
          <w:szCs w:val="22"/>
        </w:rPr>
      </w:pPr>
    </w:p>
    <w:p w14:paraId="52AAECBE" w14:textId="77777777" w:rsidR="0000580B" w:rsidRPr="002B3438" w:rsidRDefault="0000580B" w:rsidP="006A0BA5">
      <w:pPr>
        <w:ind w:left="360" w:hanging="360"/>
        <w:rPr>
          <w:sz w:val="22"/>
          <w:szCs w:val="22"/>
        </w:rPr>
      </w:pPr>
      <w:r w:rsidRPr="002B3438">
        <w:rPr>
          <w:sz w:val="22"/>
          <w:szCs w:val="22"/>
        </w:rPr>
        <w:t>Lazenby R. 1990</w:t>
      </w:r>
      <w:r w:rsidR="003F6EC3" w:rsidRPr="002B3438">
        <w:rPr>
          <w:sz w:val="22"/>
          <w:szCs w:val="22"/>
        </w:rPr>
        <w:t>b</w:t>
      </w:r>
      <w:r w:rsidRPr="002B3438">
        <w:rPr>
          <w:sz w:val="22"/>
          <w:szCs w:val="22"/>
        </w:rPr>
        <w:t>. Continuing periosteal apposition II: the significance of peak bone mass, strain equilibrium, and age-related activity differentials for mechanical compensation in human tubular bones. Am J Phys Anthropol 82:473-484</w:t>
      </w:r>
      <w:r w:rsidR="00E54129" w:rsidRPr="002B3438">
        <w:rPr>
          <w:sz w:val="22"/>
          <w:szCs w:val="22"/>
        </w:rPr>
        <w:t>.</w:t>
      </w:r>
      <w:r w:rsidR="006A3BEE">
        <w:rPr>
          <w:sz w:val="22"/>
          <w:szCs w:val="22"/>
        </w:rPr>
        <w:t xml:space="preserve"> </w:t>
      </w:r>
    </w:p>
    <w:p w14:paraId="02490EB7" w14:textId="77777777" w:rsidR="003F6EC3" w:rsidRPr="002B3438" w:rsidRDefault="003F6EC3" w:rsidP="006A0BA5">
      <w:pPr>
        <w:ind w:left="360" w:hanging="360"/>
        <w:rPr>
          <w:sz w:val="22"/>
          <w:szCs w:val="22"/>
        </w:rPr>
      </w:pPr>
    </w:p>
    <w:p w14:paraId="47C64637" w14:textId="77777777" w:rsidR="00EA4878" w:rsidRPr="002B3438" w:rsidRDefault="00E74F2B" w:rsidP="00EA4878">
      <w:pPr>
        <w:autoSpaceDE w:val="0"/>
        <w:autoSpaceDN w:val="0"/>
        <w:adjustRightInd w:val="0"/>
        <w:rPr>
          <w:sz w:val="22"/>
          <w:szCs w:val="22"/>
        </w:rPr>
      </w:pPr>
      <w:r w:rsidRPr="002B3438">
        <w:rPr>
          <w:sz w:val="22"/>
          <w:szCs w:val="22"/>
        </w:rPr>
        <w:t>Leblanc AD, Schneider VS, Evans HJ, Engelbretson DA, Krebs JM. 1990. Bone mineral</w:t>
      </w:r>
    </w:p>
    <w:p w14:paraId="1C808D9E" w14:textId="77777777" w:rsidR="00EA4878" w:rsidRPr="002B3438" w:rsidRDefault="00E74F2B" w:rsidP="00EA4878">
      <w:pPr>
        <w:ind w:left="360"/>
        <w:rPr>
          <w:sz w:val="22"/>
          <w:szCs w:val="22"/>
        </w:rPr>
      </w:pPr>
      <w:r w:rsidRPr="002B3438">
        <w:rPr>
          <w:sz w:val="22"/>
          <w:szCs w:val="22"/>
        </w:rPr>
        <w:t xml:space="preserve">loss and recovery after 17 weeks of bed rest. </w:t>
      </w:r>
      <w:r w:rsidRPr="002B3438">
        <w:rPr>
          <w:i/>
          <w:iCs/>
          <w:sz w:val="22"/>
          <w:szCs w:val="22"/>
        </w:rPr>
        <w:t xml:space="preserve">J Bone Miner Res </w:t>
      </w:r>
      <w:r w:rsidRPr="002B3438">
        <w:rPr>
          <w:sz w:val="22"/>
          <w:szCs w:val="22"/>
        </w:rPr>
        <w:t>5: 843-850.</w:t>
      </w:r>
    </w:p>
    <w:p w14:paraId="0AC5A484" w14:textId="77777777" w:rsidR="00EA4878" w:rsidRPr="002B3438" w:rsidRDefault="00EA4878" w:rsidP="00EA4878">
      <w:pPr>
        <w:ind w:left="360" w:hanging="360"/>
        <w:rPr>
          <w:sz w:val="22"/>
          <w:szCs w:val="22"/>
        </w:rPr>
      </w:pPr>
    </w:p>
    <w:p w14:paraId="5B4525AE" w14:textId="77777777" w:rsidR="00A6490F" w:rsidRPr="002B3438" w:rsidRDefault="00A6490F" w:rsidP="00A6490F">
      <w:pPr>
        <w:autoSpaceDE w:val="0"/>
        <w:autoSpaceDN w:val="0"/>
        <w:adjustRightInd w:val="0"/>
        <w:rPr>
          <w:rFonts w:eastAsia="Calibri"/>
          <w:bCs/>
          <w:sz w:val="22"/>
          <w:szCs w:val="22"/>
        </w:rPr>
      </w:pPr>
      <w:r w:rsidRPr="002B3438">
        <w:rPr>
          <w:rFonts w:eastAsia="Calibri"/>
          <w:bCs/>
          <w:sz w:val="22"/>
          <w:szCs w:val="22"/>
        </w:rPr>
        <w:t xml:space="preserve">Legroux-Gerot I, Vignau J, D’Herbomez M, Collier F, Marchandise X, Duquesnoy B, Cortet B. </w:t>
      </w:r>
    </w:p>
    <w:p w14:paraId="06C37A3A" w14:textId="77777777" w:rsidR="00950A9D" w:rsidRPr="002B3438" w:rsidRDefault="00A6490F" w:rsidP="00A6490F">
      <w:pPr>
        <w:autoSpaceDE w:val="0"/>
        <w:autoSpaceDN w:val="0"/>
        <w:adjustRightInd w:val="0"/>
        <w:ind w:left="360"/>
        <w:rPr>
          <w:rFonts w:eastAsia="Calibri"/>
          <w:bCs/>
          <w:sz w:val="22"/>
          <w:szCs w:val="22"/>
        </w:rPr>
      </w:pPr>
      <w:r w:rsidRPr="002B3438">
        <w:rPr>
          <w:rFonts w:eastAsia="Calibri"/>
          <w:sz w:val="22"/>
          <w:szCs w:val="22"/>
        </w:rPr>
        <w:t>2007. Evaluation of bone loss and its mechanisms in</w:t>
      </w:r>
      <w:r w:rsidRPr="002B3438">
        <w:rPr>
          <w:rFonts w:eastAsia="Calibri"/>
          <w:bCs/>
          <w:sz w:val="22"/>
          <w:szCs w:val="22"/>
        </w:rPr>
        <w:t xml:space="preserve"> </w:t>
      </w:r>
      <w:r w:rsidRPr="002B3438">
        <w:rPr>
          <w:rFonts w:eastAsia="Calibri"/>
          <w:sz w:val="22"/>
          <w:szCs w:val="22"/>
        </w:rPr>
        <w:t>anorexia nervosa. Calcif Tissue Int 81:174–182</w:t>
      </w:r>
    </w:p>
    <w:p w14:paraId="1434B9C5" w14:textId="77777777" w:rsidR="00A6490F" w:rsidRPr="002B3438" w:rsidRDefault="00A6490F" w:rsidP="00A6490F">
      <w:pPr>
        <w:ind w:left="360" w:hanging="360"/>
        <w:rPr>
          <w:sz w:val="22"/>
          <w:szCs w:val="22"/>
        </w:rPr>
      </w:pPr>
    </w:p>
    <w:p w14:paraId="45C784F8" w14:textId="77777777" w:rsidR="00EA4878" w:rsidRPr="002B3438" w:rsidRDefault="00EA4878" w:rsidP="00EA4878">
      <w:pPr>
        <w:ind w:left="360" w:hanging="360"/>
        <w:rPr>
          <w:sz w:val="22"/>
          <w:szCs w:val="22"/>
        </w:rPr>
      </w:pPr>
      <w:r w:rsidRPr="002B3438">
        <w:rPr>
          <w:sz w:val="22"/>
          <w:szCs w:val="22"/>
        </w:rPr>
        <w:t>Lewis M. 2007. The bioarchaeology of children: perspectives from biological and forensic anthropology. London: Cambridge University Press.</w:t>
      </w:r>
    </w:p>
    <w:p w14:paraId="12450619" w14:textId="77777777" w:rsidR="00EA4878" w:rsidRPr="002B3438" w:rsidRDefault="00EA4878" w:rsidP="00EA4878">
      <w:pPr>
        <w:rPr>
          <w:sz w:val="22"/>
          <w:szCs w:val="22"/>
        </w:rPr>
      </w:pPr>
    </w:p>
    <w:p w14:paraId="7D07A50D" w14:textId="77777777" w:rsidR="00EA4878" w:rsidRPr="002B3438" w:rsidRDefault="00EA4878" w:rsidP="00530E17">
      <w:pPr>
        <w:pStyle w:val="CommentText"/>
        <w:rPr>
          <w:rFonts w:eastAsia="Calibri"/>
          <w:color w:val="131413"/>
          <w:sz w:val="22"/>
          <w:szCs w:val="22"/>
        </w:rPr>
      </w:pPr>
      <w:r w:rsidRPr="002B3438">
        <w:rPr>
          <w:rFonts w:eastAsia="Calibri"/>
          <w:color w:val="131413"/>
          <w:sz w:val="22"/>
          <w:szCs w:val="22"/>
        </w:rPr>
        <w:t xml:space="preserve">Lewis ME, Roberts C. 1997. Growing pains: the interpretation of stress indicators. Int J </w:t>
      </w:r>
    </w:p>
    <w:p w14:paraId="2953D7DD" w14:textId="77777777" w:rsidR="00EA4878" w:rsidRPr="002B3438" w:rsidRDefault="006A3BEE" w:rsidP="00EA4878">
      <w:pPr>
        <w:pStyle w:val="CommentText"/>
        <w:rPr>
          <w:sz w:val="22"/>
          <w:szCs w:val="22"/>
        </w:rPr>
      </w:pPr>
      <w:r>
        <w:rPr>
          <w:rFonts w:eastAsia="Calibri"/>
          <w:color w:val="131413"/>
          <w:sz w:val="22"/>
          <w:szCs w:val="22"/>
        </w:rPr>
        <w:t xml:space="preserve">  </w:t>
      </w:r>
      <w:r w:rsidR="00EA4878" w:rsidRPr="002B3438">
        <w:rPr>
          <w:rFonts w:eastAsia="Calibri"/>
          <w:color w:val="131413"/>
          <w:sz w:val="22"/>
          <w:szCs w:val="22"/>
        </w:rPr>
        <w:t>Osteoarch 7:581–586.</w:t>
      </w:r>
    </w:p>
    <w:p w14:paraId="108D01BE" w14:textId="77777777" w:rsidR="00EA4878" w:rsidRPr="002B3438" w:rsidRDefault="00EA4878" w:rsidP="00530E17">
      <w:pPr>
        <w:pStyle w:val="CommentText"/>
        <w:rPr>
          <w:sz w:val="22"/>
          <w:szCs w:val="22"/>
        </w:rPr>
      </w:pPr>
    </w:p>
    <w:p w14:paraId="0C88A24E" w14:textId="77777777" w:rsidR="00EA4878" w:rsidRPr="002B3438" w:rsidRDefault="00530E17" w:rsidP="00530E17">
      <w:pPr>
        <w:pStyle w:val="CommentText"/>
        <w:rPr>
          <w:sz w:val="22"/>
          <w:szCs w:val="22"/>
        </w:rPr>
      </w:pPr>
      <w:r w:rsidRPr="002B3438">
        <w:rPr>
          <w:sz w:val="22"/>
          <w:szCs w:val="22"/>
        </w:rPr>
        <w:t xml:space="preserve">Li XJ, Jee WSS, Chow S-Y, Woodbury DM. 1990. Adaptation of cancellous bone to aging and </w:t>
      </w:r>
    </w:p>
    <w:p w14:paraId="70C73A5D" w14:textId="77777777" w:rsidR="00530E17" w:rsidRPr="002B3438" w:rsidRDefault="00530E17" w:rsidP="00EA4878">
      <w:pPr>
        <w:pStyle w:val="CommentText"/>
        <w:ind w:left="360"/>
        <w:rPr>
          <w:sz w:val="22"/>
          <w:szCs w:val="22"/>
        </w:rPr>
      </w:pPr>
      <w:r w:rsidRPr="002B3438">
        <w:rPr>
          <w:sz w:val="22"/>
          <w:szCs w:val="22"/>
        </w:rPr>
        <w:t>immobilization in the rat. A single photon absorptiometry and histomorphometry study. Anat Rec 227:12-24.</w:t>
      </w:r>
    </w:p>
    <w:p w14:paraId="2616EC2F" w14:textId="77777777" w:rsidR="0000580B" w:rsidRPr="002B3438" w:rsidRDefault="0000580B" w:rsidP="00530E17">
      <w:pPr>
        <w:pStyle w:val="CommentText"/>
        <w:rPr>
          <w:sz w:val="22"/>
          <w:szCs w:val="22"/>
        </w:rPr>
      </w:pPr>
    </w:p>
    <w:p w14:paraId="586F9E37" w14:textId="77777777" w:rsidR="00530E17" w:rsidRPr="002B3438" w:rsidRDefault="00530E17" w:rsidP="00530E17">
      <w:pPr>
        <w:ind w:left="360" w:hanging="360"/>
        <w:rPr>
          <w:sz w:val="22"/>
          <w:szCs w:val="22"/>
        </w:rPr>
      </w:pPr>
      <w:r w:rsidRPr="002B3438">
        <w:rPr>
          <w:sz w:val="22"/>
          <w:szCs w:val="22"/>
        </w:rPr>
        <w:t>Li XJ and Jee WSS. 1991. Adaptation of diaphyseal structure to aging and decreased mechanical loading in the adult rat. A densitometric and histomorphometric study. Anat Rec 229:291-297.</w:t>
      </w:r>
    </w:p>
    <w:p w14:paraId="4D158756" w14:textId="77777777" w:rsidR="00EA4878" w:rsidRPr="002B3438" w:rsidRDefault="00EA4878" w:rsidP="00530E17">
      <w:pPr>
        <w:ind w:left="360" w:hanging="360"/>
        <w:rPr>
          <w:sz w:val="22"/>
          <w:szCs w:val="22"/>
        </w:rPr>
      </w:pPr>
    </w:p>
    <w:p w14:paraId="4DF5C289" w14:textId="77777777" w:rsidR="007C1D9B" w:rsidRPr="002B3438" w:rsidRDefault="00B248DC" w:rsidP="007C1D9B">
      <w:pPr>
        <w:ind w:left="360" w:hanging="360"/>
        <w:rPr>
          <w:sz w:val="22"/>
          <w:szCs w:val="22"/>
        </w:rPr>
      </w:pPr>
      <w:r w:rsidRPr="002B3438">
        <w:rPr>
          <w:sz w:val="22"/>
          <w:szCs w:val="22"/>
        </w:rPr>
        <w:t>Lieberman DE, Crompton AW. 1998. Responses of bone to stress: constraints on symmorphosis. In: Webel ER, Taylor CR, Bolis L, editors. Principles of animal design: the optimixation and symmorphosis debate. Cambridge: Cambridge University Press. p 78-86.</w:t>
      </w:r>
    </w:p>
    <w:p w14:paraId="6834E8DE" w14:textId="77777777" w:rsidR="00B248DC" w:rsidRPr="002B3438" w:rsidRDefault="00B248DC" w:rsidP="007C1D9B">
      <w:pPr>
        <w:ind w:left="360" w:hanging="360"/>
        <w:rPr>
          <w:sz w:val="22"/>
          <w:szCs w:val="22"/>
        </w:rPr>
      </w:pPr>
    </w:p>
    <w:p w14:paraId="50D68A74" w14:textId="77777777" w:rsidR="00BD24E2" w:rsidRPr="002B3438" w:rsidRDefault="00BD24E2" w:rsidP="007C1D9B">
      <w:pPr>
        <w:ind w:left="360" w:hanging="360"/>
        <w:rPr>
          <w:sz w:val="22"/>
          <w:szCs w:val="22"/>
        </w:rPr>
      </w:pPr>
      <w:r w:rsidRPr="002B3438">
        <w:rPr>
          <w:sz w:val="22"/>
          <w:szCs w:val="22"/>
        </w:rPr>
        <w:t>Lieberman DE, Pearson OM. 2001. Trade-off between modeling and remodeling responses to loading in the mammalian limb. Bull Mus Comp Zool 156:269-282.</w:t>
      </w:r>
    </w:p>
    <w:p w14:paraId="518A5D01" w14:textId="77777777" w:rsidR="00BD24E2" w:rsidRPr="002B3438" w:rsidRDefault="00BD24E2" w:rsidP="007C1D9B">
      <w:pPr>
        <w:ind w:left="360" w:hanging="360"/>
        <w:rPr>
          <w:sz w:val="22"/>
          <w:szCs w:val="22"/>
        </w:rPr>
      </w:pPr>
    </w:p>
    <w:p w14:paraId="441ED989" w14:textId="77777777" w:rsidR="007C1D9B" w:rsidRPr="002B3438" w:rsidRDefault="007C1D9B" w:rsidP="007C1D9B">
      <w:pPr>
        <w:ind w:left="360" w:hanging="360"/>
        <w:rPr>
          <w:sz w:val="22"/>
          <w:szCs w:val="22"/>
        </w:rPr>
      </w:pPr>
      <w:r w:rsidRPr="002B3438">
        <w:rPr>
          <w:sz w:val="22"/>
          <w:szCs w:val="22"/>
        </w:rPr>
        <w:lastRenderedPageBreak/>
        <w:t>Lieberman D, Devlin M, Pearson O. 2001. Articular area responses to mechanical loading: effects of exercise, age, and skeletal location. Am J Phys Anthropol 116:266-277.</w:t>
      </w:r>
    </w:p>
    <w:p w14:paraId="6E8C455E" w14:textId="77777777" w:rsidR="007C1D9B" w:rsidRPr="002B3438" w:rsidRDefault="007C1D9B" w:rsidP="007C1D9B">
      <w:pPr>
        <w:ind w:left="360" w:hanging="360"/>
        <w:rPr>
          <w:sz w:val="22"/>
          <w:szCs w:val="22"/>
        </w:rPr>
      </w:pPr>
    </w:p>
    <w:p w14:paraId="164E16DF" w14:textId="77777777" w:rsidR="007C1D9B" w:rsidRPr="002B3438" w:rsidRDefault="007C1D9B" w:rsidP="007C1D9B">
      <w:pPr>
        <w:ind w:left="360" w:hanging="360"/>
        <w:rPr>
          <w:sz w:val="22"/>
          <w:szCs w:val="22"/>
        </w:rPr>
      </w:pPr>
      <w:r w:rsidRPr="002B3438">
        <w:rPr>
          <w:sz w:val="22"/>
          <w:szCs w:val="22"/>
        </w:rPr>
        <w:t>Lieberman D, Pearson O, Polk J, Demes B, Crompton A. 2003. Optimization of bone growth and remodeling in response to loading in tapered mammalian limbs. J Exper Biol 206:3125-3138.</w:t>
      </w:r>
    </w:p>
    <w:p w14:paraId="4CD015E5" w14:textId="77777777" w:rsidR="007B0B14" w:rsidRPr="002B3438" w:rsidRDefault="007B0B14" w:rsidP="007C1D9B">
      <w:pPr>
        <w:ind w:left="360" w:hanging="360"/>
        <w:rPr>
          <w:sz w:val="22"/>
          <w:szCs w:val="22"/>
        </w:rPr>
      </w:pPr>
    </w:p>
    <w:p w14:paraId="65E4C476" w14:textId="77777777" w:rsidR="00F422CE" w:rsidRPr="002B3438" w:rsidRDefault="00F422CE" w:rsidP="007C1D9B">
      <w:pPr>
        <w:ind w:left="360" w:hanging="360"/>
        <w:rPr>
          <w:rStyle w:val="a1"/>
          <w:rFonts w:ascii="Times New Roman" w:hAnsi="Times New Roman" w:cs="Times New Roman"/>
          <w:color w:val="000000"/>
          <w:spacing w:val="60"/>
          <w:sz w:val="22"/>
          <w:szCs w:val="22"/>
        </w:rPr>
      </w:pPr>
      <w:r w:rsidRPr="002B3438">
        <w:rPr>
          <w:sz w:val="22"/>
          <w:szCs w:val="22"/>
        </w:rPr>
        <w:t>Maggiano CM. 2012. Histomorphometry of humeral primary bone: evaluating modeling frift in ancient and modern skeletal samples. Ph.D. dissertation. Ohio State University</w:t>
      </w:r>
      <w:r w:rsidRPr="002B3438">
        <w:rPr>
          <w:rStyle w:val="a1"/>
          <w:rFonts w:ascii="Times New Roman" w:hAnsi="Times New Roman" w:cs="Times New Roman"/>
          <w:color w:val="000000"/>
          <w:spacing w:val="60"/>
          <w:sz w:val="22"/>
          <w:szCs w:val="22"/>
        </w:rPr>
        <w:t>.</w:t>
      </w:r>
    </w:p>
    <w:p w14:paraId="1451CDA5" w14:textId="77777777" w:rsidR="00F422CE" w:rsidRPr="002B3438" w:rsidRDefault="00F422CE" w:rsidP="007C1D9B">
      <w:pPr>
        <w:ind w:left="360" w:hanging="360"/>
        <w:rPr>
          <w:sz w:val="22"/>
          <w:szCs w:val="22"/>
        </w:rPr>
      </w:pPr>
    </w:p>
    <w:p w14:paraId="214AE033" w14:textId="77777777" w:rsidR="001D48B2" w:rsidRPr="002B3438" w:rsidRDefault="001D48B2" w:rsidP="007C1D9B">
      <w:pPr>
        <w:ind w:left="360" w:hanging="360"/>
        <w:rPr>
          <w:sz w:val="22"/>
          <w:szCs w:val="22"/>
        </w:rPr>
      </w:pPr>
      <w:r w:rsidRPr="002B3438">
        <w:rPr>
          <w:sz w:val="22"/>
          <w:szCs w:val="22"/>
        </w:rPr>
        <w:t>Mailhot G, Petit J-L, Dion N, Deschênes C, Ste-Marie L-G, Gascon-Barré M. 2007. Endocrine and bone consequences of cyclic nutritional changes in the calcium, phosphate and vitamin D status in the rat: an in vivo depletion-repletion-redepletion study. Bone 41:422-436.</w:t>
      </w:r>
    </w:p>
    <w:p w14:paraId="5087D347" w14:textId="77777777" w:rsidR="001D48B2" w:rsidRPr="002B3438" w:rsidRDefault="001D48B2" w:rsidP="007C1D9B">
      <w:pPr>
        <w:ind w:left="360" w:hanging="360"/>
        <w:rPr>
          <w:sz w:val="22"/>
          <w:szCs w:val="22"/>
        </w:rPr>
      </w:pPr>
    </w:p>
    <w:p w14:paraId="05C120F7" w14:textId="77777777" w:rsidR="00B14D52" w:rsidRPr="002B3438" w:rsidRDefault="00B14D52" w:rsidP="007C1D9B">
      <w:pPr>
        <w:ind w:left="360" w:hanging="360"/>
        <w:rPr>
          <w:sz w:val="22"/>
          <w:szCs w:val="22"/>
        </w:rPr>
      </w:pPr>
      <w:r w:rsidRPr="002B3438">
        <w:rPr>
          <w:sz w:val="22"/>
          <w:szCs w:val="22"/>
        </w:rPr>
        <w:t>Mankin H. 1974. Rickets, osteomalacia and renal osteodystrophy. Part I. J Bone Joint Surg Am 56A:101-128.</w:t>
      </w:r>
    </w:p>
    <w:p w14:paraId="5D1A52DC" w14:textId="77777777" w:rsidR="00B14D52" w:rsidRPr="002B3438" w:rsidRDefault="00B14D52" w:rsidP="007C1D9B">
      <w:pPr>
        <w:ind w:left="360" w:hanging="360"/>
        <w:rPr>
          <w:sz w:val="22"/>
          <w:szCs w:val="22"/>
        </w:rPr>
      </w:pPr>
    </w:p>
    <w:p w14:paraId="55E9A56D" w14:textId="77777777" w:rsidR="00070298" w:rsidRPr="002B3438" w:rsidRDefault="00070298" w:rsidP="007C1D9B">
      <w:pPr>
        <w:ind w:left="360" w:hanging="360"/>
        <w:rPr>
          <w:sz w:val="22"/>
          <w:szCs w:val="22"/>
        </w:rPr>
      </w:pPr>
      <w:r w:rsidRPr="002B3438">
        <w:rPr>
          <w:sz w:val="22"/>
          <w:szCs w:val="22"/>
        </w:rPr>
        <w:t>Marie P, Pettifor JM, Ross P, Glorieux FH. 1982. Histological osteomalacia due to dietary calcium deficiency in children. New England Journal of Medicine 307:584-588.</w:t>
      </w:r>
    </w:p>
    <w:p w14:paraId="7F7C28D3" w14:textId="77777777" w:rsidR="00070298" w:rsidRPr="002B3438" w:rsidRDefault="00070298" w:rsidP="007C1D9B">
      <w:pPr>
        <w:ind w:left="360" w:hanging="360"/>
        <w:rPr>
          <w:sz w:val="22"/>
          <w:szCs w:val="22"/>
        </w:rPr>
      </w:pPr>
    </w:p>
    <w:p w14:paraId="59372BE0" w14:textId="77777777" w:rsidR="00343B29" w:rsidRPr="002B3438" w:rsidRDefault="00343B29" w:rsidP="007C1D9B">
      <w:pPr>
        <w:ind w:left="360" w:hanging="360"/>
        <w:rPr>
          <w:sz w:val="22"/>
          <w:szCs w:val="22"/>
        </w:rPr>
      </w:pPr>
      <w:r w:rsidRPr="002B3438">
        <w:rPr>
          <w:sz w:val="22"/>
          <w:szCs w:val="22"/>
        </w:rPr>
        <w:t>Matkovic V, Fontana D, Tominac C, Goel P, Chesnut III CH. 1990. Factors that influence peak bone mass formation: a study of calcium balance and the inheritance of bone mass in adolescent females. Am J Clin Nutr 52:878-888.</w:t>
      </w:r>
    </w:p>
    <w:p w14:paraId="349B08B7" w14:textId="77777777" w:rsidR="00343B29" w:rsidRPr="002B3438" w:rsidRDefault="00343B29" w:rsidP="007C1D9B">
      <w:pPr>
        <w:ind w:left="360" w:hanging="360"/>
        <w:rPr>
          <w:sz w:val="22"/>
          <w:szCs w:val="22"/>
        </w:rPr>
      </w:pPr>
    </w:p>
    <w:p w14:paraId="3AAA343D" w14:textId="77777777" w:rsidR="00057DEB" w:rsidRPr="002B3438" w:rsidRDefault="00057DEB" w:rsidP="00057DEB">
      <w:pPr>
        <w:autoSpaceDE w:val="0"/>
        <w:autoSpaceDN w:val="0"/>
        <w:adjustRightInd w:val="0"/>
        <w:rPr>
          <w:rFonts w:eastAsia="Calibri"/>
          <w:sz w:val="22"/>
          <w:szCs w:val="22"/>
        </w:rPr>
      </w:pPr>
      <w:r w:rsidRPr="002B3438">
        <w:rPr>
          <w:rFonts w:eastAsia="Calibri"/>
          <w:sz w:val="22"/>
          <w:szCs w:val="22"/>
        </w:rPr>
        <w:t>Martin B. 1993. Aging and strength of bone as a structural material. Calcif Tiss Int 53:S34-40.</w:t>
      </w:r>
    </w:p>
    <w:p w14:paraId="2EA2E73F" w14:textId="77777777" w:rsidR="00057DEB" w:rsidRPr="002B3438" w:rsidRDefault="00057DEB" w:rsidP="00057DEB">
      <w:pPr>
        <w:ind w:left="360" w:hanging="360"/>
        <w:rPr>
          <w:sz w:val="22"/>
          <w:szCs w:val="22"/>
        </w:rPr>
      </w:pPr>
    </w:p>
    <w:p w14:paraId="3A8E229F" w14:textId="77777777" w:rsidR="0002257E" w:rsidRPr="002B3438" w:rsidRDefault="0002257E" w:rsidP="007C1D9B">
      <w:pPr>
        <w:ind w:left="360" w:hanging="360"/>
        <w:rPr>
          <w:sz w:val="22"/>
          <w:szCs w:val="22"/>
        </w:rPr>
      </w:pPr>
      <w:r w:rsidRPr="002B3438">
        <w:rPr>
          <w:sz w:val="22"/>
          <w:szCs w:val="22"/>
        </w:rPr>
        <w:t>Martin RB. 2000. Toward a unifying theory of bone remodeling. Bone 26:1-6.</w:t>
      </w:r>
    </w:p>
    <w:p w14:paraId="79D2F338" w14:textId="77777777" w:rsidR="0002257E" w:rsidRPr="002B3438" w:rsidRDefault="0002257E" w:rsidP="007C1D9B">
      <w:pPr>
        <w:ind w:left="360" w:hanging="360"/>
        <w:rPr>
          <w:sz w:val="22"/>
          <w:szCs w:val="22"/>
        </w:rPr>
      </w:pPr>
    </w:p>
    <w:p w14:paraId="2CC993CC" w14:textId="77777777" w:rsidR="00625DB5" w:rsidRPr="002B3438" w:rsidRDefault="00625DB5" w:rsidP="00625DB5">
      <w:pPr>
        <w:autoSpaceDE w:val="0"/>
        <w:autoSpaceDN w:val="0"/>
        <w:adjustRightInd w:val="0"/>
        <w:rPr>
          <w:rFonts w:eastAsia="Calibri"/>
          <w:color w:val="241F20"/>
          <w:sz w:val="22"/>
          <w:szCs w:val="22"/>
        </w:rPr>
      </w:pPr>
      <w:r w:rsidRPr="002B3438">
        <w:rPr>
          <w:rFonts w:eastAsia="Calibri"/>
          <w:color w:val="241F20"/>
          <w:sz w:val="22"/>
          <w:szCs w:val="22"/>
        </w:rPr>
        <w:t>Martin RB. 2004. Functional adaptation and fragility of the skeleton. In Agarwal SC, Stout SD,</w:t>
      </w:r>
    </w:p>
    <w:p w14:paraId="4C37B4AD" w14:textId="77777777" w:rsidR="00625DB5" w:rsidRPr="002B3438" w:rsidRDefault="00625DB5" w:rsidP="00625DB5">
      <w:pPr>
        <w:autoSpaceDE w:val="0"/>
        <w:autoSpaceDN w:val="0"/>
        <w:adjustRightInd w:val="0"/>
        <w:ind w:left="375"/>
        <w:rPr>
          <w:rFonts w:eastAsia="Calibri"/>
          <w:color w:val="241F20"/>
          <w:sz w:val="22"/>
          <w:szCs w:val="22"/>
        </w:rPr>
      </w:pPr>
      <w:r w:rsidRPr="002B3438">
        <w:rPr>
          <w:rFonts w:eastAsia="Calibri"/>
          <w:color w:val="241F20"/>
          <w:sz w:val="22"/>
          <w:szCs w:val="22"/>
        </w:rPr>
        <w:t>editors. Bone loss and osteoporosis: an anthropological perspective. New York: Kluwer Academic/Plenum Publishers. p 121–138</w:t>
      </w:r>
    </w:p>
    <w:p w14:paraId="101B3A33" w14:textId="77777777" w:rsidR="00625DB5" w:rsidRPr="002B3438" w:rsidRDefault="00625DB5" w:rsidP="00625DB5">
      <w:pPr>
        <w:ind w:left="360" w:hanging="360"/>
        <w:rPr>
          <w:sz w:val="22"/>
          <w:szCs w:val="22"/>
        </w:rPr>
      </w:pPr>
    </w:p>
    <w:p w14:paraId="7F9478D6" w14:textId="77777777" w:rsidR="000D36E0" w:rsidRPr="002B3438" w:rsidRDefault="007B0B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231F20"/>
          <w:sz w:val="22"/>
          <w:szCs w:val="22"/>
        </w:rPr>
      </w:pPr>
      <w:r w:rsidRPr="002B3438">
        <w:rPr>
          <w:sz w:val="22"/>
          <w:szCs w:val="22"/>
        </w:rPr>
        <w:t>Martin R</w:t>
      </w:r>
      <w:r w:rsidR="000D36E0" w:rsidRPr="002B3438">
        <w:rPr>
          <w:sz w:val="22"/>
          <w:szCs w:val="22"/>
        </w:rPr>
        <w:t>B</w:t>
      </w:r>
      <w:r w:rsidRPr="002B3438">
        <w:rPr>
          <w:sz w:val="22"/>
          <w:szCs w:val="22"/>
        </w:rPr>
        <w:t>. 2007.</w:t>
      </w:r>
      <w:r w:rsidRPr="002B3438">
        <w:rPr>
          <w:color w:val="231F20"/>
          <w:sz w:val="22"/>
          <w:szCs w:val="22"/>
        </w:rPr>
        <w:t xml:space="preserve"> Targeted bone remodeling involves BMU steering as well as activation. Bone </w:t>
      </w:r>
    </w:p>
    <w:p w14:paraId="7DECA06D" w14:textId="77777777" w:rsidR="007B0B14" w:rsidRPr="002B3438" w:rsidRDefault="006A3B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231F20"/>
          <w:sz w:val="22"/>
          <w:szCs w:val="22"/>
        </w:rPr>
      </w:pPr>
      <w:r>
        <w:rPr>
          <w:color w:val="231F20"/>
          <w:sz w:val="22"/>
          <w:szCs w:val="22"/>
        </w:rPr>
        <w:t xml:space="preserve">  </w:t>
      </w:r>
      <w:r w:rsidR="007B0B14" w:rsidRPr="002B3438">
        <w:rPr>
          <w:color w:val="231F20"/>
          <w:sz w:val="22"/>
          <w:szCs w:val="22"/>
        </w:rPr>
        <w:t>40:1574-1580.</w:t>
      </w:r>
    </w:p>
    <w:p w14:paraId="79D36B02" w14:textId="77777777" w:rsidR="003B35F5" w:rsidRPr="002B3438" w:rsidRDefault="003B35F5"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EBD1DD8" w14:textId="77777777" w:rsidR="003B35F5" w:rsidRPr="002B3438" w:rsidRDefault="003B35F5" w:rsidP="003B35F5">
      <w:pPr>
        <w:ind w:left="360" w:hanging="360"/>
        <w:rPr>
          <w:sz w:val="22"/>
          <w:szCs w:val="22"/>
        </w:rPr>
      </w:pPr>
      <w:r w:rsidRPr="002B3438">
        <w:rPr>
          <w:rStyle w:val="citation"/>
          <w:sz w:val="22"/>
          <w:szCs w:val="22"/>
        </w:rPr>
        <w:t>Martin D, Armelagos G. 1979. Morphometrics of compact bone: an example from Sudanese Nubia. Am J Phys Anthropol 51:571-577.</w:t>
      </w:r>
    </w:p>
    <w:p w14:paraId="782EB385" w14:textId="77777777" w:rsidR="003B35F5" w:rsidRPr="002B3438" w:rsidRDefault="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2A9DD2B" w14:textId="77777777" w:rsidR="0012412D" w:rsidRPr="002B3438" w:rsidRDefault="0012412D" w:rsidP="0012412D">
      <w:pPr>
        <w:ind w:left="360" w:hanging="360"/>
        <w:rPr>
          <w:sz w:val="22"/>
          <w:szCs w:val="22"/>
        </w:rPr>
      </w:pPr>
      <w:r w:rsidRPr="002B3438">
        <w:rPr>
          <w:sz w:val="22"/>
          <w:szCs w:val="22"/>
        </w:rPr>
        <w:t>Martin D, Armelagos G. 1985. Skeletal remodeling and mineralization as indicators of health: an example from prehistoric Sudanese Nubia. J Hum Evol 14:527-537.</w:t>
      </w:r>
    </w:p>
    <w:p w14:paraId="39968B2B" w14:textId="77777777" w:rsidR="0012412D" w:rsidRPr="002B3438" w:rsidRDefault="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5F65D493" w14:textId="77777777" w:rsidR="00ED597F" w:rsidRPr="002B3438" w:rsidRDefault="00ED59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RB and Burr DB. 1982. A hypothetical mechanism for the stimulation of osteonal </w:t>
      </w:r>
    </w:p>
    <w:p w14:paraId="6098F114" w14:textId="77777777" w:rsidR="00ED597F" w:rsidRPr="002B3438" w:rsidRDefault="006A3B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ED597F" w:rsidRPr="002B3438">
        <w:rPr>
          <w:sz w:val="22"/>
          <w:szCs w:val="22"/>
        </w:rPr>
        <w:t>remodeling by fatigue damage. Journal of Biomechanics 15:137-39.</w:t>
      </w:r>
    </w:p>
    <w:p w14:paraId="666578C3" w14:textId="77777777" w:rsidR="00ED597F" w:rsidRPr="002B3438" w:rsidRDefault="00ED59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5DD6AB47" w14:textId="77777777" w:rsidR="00B248DC" w:rsidRPr="002B3438" w:rsidRDefault="00B248DC" w:rsidP="00B248DC">
      <w:pPr>
        <w:autoSpaceDE w:val="0"/>
        <w:autoSpaceDN w:val="0"/>
        <w:adjustRightInd w:val="0"/>
        <w:rPr>
          <w:rFonts w:eastAsia="Calibri"/>
          <w:sz w:val="22"/>
          <w:szCs w:val="22"/>
        </w:rPr>
      </w:pPr>
      <w:r w:rsidRPr="002B3438">
        <w:rPr>
          <w:rFonts w:eastAsia="Calibri"/>
          <w:bCs/>
          <w:sz w:val="22"/>
          <w:szCs w:val="22"/>
        </w:rPr>
        <w:t xml:space="preserve">Martin RB, Burr DB. </w:t>
      </w:r>
      <w:r w:rsidRPr="002B3438">
        <w:rPr>
          <w:rFonts w:eastAsia="Calibri"/>
          <w:sz w:val="22"/>
          <w:szCs w:val="22"/>
        </w:rPr>
        <w:t xml:space="preserve">1984. Mechanical implications of porosity distribution in bone of the </w:t>
      </w:r>
    </w:p>
    <w:p w14:paraId="0F75A5DA" w14:textId="77777777" w:rsidR="00B248DC" w:rsidRPr="002B3438" w:rsidRDefault="006A3BEE" w:rsidP="00B248DC">
      <w:pPr>
        <w:autoSpaceDE w:val="0"/>
        <w:autoSpaceDN w:val="0"/>
        <w:adjustRightInd w:val="0"/>
        <w:rPr>
          <w:rFonts w:eastAsia="Calibri"/>
          <w:sz w:val="22"/>
          <w:szCs w:val="22"/>
        </w:rPr>
      </w:pPr>
      <w:r>
        <w:rPr>
          <w:rFonts w:eastAsia="Calibri"/>
          <w:sz w:val="22"/>
          <w:szCs w:val="22"/>
        </w:rPr>
        <w:t xml:space="preserve">  </w:t>
      </w:r>
      <w:r w:rsidR="00B248DC" w:rsidRPr="002B3438">
        <w:rPr>
          <w:rFonts w:eastAsia="Calibri"/>
          <w:sz w:val="22"/>
          <w:szCs w:val="22"/>
        </w:rPr>
        <w:t xml:space="preserve">appendicular skeleton. </w:t>
      </w:r>
      <w:r w:rsidR="00B248DC" w:rsidRPr="002B3438">
        <w:rPr>
          <w:rFonts w:eastAsia="Calibri"/>
          <w:iCs/>
          <w:sz w:val="22"/>
          <w:szCs w:val="22"/>
        </w:rPr>
        <w:t>Orthop</w:t>
      </w:r>
      <w:r w:rsidR="00B248DC" w:rsidRPr="002B3438">
        <w:rPr>
          <w:rFonts w:eastAsia="Calibri"/>
          <w:sz w:val="22"/>
          <w:szCs w:val="22"/>
        </w:rPr>
        <w:t xml:space="preserve"> </w:t>
      </w:r>
      <w:r w:rsidR="00B248DC" w:rsidRPr="002B3438">
        <w:rPr>
          <w:rFonts w:eastAsia="Calibri"/>
          <w:iCs/>
          <w:sz w:val="22"/>
          <w:szCs w:val="22"/>
        </w:rPr>
        <w:t>Trans</w:t>
      </w:r>
      <w:r w:rsidR="00B248DC" w:rsidRPr="002B3438">
        <w:rPr>
          <w:rFonts w:eastAsia="Calibri"/>
          <w:sz w:val="22"/>
          <w:szCs w:val="22"/>
        </w:rPr>
        <w:t xml:space="preserve"> </w:t>
      </w:r>
      <w:r w:rsidR="00B248DC" w:rsidRPr="002B3438">
        <w:rPr>
          <w:rFonts w:eastAsia="Calibri"/>
          <w:bCs/>
          <w:sz w:val="22"/>
          <w:szCs w:val="22"/>
        </w:rPr>
        <w:t>8</w:t>
      </w:r>
      <w:r w:rsidR="00B248DC" w:rsidRPr="002B3438">
        <w:rPr>
          <w:rFonts w:eastAsia="Calibri"/>
          <w:sz w:val="22"/>
          <w:szCs w:val="22"/>
        </w:rPr>
        <w:t>:342–343.</w:t>
      </w:r>
    </w:p>
    <w:p w14:paraId="2F68549E" w14:textId="77777777" w:rsidR="00D31096" w:rsidRPr="002B3438" w:rsidRDefault="00D310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5083029F" w14:textId="77777777" w:rsidR="00625DB5" w:rsidRPr="002B3438" w:rsidRDefault="00625DB5" w:rsidP="00625DB5">
      <w:pPr>
        <w:ind w:left="360" w:hanging="360"/>
        <w:rPr>
          <w:sz w:val="22"/>
          <w:szCs w:val="22"/>
        </w:rPr>
      </w:pPr>
      <w:r w:rsidRPr="002B3438">
        <w:rPr>
          <w:sz w:val="22"/>
          <w:szCs w:val="22"/>
        </w:rPr>
        <w:t>Martin R</w:t>
      </w:r>
      <w:r w:rsidR="005C58AA" w:rsidRPr="002B3438">
        <w:rPr>
          <w:sz w:val="22"/>
          <w:szCs w:val="22"/>
        </w:rPr>
        <w:t>B</w:t>
      </w:r>
      <w:r w:rsidRPr="002B3438">
        <w:rPr>
          <w:sz w:val="22"/>
          <w:szCs w:val="22"/>
        </w:rPr>
        <w:t>, Burr D</w:t>
      </w:r>
      <w:r w:rsidR="005C58AA" w:rsidRPr="002B3438">
        <w:rPr>
          <w:sz w:val="22"/>
          <w:szCs w:val="22"/>
        </w:rPr>
        <w:t>B</w:t>
      </w:r>
      <w:r w:rsidRPr="002B3438">
        <w:rPr>
          <w:sz w:val="22"/>
          <w:szCs w:val="22"/>
        </w:rPr>
        <w:t xml:space="preserve">. 1982. A hypothetical mechanism for the stimulation of osteonal remodelling by fatigue damage J Biomech 15:137-139. </w:t>
      </w:r>
    </w:p>
    <w:p w14:paraId="4D0863B4" w14:textId="77777777" w:rsidR="00625DB5" w:rsidRPr="002B3438" w:rsidRDefault="00625DB5" w:rsidP="0042542E">
      <w:pPr>
        <w:rPr>
          <w:sz w:val="22"/>
          <w:szCs w:val="22"/>
        </w:rPr>
      </w:pPr>
    </w:p>
    <w:p w14:paraId="55E5D757" w14:textId="77777777" w:rsidR="005C58AA" w:rsidRPr="002B3438" w:rsidRDefault="0042542E" w:rsidP="005251D0">
      <w:pPr>
        <w:rPr>
          <w:sz w:val="22"/>
          <w:szCs w:val="22"/>
        </w:rPr>
      </w:pPr>
      <w:r w:rsidRPr="002B3438">
        <w:rPr>
          <w:sz w:val="22"/>
          <w:szCs w:val="22"/>
        </w:rPr>
        <w:lastRenderedPageBreak/>
        <w:t>Martin R</w:t>
      </w:r>
      <w:r w:rsidR="005C58AA" w:rsidRPr="002B3438">
        <w:rPr>
          <w:sz w:val="22"/>
          <w:szCs w:val="22"/>
        </w:rPr>
        <w:t>B</w:t>
      </w:r>
      <w:r w:rsidRPr="002B3438">
        <w:rPr>
          <w:sz w:val="22"/>
          <w:szCs w:val="22"/>
        </w:rPr>
        <w:t>, Burr D</w:t>
      </w:r>
      <w:r w:rsidR="005C58AA" w:rsidRPr="002B3438">
        <w:rPr>
          <w:sz w:val="22"/>
          <w:szCs w:val="22"/>
        </w:rPr>
        <w:t>B</w:t>
      </w:r>
      <w:r w:rsidRPr="002B3438">
        <w:rPr>
          <w:sz w:val="22"/>
          <w:szCs w:val="22"/>
        </w:rPr>
        <w:t xml:space="preserve">. 1989. Structure, function, and adaptation of compact bone. New York: </w:t>
      </w:r>
    </w:p>
    <w:p w14:paraId="6D831479" w14:textId="77777777" w:rsidR="0042542E" w:rsidRPr="002B3438" w:rsidRDefault="0042542E" w:rsidP="005C58AA">
      <w:pPr>
        <w:ind w:firstLine="360"/>
        <w:rPr>
          <w:sz w:val="22"/>
          <w:szCs w:val="22"/>
        </w:rPr>
      </w:pPr>
      <w:r w:rsidRPr="002B3438">
        <w:rPr>
          <w:sz w:val="22"/>
          <w:szCs w:val="22"/>
        </w:rPr>
        <w:t>Raven Press.</w:t>
      </w:r>
    </w:p>
    <w:p w14:paraId="58B54710" w14:textId="77777777" w:rsidR="0042542E" w:rsidRPr="002B3438" w:rsidRDefault="0042542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D741A3D" w14:textId="77777777" w:rsidR="003B35F5" w:rsidRPr="002B3438" w:rsidRDefault="003B35F5"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RB, Ishida J. 1989. The relative effects of collagen fiber orientation, porosity, </w:t>
      </w:r>
    </w:p>
    <w:p w14:paraId="2A1F5F71"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density, and mineralization on bone strength. J Biomech 22:419-426.</w:t>
      </w:r>
    </w:p>
    <w:p w14:paraId="109D3E42" w14:textId="77777777" w:rsidR="003B35F5" w:rsidRPr="002B3438" w:rsidRDefault="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7B6A1309" w14:textId="77777777" w:rsidR="007E530D" w:rsidRPr="002B3438" w:rsidRDefault="007E530D" w:rsidP="007E530D">
      <w:pPr>
        <w:autoSpaceDE w:val="0"/>
        <w:autoSpaceDN w:val="0"/>
        <w:adjustRightInd w:val="0"/>
        <w:rPr>
          <w:rFonts w:eastAsia="Calibri"/>
          <w:sz w:val="22"/>
          <w:szCs w:val="22"/>
        </w:rPr>
      </w:pPr>
      <w:r w:rsidRPr="002B3438">
        <w:rPr>
          <w:rFonts w:eastAsia="Calibri"/>
          <w:sz w:val="22"/>
          <w:szCs w:val="22"/>
        </w:rPr>
        <w:t xml:space="preserve">Martin RB, Pickett JC, Zinaich S. 1980. Studies of skeletal remodeling in aging men. Clin Orthop </w:t>
      </w:r>
    </w:p>
    <w:p w14:paraId="2F692ECA" w14:textId="77777777" w:rsidR="007E530D" w:rsidRPr="002B3438" w:rsidRDefault="006A3BEE" w:rsidP="007E530D">
      <w:pPr>
        <w:autoSpaceDE w:val="0"/>
        <w:autoSpaceDN w:val="0"/>
        <w:adjustRightInd w:val="0"/>
        <w:rPr>
          <w:rFonts w:eastAsia="Calibri"/>
          <w:sz w:val="22"/>
          <w:szCs w:val="22"/>
        </w:rPr>
      </w:pPr>
      <w:r>
        <w:rPr>
          <w:rFonts w:eastAsia="Calibri"/>
          <w:sz w:val="22"/>
          <w:szCs w:val="22"/>
        </w:rPr>
        <w:t xml:space="preserve">  </w:t>
      </w:r>
      <w:r w:rsidR="007E530D" w:rsidRPr="002B3438">
        <w:rPr>
          <w:rFonts w:eastAsia="Calibri"/>
          <w:sz w:val="22"/>
          <w:szCs w:val="22"/>
        </w:rPr>
        <w:t>Rel Res 149:268 –282.</w:t>
      </w:r>
    </w:p>
    <w:p w14:paraId="7134D239" w14:textId="77777777" w:rsidR="0012412D" w:rsidRPr="002B3438" w:rsidRDefault="0012412D"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1271C28E" w14:textId="77777777" w:rsidR="0012412D" w:rsidRPr="002B3438" w:rsidRDefault="0012412D"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TJ, Seeman E. 2008. Bone remodelling: its local regulation and the emergence of </w:t>
      </w:r>
    </w:p>
    <w:p w14:paraId="31418027" w14:textId="77777777" w:rsidR="0012412D" w:rsidRPr="002B3438" w:rsidRDefault="006A3BEE"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12412D" w:rsidRPr="002B3438">
        <w:rPr>
          <w:sz w:val="22"/>
          <w:szCs w:val="22"/>
        </w:rPr>
        <w:t>bone fragility, Best Practice &amp; Research Clinical Endocrinology &amp; Metabolism</w:t>
      </w:r>
      <w:r>
        <w:rPr>
          <w:sz w:val="22"/>
          <w:szCs w:val="22"/>
        </w:rPr>
        <w:t xml:space="preserve"> </w:t>
      </w:r>
    </w:p>
    <w:p w14:paraId="38DE2558" w14:textId="77777777" w:rsidR="0012412D" w:rsidRPr="002B3438" w:rsidRDefault="006A3BEE"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12412D" w:rsidRPr="002B3438">
        <w:rPr>
          <w:sz w:val="22"/>
          <w:szCs w:val="22"/>
        </w:rPr>
        <w:t>22:701-722.</w:t>
      </w:r>
    </w:p>
    <w:p w14:paraId="3D4B7E41" w14:textId="77777777" w:rsidR="007E530D" w:rsidRPr="002B3438" w:rsidRDefault="007E530D" w:rsidP="007E53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143762ED" w14:textId="77777777" w:rsidR="005875C9" w:rsidRPr="002B3438" w:rsidRDefault="005875C9" w:rsidP="007E53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RB, Pickett JC, Zinaich S. Studies of skeletal remodeling in aging men. Clin </w:t>
      </w:r>
    </w:p>
    <w:p w14:paraId="2BDAD360" w14:textId="77777777" w:rsidR="005875C9" w:rsidRPr="002B3438" w:rsidRDefault="006A3BEE" w:rsidP="007E53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5875C9" w:rsidRPr="002B3438">
        <w:rPr>
          <w:sz w:val="22"/>
          <w:szCs w:val="22"/>
        </w:rPr>
        <w:t>Orthop 149:268-282.</w:t>
      </w:r>
    </w:p>
    <w:p w14:paraId="04EBC2F9" w14:textId="77777777" w:rsidR="005875C9" w:rsidRPr="002B3438" w:rsidRDefault="005875C9" w:rsidP="007E53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63A38DAA" w14:textId="77777777" w:rsidR="003B35F5" w:rsidRPr="002B3438" w:rsidRDefault="003B35F5"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Martin DL, Armelagos GJ, Goodman AH, and Van Gerven D. 1984. The effects of socio-</w:t>
      </w:r>
    </w:p>
    <w:p w14:paraId="147EB057"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 xml:space="preserve">economic change in prehistoric Africa: Sudanese Nubia as a case study. In: Cohen </w:t>
      </w:r>
    </w:p>
    <w:p w14:paraId="5B3FBD90"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 xml:space="preserve">MN, Armelagos GJ, editors. Paleopathology at the origins of agriculture. New York: </w:t>
      </w:r>
    </w:p>
    <w:p w14:paraId="375833DA"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Academic Press. p 93-213.</w:t>
      </w:r>
    </w:p>
    <w:p w14:paraId="4DC9F34F" w14:textId="77777777" w:rsidR="003B35F5" w:rsidRPr="002B3438" w:rsidRDefault="003B35F5"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5787F19E" w14:textId="77777777" w:rsidR="003B35F5" w:rsidRPr="002B3438" w:rsidRDefault="003B35F5"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DL, Goodman AH, Armelagos GJ. 1985. Skeletal pathologies as indicators of </w:t>
      </w:r>
    </w:p>
    <w:p w14:paraId="154D2506"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 xml:space="preserve">quality and quantity of diet. In: Gilbert RI and Mielke JH, editors. The Analysis of </w:t>
      </w:r>
    </w:p>
    <w:p w14:paraId="4B921CDD" w14:textId="77777777" w:rsidR="003B35F5" w:rsidRPr="002B3438" w:rsidRDefault="006A3BEE" w:rsidP="003B35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3B35F5" w:rsidRPr="002B3438">
        <w:rPr>
          <w:sz w:val="22"/>
          <w:szCs w:val="22"/>
        </w:rPr>
        <w:t>Prehistoric Diets. Orlando: Academic press, pp. 227-279.</w:t>
      </w:r>
    </w:p>
    <w:p w14:paraId="3F6A2147" w14:textId="77777777" w:rsidR="0012412D" w:rsidRPr="002B3438" w:rsidRDefault="0012412D"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658B7636" w14:textId="77777777" w:rsidR="0012412D" w:rsidRPr="002B3438" w:rsidRDefault="0012412D"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2B3438">
        <w:rPr>
          <w:sz w:val="22"/>
          <w:szCs w:val="22"/>
        </w:rPr>
        <w:t xml:space="preserve">Martin DL, Magennis AL, Rose JC. </w:t>
      </w:r>
      <w:r w:rsidR="005875C9" w:rsidRPr="002B3438">
        <w:rPr>
          <w:sz w:val="22"/>
          <w:szCs w:val="22"/>
        </w:rPr>
        <w:t xml:space="preserve">1987. </w:t>
      </w:r>
      <w:r w:rsidRPr="002B3438">
        <w:rPr>
          <w:sz w:val="22"/>
          <w:szCs w:val="22"/>
        </w:rPr>
        <w:t>Cortical bone maintenance in an historic Afro-</w:t>
      </w:r>
    </w:p>
    <w:p w14:paraId="3242D228" w14:textId="77777777" w:rsidR="0012412D" w:rsidRPr="002B3438" w:rsidRDefault="006A3BEE"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12412D" w:rsidRPr="002B3438">
        <w:rPr>
          <w:sz w:val="22"/>
          <w:szCs w:val="22"/>
        </w:rPr>
        <w:t>American cemetery sample from Cedar Grove, Arkansas. Am J Phys Anthrop</w:t>
      </w:r>
      <w:r>
        <w:rPr>
          <w:sz w:val="22"/>
          <w:szCs w:val="22"/>
        </w:rPr>
        <w:t xml:space="preserve"> </w:t>
      </w:r>
    </w:p>
    <w:p w14:paraId="48850885" w14:textId="77777777" w:rsidR="0012412D" w:rsidRPr="002B3438" w:rsidRDefault="006A3BEE"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12412D" w:rsidRPr="002B3438">
        <w:rPr>
          <w:sz w:val="22"/>
          <w:szCs w:val="22"/>
        </w:rPr>
        <w:t>74:255-264.</w:t>
      </w:r>
    </w:p>
    <w:p w14:paraId="32A4B4CD" w14:textId="77777777" w:rsidR="0012412D" w:rsidRPr="002B3438" w:rsidRDefault="0012412D" w:rsidP="001241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73B8F82F" w14:textId="77777777" w:rsidR="0012412D" w:rsidRPr="002B3438" w:rsidRDefault="0012412D" w:rsidP="0012412D">
      <w:pPr>
        <w:ind w:left="360" w:hanging="360"/>
        <w:rPr>
          <w:sz w:val="22"/>
          <w:szCs w:val="22"/>
        </w:rPr>
      </w:pPr>
      <w:r w:rsidRPr="002B3438">
        <w:rPr>
          <w:sz w:val="22"/>
          <w:szCs w:val="22"/>
        </w:rPr>
        <w:t>Martin RB, Burr D, Sharkey M. 1998. Skeletal Tissue Mechanics. New York: Springer-Verlag, Inc..</w:t>
      </w:r>
    </w:p>
    <w:p w14:paraId="1A160981" w14:textId="77777777" w:rsidR="00D10DB1" w:rsidRPr="002B3438" w:rsidRDefault="00D10DB1" w:rsidP="00D10DB1">
      <w:pPr>
        <w:autoSpaceDE w:val="0"/>
        <w:autoSpaceDN w:val="0"/>
        <w:adjustRightInd w:val="0"/>
        <w:ind w:left="360" w:hanging="360"/>
        <w:rPr>
          <w:sz w:val="22"/>
          <w:szCs w:val="22"/>
        </w:rPr>
      </w:pPr>
    </w:p>
    <w:p w14:paraId="5A775907" w14:textId="77777777" w:rsidR="00B14D52" w:rsidRPr="002B3438" w:rsidRDefault="00B14D52" w:rsidP="00D10DB1">
      <w:pPr>
        <w:autoSpaceDE w:val="0"/>
        <w:autoSpaceDN w:val="0"/>
        <w:adjustRightInd w:val="0"/>
        <w:ind w:left="360" w:hanging="360"/>
        <w:rPr>
          <w:sz w:val="22"/>
          <w:szCs w:val="22"/>
        </w:rPr>
      </w:pPr>
      <w:r w:rsidRPr="002B3438">
        <w:rPr>
          <w:sz w:val="22"/>
          <w:szCs w:val="22"/>
        </w:rPr>
        <w:t>Mays S, Rogers J, and Watt I. 2001. A possible case of hyperparathyroidism in a burial of 15</w:t>
      </w:r>
      <w:r w:rsidRPr="002B3438">
        <w:rPr>
          <w:sz w:val="22"/>
          <w:szCs w:val="22"/>
          <w:vertAlign w:val="superscript"/>
        </w:rPr>
        <w:t>th</w:t>
      </w:r>
      <w:r w:rsidRPr="002B3438">
        <w:rPr>
          <w:sz w:val="22"/>
          <w:szCs w:val="22"/>
        </w:rPr>
        <w:t>-17</w:t>
      </w:r>
      <w:r w:rsidRPr="002B3438">
        <w:rPr>
          <w:sz w:val="22"/>
          <w:szCs w:val="22"/>
          <w:vertAlign w:val="superscript"/>
        </w:rPr>
        <w:t>th</w:t>
      </w:r>
      <w:r w:rsidRPr="002B3438">
        <w:rPr>
          <w:sz w:val="22"/>
          <w:szCs w:val="22"/>
        </w:rPr>
        <w:t xml:space="preserve"> century AD date from Wharram Percy, England. Am J Phys Anth 129:362-374.</w:t>
      </w:r>
    </w:p>
    <w:p w14:paraId="2F9F401B" w14:textId="77777777" w:rsidR="00B14D52" w:rsidRPr="002B3438" w:rsidRDefault="00B14D52" w:rsidP="00D10DB1">
      <w:pPr>
        <w:autoSpaceDE w:val="0"/>
        <w:autoSpaceDN w:val="0"/>
        <w:adjustRightInd w:val="0"/>
        <w:ind w:left="360" w:hanging="360"/>
        <w:rPr>
          <w:sz w:val="22"/>
          <w:szCs w:val="22"/>
        </w:rPr>
      </w:pPr>
    </w:p>
    <w:p w14:paraId="0B6B0821" w14:textId="77777777" w:rsidR="0061427F" w:rsidRPr="002B3438" w:rsidRDefault="0061427F" w:rsidP="00231581">
      <w:pPr>
        <w:autoSpaceDE w:val="0"/>
        <w:autoSpaceDN w:val="0"/>
        <w:adjustRightInd w:val="0"/>
        <w:rPr>
          <w:sz w:val="22"/>
          <w:szCs w:val="22"/>
        </w:rPr>
      </w:pPr>
      <w:r w:rsidRPr="002B3438">
        <w:rPr>
          <w:sz w:val="22"/>
          <w:szCs w:val="22"/>
        </w:rPr>
        <w:t xml:space="preserve">Mays S, Brickley M, Ives R. 2006. Skeletal manifestations of rickets in infants and young </w:t>
      </w:r>
    </w:p>
    <w:p w14:paraId="242395EF" w14:textId="77777777" w:rsidR="00231581" w:rsidRPr="002B3438" w:rsidRDefault="006A3BEE" w:rsidP="00231581">
      <w:pPr>
        <w:autoSpaceDE w:val="0"/>
        <w:autoSpaceDN w:val="0"/>
        <w:adjustRightInd w:val="0"/>
        <w:rPr>
          <w:sz w:val="22"/>
          <w:szCs w:val="22"/>
        </w:rPr>
      </w:pPr>
      <w:r>
        <w:rPr>
          <w:sz w:val="22"/>
          <w:szCs w:val="22"/>
        </w:rPr>
        <w:t xml:space="preserve">  </w:t>
      </w:r>
      <w:r w:rsidR="0061427F" w:rsidRPr="002B3438">
        <w:rPr>
          <w:sz w:val="22"/>
          <w:szCs w:val="22"/>
        </w:rPr>
        <w:t>children in a historic population from England. Am J Phys Anthropol 129:362-374.</w:t>
      </w:r>
    </w:p>
    <w:p w14:paraId="043BB14B" w14:textId="77777777" w:rsidR="0061427F" w:rsidRPr="002B3438" w:rsidRDefault="0061427F" w:rsidP="00231581">
      <w:pPr>
        <w:autoSpaceDE w:val="0"/>
        <w:autoSpaceDN w:val="0"/>
        <w:adjustRightInd w:val="0"/>
        <w:rPr>
          <w:sz w:val="22"/>
          <w:szCs w:val="22"/>
        </w:rPr>
      </w:pPr>
    </w:p>
    <w:p w14:paraId="010D37F5" w14:textId="77777777" w:rsidR="00231581" w:rsidRPr="002B3438" w:rsidRDefault="00231581" w:rsidP="00231581">
      <w:pPr>
        <w:ind w:left="360" w:hanging="360"/>
        <w:rPr>
          <w:sz w:val="22"/>
          <w:szCs w:val="22"/>
        </w:rPr>
      </w:pPr>
      <w:r w:rsidRPr="002B3438">
        <w:rPr>
          <w:sz w:val="22"/>
          <w:szCs w:val="22"/>
        </w:rPr>
        <w:t>Mays S, Ives R, Brickley M. 2009. The effects of socioeconomic status on endochondral and appositional bone growth, and acquisition of cortical bone in children from 19th century Birmingham, England. Am J Phys Anthropol 140:410–416.</w:t>
      </w:r>
    </w:p>
    <w:p w14:paraId="73285DD6" w14:textId="77777777" w:rsidR="00231581" w:rsidRPr="002B3438" w:rsidRDefault="00231581" w:rsidP="00D10DB1">
      <w:pPr>
        <w:autoSpaceDE w:val="0"/>
        <w:autoSpaceDN w:val="0"/>
        <w:adjustRightInd w:val="0"/>
        <w:ind w:left="360" w:hanging="360"/>
        <w:rPr>
          <w:sz w:val="22"/>
          <w:szCs w:val="22"/>
        </w:rPr>
      </w:pPr>
    </w:p>
    <w:p w14:paraId="6EA4BE8C" w14:textId="77777777" w:rsidR="005E40E9" w:rsidRPr="002B3438" w:rsidRDefault="005E40E9" w:rsidP="00D10DB1">
      <w:pPr>
        <w:autoSpaceDE w:val="0"/>
        <w:autoSpaceDN w:val="0"/>
        <w:adjustRightInd w:val="0"/>
        <w:ind w:left="360" w:hanging="360"/>
        <w:rPr>
          <w:sz w:val="22"/>
          <w:szCs w:val="22"/>
        </w:rPr>
      </w:pPr>
      <w:r w:rsidRPr="002B3438">
        <w:rPr>
          <w:sz w:val="22"/>
          <w:szCs w:val="22"/>
        </w:rPr>
        <w:t>McCalden RW, McGeough JA, Barker MB, Court-Brown CM. 1993. Age-related changes in the tensile properties of cortical bone. The relative importance of changes in porosity, mineralization, and microstructure. J Bone Jt Surg Am 75:1193-1205.</w:t>
      </w:r>
    </w:p>
    <w:p w14:paraId="412EE424" w14:textId="77777777" w:rsidR="005E40E9" w:rsidRPr="002B3438" w:rsidRDefault="005E40E9" w:rsidP="00D10DB1">
      <w:pPr>
        <w:autoSpaceDE w:val="0"/>
        <w:autoSpaceDN w:val="0"/>
        <w:adjustRightInd w:val="0"/>
        <w:ind w:left="360" w:hanging="360"/>
        <w:rPr>
          <w:sz w:val="22"/>
          <w:szCs w:val="22"/>
        </w:rPr>
      </w:pPr>
    </w:p>
    <w:p w14:paraId="3EF3067B" w14:textId="77777777" w:rsidR="00CD3679" w:rsidRPr="002B3438" w:rsidRDefault="00CD3679" w:rsidP="00D10DB1">
      <w:pPr>
        <w:autoSpaceDE w:val="0"/>
        <w:autoSpaceDN w:val="0"/>
        <w:adjustRightInd w:val="0"/>
        <w:ind w:left="360" w:hanging="360"/>
        <w:rPr>
          <w:rFonts w:eastAsia="Calibri"/>
          <w:bCs/>
          <w:iCs/>
          <w:sz w:val="22"/>
          <w:szCs w:val="22"/>
        </w:rPr>
      </w:pPr>
      <w:r w:rsidRPr="002B3438">
        <w:rPr>
          <w:sz w:val="22"/>
          <w:szCs w:val="22"/>
        </w:rPr>
        <w:t xml:space="preserve">McCance RA, </w:t>
      </w:r>
      <w:r w:rsidRPr="002B3438">
        <w:rPr>
          <w:rFonts w:eastAsia="Calibri"/>
          <w:bCs/>
          <w:iCs/>
          <w:sz w:val="22"/>
          <w:szCs w:val="22"/>
        </w:rPr>
        <w:t xml:space="preserve">Dicerkson JWT, Bell GH, Dunbar O, Gibb A. 1962. Severe undernutrition in growing and adult animals: </w:t>
      </w:r>
      <w:r w:rsidRPr="002B3438">
        <w:rPr>
          <w:rFonts w:eastAsia="Calibri"/>
          <w:sz w:val="22"/>
          <w:szCs w:val="22"/>
        </w:rPr>
        <w:t xml:space="preserve">The effect </w:t>
      </w:r>
      <w:r w:rsidRPr="002B3438">
        <w:rPr>
          <w:rFonts w:eastAsia="Calibri"/>
          <w:bCs/>
          <w:sz w:val="22"/>
          <w:szCs w:val="22"/>
        </w:rPr>
        <w:t xml:space="preserve">of </w:t>
      </w:r>
      <w:r w:rsidRPr="002B3438">
        <w:rPr>
          <w:rFonts w:eastAsia="Calibri"/>
          <w:sz w:val="22"/>
          <w:szCs w:val="22"/>
        </w:rPr>
        <w:t xml:space="preserve">undernutrition and its relief </w:t>
      </w:r>
      <w:r w:rsidRPr="002B3438">
        <w:rPr>
          <w:rFonts w:eastAsia="Calibri"/>
          <w:bCs/>
          <w:sz w:val="22"/>
          <w:szCs w:val="22"/>
        </w:rPr>
        <w:t xml:space="preserve">on </w:t>
      </w:r>
      <w:r w:rsidRPr="002B3438">
        <w:rPr>
          <w:rFonts w:eastAsia="Calibri"/>
          <w:sz w:val="22"/>
          <w:szCs w:val="22"/>
        </w:rPr>
        <w:t xml:space="preserve">the mechanical properties </w:t>
      </w:r>
      <w:r w:rsidRPr="002B3438">
        <w:rPr>
          <w:rFonts w:eastAsia="Calibri"/>
          <w:bCs/>
          <w:sz w:val="22"/>
          <w:szCs w:val="22"/>
        </w:rPr>
        <w:t xml:space="preserve">of </w:t>
      </w:r>
      <w:r w:rsidRPr="002B3438">
        <w:rPr>
          <w:rFonts w:eastAsia="Calibri"/>
          <w:sz w:val="22"/>
          <w:szCs w:val="22"/>
        </w:rPr>
        <w:t xml:space="preserve">bone. </w:t>
      </w:r>
      <w:r w:rsidRPr="002B3438">
        <w:rPr>
          <w:rFonts w:eastAsia="Calibri"/>
          <w:bCs/>
          <w:iCs/>
          <w:sz w:val="22"/>
          <w:szCs w:val="22"/>
        </w:rPr>
        <w:t>Brit J Nutr 16: 1-12.</w:t>
      </w:r>
    </w:p>
    <w:p w14:paraId="0C4C6884" w14:textId="77777777" w:rsidR="00CD3679" w:rsidRPr="002B3438" w:rsidRDefault="00CD3679" w:rsidP="00D10DB1">
      <w:pPr>
        <w:autoSpaceDE w:val="0"/>
        <w:autoSpaceDN w:val="0"/>
        <w:adjustRightInd w:val="0"/>
        <w:ind w:left="360" w:hanging="360"/>
        <w:rPr>
          <w:sz w:val="22"/>
          <w:szCs w:val="22"/>
        </w:rPr>
      </w:pPr>
    </w:p>
    <w:p w14:paraId="6A523C89" w14:textId="77777777" w:rsidR="0061427F" w:rsidRPr="002B3438" w:rsidRDefault="0061427F" w:rsidP="00D10DB1">
      <w:pPr>
        <w:autoSpaceDE w:val="0"/>
        <w:autoSpaceDN w:val="0"/>
        <w:adjustRightInd w:val="0"/>
        <w:ind w:left="360" w:hanging="360"/>
        <w:rPr>
          <w:sz w:val="22"/>
          <w:szCs w:val="22"/>
        </w:rPr>
      </w:pPr>
      <w:r w:rsidRPr="002B3438">
        <w:rPr>
          <w:sz w:val="22"/>
          <w:szCs w:val="22"/>
        </w:rPr>
        <w:lastRenderedPageBreak/>
        <w:t>McCann P. 1962. The incidence and value of radiological signs of scurvy. Br J Radiol 35:683-686.</w:t>
      </w:r>
    </w:p>
    <w:p w14:paraId="6FE93087" w14:textId="77777777" w:rsidR="0061427F" w:rsidRPr="002B3438" w:rsidRDefault="0061427F" w:rsidP="00D10DB1">
      <w:pPr>
        <w:autoSpaceDE w:val="0"/>
        <w:autoSpaceDN w:val="0"/>
        <w:adjustRightInd w:val="0"/>
        <w:ind w:left="360" w:hanging="360"/>
        <w:rPr>
          <w:sz w:val="22"/>
          <w:szCs w:val="22"/>
        </w:rPr>
      </w:pPr>
    </w:p>
    <w:p w14:paraId="5FF7A64C" w14:textId="77777777" w:rsidR="00EA6828" w:rsidRPr="002B3438" w:rsidRDefault="00EA6828" w:rsidP="00EA6828">
      <w:pPr>
        <w:autoSpaceDE w:val="0"/>
        <w:autoSpaceDN w:val="0"/>
        <w:adjustRightInd w:val="0"/>
        <w:rPr>
          <w:sz w:val="22"/>
          <w:szCs w:val="22"/>
        </w:rPr>
      </w:pPr>
      <w:r w:rsidRPr="002B3438">
        <w:rPr>
          <w:sz w:val="22"/>
          <w:szCs w:val="22"/>
        </w:rPr>
        <w:t xml:space="preserve">McCulloch RG, Bailey DA, Whalen RL, Houson CS, Faulkner RA, Craven BR. 1992. Bone </w:t>
      </w:r>
    </w:p>
    <w:p w14:paraId="3AB3AA2B" w14:textId="77777777" w:rsidR="00EA6828" w:rsidRPr="002B3438" w:rsidRDefault="00EA6828" w:rsidP="00EA6828">
      <w:pPr>
        <w:autoSpaceDE w:val="0"/>
        <w:autoSpaceDN w:val="0"/>
        <w:adjustRightInd w:val="0"/>
        <w:ind w:firstLine="360"/>
        <w:rPr>
          <w:sz w:val="22"/>
          <w:szCs w:val="22"/>
        </w:rPr>
      </w:pPr>
      <w:r w:rsidRPr="002B3438">
        <w:rPr>
          <w:sz w:val="22"/>
          <w:szCs w:val="22"/>
        </w:rPr>
        <w:t xml:space="preserve">density and bone mineral content of adolescent soccer athletes and competitive swimmers. </w:t>
      </w:r>
    </w:p>
    <w:p w14:paraId="1994176E" w14:textId="77777777" w:rsidR="00EA6828" w:rsidRPr="002B3438" w:rsidRDefault="00EA6828" w:rsidP="00EA6828">
      <w:pPr>
        <w:autoSpaceDE w:val="0"/>
        <w:autoSpaceDN w:val="0"/>
        <w:adjustRightInd w:val="0"/>
        <w:ind w:firstLine="360"/>
        <w:rPr>
          <w:sz w:val="22"/>
          <w:szCs w:val="22"/>
        </w:rPr>
      </w:pPr>
      <w:r w:rsidRPr="002B3438">
        <w:rPr>
          <w:iCs/>
          <w:sz w:val="22"/>
          <w:szCs w:val="22"/>
        </w:rPr>
        <w:t>Pediatric Exercise Science</w:t>
      </w:r>
      <w:r w:rsidRPr="002B3438">
        <w:rPr>
          <w:i/>
          <w:iCs/>
          <w:sz w:val="22"/>
          <w:szCs w:val="22"/>
        </w:rPr>
        <w:t xml:space="preserve"> </w:t>
      </w:r>
      <w:r w:rsidRPr="002B3438">
        <w:rPr>
          <w:sz w:val="22"/>
          <w:szCs w:val="22"/>
        </w:rPr>
        <w:t>4:319-330.</w:t>
      </w:r>
    </w:p>
    <w:p w14:paraId="61538856" w14:textId="77777777" w:rsidR="00EA6828" w:rsidRPr="002B3438" w:rsidRDefault="00EA6828" w:rsidP="00EA6828">
      <w:pPr>
        <w:autoSpaceDE w:val="0"/>
        <w:autoSpaceDN w:val="0"/>
        <w:adjustRightInd w:val="0"/>
        <w:ind w:left="360" w:hanging="360"/>
        <w:rPr>
          <w:sz w:val="22"/>
          <w:szCs w:val="22"/>
        </w:rPr>
      </w:pPr>
    </w:p>
    <w:p w14:paraId="5CA23FFB" w14:textId="77777777" w:rsidR="00CB4014" w:rsidRPr="002B3438" w:rsidRDefault="00CB4014" w:rsidP="00EA6828">
      <w:pPr>
        <w:autoSpaceDE w:val="0"/>
        <w:autoSpaceDN w:val="0"/>
        <w:adjustRightInd w:val="0"/>
        <w:ind w:left="360" w:hanging="360"/>
        <w:rPr>
          <w:sz w:val="22"/>
          <w:szCs w:val="22"/>
        </w:rPr>
      </w:pPr>
      <w:r w:rsidRPr="002B3438">
        <w:rPr>
          <w:sz w:val="22"/>
          <w:szCs w:val="22"/>
        </w:rPr>
        <w:t xml:space="preserve">MensforthRP. 1985. Relative tibia long bone growth in the Libben and Bt-5 prehistoric skeletal populations. </w:t>
      </w:r>
      <w:r w:rsidR="00065BB5" w:rsidRPr="002B3438">
        <w:rPr>
          <w:sz w:val="22"/>
          <w:szCs w:val="22"/>
        </w:rPr>
        <w:t>Am</w:t>
      </w:r>
      <w:r w:rsidRPr="002B3438">
        <w:rPr>
          <w:sz w:val="22"/>
          <w:szCs w:val="22"/>
        </w:rPr>
        <w:t xml:space="preserve"> J Phys Anthropol 68:247-262.</w:t>
      </w:r>
    </w:p>
    <w:p w14:paraId="577D59DF" w14:textId="77777777" w:rsidR="00CB4014" w:rsidRPr="002B3438" w:rsidRDefault="00CB4014" w:rsidP="00EA6828">
      <w:pPr>
        <w:autoSpaceDE w:val="0"/>
        <w:autoSpaceDN w:val="0"/>
        <w:adjustRightInd w:val="0"/>
        <w:ind w:left="360" w:hanging="360"/>
        <w:rPr>
          <w:sz w:val="22"/>
          <w:szCs w:val="22"/>
        </w:rPr>
      </w:pPr>
    </w:p>
    <w:p w14:paraId="7EEDAA1B" w14:textId="77777777" w:rsidR="00231581" w:rsidRPr="002B3438" w:rsidRDefault="00E74F2B" w:rsidP="00231581">
      <w:pPr>
        <w:autoSpaceDE w:val="0"/>
        <w:autoSpaceDN w:val="0"/>
        <w:adjustRightInd w:val="0"/>
        <w:rPr>
          <w:sz w:val="22"/>
          <w:szCs w:val="22"/>
        </w:rPr>
      </w:pPr>
      <w:r w:rsidRPr="002B3438">
        <w:rPr>
          <w:sz w:val="22"/>
          <w:szCs w:val="22"/>
        </w:rPr>
        <w:t xml:space="preserve">Menkes A, Mazel S, Redmond RA, Koffler K, Libanati CR, Gundberg CM, Zizik TM, Hagsberg </w:t>
      </w:r>
    </w:p>
    <w:p w14:paraId="7EA3D5CD" w14:textId="77777777" w:rsidR="00E74F2B" w:rsidRPr="002B3438" w:rsidRDefault="00E74F2B" w:rsidP="00231581">
      <w:pPr>
        <w:autoSpaceDE w:val="0"/>
        <w:autoSpaceDN w:val="0"/>
        <w:adjustRightInd w:val="0"/>
        <w:ind w:firstLine="360"/>
        <w:rPr>
          <w:sz w:val="22"/>
          <w:szCs w:val="22"/>
        </w:rPr>
      </w:pPr>
      <w:r w:rsidRPr="002B3438">
        <w:rPr>
          <w:sz w:val="22"/>
          <w:szCs w:val="22"/>
        </w:rPr>
        <w:t xml:space="preserve">JM, Pratley RE, Hurley BF. 1993. Strength training increases regional bone mineral </w:t>
      </w:r>
    </w:p>
    <w:p w14:paraId="6E4E0D62" w14:textId="77777777" w:rsidR="00E74F2B" w:rsidRPr="002B3438" w:rsidRDefault="00E74F2B" w:rsidP="00E74F2B">
      <w:pPr>
        <w:autoSpaceDE w:val="0"/>
        <w:autoSpaceDN w:val="0"/>
        <w:adjustRightInd w:val="0"/>
        <w:ind w:firstLine="360"/>
        <w:rPr>
          <w:sz w:val="22"/>
          <w:szCs w:val="22"/>
        </w:rPr>
      </w:pPr>
      <w:r w:rsidRPr="002B3438">
        <w:rPr>
          <w:sz w:val="22"/>
          <w:szCs w:val="22"/>
        </w:rPr>
        <w:t>density and bone remodeling in middle-aged and older men</w:t>
      </w:r>
      <w:r w:rsidRPr="002B3438">
        <w:rPr>
          <w:i/>
          <w:iCs/>
          <w:sz w:val="22"/>
          <w:szCs w:val="22"/>
        </w:rPr>
        <w:t>. J Appl</w:t>
      </w:r>
      <w:r w:rsidRPr="002B3438">
        <w:rPr>
          <w:sz w:val="22"/>
          <w:szCs w:val="22"/>
        </w:rPr>
        <w:t xml:space="preserve"> </w:t>
      </w:r>
      <w:r w:rsidRPr="002B3438">
        <w:rPr>
          <w:i/>
          <w:iCs/>
          <w:sz w:val="22"/>
          <w:szCs w:val="22"/>
        </w:rPr>
        <w:t xml:space="preserve">Physiol </w:t>
      </w:r>
      <w:r w:rsidRPr="002B3438">
        <w:rPr>
          <w:sz w:val="22"/>
          <w:szCs w:val="22"/>
        </w:rPr>
        <w:t>74: 2478-2484.</w:t>
      </w:r>
    </w:p>
    <w:p w14:paraId="436468CE" w14:textId="77777777" w:rsidR="00E74F2B" w:rsidRPr="002B3438" w:rsidRDefault="00E74F2B" w:rsidP="00E74F2B">
      <w:pPr>
        <w:autoSpaceDE w:val="0"/>
        <w:autoSpaceDN w:val="0"/>
        <w:adjustRightInd w:val="0"/>
        <w:ind w:left="360" w:hanging="360"/>
        <w:rPr>
          <w:sz w:val="22"/>
          <w:szCs w:val="22"/>
        </w:rPr>
      </w:pPr>
    </w:p>
    <w:p w14:paraId="7E157894" w14:textId="77777777" w:rsidR="00057DEB" w:rsidRPr="002B3438" w:rsidRDefault="00057DEB" w:rsidP="00057DEB">
      <w:pPr>
        <w:autoSpaceDE w:val="0"/>
        <w:autoSpaceDN w:val="0"/>
        <w:adjustRightInd w:val="0"/>
        <w:ind w:left="360" w:hanging="360"/>
        <w:rPr>
          <w:sz w:val="22"/>
          <w:szCs w:val="22"/>
        </w:rPr>
      </w:pPr>
      <w:r w:rsidRPr="002B3438">
        <w:rPr>
          <w:sz w:val="22"/>
          <w:szCs w:val="22"/>
        </w:rPr>
        <w:t>Metz LN, Martin RB, Turner AS. 2003. Histomorphometric analysis of the effects of osteocyte density on osteonal morphology and remodeling. Bone 33:753-759.</w:t>
      </w:r>
      <w:r w:rsidRPr="002B3438">
        <w:rPr>
          <w:color w:val="000000"/>
          <w:sz w:val="22"/>
          <w:szCs w:val="22"/>
        </w:rPr>
        <w:t xml:space="preserve"> </w:t>
      </w:r>
    </w:p>
    <w:p w14:paraId="18BFCC7D" w14:textId="77777777" w:rsidR="00057DEB" w:rsidRPr="002B3438" w:rsidRDefault="00057DEB" w:rsidP="00E74F2B">
      <w:pPr>
        <w:autoSpaceDE w:val="0"/>
        <w:autoSpaceDN w:val="0"/>
        <w:adjustRightInd w:val="0"/>
        <w:ind w:left="360" w:hanging="360"/>
        <w:rPr>
          <w:sz w:val="22"/>
          <w:szCs w:val="22"/>
        </w:rPr>
      </w:pPr>
    </w:p>
    <w:p w14:paraId="1114A1AB" w14:textId="77777777" w:rsidR="00231581" w:rsidRPr="002B3438" w:rsidRDefault="002F624D" w:rsidP="00231581">
      <w:pPr>
        <w:autoSpaceDE w:val="0"/>
        <w:autoSpaceDN w:val="0"/>
        <w:adjustRightInd w:val="0"/>
        <w:rPr>
          <w:rFonts w:eastAsia="Calibri"/>
          <w:sz w:val="22"/>
          <w:szCs w:val="22"/>
        </w:rPr>
      </w:pPr>
      <w:r w:rsidRPr="002B3438">
        <w:rPr>
          <w:rFonts w:eastAsia="Calibri"/>
          <w:sz w:val="22"/>
          <w:szCs w:val="22"/>
        </w:rPr>
        <w:t xml:space="preserve">Meyer U, Romann M, Zahner L, Schindler C, Puder JJ, </w:t>
      </w:r>
      <w:r w:rsidR="00231581" w:rsidRPr="002B3438">
        <w:rPr>
          <w:rFonts w:eastAsia="Calibri"/>
          <w:sz w:val="22"/>
          <w:szCs w:val="22"/>
        </w:rPr>
        <w:t>Kraenzlin M, Rizzoli R, Kreimler S.</w:t>
      </w:r>
      <w:r w:rsidR="006A3BEE">
        <w:rPr>
          <w:rFonts w:eastAsia="Calibri"/>
          <w:sz w:val="22"/>
          <w:szCs w:val="22"/>
        </w:rPr>
        <w:t xml:space="preserve"> </w:t>
      </w:r>
    </w:p>
    <w:p w14:paraId="5F8AD0D2" w14:textId="77777777" w:rsidR="002F624D" w:rsidRPr="002B3438" w:rsidRDefault="00231581" w:rsidP="00231581">
      <w:pPr>
        <w:autoSpaceDE w:val="0"/>
        <w:autoSpaceDN w:val="0"/>
        <w:adjustRightInd w:val="0"/>
        <w:ind w:left="375"/>
        <w:rPr>
          <w:rFonts w:eastAsia="Calibri"/>
          <w:sz w:val="22"/>
          <w:szCs w:val="22"/>
        </w:rPr>
      </w:pPr>
      <w:r w:rsidRPr="002B3438">
        <w:rPr>
          <w:rFonts w:eastAsia="Calibri"/>
          <w:sz w:val="22"/>
          <w:szCs w:val="22"/>
        </w:rPr>
        <w:t xml:space="preserve">2011. </w:t>
      </w:r>
      <w:r w:rsidR="002F624D" w:rsidRPr="002B3438">
        <w:rPr>
          <w:rFonts w:eastAsia="Calibri"/>
          <w:sz w:val="22"/>
          <w:szCs w:val="22"/>
        </w:rPr>
        <w:t xml:space="preserve">Effect of a general school-based physical activity intervention on bone mineral content and </w:t>
      </w:r>
      <w:r w:rsidRPr="002B3438">
        <w:rPr>
          <w:rFonts w:eastAsia="Calibri"/>
          <w:sz w:val="22"/>
          <w:szCs w:val="22"/>
        </w:rPr>
        <w:t>density</w:t>
      </w:r>
      <w:r w:rsidR="00687DD6" w:rsidRPr="002B3438">
        <w:rPr>
          <w:rFonts w:eastAsia="Calibri"/>
          <w:sz w:val="22"/>
          <w:szCs w:val="22"/>
        </w:rPr>
        <w:t>: a cluster-randomized controlled trial</w:t>
      </w:r>
      <w:r w:rsidRPr="002B3438">
        <w:rPr>
          <w:rFonts w:eastAsia="Calibri"/>
          <w:sz w:val="22"/>
          <w:szCs w:val="22"/>
        </w:rPr>
        <w:t xml:space="preserve">. Bone </w:t>
      </w:r>
      <w:r w:rsidR="002F624D" w:rsidRPr="002B3438">
        <w:rPr>
          <w:rFonts w:eastAsia="Calibri"/>
          <w:sz w:val="22"/>
          <w:szCs w:val="22"/>
        </w:rPr>
        <w:t>48:792–7</w:t>
      </w:r>
      <w:r w:rsidRPr="002B3438">
        <w:rPr>
          <w:rFonts w:eastAsia="Calibri"/>
          <w:sz w:val="22"/>
          <w:szCs w:val="22"/>
        </w:rPr>
        <w:t>97</w:t>
      </w:r>
      <w:r w:rsidR="002F624D" w:rsidRPr="002B3438">
        <w:rPr>
          <w:rFonts w:eastAsia="Calibri"/>
          <w:sz w:val="22"/>
          <w:szCs w:val="22"/>
        </w:rPr>
        <w:t>.</w:t>
      </w:r>
    </w:p>
    <w:p w14:paraId="6B79EEDD" w14:textId="77777777" w:rsidR="007C1D9B" w:rsidRPr="002B3438" w:rsidRDefault="007C1D9B" w:rsidP="00D10DB1">
      <w:pPr>
        <w:autoSpaceDE w:val="0"/>
        <w:autoSpaceDN w:val="0"/>
        <w:adjustRightInd w:val="0"/>
        <w:ind w:left="360" w:hanging="360"/>
        <w:rPr>
          <w:sz w:val="22"/>
          <w:szCs w:val="22"/>
        </w:rPr>
      </w:pPr>
    </w:p>
    <w:p w14:paraId="3FCD87AD" w14:textId="77777777" w:rsidR="00B14D52" w:rsidRPr="002B3438" w:rsidRDefault="00231581" w:rsidP="00231581">
      <w:pPr>
        <w:autoSpaceDE w:val="0"/>
        <w:autoSpaceDN w:val="0"/>
        <w:adjustRightInd w:val="0"/>
        <w:rPr>
          <w:rFonts w:eastAsia="Calibri"/>
          <w:sz w:val="22"/>
          <w:szCs w:val="22"/>
        </w:rPr>
      </w:pPr>
      <w:r w:rsidRPr="002B3438">
        <w:rPr>
          <w:rFonts w:eastAsia="Calibri"/>
          <w:sz w:val="22"/>
          <w:szCs w:val="22"/>
        </w:rPr>
        <w:t>Meyer U, Ernst D, Zahner L, Schindler C, Puder JJ, Kraenzlin M, Rizzoli R, Kreimler S. 2013. 3-</w:t>
      </w:r>
    </w:p>
    <w:p w14:paraId="4ADAC732" w14:textId="77777777" w:rsidR="00231581" w:rsidRPr="002B3438" w:rsidRDefault="00231581" w:rsidP="00B14D52">
      <w:pPr>
        <w:autoSpaceDE w:val="0"/>
        <w:autoSpaceDN w:val="0"/>
        <w:adjustRightInd w:val="0"/>
        <w:ind w:left="375"/>
        <w:rPr>
          <w:rFonts w:eastAsia="Calibri"/>
          <w:sz w:val="22"/>
          <w:szCs w:val="22"/>
        </w:rPr>
      </w:pPr>
      <w:r w:rsidRPr="002B3438">
        <w:rPr>
          <w:rFonts w:eastAsia="Calibri"/>
          <w:sz w:val="22"/>
          <w:szCs w:val="22"/>
        </w:rPr>
        <w:t>year follow-up results of</w:t>
      </w:r>
      <w:r w:rsidR="006A3BEE">
        <w:rPr>
          <w:rFonts w:eastAsia="Calibri"/>
          <w:sz w:val="22"/>
          <w:szCs w:val="22"/>
        </w:rPr>
        <w:t xml:space="preserve"> </w:t>
      </w:r>
      <w:r w:rsidRPr="002B3438">
        <w:rPr>
          <w:rFonts w:eastAsia="Calibri"/>
          <w:sz w:val="22"/>
          <w:szCs w:val="22"/>
        </w:rPr>
        <w:t>bone mineral content and density</w:t>
      </w:r>
      <w:r w:rsidR="00687DD6" w:rsidRPr="002B3438">
        <w:rPr>
          <w:rFonts w:eastAsia="Calibri"/>
          <w:sz w:val="22"/>
          <w:szCs w:val="22"/>
        </w:rPr>
        <w:t xml:space="preserve"> after a school-based physical activity randomized controlled trial. </w:t>
      </w:r>
      <w:r w:rsidRPr="002B3438">
        <w:rPr>
          <w:rFonts w:eastAsia="Calibri"/>
          <w:sz w:val="22"/>
          <w:szCs w:val="22"/>
        </w:rPr>
        <w:t>Bone</w:t>
      </w:r>
      <w:r w:rsidR="00687DD6" w:rsidRPr="002B3438">
        <w:rPr>
          <w:rFonts w:eastAsia="Calibri"/>
          <w:sz w:val="22"/>
          <w:szCs w:val="22"/>
        </w:rPr>
        <w:t xml:space="preserve">. </w:t>
      </w:r>
      <w:r w:rsidR="00687DD6" w:rsidRPr="002B3438">
        <w:rPr>
          <w:rFonts w:eastAsia="Calibri"/>
          <w:sz w:val="22"/>
          <w:szCs w:val="22"/>
          <w:highlight w:val="yellow"/>
        </w:rPr>
        <w:t>In Press</w:t>
      </w:r>
      <w:r w:rsidRPr="002B3438">
        <w:rPr>
          <w:rFonts w:eastAsia="Calibri"/>
          <w:sz w:val="22"/>
          <w:szCs w:val="22"/>
          <w:highlight w:val="yellow"/>
        </w:rPr>
        <w:t>.</w:t>
      </w:r>
    </w:p>
    <w:p w14:paraId="4618B0B7" w14:textId="77777777" w:rsidR="00231581" w:rsidRPr="002B3438" w:rsidRDefault="00231581" w:rsidP="00D10DB1">
      <w:pPr>
        <w:autoSpaceDE w:val="0"/>
        <w:autoSpaceDN w:val="0"/>
        <w:adjustRightInd w:val="0"/>
        <w:ind w:left="360" w:hanging="360"/>
        <w:rPr>
          <w:sz w:val="22"/>
          <w:szCs w:val="22"/>
        </w:rPr>
      </w:pPr>
    </w:p>
    <w:p w14:paraId="3C40375E" w14:textId="77777777" w:rsidR="00E64563" w:rsidRPr="002B3438" w:rsidRDefault="00E64563" w:rsidP="00D10DB1">
      <w:pPr>
        <w:autoSpaceDE w:val="0"/>
        <w:autoSpaceDN w:val="0"/>
        <w:adjustRightInd w:val="0"/>
        <w:ind w:left="360" w:hanging="360"/>
        <w:rPr>
          <w:sz w:val="22"/>
          <w:szCs w:val="22"/>
        </w:rPr>
      </w:pPr>
      <w:r w:rsidRPr="002B3438">
        <w:rPr>
          <w:sz w:val="22"/>
          <w:szCs w:val="22"/>
        </w:rPr>
        <w:t>Milos G, Spindler A, Rüegsegger P, Seifert B, Mühlebach S, Uebelhart D, Häuseelmann HJ. 2005. Cortical and trabecular bone density and structure in anorexia nervosa. Osteoporos Int 16:783-790.</w:t>
      </w:r>
    </w:p>
    <w:p w14:paraId="0698F7A7" w14:textId="77777777" w:rsidR="00E64563" w:rsidRPr="002B3438" w:rsidRDefault="00E64563" w:rsidP="00D10DB1">
      <w:pPr>
        <w:autoSpaceDE w:val="0"/>
        <w:autoSpaceDN w:val="0"/>
        <w:adjustRightInd w:val="0"/>
        <w:ind w:left="360" w:hanging="360"/>
        <w:rPr>
          <w:sz w:val="22"/>
          <w:szCs w:val="22"/>
        </w:rPr>
      </w:pPr>
    </w:p>
    <w:p w14:paraId="356187BA" w14:textId="77777777" w:rsidR="00601B09" w:rsidRPr="002B3438" w:rsidRDefault="00601B09" w:rsidP="00601B09">
      <w:pPr>
        <w:pStyle w:val="ListParagraph"/>
        <w:autoSpaceDE w:val="0"/>
        <w:autoSpaceDN w:val="0"/>
        <w:adjustRightInd w:val="0"/>
        <w:ind w:left="0"/>
        <w:jc w:val="both"/>
        <w:rPr>
          <w:sz w:val="22"/>
          <w:szCs w:val="22"/>
          <w:lang w:val="lt-LT" w:eastAsia="lt-LT"/>
        </w:rPr>
      </w:pPr>
      <w:r w:rsidRPr="002B3438">
        <w:rPr>
          <w:sz w:val="22"/>
          <w:szCs w:val="22"/>
          <w:lang w:val="lt-LT" w:eastAsia="lt-LT"/>
        </w:rPr>
        <w:t>Miškinis A. 1989. Alytaus urbanistinės raidos br</w:t>
      </w:r>
      <w:r w:rsidR="00F50D1A" w:rsidRPr="002B3438">
        <w:rPr>
          <w:sz w:val="22"/>
          <w:szCs w:val="22"/>
          <w:lang w:val="lt-LT" w:eastAsia="lt-LT"/>
        </w:rPr>
        <w:t>uožai. In Leščinskienė, D</w:t>
      </w:r>
      <w:r w:rsidRPr="002B3438">
        <w:rPr>
          <w:sz w:val="22"/>
          <w:szCs w:val="22"/>
          <w:lang w:val="lt-LT" w:eastAsia="lt-LT"/>
        </w:rPr>
        <w:t xml:space="preserve">, editor. Alytaus miesto </w:t>
      </w:r>
    </w:p>
    <w:p w14:paraId="79A0BE0A" w14:textId="77777777" w:rsidR="00601B09" w:rsidRPr="002B3438" w:rsidRDefault="006A3BEE" w:rsidP="00601B09">
      <w:pPr>
        <w:pStyle w:val="ListParagraph"/>
        <w:autoSpaceDE w:val="0"/>
        <w:autoSpaceDN w:val="0"/>
        <w:adjustRightInd w:val="0"/>
        <w:ind w:left="0"/>
        <w:jc w:val="both"/>
        <w:rPr>
          <w:sz w:val="22"/>
          <w:szCs w:val="22"/>
          <w:lang w:val="lt-LT" w:eastAsia="lt-LT"/>
        </w:rPr>
      </w:pPr>
      <w:r>
        <w:rPr>
          <w:sz w:val="22"/>
          <w:szCs w:val="22"/>
          <w:lang w:val="lt-LT" w:eastAsia="lt-LT"/>
        </w:rPr>
        <w:t xml:space="preserve">  </w:t>
      </w:r>
      <w:r w:rsidR="00601B09" w:rsidRPr="002B3438">
        <w:rPr>
          <w:sz w:val="22"/>
          <w:szCs w:val="22"/>
          <w:lang w:val="lt-LT" w:eastAsia="lt-LT"/>
        </w:rPr>
        <w:t>ir apylinkių istorijos bruožai. Mokslas, Vilnius</w:t>
      </w:r>
    </w:p>
    <w:p w14:paraId="26A76CD0" w14:textId="77777777" w:rsidR="00601B09" w:rsidRPr="002B3438" w:rsidRDefault="00601B09" w:rsidP="00D10DB1">
      <w:pPr>
        <w:autoSpaceDE w:val="0"/>
        <w:autoSpaceDN w:val="0"/>
        <w:adjustRightInd w:val="0"/>
        <w:ind w:left="360" w:hanging="360"/>
        <w:rPr>
          <w:sz w:val="22"/>
          <w:szCs w:val="22"/>
        </w:rPr>
      </w:pPr>
    </w:p>
    <w:p w14:paraId="00061FB0" w14:textId="77777777" w:rsidR="00291ACE" w:rsidRPr="002B3438" w:rsidRDefault="00291ACE" w:rsidP="00291ACE">
      <w:pPr>
        <w:autoSpaceDE w:val="0"/>
        <w:autoSpaceDN w:val="0"/>
        <w:adjustRightInd w:val="0"/>
        <w:rPr>
          <w:sz w:val="22"/>
          <w:szCs w:val="22"/>
        </w:rPr>
      </w:pPr>
      <w:r w:rsidRPr="002B3438">
        <w:rPr>
          <w:sz w:val="22"/>
          <w:szCs w:val="22"/>
        </w:rPr>
        <w:t xml:space="preserve">Moberg M. 1985. Household production and the value of children: a microeconomic approach to </w:t>
      </w:r>
    </w:p>
    <w:p w14:paraId="05FA584A" w14:textId="77777777" w:rsidR="00291ACE" w:rsidRPr="002B3438" w:rsidRDefault="006A3BEE" w:rsidP="00B14D52">
      <w:pPr>
        <w:autoSpaceDE w:val="0"/>
        <w:autoSpaceDN w:val="0"/>
        <w:adjustRightInd w:val="0"/>
        <w:rPr>
          <w:sz w:val="22"/>
          <w:szCs w:val="22"/>
        </w:rPr>
      </w:pPr>
      <w:r>
        <w:rPr>
          <w:sz w:val="22"/>
          <w:szCs w:val="22"/>
        </w:rPr>
        <w:t xml:space="preserve">  </w:t>
      </w:r>
      <w:r w:rsidR="00291ACE" w:rsidRPr="002B3438">
        <w:rPr>
          <w:sz w:val="22"/>
          <w:szCs w:val="22"/>
        </w:rPr>
        <w:t xml:space="preserve">Third World population trends. </w:t>
      </w:r>
      <w:r w:rsidR="00291ACE" w:rsidRPr="002B3438">
        <w:rPr>
          <w:iCs/>
          <w:sz w:val="22"/>
          <w:szCs w:val="22"/>
        </w:rPr>
        <w:t xml:space="preserve">Anthropology UCLA </w:t>
      </w:r>
      <w:r w:rsidR="00291ACE" w:rsidRPr="002B3438">
        <w:rPr>
          <w:sz w:val="22"/>
          <w:szCs w:val="22"/>
        </w:rPr>
        <w:t>14: 41-52.</w:t>
      </w:r>
    </w:p>
    <w:p w14:paraId="7019CEF2" w14:textId="77777777" w:rsidR="00291ACE" w:rsidRPr="002B3438" w:rsidRDefault="00291ACE" w:rsidP="00291ACE">
      <w:pPr>
        <w:autoSpaceDE w:val="0"/>
        <w:autoSpaceDN w:val="0"/>
        <w:adjustRightInd w:val="0"/>
        <w:ind w:left="360" w:hanging="360"/>
        <w:rPr>
          <w:sz w:val="22"/>
          <w:szCs w:val="22"/>
        </w:rPr>
      </w:pPr>
    </w:p>
    <w:p w14:paraId="29250D06" w14:textId="77777777" w:rsidR="00ED597F" w:rsidRPr="002B3438" w:rsidRDefault="00ED597F" w:rsidP="00ED597F">
      <w:pPr>
        <w:autoSpaceDE w:val="0"/>
        <w:autoSpaceDN w:val="0"/>
        <w:adjustRightInd w:val="0"/>
        <w:ind w:left="360" w:hanging="360"/>
        <w:rPr>
          <w:sz w:val="22"/>
          <w:szCs w:val="22"/>
        </w:rPr>
      </w:pPr>
      <w:r w:rsidRPr="002B3438">
        <w:rPr>
          <w:sz w:val="22"/>
          <w:szCs w:val="22"/>
        </w:rPr>
        <w:t>Mori S, Burr DB. 1993. Increased intracortical remodeling following fatigue damage. Bone 14:103–109.</w:t>
      </w:r>
    </w:p>
    <w:p w14:paraId="0D71713B" w14:textId="77777777" w:rsidR="00ED597F" w:rsidRPr="002B3438" w:rsidRDefault="00ED597F" w:rsidP="00ED597F">
      <w:pPr>
        <w:autoSpaceDE w:val="0"/>
        <w:autoSpaceDN w:val="0"/>
        <w:adjustRightInd w:val="0"/>
        <w:ind w:left="360" w:hanging="360"/>
        <w:rPr>
          <w:sz w:val="22"/>
          <w:szCs w:val="22"/>
        </w:rPr>
      </w:pPr>
    </w:p>
    <w:p w14:paraId="541193F0" w14:textId="77777777" w:rsidR="0060407E" w:rsidRPr="002B3438" w:rsidRDefault="0060407E" w:rsidP="00ED597F">
      <w:pPr>
        <w:autoSpaceDE w:val="0"/>
        <w:autoSpaceDN w:val="0"/>
        <w:adjustRightInd w:val="0"/>
        <w:ind w:left="360" w:hanging="360"/>
        <w:rPr>
          <w:sz w:val="22"/>
          <w:szCs w:val="22"/>
        </w:rPr>
      </w:pPr>
      <w:r w:rsidRPr="002B3438">
        <w:rPr>
          <w:sz w:val="22"/>
          <w:szCs w:val="22"/>
        </w:rPr>
        <w:t xml:space="preserve">Mulhern DM, Ubelaker DH. Histologic examination of bone development in juvenile chimpanzees. Am J Phys Anthrop 122:127-133. </w:t>
      </w:r>
    </w:p>
    <w:p w14:paraId="41653E2C" w14:textId="77777777" w:rsidR="0060407E" w:rsidRPr="002B3438" w:rsidRDefault="0060407E" w:rsidP="00ED597F">
      <w:pPr>
        <w:autoSpaceDE w:val="0"/>
        <w:autoSpaceDN w:val="0"/>
        <w:adjustRightInd w:val="0"/>
        <w:ind w:left="360" w:hanging="360"/>
        <w:rPr>
          <w:sz w:val="22"/>
          <w:szCs w:val="22"/>
        </w:rPr>
      </w:pPr>
    </w:p>
    <w:p w14:paraId="640EEB9C" w14:textId="77777777" w:rsidR="00950A9D" w:rsidRPr="002B3438" w:rsidRDefault="00950A9D" w:rsidP="00950A9D">
      <w:pPr>
        <w:autoSpaceDE w:val="0"/>
        <w:autoSpaceDN w:val="0"/>
        <w:adjustRightInd w:val="0"/>
        <w:rPr>
          <w:rFonts w:eastAsia="Calibri"/>
          <w:sz w:val="22"/>
          <w:szCs w:val="22"/>
        </w:rPr>
      </w:pPr>
      <w:r w:rsidRPr="002B3438">
        <w:rPr>
          <w:rFonts w:eastAsia="Calibri"/>
          <w:sz w:val="22"/>
          <w:szCs w:val="22"/>
        </w:rPr>
        <w:t xml:space="preserve">Munoz MT, Argente J. 2002. Anorexia nervosa in female adolescents: endocrine and bone </w:t>
      </w:r>
    </w:p>
    <w:p w14:paraId="2B71A068" w14:textId="77777777" w:rsidR="00950A9D" w:rsidRPr="002B3438" w:rsidRDefault="006A3BEE" w:rsidP="00950A9D">
      <w:pPr>
        <w:autoSpaceDE w:val="0"/>
        <w:autoSpaceDN w:val="0"/>
        <w:adjustRightInd w:val="0"/>
        <w:rPr>
          <w:rFonts w:eastAsia="Calibri"/>
          <w:sz w:val="22"/>
          <w:szCs w:val="22"/>
        </w:rPr>
      </w:pPr>
      <w:r>
        <w:rPr>
          <w:rFonts w:eastAsia="Calibri"/>
          <w:sz w:val="22"/>
          <w:szCs w:val="22"/>
        </w:rPr>
        <w:t xml:space="preserve">  </w:t>
      </w:r>
      <w:r w:rsidR="00950A9D" w:rsidRPr="002B3438">
        <w:rPr>
          <w:rFonts w:eastAsia="Calibri"/>
          <w:sz w:val="22"/>
          <w:szCs w:val="22"/>
        </w:rPr>
        <w:t>mineral density disturbances. Eur J Endocrinol 147:275–286.</w:t>
      </w:r>
    </w:p>
    <w:p w14:paraId="41237C5D" w14:textId="77777777" w:rsidR="00950A9D" w:rsidRPr="002B3438" w:rsidRDefault="00950A9D" w:rsidP="00950A9D">
      <w:pPr>
        <w:autoSpaceDE w:val="0"/>
        <w:autoSpaceDN w:val="0"/>
        <w:adjustRightInd w:val="0"/>
        <w:ind w:left="360" w:hanging="360"/>
        <w:rPr>
          <w:sz w:val="22"/>
          <w:szCs w:val="22"/>
        </w:rPr>
      </w:pPr>
    </w:p>
    <w:p w14:paraId="0966D9AD" w14:textId="77777777" w:rsidR="00AE7891" w:rsidRPr="002B3438" w:rsidRDefault="00AE7891" w:rsidP="00AE7891">
      <w:pPr>
        <w:autoSpaceDE w:val="0"/>
        <w:autoSpaceDN w:val="0"/>
        <w:adjustRightInd w:val="0"/>
        <w:rPr>
          <w:sz w:val="22"/>
          <w:szCs w:val="22"/>
        </w:rPr>
      </w:pPr>
      <w:r w:rsidRPr="002B3438">
        <w:rPr>
          <w:sz w:val="22"/>
          <w:szCs w:val="22"/>
        </w:rPr>
        <w:t>Nag M, White B, Peet RC. 1978. An anthropological approach to the study of the</w:t>
      </w:r>
    </w:p>
    <w:p w14:paraId="49B965D0" w14:textId="77777777" w:rsidR="00AE7891" w:rsidRPr="002B3438" w:rsidRDefault="00AE7891" w:rsidP="00AE7891">
      <w:pPr>
        <w:autoSpaceDE w:val="0"/>
        <w:autoSpaceDN w:val="0"/>
        <w:adjustRightInd w:val="0"/>
        <w:ind w:left="360"/>
        <w:rPr>
          <w:sz w:val="22"/>
          <w:szCs w:val="22"/>
        </w:rPr>
      </w:pPr>
      <w:r w:rsidRPr="002B3438">
        <w:rPr>
          <w:sz w:val="22"/>
          <w:szCs w:val="22"/>
        </w:rPr>
        <w:t xml:space="preserve">economic value of children in Java and Nepal. </w:t>
      </w:r>
      <w:r w:rsidR="00B92502" w:rsidRPr="002B3438">
        <w:rPr>
          <w:iCs/>
          <w:sz w:val="22"/>
          <w:szCs w:val="22"/>
        </w:rPr>
        <w:t>Curr</w:t>
      </w:r>
      <w:r w:rsidRPr="002B3438">
        <w:rPr>
          <w:iCs/>
          <w:sz w:val="22"/>
          <w:szCs w:val="22"/>
        </w:rPr>
        <w:t xml:space="preserve"> Anth</w:t>
      </w:r>
      <w:r w:rsidRPr="002B3438">
        <w:rPr>
          <w:i/>
          <w:iCs/>
          <w:sz w:val="22"/>
          <w:szCs w:val="22"/>
        </w:rPr>
        <w:t xml:space="preserve"> </w:t>
      </w:r>
      <w:r w:rsidRPr="002B3438">
        <w:rPr>
          <w:sz w:val="22"/>
          <w:szCs w:val="22"/>
        </w:rPr>
        <w:t>19: 293-306.</w:t>
      </w:r>
    </w:p>
    <w:p w14:paraId="6883BD98" w14:textId="77777777" w:rsidR="00AE7891" w:rsidRPr="002B3438" w:rsidRDefault="00AE7891" w:rsidP="00AE7891">
      <w:pPr>
        <w:autoSpaceDE w:val="0"/>
        <w:autoSpaceDN w:val="0"/>
        <w:adjustRightInd w:val="0"/>
        <w:ind w:left="360" w:hanging="360"/>
        <w:rPr>
          <w:sz w:val="22"/>
          <w:szCs w:val="22"/>
        </w:rPr>
      </w:pPr>
    </w:p>
    <w:p w14:paraId="210D52AD" w14:textId="77777777" w:rsidR="00601B09" w:rsidRPr="002B3438" w:rsidRDefault="00601B09" w:rsidP="00601B09">
      <w:pPr>
        <w:pStyle w:val="ListParagraph"/>
        <w:autoSpaceDE w:val="0"/>
        <w:autoSpaceDN w:val="0"/>
        <w:adjustRightInd w:val="0"/>
        <w:ind w:left="0"/>
        <w:jc w:val="both"/>
        <w:rPr>
          <w:sz w:val="22"/>
          <w:szCs w:val="22"/>
          <w:lang w:val="lt-LT" w:eastAsia="lt-LT"/>
        </w:rPr>
      </w:pPr>
      <w:r w:rsidRPr="002B3438">
        <w:rPr>
          <w:sz w:val="22"/>
          <w:szCs w:val="22"/>
          <w:lang w:val="lt-LT" w:eastAsia="lt-LT"/>
        </w:rPr>
        <w:t>Navickas T. 1988. Alytus ir jo apylinkės. Lithuanian Historical Society, Chicago</w:t>
      </w:r>
    </w:p>
    <w:p w14:paraId="17298440" w14:textId="77777777" w:rsidR="00601B09" w:rsidRPr="002B3438" w:rsidRDefault="00601B09" w:rsidP="00AE7891">
      <w:pPr>
        <w:autoSpaceDE w:val="0"/>
        <w:autoSpaceDN w:val="0"/>
        <w:adjustRightInd w:val="0"/>
        <w:ind w:left="360" w:hanging="360"/>
        <w:rPr>
          <w:sz w:val="22"/>
          <w:szCs w:val="22"/>
        </w:rPr>
      </w:pPr>
    </w:p>
    <w:p w14:paraId="2EC35714" w14:textId="77777777" w:rsidR="00DF678C" w:rsidRPr="002B3438" w:rsidRDefault="00DF678C" w:rsidP="00AE7891">
      <w:pPr>
        <w:autoSpaceDE w:val="0"/>
        <w:autoSpaceDN w:val="0"/>
        <w:adjustRightInd w:val="0"/>
        <w:ind w:left="360" w:hanging="360"/>
        <w:rPr>
          <w:sz w:val="22"/>
          <w:szCs w:val="22"/>
        </w:rPr>
      </w:pPr>
      <w:r w:rsidRPr="002B3438">
        <w:rPr>
          <w:sz w:val="22"/>
          <w:szCs w:val="22"/>
        </w:rPr>
        <w:t>New S. 2003. Intake of fruit and vegetables: Implications for bone health. Proc Nutr Soc 62:889-899.</w:t>
      </w:r>
    </w:p>
    <w:p w14:paraId="16F06D37" w14:textId="77777777" w:rsidR="00DF678C" w:rsidRPr="002B3438" w:rsidRDefault="00DF678C" w:rsidP="00AE7891">
      <w:pPr>
        <w:autoSpaceDE w:val="0"/>
        <w:autoSpaceDN w:val="0"/>
        <w:adjustRightInd w:val="0"/>
        <w:ind w:left="360" w:hanging="360"/>
        <w:rPr>
          <w:sz w:val="22"/>
          <w:szCs w:val="22"/>
        </w:rPr>
      </w:pPr>
    </w:p>
    <w:p w14:paraId="209A8D61" w14:textId="77777777" w:rsidR="00E74F2B" w:rsidRPr="002B3438" w:rsidRDefault="00E74F2B" w:rsidP="00E74F2B">
      <w:pPr>
        <w:autoSpaceDE w:val="0"/>
        <w:autoSpaceDN w:val="0"/>
        <w:adjustRightInd w:val="0"/>
        <w:rPr>
          <w:sz w:val="22"/>
          <w:szCs w:val="22"/>
        </w:rPr>
      </w:pPr>
      <w:r w:rsidRPr="002B3438">
        <w:rPr>
          <w:sz w:val="22"/>
          <w:szCs w:val="22"/>
        </w:rPr>
        <w:t xml:space="preserve">Nickols-Richardson SM, Miller LE, Wootten DF, Ramp WK, Herbert WG. 2007. Concentric and </w:t>
      </w:r>
    </w:p>
    <w:p w14:paraId="642E9721" w14:textId="77777777" w:rsidR="00E74F2B" w:rsidRPr="002B3438" w:rsidRDefault="00E74F2B" w:rsidP="00E74F2B">
      <w:pPr>
        <w:autoSpaceDE w:val="0"/>
        <w:autoSpaceDN w:val="0"/>
        <w:adjustRightInd w:val="0"/>
        <w:ind w:left="375"/>
        <w:rPr>
          <w:sz w:val="22"/>
          <w:szCs w:val="22"/>
        </w:rPr>
      </w:pPr>
      <w:r w:rsidRPr="002B3438">
        <w:rPr>
          <w:sz w:val="22"/>
          <w:szCs w:val="22"/>
        </w:rPr>
        <w:lastRenderedPageBreak/>
        <w:t xml:space="preserve">eccentric isokinetic resistance training similarly increases muscular strength, fat-free soft tissue mass, and specific bone mineral measurements in young women. </w:t>
      </w:r>
      <w:r w:rsidRPr="002B3438">
        <w:rPr>
          <w:i/>
          <w:iCs/>
          <w:sz w:val="22"/>
          <w:szCs w:val="22"/>
        </w:rPr>
        <w:t xml:space="preserve">Osteoporos Int </w:t>
      </w:r>
      <w:r w:rsidRPr="002B3438">
        <w:rPr>
          <w:sz w:val="22"/>
          <w:szCs w:val="22"/>
        </w:rPr>
        <w:t>18: 789-96.</w:t>
      </w:r>
    </w:p>
    <w:p w14:paraId="6A68C579" w14:textId="77777777" w:rsidR="00E74F2B" w:rsidRPr="002B3438" w:rsidRDefault="00E74F2B" w:rsidP="00E74F2B">
      <w:pPr>
        <w:autoSpaceDE w:val="0"/>
        <w:autoSpaceDN w:val="0"/>
        <w:adjustRightInd w:val="0"/>
        <w:ind w:left="360" w:hanging="360"/>
        <w:rPr>
          <w:sz w:val="22"/>
          <w:szCs w:val="22"/>
        </w:rPr>
      </w:pPr>
    </w:p>
    <w:p w14:paraId="506C8FCB" w14:textId="77777777" w:rsidR="005251D0" w:rsidRPr="002B3438" w:rsidRDefault="005251D0" w:rsidP="005251D0">
      <w:pPr>
        <w:autoSpaceDE w:val="0"/>
        <w:autoSpaceDN w:val="0"/>
        <w:adjustRightInd w:val="0"/>
        <w:rPr>
          <w:rFonts w:eastAsia="NewCenturySchlbk-Roman"/>
          <w:color w:val="231F20"/>
          <w:sz w:val="22"/>
          <w:szCs w:val="22"/>
        </w:rPr>
      </w:pPr>
      <w:r w:rsidRPr="002B3438">
        <w:rPr>
          <w:rFonts w:eastAsia="NewCenturySchlbk-Roman"/>
          <w:color w:val="231F20"/>
          <w:sz w:val="22"/>
          <w:szCs w:val="22"/>
        </w:rPr>
        <w:t>Nishida S, Endo N, Yamagiwa H, Tanizawa T, Takahashi H. 1999. Number of osteoprogenitor</w:t>
      </w:r>
    </w:p>
    <w:p w14:paraId="6FD53A9B" w14:textId="77777777" w:rsidR="005251D0" w:rsidRPr="002B3438" w:rsidRDefault="005251D0" w:rsidP="005251D0">
      <w:pPr>
        <w:autoSpaceDE w:val="0"/>
        <w:autoSpaceDN w:val="0"/>
        <w:adjustRightInd w:val="0"/>
        <w:ind w:left="360"/>
        <w:rPr>
          <w:rFonts w:eastAsia="NewCenturySchlbk-Roman"/>
          <w:color w:val="231F20"/>
          <w:sz w:val="22"/>
          <w:szCs w:val="22"/>
        </w:rPr>
      </w:pPr>
      <w:r w:rsidRPr="002B3438">
        <w:rPr>
          <w:rFonts w:eastAsia="NewCenturySchlbk-Roman"/>
          <w:color w:val="231F20"/>
          <w:sz w:val="22"/>
          <w:szCs w:val="22"/>
        </w:rPr>
        <w:t>cells in human bone marrow markedly decrease after skeletal maturation. J Bone Miner Metab 17:171-177.</w:t>
      </w:r>
    </w:p>
    <w:p w14:paraId="623640AC" w14:textId="77777777" w:rsidR="005251D0" w:rsidRPr="002B3438" w:rsidRDefault="005251D0" w:rsidP="005251D0">
      <w:pPr>
        <w:autoSpaceDE w:val="0"/>
        <w:autoSpaceDN w:val="0"/>
        <w:adjustRightInd w:val="0"/>
        <w:ind w:left="360" w:hanging="360"/>
        <w:rPr>
          <w:sz w:val="22"/>
          <w:szCs w:val="22"/>
        </w:rPr>
      </w:pPr>
    </w:p>
    <w:p w14:paraId="565BE3C5" w14:textId="77777777" w:rsidR="00305E34" w:rsidRPr="002B3438" w:rsidRDefault="00305E34" w:rsidP="00305E34">
      <w:pPr>
        <w:ind w:left="360" w:hanging="360"/>
        <w:rPr>
          <w:sz w:val="22"/>
          <w:szCs w:val="22"/>
        </w:rPr>
      </w:pPr>
      <w:r w:rsidRPr="002B3438">
        <w:rPr>
          <w:sz w:val="22"/>
          <w:szCs w:val="22"/>
        </w:rPr>
        <w:t>Ortner D. 1991. Theoretical and methodological issues in paleopathology. In:</w:t>
      </w:r>
      <w:r w:rsidR="00EA4878" w:rsidRPr="002B3438">
        <w:rPr>
          <w:sz w:val="22"/>
          <w:szCs w:val="22"/>
        </w:rPr>
        <w:t xml:space="preserve"> Ortner D, Aufderheide AC, editors.</w:t>
      </w:r>
      <w:r w:rsidRPr="002B3438">
        <w:rPr>
          <w:sz w:val="22"/>
          <w:szCs w:val="22"/>
        </w:rPr>
        <w:t xml:space="preserve"> Human paleopathology: current syntheses and future options. Washington, D.C.: Smithsonian Institution Press. p 5-11.</w:t>
      </w:r>
    </w:p>
    <w:p w14:paraId="1E3DDBE1" w14:textId="77777777" w:rsidR="00305E34" w:rsidRPr="002B3438" w:rsidRDefault="00305E34" w:rsidP="005251D0">
      <w:pPr>
        <w:autoSpaceDE w:val="0"/>
        <w:autoSpaceDN w:val="0"/>
        <w:adjustRightInd w:val="0"/>
        <w:ind w:left="360" w:hanging="360"/>
        <w:rPr>
          <w:sz w:val="22"/>
          <w:szCs w:val="22"/>
        </w:rPr>
      </w:pPr>
    </w:p>
    <w:p w14:paraId="4628FC03" w14:textId="77777777" w:rsidR="000178F5" w:rsidRPr="002B3438" w:rsidRDefault="000178F5" w:rsidP="000178F5">
      <w:pPr>
        <w:ind w:left="360" w:hanging="360"/>
        <w:rPr>
          <w:sz w:val="22"/>
          <w:szCs w:val="22"/>
        </w:rPr>
      </w:pPr>
      <w:r w:rsidRPr="002B3438">
        <w:rPr>
          <w:sz w:val="22"/>
          <w:szCs w:val="22"/>
        </w:rPr>
        <w:t>Ortner D. 2003. Identification of pathological conditions in human skeletal remains. San Diego: Elsevier.</w:t>
      </w:r>
    </w:p>
    <w:p w14:paraId="2D58DE8D" w14:textId="77777777" w:rsidR="000178F5" w:rsidRPr="002B3438" w:rsidRDefault="000178F5" w:rsidP="00D10DB1">
      <w:pPr>
        <w:autoSpaceDE w:val="0"/>
        <w:autoSpaceDN w:val="0"/>
        <w:adjustRightInd w:val="0"/>
        <w:ind w:left="360" w:hanging="360"/>
        <w:rPr>
          <w:sz w:val="22"/>
          <w:szCs w:val="22"/>
        </w:rPr>
      </w:pPr>
    </w:p>
    <w:p w14:paraId="455E8A6F" w14:textId="77777777" w:rsidR="00065BB5" w:rsidRPr="002B3438" w:rsidRDefault="00065BB5" w:rsidP="00D10DB1">
      <w:pPr>
        <w:autoSpaceDE w:val="0"/>
        <w:autoSpaceDN w:val="0"/>
        <w:adjustRightInd w:val="0"/>
        <w:ind w:left="360" w:hanging="360"/>
        <w:rPr>
          <w:sz w:val="22"/>
          <w:szCs w:val="22"/>
        </w:rPr>
      </w:pPr>
      <w:r w:rsidRPr="002B3438">
        <w:rPr>
          <w:sz w:val="22"/>
          <w:szCs w:val="22"/>
        </w:rPr>
        <w:t>Ortner D, Butler W, Cafarella J, and Milligan L. 2001. Evidence of probably scurvy in subadults from archaeological sites in North America. Am J Phys Anth 114:343-351.</w:t>
      </w:r>
    </w:p>
    <w:p w14:paraId="56F19B8A" w14:textId="77777777" w:rsidR="00065BB5" w:rsidRPr="002B3438" w:rsidRDefault="00065BB5" w:rsidP="00D10DB1">
      <w:pPr>
        <w:autoSpaceDE w:val="0"/>
        <w:autoSpaceDN w:val="0"/>
        <w:adjustRightInd w:val="0"/>
        <w:ind w:left="360" w:hanging="360"/>
        <w:rPr>
          <w:sz w:val="22"/>
          <w:szCs w:val="22"/>
        </w:rPr>
      </w:pPr>
    </w:p>
    <w:p w14:paraId="0DE8E776" w14:textId="77777777" w:rsidR="00F622C7" w:rsidRPr="002B3438" w:rsidRDefault="00F622C7" w:rsidP="00F622C7">
      <w:pPr>
        <w:autoSpaceDE w:val="0"/>
        <w:autoSpaceDN w:val="0"/>
        <w:adjustRightInd w:val="0"/>
        <w:rPr>
          <w:rFonts w:eastAsia="Calibri"/>
          <w:color w:val="231F20"/>
          <w:sz w:val="22"/>
          <w:szCs w:val="22"/>
        </w:rPr>
      </w:pPr>
      <w:r w:rsidRPr="002B3438">
        <w:rPr>
          <w:rFonts w:eastAsia="Calibri"/>
          <w:color w:val="231F20"/>
          <w:sz w:val="22"/>
          <w:szCs w:val="22"/>
        </w:rPr>
        <w:t>Ott SM, Lipkin EW, Newell-Morris L. 1999. Bone physiology during pregnancy and lactation in</w:t>
      </w:r>
    </w:p>
    <w:p w14:paraId="3B0443AE" w14:textId="77777777" w:rsidR="00F622C7" w:rsidRPr="002B3438" w:rsidRDefault="006A3BEE" w:rsidP="00F622C7">
      <w:pPr>
        <w:autoSpaceDE w:val="0"/>
        <w:autoSpaceDN w:val="0"/>
        <w:adjustRightInd w:val="0"/>
        <w:rPr>
          <w:rFonts w:eastAsia="Calibri"/>
          <w:color w:val="231F20"/>
          <w:sz w:val="22"/>
          <w:szCs w:val="22"/>
        </w:rPr>
      </w:pPr>
      <w:r>
        <w:rPr>
          <w:rFonts w:eastAsia="Calibri"/>
          <w:color w:val="231F20"/>
          <w:sz w:val="22"/>
          <w:szCs w:val="22"/>
        </w:rPr>
        <w:t xml:space="preserve">  </w:t>
      </w:r>
      <w:r w:rsidR="00F622C7" w:rsidRPr="002B3438">
        <w:rPr>
          <w:rFonts w:eastAsia="Calibri"/>
          <w:color w:val="231F20"/>
          <w:sz w:val="22"/>
          <w:szCs w:val="22"/>
        </w:rPr>
        <w:t>young macaques. J Bone Miner Res 14:1779–1788.</w:t>
      </w:r>
    </w:p>
    <w:p w14:paraId="2DA52B53" w14:textId="77777777" w:rsidR="00B436A2" w:rsidRPr="002B3438" w:rsidRDefault="00B436A2" w:rsidP="00B436A2">
      <w:pPr>
        <w:widowControl w:val="0"/>
        <w:autoSpaceDE w:val="0"/>
        <w:autoSpaceDN w:val="0"/>
        <w:adjustRightInd w:val="0"/>
        <w:ind w:left="360" w:hanging="360"/>
        <w:rPr>
          <w:sz w:val="22"/>
          <w:szCs w:val="22"/>
        </w:rPr>
      </w:pPr>
    </w:p>
    <w:p w14:paraId="347BE313" w14:textId="77777777" w:rsidR="00B14D52" w:rsidRPr="002B3438" w:rsidRDefault="00B14D52" w:rsidP="00B436A2">
      <w:pPr>
        <w:widowControl w:val="0"/>
        <w:autoSpaceDE w:val="0"/>
        <w:autoSpaceDN w:val="0"/>
        <w:adjustRightInd w:val="0"/>
        <w:ind w:left="360" w:hanging="360"/>
        <w:rPr>
          <w:sz w:val="22"/>
          <w:szCs w:val="22"/>
        </w:rPr>
      </w:pPr>
      <w:r w:rsidRPr="002B3438">
        <w:rPr>
          <w:sz w:val="22"/>
          <w:szCs w:val="22"/>
        </w:rPr>
        <w:t>Paine RR, Brenton BP. 2006. Dietary health does affect histological age assessment: an evaluation of the Stoun and Paine (1992) age estimation equation using secondary osteons from the rib. J Forensic Sci 51:1-4.</w:t>
      </w:r>
    </w:p>
    <w:p w14:paraId="0FC3142A" w14:textId="77777777" w:rsidR="00B14D52" w:rsidRPr="002B3438" w:rsidRDefault="00B14D52" w:rsidP="00B436A2">
      <w:pPr>
        <w:widowControl w:val="0"/>
        <w:autoSpaceDE w:val="0"/>
        <w:autoSpaceDN w:val="0"/>
        <w:adjustRightInd w:val="0"/>
        <w:ind w:left="360" w:hanging="360"/>
        <w:rPr>
          <w:sz w:val="22"/>
          <w:szCs w:val="22"/>
        </w:rPr>
      </w:pPr>
    </w:p>
    <w:p w14:paraId="49E954F1" w14:textId="77777777" w:rsidR="002D30BE" w:rsidRPr="002B3438" w:rsidRDefault="002D30BE" w:rsidP="002D30BE">
      <w:pPr>
        <w:pStyle w:val="ListParagraph"/>
        <w:autoSpaceDE w:val="0"/>
        <w:autoSpaceDN w:val="0"/>
        <w:adjustRightInd w:val="0"/>
        <w:ind w:left="0"/>
        <w:jc w:val="both"/>
        <w:rPr>
          <w:sz w:val="22"/>
          <w:szCs w:val="22"/>
        </w:rPr>
      </w:pPr>
      <w:r w:rsidRPr="002B3438">
        <w:rPr>
          <w:sz w:val="22"/>
          <w:szCs w:val="22"/>
          <w:lang w:val="lt-LT" w:eastAsia="lt-LT"/>
        </w:rPr>
        <w:t>Paknys M. 2001. Mirtis. In</w:t>
      </w:r>
      <w:r w:rsidRPr="002B3438">
        <w:rPr>
          <w:sz w:val="22"/>
          <w:szCs w:val="22"/>
        </w:rPr>
        <w:t xml:space="preserve"> Ališauskas, V., Jovaiša, L., Paknys, M., Petrauskas, R., and Raila, E., </w:t>
      </w:r>
    </w:p>
    <w:p w14:paraId="176C788C" w14:textId="77777777" w:rsidR="002D30BE" w:rsidRPr="002B3438" w:rsidRDefault="006A3BEE" w:rsidP="002D30BE">
      <w:pPr>
        <w:pStyle w:val="ListParagraph"/>
        <w:autoSpaceDE w:val="0"/>
        <w:autoSpaceDN w:val="0"/>
        <w:adjustRightInd w:val="0"/>
        <w:ind w:left="0"/>
        <w:jc w:val="both"/>
        <w:rPr>
          <w:sz w:val="22"/>
          <w:szCs w:val="22"/>
          <w:lang w:val="lt-LT" w:eastAsia="lt-LT"/>
        </w:rPr>
      </w:pPr>
      <w:r>
        <w:rPr>
          <w:sz w:val="22"/>
          <w:szCs w:val="22"/>
        </w:rPr>
        <w:t xml:space="preserve">  </w:t>
      </w:r>
      <w:r w:rsidR="002D30BE" w:rsidRPr="002B3438">
        <w:rPr>
          <w:sz w:val="22"/>
          <w:szCs w:val="22"/>
        </w:rPr>
        <w:t xml:space="preserve">editors. </w:t>
      </w:r>
      <w:r w:rsidR="002D30BE" w:rsidRPr="002B3438">
        <w:rPr>
          <w:i/>
          <w:sz w:val="22"/>
          <w:szCs w:val="22"/>
        </w:rPr>
        <w:t>Lietuvos Didžiosios Kunigaikštijos kultūra: tyrinėjimai ir vaizdai</w:t>
      </w:r>
      <w:r w:rsidR="002D30BE" w:rsidRPr="002B3438">
        <w:rPr>
          <w:sz w:val="22"/>
          <w:szCs w:val="22"/>
        </w:rPr>
        <w:t>, Aidai, Vilnius</w:t>
      </w:r>
    </w:p>
    <w:p w14:paraId="375941EA" w14:textId="77777777" w:rsidR="002D30BE" w:rsidRPr="002B3438" w:rsidRDefault="002D30BE" w:rsidP="00B436A2">
      <w:pPr>
        <w:widowControl w:val="0"/>
        <w:autoSpaceDE w:val="0"/>
        <w:autoSpaceDN w:val="0"/>
        <w:adjustRightInd w:val="0"/>
        <w:ind w:left="360" w:hanging="360"/>
        <w:rPr>
          <w:sz w:val="22"/>
          <w:szCs w:val="22"/>
        </w:rPr>
      </w:pPr>
    </w:p>
    <w:p w14:paraId="76428A8B" w14:textId="77777777" w:rsidR="0012412D" w:rsidRPr="002B3438" w:rsidRDefault="0012412D" w:rsidP="0012412D">
      <w:pPr>
        <w:ind w:left="360" w:hanging="360"/>
        <w:rPr>
          <w:sz w:val="22"/>
          <w:szCs w:val="22"/>
        </w:rPr>
      </w:pPr>
      <w:r w:rsidRPr="002B3438">
        <w:rPr>
          <w:sz w:val="22"/>
          <w:szCs w:val="22"/>
        </w:rPr>
        <w:t>Pankovich AM, Simmons DJS, Kulkarni VV. 1974. Zonal osteons in cortical bone. Clinical Orthopaedics and Related Research 100:356-363.</w:t>
      </w:r>
    </w:p>
    <w:p w14:paraId="71C9DCD8" w14:textId="77777777" w:rsidR="0012412D" w:rsidRPr="002B3438" w:rsidRDefault="0012412D" w:rsidP="00B436A2">
      <w:pPr>
        <w:widowControl w:val="0"/>
        <w:autoSpaceDE w:val="0"/>
        <w:autoSpaceDN w:val="0"/>
        <w:adjustRightInd w:val="0"/>
        <w:ind w:left="360" w:hanging="360"/>
        <w:rPr>
          <w:sz w:val="22"/>
          <w:szCs w:val="22"/>
        </w:rPr>
      </w:pPr>
    </w:p>
    <w:p w14:paraId="682A4F77" w14:textId="77777777" w:rsidR="0012412D" w:rsidRPr="002B3438" w:rsidRDefault="0012412D" w:rsidP="0012412D">
      <w:pPr>
        <w:ind w:left="360" w:hanging="360"/>
        <w:rPr>
          <w:sz w:val="22"/>
          <w:szCs w:val="22"/>
        </w:rPr>
      </w:pPr>
      <w:r w:rsidRPr="002B3438">
        <w:rPr>
          <w:sz w:val="22"/>
          <w:szCs w:val="22"/>
        </w:rPr>
        <w:t>Parfitt AM. 1983. The physiological and clinical significance of bone histomorphometric data. In: Recker RR, editor. Bone histomorphometry techniques and interpretation. Boca Raton: CRC Press.</w:t>
      </w:r>
    </w:p>
    <w:p w14:paraId="3A3771F4" w14:textId="77777777" w:rsidR="0012412D" w:rsidRPr="002B3438" w:rsidRDefault="0012412D" w:rsidP="00B436A2">
      <w:pPr>
        <w:widowControl w:val="0"/>
        <w:autoSpaceDE w:val="0"/>
        <w:autoSpaceDN w:val="0"/>
        <w:adjustRightInd w:val="0"/>
        <w:ind w:left="360" w:hanging="360"/>
        <w:rPr>
          <w:sz w:val="22"/>
          <w:szCs w:val="22"/>
        </w:rPr>
      </w:pPr>
    </w:p>
    <w:p w14:paraId="7C1B82CA" w14:textId="77777777" w:rsidR="00B436A2" w:rsidRPr="002B3438" w:rsidRDefault="00B436A2" w:rsidP="00B436A2">
      <w:pPr>
        <w:widowControl w:val="0"/>
        <w:autoSpaceDE w:val="0"/>
        <w:autoSpaceDN w:val="0"/>
        <w:adjustRightInd w:val="0"/>
        <w:ind w:left="360" w:hanging="360"/>
        <w:rPr>
          <w:sz w:val="22"/>
          <w:szCs w:val="22"/>
        </w:rPr>
      </w:pPr>
      <w:r w:rsidRPr="002B3438">
        <w:rPr>
          <w:sz w:val="22"/>
          <w:szCs w:val="22"/>
        </w:rPr>
        <w:t>Parfitt AM. 1984. Age-related structural changes in trabecular and cortical bone: cellular mechanisms and biomechanical consequences. Calcif Tiss Int 36:S123-S128.</w:t>
      </w:r>
    </w:p>
    <w:p w14:paraId="467587D4" w14:textId="77777777" w:rsidR="00B436A2" w:rsidRPr="002B3438" w:rsidRDefault="00B436A2" w:rsidP="007B0B14">
      <w:pPr>
        <w:autoSpaceDE w:val="0"/>
        <w:autoSpaceDN w:val="0"/>
        <w:adjustRightInd w:val="0"/>
        <w:rPr>
          <w:sz w:val="22"/>
          <w:szCs w:val="22"/>
        </w:rPr>
      </w:pPr>
    </w:p>
    <w:p w14:paraId="25E8A104" w14:textId="77777777" w:rsidR="00E63D27" w:rsidRPr="00D40D10" w:rsidRDefault="00E63D27" w:rsidP="007B0B14">
      <w:pPr>
        <w:autoSpaceDE w:val="0"/>
        <w:autoSpaceDN w:val="0"/>
        <w:adjustRightInd w:val="0"/>
        <w:rPr>
          <w:rStyle w:val="editor"/>
          <w:color w:val="000000"/>
          <w:sz w:val="22"/>
          <w:szCs w:val="22"/>
          <w:bdr w:val="none" w:sz="0" w:space="0" w:color="auto" w:frame="1"/>
          <w:shd w:val="clear" w:color="auto" w:fill="FFFFFF"/>
        </w:rPr>
      </w:pPr>
      <w:r w:rsidRPr="00D40D10">
        <w:rPr>
          <w:rStyle w:val="author"/>
          <w:color w:val="000000"/>
          <w:sz w:val="22"/>
          <w:szCs w:val="22"/>
          <w:bdr w:val="none" w:sz="0" w:space="0" w:color="auto" w:frame="1"/>
          <w:shd w:val="clear" w:color="auto" w:fill="FFFFFF"/>
        </w:rPr>
        <w:t>Parfitt AM.</w:t>
      </w:r>
      <w:r w:rsidRPr="00D40D10">
        <w:rPr>
          <w:rStyle w:val="apple-converted-space"/>
          <w:color w:val="000000"/>
          <w:sz w:val="22"/>
          <w:szCs w:val="22"/>
          <w:shd w:val="clear" w:color="auto" w:fill="FFFFFF"/>
        </w:rPr>
        <w:t> </w:t>
      </w:r>
      <w:r w:rsidRPr="00D40D10">
        <w:rPr>
          <w:rStyle w:val="pubyear"/>
          <w:color w:val="000000"/>
          <w:sz w:val="22"/>
          <w:szCs w:val="22"/>
          <w:bdr w:val="none" w:sz="0" w:space="0" w:color="auto" w:frame="1"/>
          <w:shd w:val="clear" w:color="auto" w:fill="FFFFFF"/>
        </w:rPr>
        <w:t>1986.</w:t>
      </w:r>
      <w:r w:rsidRPr="00D40D10">
        <w:rPr>
          <w:rStyle w:val="apple-converted-space"/>
          <w:color w:val="000000"/>
          <w:sz w:val="22"/>
          <w:szCs w:val="22"/>
          <w:shd w:val="clear" w:color="auto" w:fill="FFFFFF"/>
        </w:rPr>
        <w:t> </w:t>
      </w:r>
      <w:r w:rsidRPr="00D40D10">
        <w:rPr>
          <w:rStyle w:val="chaptertitle"/>
          <w:color w:val="000000"/>
          <w:sz w:val="22"/>
          <w:szCs w:val="22"/>
          <w:bdr w:val="none" w:sz="0" w:space="0" w:color="auto" w:frame="1"/>
          <w:shd w:val="clear" w:color="auto" w:fill="FFFFFF"/>
        </w:rPr>
        <w:t>Bone fragility in osteomalacia: Mechanisms and consequences</w:t>
      </w:r>
      <w:r w:rsidRPr="00D40D10">
        <w:rPr>
          <w:color w:val="000000"/>
          <w:sz w:val="22"/>
          <w:szCs w:val="22"/>
          <w:shd w:val="clear" w:color="auto" w:fill="FFFFFF"/>
        </w:rPr>
        <w:t>. In:</w:t>
      </w:r>
      <w:r w:rsidRPr="00D40D10">
        <w:rPr>
          <w:rStyle w:val="apple-converted-space"/>
          <w:color w:val="000000"/>
          <w:sz w:val="22"/>
          <w:szCs w:val="22"/>
          <w:shd w:val="clear" w:color="auto" w:fill="FFFFFF"/>
        </w:rPr>
        <w:t> </w:t>
      </w:r>
      <w:r w:rsidRPr="00D40D10">
        <w:rPr>
          <w:rStyle w:val="editor"/>
          <w:color w:val="000000"/>
          <w:sz w:val="22"/>
          <w:szCs w:val="22"/>
          <w:bdr w:val="none" w:sz="0" w:space="0" w:color="auto" w:frame="1"/>
          <w:shd w:val="clear" w:color="auto" w:fill="FFFFFF"/>
        </w:rPr>
        <w:t xml:space="preserve">Uhthoff </w:t>
      </w:r>
    </w:p>
    <w:p w14:paraId="6875D77D" w14:textId="77777777" w:rsidR="00E63D27" w:rsidRPr="002B3438" w:rsidRDefault="00E63D27" w:rsidP="00E63D27">
      <w:pPr>
        <w:autoSpaceDE w:val="0"/>
        <w:autoSpaceDN w:val="0"/>
        <w:adjustRightInd w:val="0"/>
        <w:ind w:left="375"/>
        <w:rPr>
          <w:color w:val="000000"/>
          <w:sz w:val="22"/>
          <w:szCs w:val="22"/>
          <w:shd w:val="clear" w:color="auto" w:fill="FFFFFF"/>
        </w:rPr>
      </w:pPr>
      <w:r w:rsidRPr="00D40D10">
        <w:rPr>
          <w:rStyle w:val="editor"/>
          <w:color w:val="000000"/>
          <w:sz w:val="22"/>
          <w:szCs w:val="22"/>
          <w:bdr w:val="none" w:sz="0" w:space="0" w:color="auto" w:frame="1"/>
          <w:shd w:val="clear" w:color="auto" w:fill="FFFFFF"/>
        </w:rPr>
        <w:t>H</w:t>
      </w:r>
      <w:r w:rsidRPr="00D40D10">
        <w:rPr>
          <w:color w:val="000000"/>
          <w:sz w:val="22"/>
          <w:szCs w:val="22"/>
          <w:shd w:val="clear" w:color="auto" w:fill="FFFFFF"/>
        </w:rPr>
        <w:t>,</w:t>
      </w:r>
      <w:r w:rsidRPr="00D40D10">
        <w:rPr>
          <w:rStyle w:val="apple-converted-space"/>
          <w:color w:val="000000"/>
          <w:sz w:val="22"/>
          <w:szCs w:val="22"/>
          <w:shd w:val="clear" w:color="auto" w:fill="FFFFFF"/>
        </w:rPr>
        <w:t> </w:t>
      </w:r>
      <w:r w:rsidRPr="00D40D10">
        <w:rPr>
          <w:rStyle w:val="editor"/>
          <w:color w:val="000000"/>
          <w:sz w:val="22"/>
          <w:szCs w:val="22"/>
          <w:bdr w:val="none" w:sz="0" w:space="0" w:color="auto" w:frame="1"/>
          <w:shd w:val="clear" w:color="auto" w:fill="FFFFFF"/>
        </w:rPr>
        <w:t>Jaworski ZFG</w:t>
      </w:r>
      <w:r w:rsidRPr="00D40D10">
        <w:rPr>
          <w:rStyle w:val="apple-converted-space"/>
          <w:color w:val="000000"/>
          <w:sz w:val="22"/>
          <w:szCs w:val="22"/>
          <w:shd w:val="clear" w:color="auto" w:fill="FFFFFF"/>
        </w:rPr>
        <w:t>, editors. </w:t>
      </w:r>
      <w:r w:rsidRPr="00D40D10">
        <w:rPr>
          <w:rStyle w:val="booktitle"/>
          <w:iCs/>
          <w:color w:val="000000"/>
          <w:sz w:val="22"/>
          <w:szCs w:val="22"/>
          <w:bdr w:val="none" w:sz="0" w:space="0" w:color="auto" w:frame="1"/>
          <w:shd w:val="clear" w:color="auto" w:fill="FFFFFF"/>
        </w:rPr>
        <w:t>Current Concepts of Bone Fragility</w:t>
      </w:r>
      <w:r w:rsidRPr="00D40D10">
        <w:rPr>
          <w:color w:val="000000"/>
          <w:sz w:val="22"/>
          <w:szCs w:val="22"/>
          <w:shd w:val="clear" w:color="auto" w:fill="FFFFFF"/>
        </w:rPr>
        <w:t>. Springer-Verlag,</w:t>
      </w:r>
      <w:r w:rsidRPr="00D40D10">
        <w:rPr>
          <w:rStyle w:val="apple-converted-space"/>
          <w:color w:val="000000"/>
          <w:sz w:val="22"/>
          <w:szCs w:val="22"/>
          <w:shd w:val="clear" w:color="auto" w:fill="FFFFFF"/>
        </w:rPr>
        <w:t> </w:t>
      </w:r>
      <w:r w:rsidRPr="00D40D10">
        <w:rPr>
          <w:rStyle w:val="publisherlocation"/>
          <w:color w:val="000000"/>
          <w:sz w:val="22"/>
          <w:szCs w:val="22"/>
          <w:bdr w:val="none" w:sz="0" w:space="0" w:color="auto" w:frame="1"/>
          <w:shd w:val="clear" w:color="auto" w:fill="FFFFFF"/>
        </w:rPr>
        <w:t>Berlin, Germany</w:t>
      </w:r>
      <w:r w:rsidRPr="00D40D10">
        <w:rPr>
          <w:color w:val="000000"/>
          <w:sz w:val="22"/>
          <w:szCs w:val="22"/>
          <w:shd w:val="clear" w:color="auto" w:fill="FFFFFF"/>
        </w:rPr>
        <w:t>. p</w:t>
      </w:r>
      <w:r w:rsidRPr="00D40D10">
        <w:rPr>
          <w:rStyle w:val="apple-converted-space"/>
          <w:color w:val="000000"/>
          <w:sz w:val="22"/>
          <w:szCs w:val="22"/>
          <w:shd w:val="clear" w:color="auto" w:fill="FFFFFF"/>
        </w:rPr>
        <w:t> </w:t>
      </w:r>
      <w:r w:rsidRPr="00D40D10">
        <w:rPr>
          <w:rStyle w:val="pagefirst"/>
          <w:color w:val="000000"/>
          <w:sz w:val="22"/>
          <w:szCs w:val="22"/>
          <w:bdr w:val="none" w:sz="0" w:space="0" w:color="auto" w:frame="1"/>
          <w:shd w:val="clear" w:color="auto" w:fill="FFFFFF"/>
        </w:rPr>
        <w:t>265</w:t>
      </w:r>
      <w:r w:rsidRPr="00D40D10">
        <w:rPr>
          <w:color w:val="000000"/>
          <w:sz w:val="22"/>
          <w:szCs w:val="22"/>
          <w:shd w:val="clear" w:color="auto" w:fill="FFFFFF"/>
        </w:rPr>
        <w:t>–</w:t>
      </w:r>
      <w:r w:rsidRPr="00D40D10">
        <w:rPr>
          <w:rStyle w:val="pagelast"/>
          <w:color w:val="000000"/>
          <w:sz w:val="22"/>
          <w:szCs w:val="22"/>
          <w:bdr w:val="none" w:sz="0" w:space="0" w:color="auto" w:frame="1"/>
          <w:shd w:val="clear" w:color="auto" w:fill="FFFFFF"/>
        </w:rPr>
        <w:t>270</w:t>
      </w:r>
      <w:r w:rsidRPr="00D40D10">
        <w:rPr>
          <w:color w:val="000000"/>
          <w:sz w:val="22"/>
          <w:szCs w:val="22"/>
          <w:shd w:val="clear" w:color="auto" w:fill="FFFFFF"/>
        </w:rPr>
        <w:t>.</w:t>
      </w:r>
      <w:r w:rsidR="00D40D10">
        <w:rPr>
          <w:color w:val="000000"/>
          <w:sz w:val="22"/>
          <w:szCs w:val="22"/>
          <w:shd w:val="clear" w:color="auto" w:fill="FFFFFF"/>
        </w:rPr>
        <w:t xml:space="preserve"> </w:t>
      </w:r>
    </w:p>
    <w:p w14:paraId="0BD8C9BA" w14:textId="77777777" w:rsidR="00E63D27" w:rsidRPr="002B3438" w:rsidRDefault="00E63D27" w:rsidP="007B0B14">
      <w:pPr>
        <w:autoSpaceDE w:val="0"/>
        <w:autoSpaceDN w:val="0"/>
        <w:adjustRightInd w:val="0"/>
        <w:rPr>
          <w:sz w:val="22"/>
          <w:szCs w:val="22"/>
        </w:rPr>
      </w:pPr>
    </w:p>
    <w:p w14:paraId="16BFACF4" w14:textId="77777777" w:rsidR="00B92502" w:rsidRPr="002B3438" w:rsidRDefault="00B92502" w:rsidP="007B0B14">
      <w:pPr>
        <w:autoSpaceDE w:val="0"/>
        <w:autoSpaceDN w:val="0"/>
        <w:adjustRightInd w:val="0"/>
        <w:rPr>
          <w:sz w:val="22"/>
          <w:szCs w:val="22"/>
        </w:rPr>
      </w:pPr>
      <w:r w:rsidRPr="002B3438">
        <w:rPr>
          <w:sz w:val="22"/>
          <w:szCs w:val="22"/>
        </w:rPr>
        <w:t xml:space="preserve">Parfitt AM. 1998. Osteomalacia and related disorders. In: Aviolo LV, Krane SM, editors. </w:t>
      </w:r>
    </w:p>
    <w:p w14:paraId="525AD1F3" w14:textId="77777777" w:rsidR="00B92502" w:rsidRPr="002B3438" w:rsidRDefault="00B92502" w:rsidP="00B92502">
      <w:pPr>
        <w:autoSpaceDE w:val="0"/>
        <w:autoSpaceDN w:val="0"/>
        <w:adjustRightInd w:val="0"/>
        <w:ind w:left="405"/>
        <w:rPr>
          <w:sz w:val="22"/>
          <w:szCs w:val="22"/>
        </w:rPr>
      </w:pPr>
      <w:r w:rsidRPr="002B3438">
        <w:rPr>
          <w:sz w:val="22"/>
          <w:szCs w:val="22"/>
        </w:rPr>
        <w:t>Metabolic Bone Disease and Clinically Related Disorders. Third ed. San Diego: Academic Press, 327-86.</w:t>
      </w:r>
    </w:p>
    <w:p w14:paraId="013531CB" w14:textId="77777777" w:rsidR="00B92502" w:rsidRPr="002B3438" w:rsidRDefault="00B92502" w:rsidP="007B0B14">
      <w:pPr>
        <w:autoSpaceDE w:val="0"/>
        <w:autoSpaceDN w:val="0"/>
        <w:adjustRightInd w:val="0"/>
        <w:rPr>
          <w:sz w:val="22"/>
          <w:szCs w:val="22"/>
        </w:rPr>
      </w:pPr>
    </w:p>
    <w:p w14:paraId="70C3FC67" w14:textId="77777777" w:rsidR="007B0B14" w:rsidRPr="002B3438" w:rsidRDefault="000178F5" w:rsidP="007B0B14">
      <w:pPr>
        <w:autoSpaceDE w:val="0"/>
        <w:autoSpaceDN w:val="0"/>
        <w:adjustRightInd w:val="0"/>
        <w:rPr>
          <w:sz w:val="22"/>
          <w:szCs w:val="22"/>
        </w:rPr>
      </w:pPr>
      <w:r w:rsidRPr="002B3438">
        <w:rPr>
          <w:sz w:val="22"/>
          <w:szCs w:val="22"/>
        </w:rPr>
        <w:t xml:space="preserve">Parfitt AM. 2002. High Bone Turnover Is Intrinsically Harmful: Two Paths to a Similar </w:t>
      </w:r>
    </w:p>
    <w:p w14:paraId="29B6FC73" w14:textId="77777777" w:rsidR="000178F5" w:rsidRPr="002B3438" w:rsidRDefault="000178F5" w:rsidP="007B0B14">
      <w:pPr>
        <w:autoSpaceDE w:val="0"/>
        <w:autoSpaceDN w:val="0"/>
        <w:adjustRightInd w:val="0"/>
        <w:ind w:firstLine="360"/>
        <w:rPr>
          <w:sz w:val="22"/>
          <w:szCs w:val="22"/>
        </w:rPr>
      </w:pPr>
      <w:r w:rsidRPr="002B3438">
        <w:rPr>
          <w:sz w:val="22"/>
          <w:szCs w:val="22"/>
        </w:rPr>
        <w:t xml:space="preserve">Conclusion. </w:t>
      </w:r>
      <w:r w:rsidRPr="002B3438">
        <w:rPr>
          <w:color w:val="000000"/>
          <w:sz w:val="22"/>
          <w:szCs w:val="22"/>
          <w:shd w:val="clear" w:color="auto" w:fill="FFFFFF"/>
        </w:rPr>
        <w:t xml:space="preserve">J Bone Miner Res </w:t>
      </w:r>
      <w:r w:rsidR="007B0B14" w:rsidRPr="002B3438">
        <w:rPr>
          <w:color w:val="000000"/>
          <w:sz w:val="22"/>
          <w:szCs w:val="22"/>
          <w:shd w:val="clear" w:color="auto" w:fill="FFFFFF"/>
        </w:rPr>
        <w:t>17:1558-1559.</w:t>
      </w:r>
    </w:p>
    <w:p w14:paraId="6BFF7E8C" w14:textId="77777777" w:rsidR="000178F5" w:rsidRPr="002B3438" w:rsidRDefault="000178F5" w:rsidP="000178F5">
      <w:pPr>
        <w:autoSpaceDE w:val="0"/>
        <w:autoSpaceDN w:val="0"/>
        <w:adjustRightInd w:val="0"/>
        <w:ind w:left="360" w:hanging="360"/>
        <w:rPr>
          <w:sz w:val="22"/>
          <w:szCs w:val="22"/>
        </w:rPr>
      </w:pPr>
    </w:p>
    <w:p w14:paraId="43A6B898" w14:textId="77777777" w:rsidR="008135B6" w:rsidRPr="002B3438" w:rsidRDefault="008135B6" w:rsidP="000178F5">
      <w:pPr>
        <w:autoSpaceDE w:val="0"/>
        <w:autoSpaceDN w:val="0"/>
        <w:adjustRightInd w:val="0"/>
        <w:ind w:left="360" w:hanging="360"/>
        <w:rPr>
          <w:sz w:val="22"/>
          <w:szCs w:val="22"/>
        </w:rPr>
      </w:pPr>
      <w:r w:rsidRPr="002B3438">
        <w:rPr>
          <w:sz w:val="22"/>
          <w:szCs w:val="22"/>
        </w:rPr>
        <w:t>Parfitt AM. 2003. Renal bone disease: a new conceptual framework for the interpretation of bone hostomorphometry. Curr Opin Nephrol Hypertens 12:387-403.</w:t>
      </w:r>
    </w:p>
    <w:p w14:paraId="6E04833F" w14:textId="77777777" w:rsidR="008135B6" w:rsidRPr="002B3438" w:rsidRDefault="008135B6" w:rsidP="000178F5">
      <w:pPr>
        <w:autoSpaceDE w:val="0"/>
        <w:autoSpaceDN w:val="0"/>
        <w:adjustRightInd w:val="0"/>
        <w:ind w:left="360" w:hanging="360"/>
        <w:rPr>
          <w:sz w:val="22"/>
          <w:szCs w:val="22"/>
        </w:rPr>
      </w:pPr>
    </w:p>
    <w:p w14:paraId="3E2BF488" w14:textId="77777777" w:rsidR="002A4B41" w:rsidRPr="002B3438" w:rsidRDefault="002A4B41" w:rsidP="002A4B41">
      <w:pPr>
        <w:autoSpaceDE w:val="0"/>
        <w:autoSpaceDN w:val="0"/>
        <w:adjustRightInd w:val="0"/>
        <w:ind w:left="360" w:hanging="360"/>
        <w:rPr>
          <w:sz w:val="22"/>
          <w:szCs w:val="22"/>
        </w:rPr>
      </w:pPr>
      <w:r w:rsidRPr="00D40D10">
        <w:rPr>
          <w:sz w:val="22"/>
          <w:szCs w:val="22"/>
        </w:rPr>
        <w:lastRenderedPageBreak/>
        <w:t>Pearson OM. 2000. Activity, climate, and postcranial robusticity: implications for modern human origins and scenarios of</w:t>
      </w:r>
      <w:r w:rsidR="00B92502" w:rsidRPr="00D40D10">
        <w:rPr>
          <w:sz w:val="22"/>
          <w:szCs w:val="22"/>
        </w:rPr>
        <w:t xml:space="preserve"> adaptive change. Curr Anth</w:t>
      </w:r>
      <w:r w:rsidRPr="00D40D10">
        <w:rPr>
          <w:sz w:val="22"/>
          <w:szCs w:val="22"/>
        </w:rPr>
        <w:t xml:space="preserve"> 41:569-607.</w:t>
      </w:r>
      <w:r w:rsidRPr="002B3438">
        <w:rPr>
          <w:sz w:val="22"/>
          <w:szCs w:val="22"/>
        </w:rPr>
        <w:t xml:space="preserve"> </w:t>
      </w:r>
    </w:p>
    <w:p w14:paraId="3750EDEF" w14:textId="77777777" w:rsidR="002A4B41" w:rsidRPr="002B3438" w:rsidRDefault="002A4B41" w:rsidP="002A4B41">
      <w:pPr>
        <w:autoSpaceDE w:val="0"/>
        <w:autoSpaceDN w:val="0"/>
        <w:adjustRightInd w:val="0"/>
        <w:ind w:left="360" w:hanging="360"/>
        <w:rPr>
          <w:sz w:val="22"/>
          <w:szCs w:val="22"/>
        </w:rPr>
      </w:pPr>
    </w:p>
    <w:p w14:paraId="36C4AC36" w14:textId="77777777" w:rsidR="00D10DB1" w:rsidRPr="002B3438" w:rsidRDefault="00D10DB1" w:rsidP="00D10DB1">
      <w:pPr>
        <w:widowControl w:val="0"/>
        <w:autoSpaceDE w:val="0"/>
        <w:autoSpaceDN w:val="0"/>
        <w:adjustRightInd w:val="0"/>
        <w:ind w:left="360" w:hanging="360"/>
        <w:rPr>
          <w:sz w:val="22"/>
          <w:szCs w:val="22"/>
        </w:rPr>
      </w:pPr>
      <w:r w:rsidRPr="002B3438">
        <w:rPr>
          <w:sz w:val="22"/>
          <w:szCs w:val="22"/>
        </w:rPr>
        <w:t>Pearson OM, Lieberman DE. 2004. The aging of Wolff’s “law”: ontogeny and responses to mechanical loading in cortical bone. Yearb Phys Anthropol 47:63-99.</w:t>
      </w:r>
    </w:p>
    <w:p w14:paraId="320F6AE9" w14:textId="77777777" w:rsidR="0032557E" w:rsidRPr="002B3438" w:rsidRDefault="0032557E" w:rsidP="00D10DB1">
      <w:pPr>
        <w:widowControl w:val="0"/>
        <w:autoSpaceDE w:val="0"/>
        <w:autoSpaceDN w:val="0"/>
        <w:adjustRightInd w:val="0"/>
        <w:ind w:left="360" w:hanging="360"/>
        <w:rPr>
          <w:sz w:val="22"/>
          <w:szCs w:val="22"/>
        </w:rPr>
      </w:pPr>
    </w:p>
    <w:p w14:paraId="14853793" w14:textId="77777777" w:rsidR="00EB263B" w:rsidRPr="002B3438" w:rsidRDefault="0032557E" w:rsidP="0032557E">
      <w:pPr>
        <w:rPr>
          <w:sz w:val="22"/>
          <w:szCs w:val="22"/>
        </w:rPr>
      </w:pPr>
      <w:r w:rsidRPr="002B3438">
        <w:rPr>
          <w:sz w:val="22"/>
          <w:szCs w:val="22"/>
        </w:rPr>
        <w:t>Peck J, Stout SD. 2007. Intraskeletal Va</w:t>
      </w:r>
      <w:r w:rsidR="00F622C7" w:rsidRPr="002B3438">
        <w:rPr>
          <w:sz w:val="22"/>
          <w:szCs w:val="22"/>
        </w:rPr>
        <w:t>riability in Bone Mass. Am J Phys Antropol</w:t>
      </w:r>
      <w:r w:rsidRPr="002B3438">
        <w:rPr>
          <w:sz w:val="22"/>
          <w:szCs w:val="22"/>
        </w:rPr>
        <w:t xml:space="preserve"> 132:89-97.</w:t>
      </w:r>
    </w:p>
    <w:p w14:paraId="55B1CE74" w14:textId="77777777" w:rsidR="0032557E" w:rsidRPr="002B3438" w:rsidRDefault="0032557E" w:rsidP="0032557E">
      <w:pPr>
        <w:rPr>
          <w:sz w:val="22"/>
          <w:szCs w:val="22"/>
        </w:rPr>
      </w:pPr>
    </w:p>
    <w:p w14:paraId="214A1FFE" w14:textId="77777777" w:rsidR="0061427F" w:rsidRPr="002B3438" w:rsidRDefault="0061427F" w:rsidP="0032557E">
      <w:pPr>
        <w:rPr>
          <w:sz w:val="22"/>
          <w:szCs w:val="22"/>
        </w:rPr>
      </w:pPr>
      <w:r w:rsidRPr="002B3438">
        <w:rPr>
          <w:sz w:val="22"/>
          <w:szCs w:val="22"/>
        </w:rPr>
        <w:t xml:space="preserve">Pettifor JM. 2003. Nutritional rickets. In: Gloriuex FH, Pettifor JM, Jüppner H, editors. </w:t>
      </w:r>
    </w:p>
    <w:p w14:paraId="33BA23AC" w14:textId="77777777" w:rsidR="0061427F" w:rsidRPr="002B3438" w:rsidRDefault="006A3BEE" w:rsidP="0061427F">
      <w:pPr>
        <w:rPr>
          <w:sz w:val="22"/>
          <w:szCs w:val="22"/>
        </w:rPr>
      </w:pPr>
      <w:r>
        <w:rPr>
          <w:sz w:val="22"/>
          <w:szCs w:val="22"/>
        </w:rPr>
        <w:t xml:space="preserve">  </w:t>
      </w:r>
      <w:r w:rsidR="0061427F" w:rsidRPr="002B3438">
        <w:rPr>
          <w:sz w:val="22"/>
          <w:szCs w:val="22"/>
        </w:rPr>
        <w:t>Pediatric bone. Biology and diseases. San Diego: Academic Press. p 541-565</w:t>
      </w:r>
    </w:p>
    <w:p w14:paraId="06F75382" w14:textId="77777777" w:rsidR="0061427F" w:rsidRPr="002B3438" w:rsidRDefault="0061427F" w:rsidP="0032557E">
      <w:pPr>
        <w:rPr>
          <w:sz w:val="22"/>
          <w:szCs w:val="22"/>
        </w:rPr>
      </w:pPr>
    </w:p>
    <w:p w14:paraId="594B436B" w14:textId="77777777" w:rsidR="0061427F" w:rsidRPr="002B3438" w:rsidRDefault="0061427F" w:rsidP="0032557E">
      <w:pPr>
        <w:rPr>
          <w:sz w:val="22"/>
          <w:szCs w:val="22"/>
        </w:rPr>
      </w:pPr>
      <w:r w:rsidRPr="002B3438">
        <w:rPr>
          <w:sz w:val="22"/>
          <w:szCs w:val="22"/>
        </w:rPr>
        <w:t xml:space="preserve">Pettifor JM. 2004. Nutritional rickets: Deficiency of Vitamin D, calcium, or both? Am J </w:t>
      </w:r>
    </w:p>
    <w:p w14:paraId="37664B9E" w14:textId="77777777" w:rsidR="0061427F" w:rsidRPr="002B3438" w:rsidRDefault="006A3BEE" w:rsidP="0061427F">
      <w:pPr>
        <w:rPr>
          <w:sz w:val="22"/>
          <w:szCs w:val="22"/>
        </w:rPr>
      </w:pPr>
      <w:r>
        <w:rPr>
          <w:sz w:val="22"/>
          <w:szCs w:val="22"/>
        </w:rPr>
        <w:t xml:space="preserve">  </w:t>
      </w:r>
      <w:r w:rsidR="0061427F" w:rsidRPr="002B3438">
        <w:rPr>
          <w:sz w:val="22"/>
          <w:szCs w:val="22"/>
        </w:rPr>
        <w:t>Clin Nutr 80 (6 Suppl):1725s-1729s.</w:t>
      </w:r>
    </w:p>
    <w:p w14:paraId="6A6FCDE1" w14:textId="77777777" w:rsidR="0061427F" w:rsidRPr="002B3438" w:rsidRDefault="0061427F" w:rsidP="0032557E">
      <w:pPr>
        <w:rPr>
          <w:sz w:val="22"/>
          <w:szCs w:val="22"/>
        </w:rPr>
      </w:pPr>
    </w:p>
    <w:p w14:paraId="5E3A16A4" w14:textId="77777777" w:rsidR="00B14D52" w:rsidRPr="002B3438" w:rsidRDefault="00B14D52" w:rsidP="0032557E">
      <w:pPr>
        <w:rPr>
          <w:sz w:val="22"/>
          <w:szCs w:val="22"/>
        </w:rPr>
      </w:pPr>
      <w:r w:rsidRPr="002B3438">
        <w:rPr>
          <w:sz w:val="22"/>
          <w:szCs w:val="22"/>
        </w:rPr>
        <w:t xml:space="preserve">Pettifor JM and Daniels ED. 1997. Vitamin D deficiency and nutritional rickets in </w:t>
      </w:r>
    </w:p>
    <w:p w14:paraId="75836C9D" w14:textId="77777777" w:rsidR="00B14D52" w:rsidRPr="002B3438" w:rsidRDefault="00B14D52" w:rsidP="00B14D52">
      <w:pPr>
        <w:ind w:left="405"/>
        <w:rPr>
          <w:sz w:val="22"/>
          <w:szCs w:val="22"/>
        </w:rPr>
      </w:pPr>
      <w:r w:rsidRPr="002B3438">
        <w:rPr>
          <w:sz w:val="22"/>
          <w:szCs w:val="22"/>
        </w:rPr>
        <w:t>children. In: Feldman D, Glorieux F, Pike J, editors. Vitamin D. San Diego: Academic Press. p 663-679.</w:t>
      </w:r>
    </w:p>
    <w:p w14:paraId="4DEAB779" w14:textId="77777777" w:rsidR="00B14D52" w:rsidRPr="002B3438" w:rsidRDefault="00B14D52" w:rsidP="0032557E">
      <w:pPr>
        <w:rPr>
          <w:sz w:val="22"/>
          <w:szCs w:val="22"/>
        </w:rPr>
      </w:pPr>
    </w:p>
    <w:p w14:paraId="408D8149" w14:textId="77777777" w:rsidR="00057DEB" w:rsidRPr="002B3438" w:rsidRDefault="00057DEB" w:rsidP="00057DEB">
      <w:pPr>
        <w:widowControl w:val="0"/>
        <w:autoSpaceDE w:val="0"/>
        <w:autoSpaceDN w:val="0"/>
        <w:adjustRightInd w:val="0"/>
        <w:ind w:left="360" w:hanging="360"/>
        <w:rPr>
          <w:sz w:val="22"/>
          <w:szCs w:val="22"/>
        </w:rPr>
      </w:pPr>
      <w:r w:rsidRPr="002B3438">
        <w:rPr>
          <w:sz w:val="22"/>
          <w:szCs w:val="22"/>
        </w:rPr>
        <w:t>Pettifor JM, Marie PJ, Sly MR, du Bruyn DB, Ross F, Isdale JM, de Klerk WA, van der Walt WH. 1984. The effect of differing dietary calcium and phosphorus contents on mineral metabolism and bone histomorphometry in young vitamin D-replete baboons. Calcif Tiss Int 36:668-676.</w:t>
      </w:r>
    </w:p>
    <w:p w14:paraId="0FA5AFAE" w14:textId="77777777" w:rsidR="00057DEB" w:rsidRPr="002B3438" w:rsidRDefault="00057DEB" w:rsidP="0032557E">
      <w:pPr>
        <w:rPr>
          <w:sz w:val="22"/>
          <w:szCs w:val="22"/>
        </w:rPr>
      </w:pPr>
    </w:p>
    <w:p w14:paraId="625157BD" w14:textId="77777777" w:rsidR="008F1D58" w:rsidRPr="002B3438" w:rsidRDefault="008F1D58" w:rsidP="008F1D58">
      <w:pPr>
        <w:autoSpaceDE w:val="0"/>
        <w:autoSpaceDN w:val="0"/>
        <w:adjustRightInd w:val="0"/>
        <w:rPr>
          <w:sz w:val="22"/>
          <w:szCs w:val="22"/>
        </w:rPr>
      </w:pPr>
      <w:r w:rsidRPr="002B3438">
        <w:rPr>
          <w:sz w:val="22"/>
          <w:szCs w:val="22"/>
        </w:rPr>
        <w:t xml:space="preserve">Pettersson U, Nordstrom P, Lorentzon R. 1999. A comparison of bone mineral density and </w:t>
      </w:r>
    </w:p>
    <w:p w14:paraId="659FC9F8" w14:textId="77777777" w:rsidR="008F1D58" w:rsidRPr="002B3438" w:rsidRDefault="008F1D58" w:rsidP="008F1D58">
      <w:pPr>
        <w:autoSpaceDE w:val="0"/>
        <w:autoSpaceDN w:val="0"/>
        <w:adjustRightInd w:val="0"/>
        <w:ind w:left="375"/>
        <w:rPr>
          <w:sz w:val="22"/>
          <w:szCs w:val="22"/>
        </w:rPr>
      </w:pPr>
      <w:r w:rsidRPr="002B3438">
        <w:rPr>
          <w:sz w:val="22"/>
          <w:szCs w:val="22"/>
        </w:rPr>
        <w:t xml:space="preserve">muscle strength in young male adults with different exercise level. </w:t>
      </w:r>
      <w:r w:rsidRPr="002B3438">
        <w:rPr>
          <w:iCs/>
          <w:sz w:val="22"/>
          <w:szCs w:val="22"/>
        </w:rPr>
        <w:t>Calcif</w:t>
      </w:r>
      <w:r w:rsidRPr="002B3438">
        <w:rPr>
          <w:sz w:val="22"/>
          <w:szCs w:val="22"/>
        </w:rPr>
        <w:t xml:space="preserve"> </w:t>
      </w:r>
      <w:r w:rsidRPr="002B3438">
        <w:rPr>
          <w:iCs/>
          <w:sz w:val="22"/>
          <w:szCs w:val="22"/>
        </w:rPr>
        <w:t xml:space="preserve">Tissue Int </w:t>
      </w:r>
      <w:r w:rsidRPr="002B3438">
        <w:rPr>
          <w:sz w:val="22"/>
          <w:szCs w:val="22"/>
        </w:rPr>
        <w:t>64: 490-498.</w:t>
      </w:r>
    </w:p>
    <w:p w14:paraId="3E1426E8" w14:textId="77777777" w:rsidR="00BC50EA" w:rsidRPr="002B3438" w:rsidRDefault="00BC50EA" w:rsidP="008F1D58">
      <w:pPr>
        <w:autoSpaceDE w:val="0"/>
        <w:autoSpaceDN w:val="0"/>
        <w:adjustRightInd w:val="0"/>
        <w:ind w:left="375"/>
        <w:rPr>
          <w:sz w:val="22"/>
          <w:szCs w:val="22"/>
        </w:rPr>
      </w:pPr>
    </w:p>
    <w:p w14:paraId="262556C5" w14:textId="77777777" w:rsidR="00BC50EA" w:rsidRPr="002B3438" w:rsidRDefault="00BC50EA" w:rsidP="008F1D58">
      <w:pPr>
        <w:rPr>
          <w:sz w:val="22"/>
          <w:szCs w:val="22"/>
        </w:rPr>
      </w:pPr>
      <w:r w:rsidRPr="002B3438">
        <w:rPr>
          <w:sz w:val="22"/>
          <w:szCs w:val="22"/>
        </w:rPr>
        <w:t xml:space="preserve">Pfeiffer S. 1998. Variability in osteon size in recent human populations. Am J Phys </w:t>
      </w:r>
    </w:p>
    <w:p w14:paraId="017E77CC" w14:textId="77777777" w:rsidR="008F1D58" w:rsidRPr="002B3438" w:rsidRDefault="006A3BEE" w:rsidP="00BC50EA">
      <w:pPr>
        <w:rPr>
          <w:sz w:val="22"/>
          <w:szCs w:val="22"/>
        </w:rPr>
      </w:pPr>
      <w:r>
        <w:rPr>
          <w:sz w:val="22"/>
          <w:szCs w:val="22"/>
        </w:rPr>
        <w:t xml:space="preserve">  </w:t>
      </w:r>
      <w:r w:rsidR="00BC50EA" w:rsidRPr="002B3438">
        <w:rPr>
          <w:sz w:val="22"/>
          <w:szCs w:val="22"/>
        </w:rPr>
        <w:t>Anthropol 106:219-227.</w:t>
      </w:r>
    </w:p>
    <w:p w14:paraId="6BC6715F" w14:textId="77777777" w:rsidR="004362F5" w:rsidRPr="002B3438" w:rsidRDefault="004362F5" w:rsidP="004362F5">
      <w:pPr>
        <w:pStyle w:val="CommentText"/>
        <w:rPr>
          <w:sz w:val="22"/>
          <w:szCs w:val="22"/>
        </w:rPr>
      </w:pPr>
    </w:p>
    <w:p w14:paraId="36F8466B" w14:textId="77777777" w:rsidR="007A5995" w:rsidRPr="002B3438" w:rsidRDefault="007A5995" w:rsidP="007A5995">
      <w:pPr>
        <w:autoSpaceDE w:val="0"/>
        <w:autoSpaceDN w:val="0"/>
        <w:adjustRightInd w:val="0"/>
        <w:ind w:left="360" w:hanging="360"/>
        <w:rPr>
          <w:i/>
          <w:iCs/>
          <w:color w:val="2C2C2C"/>
          <w:sz w:val="22"/>
          <w:szCs w:val="22"/>
        </w:rPr>
      </w:pPr>
      <w:r w:rsidRPr="002B3438">
        <w:rPr>
          <w:sz w:val="22"/>
          <w:szCs w:val="22"/>
        </w:rPr>
        <w:t xml:space="preserve">Pfeiffer S. 2006. Cortical bone histology in juveniles. In: </w:t>
      </w:r>
      <w:r w:rsidRPr="002B3438">
        <w:rPr>
          <w:color w:val="252525"/>
          <w:sz w:val="22"/>
          <w:szCs w:val="22"/>
        </w:rPr>
        <w:t>Grupe G, Peters J, editors.</w:t>
      </w:r>
      <w:r w:rsidRPr="002B3438">
        <w:rPr>
          <w:color w:val="2C2C2C"/>
          <w:sz w:val="22"/>
          <w:szCs w:val="22"/>
        </w:rPr>
        <w:t xml:space="preserve"> </w:t>
      </w:r>
      <w:r w:rsidRPr="002B3438">
        <w:rPr>
          <w:sz w:val="22"/>
          <w:szCs w:val="22"/>
        </w:rPr>
        <w:t>Documenta Archaeobiologiae: microscopic examinations of bioarchaeological remains: keeping a close eye on ancient tissues. Rahden: Verlag. p 15-28.</w:t>
      </w:r>
    </w:p>
    <w:p w14:paraId="6DB25474" w14:textId="77777777" w:rsidR="007A5995" w:rsidRPr="002B3438" w:rsidRDefault="007A5995" w:rsidP="004362F5">
      <w:pPr>
        <w:pStyle w:val="CommentText"/>
        <w:rPr>
          <w:sz w:val="22"/>
          <w:szCs w:val="22"/>
        </w:rPr>
      </w:pPr>
    </w:p>
    <w:p w14:paraId="6D5EE152" w14:textId="77777777" w:rsidR="004362F5" w:rsidRPr="002B3438" w:rsidRDefault="004362F5" w:rsidP="004362F5">
      <w:pPr>
        <w:rPr>
          <w:sz w:val="22"/>
          <w:szCs w:val="22"/>
        </w:rPr>
      </w:pPr>
      <w:r w:rsidRPr="002B3438">
        <w:rPr>
          <w:sz w:val="22"/>
          <w:szCs w:val="22"/>
        </w:rPr>
        <w:t xml:space="preserve">Pfeiffer SK and King P. 1983. Cortical bone formation and diet among protohistoric </w:t>
      </w:r>
    </w:p>
    <w:p w14:paraId="6BF6F84E" w14:textId="77777777" w:rsidR="004362F5" w:rsidRPr="002B3438" w:rsidRDefault="006A3BEE" w:rsidP="004362F5">
      <w:pPr>
        <w:rPr>
          <w:sz w:val="22"/>
          <w:szCs w:val="22"/>
        </w:rPr>
      </w:pPr>
      <w:r>
        <w:rPr>
          <w:sz w:val="22"/>
          <w:szCs w:val="22"/>
        </w:rPr>
        <w:t xml:space="preserve">  </w:t>
      </w:r>
      <w:r w:rsidR="004362F5" w:rsidRPr="002B3438">
        <w:rPr>
          <w:sz w:val="22"/>
          <w:szCs w:val="22"/>
        </w:rPr>
        <w:t>Iroquoians. Amer J Phys Anthropol 60:23-28.</w:t>
      </w:r>
    </w:p>
    <w:p w14:paraId="7CA0A95D" w14:textId="77777777" w:rsidR="004362F5" w:rsidRPr="002B3438" w:rsidRDefault="004362F5" w:rsidP="004362F5">
      <w:pPr>
        <w:rPr>
          <w:sz w:val="22"/>
          <w:szCs w:val="22"/>
        </w:rPr>
      </w:pPr>
    </w:p>
    <w:p w14:paraId="3A8E5DAE" w14:textId="77777777" w:rsidR="00AF75DB" w:rsidRPr="002B3438" w:rsidRDefault="00AF75DB" w:rsidP="008F1D58">
      <w:pPr>
        <w:rPr>
          <w:sz w:val="22"/>
          <w:szCs w:val="22"/>
        </w:rPr>
      </w:pPr>
      <w:r w:rsidRPr="002B3438">
        <w:rPr>
          <w:sz w:val="22"/>
          <w:szCs w:val="22"/>
        </w:rPr>
        <w:t xml:space="preserve">Pfeiffer S, Lazenby RA. 1994. Low bone mass in past and present aboriginal populations. In: </w:t>
      </w:r>
    </w:p>
    <w:p w14:paraId="02ACB0A9" w14:textId="77777777" w:rsidR="00AF75DB" w:rsidRPr="002B3438" w:rsidRDefault="006A3BEE" w:rsidP="008F1D58">
      <w:pPr>
        <w:rPr>
          <w:sz w:val="22"/>
          <w:szCs w:val="22"/>
        </w:rPr>
      </w:pPr>
      <w:r>
        <w:rPr>
          <w:sz w:val="22"/>
          <w:szCs w:val="22"/>
        </w:rPr>
        <w:t xml:space="preserve">  </w:t>
      </w:r>
      <w:r w:rsidR="00AF75DB" w:rsidRPr="002B3438">
        <w:rPr>
          <w:sz w:val="22"/>
          <w:szCs w:val="22"/>
        </w:rPr>
        <w:t>Draper HH, editor. Advances in nutritional research. Vol 9. New York: Plenum p 35-51.</w:t>
      </w:r>
    </w:p>
    <w:p w14:paraId="3601EBB5" w14:textId="77777777" w:rsidR="00AF75DB" w:rsidRPr="002B3438" w:rsidRDefault="00AF75DB" w:rsidP="008F1D58">
      <w:pPr>
        <w:rPr>
          <w:sz w:val="22"/>
          <w:szCs w:val="22"/>
        </w:rPr>
      </w:pPr>
    </w:p>
    <w:p w14:paraId="02BC4DF6" w14:textId="77777777" w:rsidR="00BC50EA" w:rsidRPr="002B3438" w:rsidRDefault="00BC50EA" w:rsidP="008F1D58">
      <w:pPr>
        <w:rPr>
          <w:sz w:val="22"/>
          <w:szCs w:val="22"/>
        </w:rPr>
      </w:pPr>
      <w:r w:rsidRPr="002B3438">
        <w:rPr>
          <w:sz w:val="22"/>
          <w:szCs w:val="22"/>
        </w:rPr>
        <w:t xml:space="preserve">Pfeiffer S, Lazenby R, Chiang J. 1995. Brief communication: cortical remodeling data are </w:t>
      </w:r>
    </w:p>
    <w:p w14:paraId="0D077A43" w14:textId="77777777" w:rsidR="00BC50EA" w:rsidRPr="002B3438" w:rsidRDefault="006A3BEE" w:rsidP="008F1D58">
      <w:pPr>
        <w:rPr>
          <w:sz w:val="22"/>
          <w:szCs w:val="22"/>
        </w:rPr>
      </w:pPr>
      <w:r>
        <w:rPr>
          <w:sz w:val="22"/>
          <w:szCs w:val="22"/>
        </w:rPr>
        <w:t xml:space="preserve">  </w:t>
      </w:r>
      <w:r w:rsidR="00BC50EA" w:rsidRPr="002B3438">
        <w:rPr>
          <w:sz w:val="22"/>
          <w:szCs w:val="22"/>
        </w:rPr>
        <w:t>affected by sampling location. Am J Phys Anthropol 96:89-92.</w:t>
      </w:r>
    </w:p>
    <w:p w14:paraId="72EA100A" w14:textId="77777777" w:rsidR="00BC50EA" w:rsidRPr="002B3438" w:rsidRDefault="00BC50EA" w:rsidP="008F1D58">
      <w:pPr>
        <w:rPr>
          <w:sz w:val="22"/>
          <w:szCs w:val="22"/>
        </w:rPr>
      </w:pPr>
    </w:p>
    <w:p w14:paraId="18764D35" w14:textId="77777777" w:rsidR="00F52E06" w:rsidRPr="002B3438" w:rsidRDefault="00F52E06" w:rsidP="0032557E">
      <w:pPr>
        <w:rPr>
          <w:sz w:val="22"/>
          <w:szCs w:val="22"/>
        </w:rPr>
      </w:pPr>
      <w:r w:rsidRPr="002B3438">
        <w:rPr>
          <w:sz w:val="22"/>
          <w:szCs w:val="22"/>
        </w:rPr>
        <w:t>Pfeiffer S, Crowder C, Harrington L, Brown M. 2006. Secondary osteon and haversion canal</w:t>
      </w:r>
    </w:p>
    <w:p w14:paraId="0D7C9F15" w14:textId="77777777" w:rsidR="00F52E06" w:rsidRPr="002B3438" w:rsidRDefault="00F52E06" w:rsidP="00F52E06">
      <w:pPr>
        <w:ind w:firstLine="360"/>
        <w:rPr>
          <w:sz w:val="22"/>
          <w:szCs w:val="22"/>
        </w:rPr>
      </w:pPr>
      <w:r w:rsidRPr="002B3438">
        <w:rPr>
          <w:sz w:val="22"/>
          <w:szCs w:val="22"/>
        </w:rPr>
        <w:t>dimensions as behavioral indicators. Am J Phys Anthrop 131:460-468.</w:t>
      </w:r>
    </w:p>
    <w:p w14:paraId="00EF9E48" w14:textId="77777777" w:rsidR="00F52E06" w:rsidRPr="002B3438" w:rsidRDefault="00F52E06" w:rsidP="0032557E">
      <w:pPr>
        <w:rPr>
          <w:sz w:val="22"/>
          <w:szCs w:val="22"/>
        </w:rPr>
      </w:pPr>
    </w:p>
    <w:p w14:paraId="0397E5BC" w14:textId="77777777" w:rsidR="00B14D52" w:rsidRPr="002B3438" w:rsidRDefault="00B14D52" w:rsidP="0032557E">
      <w:pPr>
        <w:rPr>
          <w:sz w:val="22"/>
          <w:szCs w:val="22"/>
        </w:rPr>
      </w:pPr>
      <w:r w:rsidRPr="002B3438">
        <w:rPr>
          <w:sz w:val="22"/>
          <w:szCs w:val="22"/>
        </w:rPr>
        <w:t xml:space="preserve">Pitt M. 1988. Rickerts and osteomalacia. In: Resnick D, Niwayama G, editors. Diagnosis </w:t>
      </w:r>
    </w:p>
    <w:p w14:paraId="75550BE7" w14:textId="77777777" w:rsidR="00B14D52" w:rsidRPr="002B3438" w:rsidRDefault="00B14D52" w:rsidP="00B14D52">
      <w:pPr>
        <w:ind w:left="405"/>
        <w:rPr>
          <w:sz w:val="22"/>
          <w:szCs w:val="22"/>
        </w:rPr>
      </w:pPr>
      <w:r w:rsidRPr="002B3438">
        <w:rPr>
          <w:sz w:val="22"/>
          <w:szCs w:val="22"/>
        </w:rPr>
        <w:t>of bone and joint disorders. Volume 8. Second edition. Philadelphia: W.B. Daunders. p 2086-2119.</w:t>
      </w:r>
    </w:p>
    <w:p w14:paraId="5AB68181" w14:textId="77777777" w:rsidR="00B14D52" w:rsidRPr="002B3438" w:rsidRDefault="00B14D52" w:rsidP="0032557E">
      <w:pPr>
        <w:rPr>
          <w:sz w:val="22"/>
          <w:szCs w:val="22"/>
        </w:rPr>
      </w:pPr>
    </w:p>
    <w:p w14:paraId="269311B3" w14:textId="77777777" w:rsidR="00BF4615" w:rsidRPr="002B3438" w:rsidRDefault="00BF4615" w:rsidP="00BF4615">
      <w:pPr>
        <w:autoSpaceDE w:val="0"/>
        <w:autoSpaceDN w:val="0"/>
        <w:adjustRightInd w:val="0"/>
        <w:rPr>
          <w:sz w:val="22"/>
          <w:szCs w:val="22"/>
        </w:rPr>
      </w:pPr>
      <w:r w:rsidRPr="002B3438">
        <w:rPr>
          <w:sz w:val="22"/>
          <w:szCs w:val="22"/>
        </w:rPr>
        <w:t>Pomeroy RS. 1987. The role of women and children in small scale fishing households: A</w:t>
      </w:r>
    </w:p>
    <w:p w14:paraId="731ABFB7" w14:textId="77777777" w:rsidR="00BF4615" w:rsidRPr="002B3438" w:rsidRDefault="006A3BEE" w:rsidP="00BF4615">
      <w:pPr>
        <w:autoSpaceDE w:val="0"/>
        <w:autoSpaceDN w:val="0"/>
        <w:adjustRightInd w:val="0"/>
        <w:rPr>
          <w:i/>
          <w:iCs/>
          <w:sz w:val="22"/>
          <w:szCs w:val="22"/>
        </w:rPr>
      </w:pPr>
      <w:r>
        <w:rPr>
          <w:sz w:val="22"/>
          <w:szCs w:val="22"/>
        </w:rPr>
        <w:t xml:space="preserve">  </w:t>
      </w:r>
      <w:r w:rsidR="00BF4615" w:rsidRPr="002B3438">
        <w:rPr>
          <w:sz w:val="22"/>
          <w:szCs w:val="22"/>
        </w:rPr>
        <w:t xml:space="preserve">case study in Matalom, Leyte, Philippines. </w:t>
      </w:r>
      <w:r w:rsidR="00BF4615" w:rsidRPr="002B3438">
        <w:rPr>
          <w:i/>
          <w:iCs/>
          <w:sz w:val="22"/>
          <w:szCs w:val="22"/>
        </w:rPr>
        <w:t>Philippine Quarterly of Culture and</w:t>
      </w:r>
    </w:p>
    <w:p w14:paraId="6439B874" w14:textId="77777777" w:rsidR="00BF4615" w:rsidRPr="002B3438" w:rsidRDefault="006A3BEE" w:rsidP="00BF4615">
      <w:pPr>
        <w:rPr>
          <w:sz w:val="22"/>
          <w:szCs w:val="22"/>
        </w:rPr>
      </w:pPr>
      <w:r>
        <w:rPr>
          <w:i/>
          <w:iCs/>
          <w:sz w:val="22"/>
          <w:szCs w:val="22"/>
        </w:rPr>
        <w:lastRenderedPageBreak/>
        <w:t xml:space="preserve">  </w:t>
      </w:r>
      <w:r w:rsidR="00BF4615" w:rsidRPr="002B3438">
        <w:rPr>
          <w:i/>
          <w:iCs/>
          <w:sz w:val="22"/>
          <w:szCs w:val="22"/>
        </w:rPr>
        <w:t xml:space="preserve">Society </w:t>
      </w:r>
      <w:r w:rsidR="00BF4615" w:rsidRPr="002B3438">
        <w:rPr>
          <w:sz w:val="22"/>
          <w:szCs w:val="22"/>
        </w:rPr>
        <w:t>15: 353-360.</w:t>
      </w:r>
    </w:p>
    <w:p w14:paraId="1566266A" w14:textId="77777777" w:rsidR="00BF4615" w:rsidRPr="002B3438" w:rsidRDefault="00BF4615" w:rsidP="00BF4615">
      <w:pPr>
        <w:rPr>
          <w:sz w:val="22"/>
          <w:szCs w:val="22"/>
        </w:rPr>
      </w:pPr>
    </w:p>
    <w:p w14:paraId="0ADC760B" w14:textId="77777777" w:rsidR="00BF4615" w:rsidRPr="002B3438" w:rsidRDefault="00BF4615" w:rsidP="00BF4615">
      <w:pPr>
        <w:autoSpaceDE w:val="0"/>
        <w:autoSpaceDN w:val="0"/>
        <w:adjustRightInd w:val="0"/>
        <w:rPr>
          <w:sz w:val="22"/>
          <w:szCs w:val="22"/>
        </w:rPr>
      </w:pPr>
      <w:r w:rsidRPr="002B3438">
        <w:rPr>
          <w:sz w:val="22"/>
          <w:szCs w:val="22"/>
        </w:rPr>
        <w:t>Porter KA. 1996. The agency of children, work, and social change in the South Pare</w:t>
      </w:r>
    </w:p>
    <w:p w14:paraId="46A94D0D" w14:textId="77777777" w:rsidR="00BF4615" w:rsidRPr="002B3438" w:rsidRDefault="006A3BEE" w:rsidP="00BF4615">
      <w:pPr>
        <w:rPr>
          <w:sz w:val="22"/>
          <w:szCs w:val="22"/>
        </w:rPr>
      </w:pPr>
      <w:r>
        <w:rPr>
          <w:sz w:val="22"/>
          <w:szCs w:val="22"/>
        </w:rPr>
        <w:t xml:space="preserve">  </w:t>
      </w:r>
      <w:r w:rsidR="00BF4615" w:rsidRPr="002B3438">
        <w:rPr>
          <w:sz w:val="22"/>
          <w:szCs w:val="22"/>
        </w:rPr>
        <w:t xml:space="preserve">Mountains, Tanzania. </w:t>
      </w:r>
      <w:r w:rsidR="00BF4615" w:rsidRPr="002B3438">
        <w:rPr>
          <w:iCs/>
          <w:sz w:val="22"/>
          <w:szCs w:val="22"/>
        </w:rPr>
        <w:t>Anthropology of Work Review</w:t>
      </w:r>
      <w:r w:rsidR="00BF4615" w:rsidRPr="002B3438">
        <w:rPr>
          <w:i/>
          <w:iCs/>
          <w:sz w:val="22"/>
          <w:szCs w:val="22"/>
        </w:rPr>
        <w:t xml:space="preserve"> </w:t>
      </w:r>
      <w:r w:rsidR="00BF4615" w:rsidRPr="002B3438">
        <w:rPr>
          <w:sz w:val="22"/>
          <w:szCs w:val="22"/>
        </w:rPr>
        <w:t>17: 8-19.</w:t>
      </w:r>
    </w:p>
    <w:p w14:paraId="67FDC962" w14:textId="77777777" w:rsidR="00BF4615" w:rsidRPr="002B3438" w:rsidRDefault="00BF4615" w:rsidP="00BF4615">
      <w:pPr>
        <w:rPr>
          <w:sz w:val="22"/>
          <w:szCs w:val="22"/>
        </w:rPr>
      </w:pPr>
    </w:p>
    <w:p w14:paraId="0E239064" w14:textId="77777777" w:rsidR="00EB263B" w:rsidRPr="002B3438" w:rsidRDefault="00EB263B" w:rsidP="00EB263B">
      <w:pPr>
        <w:ind w:left="360" w:hanging="360"/>
        <w:rPr>
          <w:sz w:val="22"/>
          <w:szCs w:val="22"/>
        </w:rPr>
      </w:pPr>
      <w:r w:rsidRPr="002B3438">
        <w:rPr>
          <w:sz w:val="22"/>
          <w:szCs w:val="22"/>
        </w:rPr>
        <w:t xml:space="preserve">Prais D, Diamond G, Kattan A, Salzberg J, Inbar D. 2008. The effect of calcium intake and physical activity on bone quantitative ultrasound measurements in children: a pilot study. J Bone Miner Metab </w:t>
      </w:r>
      <w:r w:rsidRPr="002B3438">
        <w:rPr>
          <w:color w:val="131313"/>
          <w:sz w:val="22"/>
          <w:szCs w:val="22"/>
        </w:rPr>
        <w:t>26:248–253.</w:t>
      </w:r>
    </w:p>
    <w:p w14:paraId="0567135D" w14:textId="77777777" w:rsidR="00EB263B" w:rsidRPr="002B3438" w:rsidRDefault="00EB263B" w:rsidP="00EB263B">
      <w:pPr>
        <w:rPr>
          <w:sz w:val="22"/>
          <w:szCs w:val="22"/>
        </w:rPr>
      </w:pPr>
    </w:p>
    <w:p w14:paraId="5E5E91C1" w14:textId="77777777" w:rsidR="00CD3679" w:rsidRPr="002B3438" w:rsidRDefault="00CD3679" w:rsidP="00EB263B">
      <w:pPr>
        <w:rPr>
          <w:rFonts w:eastAsia="Calibri"/>
          <w:bCs/>
          <w:iCs/>
          <w:sz w:val="22"/>
          <w:szCs w:val="22"/>
        </w:rPr>
      </w:pPr>
      <w:r w:rsidRPr="002B3438">
        <w:rPr>
          <w:sz w:val="22"/>
          <w:szCs w:val="22"/>
        </w:rPr>
        <w:t>Pratt</w:t>
      </w:r>
      <w:r w:rsidRPr="002B3438">
        <w:rPr>
          <w:rFonts w:eastAsia="Calibri"/>
          <w:bCs/>
          <w:i/>
          <w:iCs/>
          <w:sz w:val="22"/>
          <w:szCs w:val="22"/>
        </w:rPr>
        <w:t xml:space="preserve"> </w:t>
      </w:r>
      <w:r w:rsidRPr="002B3438">
        <w:rPr>
          <w:rFonts w:eastAsia="Calibri"/>
          <w:bCs/>
          <w:iCs/>
          <w:sz w:val="22"/>
          <w:szCs w:val="22"/>
        </w:rPr>
        <w:t xml:space="preserve">CWM and McCance RA. 1961. Severe undernutrition in growing and adult animals: </w:t>
      </w:r>
    </w:p>
    <w:p w14:paraId="6D0A7114" w14:textId="77777777" w:rsidR="00CD3679" w:rsidRPr="002B3438" w:rsidRDefault="006A3BEE" w:rsidP="00CD3679">
      <w:pPr>
        <w:rPr>
          <w:rFonts w:eastAsia="Calibri"/>
          <w:bCs/>
          <w:iCs/>
          <w:sz w:val="22"/>
          <w:szCs w:val="22"/>
        </w:rPr>
      </w:pPr>
      <w:r>
        <w:rPr>
          <w:rFonts w:eastAsia="Calibri"/>
          <w:bCs/>
          <w:iCs/>
          <w:sz w:val="22"/>
          <w:szCs w:val="22"/>
        </w:rPr>
        <w:t xml:space="preserve">  </w:t>
      </w:r>
      <w:r w:rsidR="00CD3679" w:rsidRPr="002B3438">
        <w:rPr>
          <w:rFonts w:eastAsia="Calibri"/>
          <w:bCs/>
          <w:iCs/>
          <w:sz w:val="22"/>
          <w:szCs w:val="22"/>
        </w:rPr>
        <w:t>changes in the long bones during rehabilitation of cockerels. Brit J Nutr 15:121-129.</w:t>
      </w:r>
    </w:p>
    <w:p w14:paraId="44A0EF8C" w14:textId="77777777" w:rsidR="00CD3679" w:rsidRPr="002B3438" w:rsidRDefault="00CD3679" w:rsidP="00EB263B">
      <w:pPr>
        <w:rPr>
          <w:sz w:val="22"/>
          <w:szCs w:val="22"/>
        </w:rPr>
      </w:pPr>
    </w:p>
    <w:p w14:paraId="6D129B42" w14:textId="77777777" w:rsidR="00CB0C91" w:rsidRPr="002B3438" w:rsidRDefault="00CB0C91" w:rsidP="00EB263B">
      <w:pPr>
        <w:rPr>
          <w:sz w:val="22"/>
          <w:szCs w:val="22"/>
        </w:rPr>
      </w:pPr>
      <w:r w:rsidRPr="002B3438">
        <w:rPr>
          <w:sz w:val="22"/>
          <w:szCs w:val="22"/>
        </w:rPr>
        <w:t xml:space="preserve">Prentice A, Parsons TA, Cole TJ. 1994. Uncritical use of bone mineral density in absorptiometry </w:t>
      </w:r>
    </w:p>
    <w:p w14:paraId="7DDB252A" w14:textId="77777777" w:rsidR="00CB0C91" w:rsidRPr="002B3438" w:rsidRDefault="00CB0C91" w:rsidP="00CB0C91">
      <w:pPr>
        <w:ind w:left="375"/>
        <w:rPr>
          <w:sz w:val="22"/>
          <w:szCs w:val="22"/>
        </w:rPr>
      </w:pPr>
      <w:r w:rsidRPr="002B3438">
        <w:rPr>
          <w:sz w:val="22"/>
          <w:szCs w:val="22"/>
        </w:rPr>
        <w:t>may lead to size-related artifacts in the identification of bone mineral determinants. Am J Clin Nutr 60:837-842.</w:t>
      </w:r>
    </w:p>
    <w:p w14:paraId="5B2DB591" w14:textId="77777777" w:rsidR="00CB0C91" w:rsidRPr="002B3438" w:rsidRDefault="00CB0C91" w:rsidP="00EB263B">
      <w:pPr>
        <w:rPr>
          <w:sz w:val="22"/>
          <w:szCs w:val="22"/>
        </w:rPr>
      </w:pPr>
    </w:p>
    <w:p w14:paraId="039B5884" w14:textId="77777777" w:rsidR="001C63C7" w:rsidRPr="002B3438" w:rsidRDefault="001C63C7" w:rsidP="00EB263B">
      <w:pPr>
        <w:rPr>
          <w:sz w:val="22"/>
          <w:szCs w:val="22"/>
        </w:rPr>
      </w:pPr>
      <w:r w:rsidRPr="002B3438">
        <w:rPr>
          <w:sz w:val="22"/>
          <w:szCs w:val="22"/>
        </w:rPr>
        <w:t xml:space="preserve">Puntila E, Kroger H, Lakka T, Honkanen R, Tuppurainen M. 1997. Physical activity in </w:t>
      </w:r>
    </w:p>
    <w:p w14:paraId="799F7573" w14:textId="77777777" w:rsidR="001C63C7" w:rsidRPr="002B3438" w:rsidRDefault="006A3BEE" w:rsidP="001C63C7">
      <w:pPr>
        <w:rPr>
          <w:sz w:val="22"/>
          <w:szCs w:val="22"/>
        </w:rPr>
      </w:pPr>
      <w:r>
        <w:rPr>
          <w:sz w:val="22"/>
          <w:szCs w:val="22"/>
        </w:rPr>
        <w:t xml:space="preserve">  </w:t>
      </w:r>
      <w:r w:rsidR="001C63C7" w:rsidRPr="002B3438">
        <w:rPr>
          <w:sz w:val="22"/>
          <w:szCs w:val="22"/>
        </w:rPr>
        <w:t>adolescence and bone density in peri- and postmenopausal women. Bone 21:363-367</w:t>
      </w:r>
    </w:p>
    <w:p w14:paraId="7569B123" w14:textId="77777777" w:rsidR="001C63C7" w:rsidRPr="002B3438" w:rsidRDefault="001C63C7" w:rsidP="00EB263B">
      <w:pPr>
        <w:rPr>
          <w:sz w:val="22"/>
          <w:szCs w:val="22"/>
        </w:rPr>
      </w:pPr>
    </w:p>
    <w:p w14:paraId="72BD8F5C" w14:textId="77777777" w:rsidR="00D31096" w:rsidRPr="002B3438" w:rsidRDefault="00D31096" w:rsidP="00EB263B">
      <w:pPr>
        <w:rPr>
          <w:sz w:val="22"/>
          <w:szCs w:val="22"/>
        </w:rPr>
      </w:pPr>
      <w:r w:rsidRPr="002B3438">
        <w:rPr>
          <w:sz w:val="22"/>
          <w:szCs w:val="22"/>
        </w:rPr>
        <w:t>Putnam SE, Scutt AM, Bicknell K, Priestley CM, Williamson EM. 2007. Natural</w:t>
      </w:r>
    </w:p>
    <w:p w14:paraId="6D31C22B" w14:textId="77777777" w:rsidR="00D31096" w:rsidRPr="002B3438" w:rsidRDefault="00D31096" w:rsidP="00D31096">
      <w:pPr>
        <w:ind w:left="405"/>
        <w:rPr>
          <w:sz w:val="22"/>
          <w:szCs w:val="22"/>
        </w:rPr>
      </w:pPr>
      <w:r w:rsidRPr="002B3438">
        <w:rPr>
          <w:sz w:val="22"/>
          <w:szCs w:val="22"/>
        </w:rPr>
        <w:t>products as alternative treatments for metabolic bone disorders and for maintenance of bone health. Physiotherapy Research 21:99-112.</w:t>
      </w:r>
    </w:p>
    <w:p w14:paraId="28F2CE4E" w14:textId="77777777" w:rsidR="00D31096" w:rsidRPr="002B3438" w:rsidRDefault="00D31096" w:rsidP="00EB263B">
      <w:pPr>
        <w:rPr>
          <w:sz w:val="22"/>
          <w:szCs w:val="22"/>
        </w:rPr>
      </w:pPr>
    </w:p>
    <w:p w14:paraId="05E1425B" w14:textId="77777777" w:rsidR="00F622C7" w:rsidRPr="002B3438" w:rsidRDefault="00F622C7" w:rsidP="00F622C7">
      <w:pPr>
        <w:autoSpaceDE w:val="0"/>
        <w:autoSpaceDN w:val="0"/>
        <w:adjustRightInd w:val="0"/>
        <w:rPr>
          <w:rFonts w:eastAsia="Calibri"/>
          <w:color w:val="231F20"/>
          <w:sz w:val="22"/>
          <w:szCs w:val="22"/>
        </w:rPr>
      </w:pPr>
      <w:r w:rsidRPr="002B3438">
        <w:rPr>
          <w:rFonts w:eastAsia="Calibri"/>
          <w:color w:val="231F20"/>
          <w:sz w:val="22"/>
          <w:szCs w:val="22"/>
        </w:rPr>
        <w:t xml:space="preserve">Raab DM, Crenshaw TD, Kimmel DB, Smith EL. 1991. A histomorphometric study of cortical </w:t>
      </w:r>
    </w:p>
    <w:p w14:paraId="2DBB637E" w14:textId="77777777" w:rsidR="00F622C7" w:rsidRPr="002B3438" w:rsidRDefault="006A3BEE" w:rsidP="00F622C7">
      <w:pPr>
        <w:autoSpaceDE w:val="0"/>
        <w:autoSpaceDN w:val="0"/>
        <w:adjustRightInd w:val="0"/>
        <w:rPr>
          <w:rFonts w:eastAsia="Calibri"/>
          <w:color w:val="231F20"/>
          <w:sz w:val="22"/>
          <w:szCs w:val="22"/>
        </w:rPr>
      </w:pPr>
      <w:r>
        <w:rPr>
          <w:rFonts w:eastAsia="Calibri"/>
          <w:color w:val="231F20"/>
          <w:sz w:val="22"/>
          <w:szCs w:val="22"/>
        </w:rPr>
        <w:t xml:space="preserve">  </w:t>
      </w:r>
      <w:r w:rsidR="00F622C7" w:rsidRPr="002B3438">
        <w:rPr>
          <w:rFonts w:eastAsia="Calibri"/>
          <w:color w:val="231F20"/>
          <w:sz w:val="22"/>
          <w:szCs w:val="22"/>
        </w:rPr>
        <w:t>bone activity during increased weight-bearing exercise. J Bone Miner Res 6:741–749.</w:t>
      </w:r>
    </w:p>
    <w:p w14:paraId="08E4A8BA" w14:textId="77777777" w:rsidR="00F622C7" w:rsidRPr="002B3438" w:rsidRDefault="00F622C7" w:rsidP="00F622C7">
      <w:pPr>
        <w:rPr>
          <w:sz w:val="22"/>
          <w:szCs w:val="22"/>
        </w:rPr>
      </w:pPr>
    </w:p>
    <w:p w14:paraId="472993C7" w14:textId="77777777" w:rsidR="00DF678C" w:rsidRPr="002B3438" w:rsidRDefault="00DF678C" w:rsidP="00EB263B">
      <w:pPr>
        <w:rPr>
          <w:color w:val="000000"/>
          <w:sz w:val="22"/>
          <w:szCs w:val="22"/>
        </w:rPr>
      </w:pPr>
      <w:r w:rsidRPr="002B3438">
        <w:rPr>
          <w:sz w:val="22"/>
          <w:szCs w:val="22"/>
          <w:lang w:val="en-GB"/>
        </w:rPr>
        <w:t xml:space="preserve">Ragauskienė R. 2004. </w:t>
      </w:r>
      <w:r w:rsidRPr="002B3438">
        <w:rPr>
          <w:color w:val="000000"/>
          <w:sz w:val="22"/>
          <w:szCs w:val="22"/>
        </w:rPr>
        <w:t>Karališkojo Birštono praeitis. Istorinė raida iki XIX a., Vilnius, 2004.</w:t>
      </w:r>
    </w:p>
    <w:p w14:paraId="21171994" w14:textId="77777777" w:rsidR="00DF678C" w:rsidRPr="002B3438" w:rsidRDefault="00DF678C" w:rsidP="00EB263B">
      <w:pPr>
        <w:rPr>
          <w:sz w:val="22"/>
          <w:szCs w:val="22"/>
        </w:rPr>
      </w:pPr>
    </w:p>
    <w:p w14:paraId="0E3D05E8" w14:textId="77777777" w:rsidR="00D31096" w:rsidRPr="002B3438" w:rsidRDefault="00EB263B" w:rsidP="00EB263B">
      <w:pPr>
        <w:rPr>
          <w:sz w:val="22"/>
          <w:szCs w:val="22"/>
        </w:rPr>
      </w:pPr>
      <w:r w:rsidRPr="002B3438">
        <w:rPr>
          <w:sz w:val="22"/>
          <w:szCs w:val="22"/>
        </w:rPr>
        <w:t xml:space="preserve">Raisz LG. 1999. Physiology and pathophysiology of bone remodeling. Clinical Chemistry </w:t>
      </w:r>
    </w:p>
    <w:p w14:paraId="56183F2A" w14:textId="77777777" w:rsidR="00EB263B" w:rsidRPr="002B3438" w:rsidRDefault="006A3BEE" w:rsidP="00D31096">
      <w:pPr>
        <w:rPr>
          <w:sz w:val="22"/>
          <w:szCs w:val="22"/>
        </w:rPr>
      </w:pPr>
      <w:r>
        <w:rPr>
          <w:sz w:val="22"/>
          <w:szCs w:val="22"/>
        </w:rPr>
        <w:t xml:space="preserve">  </w:t>
      </w:r>
      <w:r w:rsidR="00EB263B" w:rsidRPr="002B3438">
        <w:rPr>
          <w:sz w:val="22"/>
          <w:szCs w:val="22"/>
        </w:rPr>
        <w:t>45:1353-1358.</w:t>
      </w:r>
    </w:p>
    <w:p w14:paraId="7B3C1CB3" w14:textId="77777777" w:rsidR="006A0BA5" w:rsidRPr="002B3438" w:rsidRDefault="006A0BA5" w:rsidP="00EB263B">
      <w:pPr>
        <w:rPr>
          <w:sz w:val="22"/>
          <w:szCs w:val="22"/>
        </w:rPr>
      </w:pPr>
    </w:p>
    <w:p w14:paraId="4C25F530" w14:textId="77777777" w:rsidR="00DF551F" w:rsidRPr="002B3438" w:rsidRDefault="00DF551F" w:rsidP="00DF551F">
      <w:pPr>
        <w:rPr>
          <w:sz w:val="22"/>
          <w:szCs w:val="22"/>
        </w:rPr>
      </w:pPr>
      <w:r w:rsidRPr="002B3438">
        <w:rPr>
          <w:sz w:val="22"/>
          <w:szCs w:val="22"/>
        </w:rPr>
        <w:t>Ratha SN, Mahakud NK. 1988. The Kisan children at work: Data from a west Orissa village. Man in India, Vol. I.</w:t>
      </w:r>
    </w:p>
    <w:p w14:paraId="673C1D82" w14:textId="77777777" w:rsidR="00DF551F" w:rsidRPr="002B3438" w:rsidRDefault="00DF551F" w:rsidP="00DF551F">
      <w:pPr>
        <w:rPr>
          <w:sz w:val="22"/>
          <w:szCs w:val="22"/>
        </w:rPr>
      </w:pPr>
    </w:p>
    <w:p w14:paraId="0844F3B9" w14:textId="77777777" w:rsidR="006E23CC" w:rsidRPr="002B3438" w:rsidRDefault="006A0BA5" w:rsidP="006A0BA5">
      <w:pPr>
        <w:rPr>
          <w:sz w:val="22"/>
          <w:szCs w:val="22"/>
        </w:rPr>
      </w:pPr>
      <w:r w:rsidRPr="002B3438">
        <w:rPr>
          <w:sz w:val="22"/>
          <w:szCs w:val="22"/>
        </w:rPr>
        <w:t>Rauch F, Schönau E. 2001. The developing bone: slave or mas</w:t>
      </w:r>
      <w:r w:rsidR="006E23CC" w:rsidRPr="002B3438">
        <w:rPr>
          <w:sz w:val="22"/>
          <w:szCs w:val="22"/>
        </w:rPr>
        <w:t>ter of its cells and molecules?</w:t>
      </w:r>
    </w:p>
    <w:p w14:paraId="5846BE79" w14:textId="77777777" w:rsidR="006A0BA5" w:rsidRPr="002B3438" w:rsidRDefault="000F4AF0" w:rsidP="006E23CC">
      <w:pPr>
        <w:ind w:firstLine="360"/>
        <w:rPr>
          <w:sz w:val="22"/>
          <w:szCs w:val="22"/>
        </w:rPr>
      </w:pPr>
      <w:r w:rsidRPr="002B3438">
        <w:rPr>
          <w:sz w:val="22"/>
          <w:szCs w:val="22"/>
        </w:rPr>
        <w:t>Pediatr</w:t>
      </w:r>
      <w:r w:rsidR="006A0BA5" w:rsidRPr="002B3438">
        <w:rPr>
          <w:sz w:val="22"/>
          <w:szCs w:val="22"/>
        </w:rPr>
        <w:t xml:space="preserve"> </w:t>
      </w:r>
      <w:r w:rsidRPr="002B3438">
        <w:rPr>
          <w:sz w:val="22"/>
          <w:szCs w:val="22"/>
        </w:rPr>
        <w:t>Res</w:t>
      </w:r>
      <w:r w:rsidR="006A0BA5" w:rsidRPr="002B3438">
        <w:rPr>
          <w:sz w:val="22"/>
          <w:szCs w:val="22"/>
        </w:rPr>
        <w:t>50:309-314.</w:t>
      </w:r>
    </w:p>
    <w:p w14:paraId="2D05FFA0" w14:textId="77777777" w:rsidR="00EB263B" w:rsidRPr="002B3438" w:rsidRDefault="00EB263B" w:rsidP="00D10DB1">
      <w:pPr>
        <w:widowControl w:val="0"/>
        <w:autoSpaceDE w:val="0"/>
        <w:autoSpaceDN w:val="0"/>
        <w:adjustRightInd w:val="0"/>
        <w:ind w:left="360" w:hanging="360"/>
        <w:rPr>
          <w:sz w:val="22"/>
          <w:szCs w:val="22"/>
        </w:rPr>
      </w:pPr>
    </w:p>
    <w:p w14:paraId="5A2C6488" w14:textId="77777777" w:rsidR="000F4AF0" w:rsidRPr="002B3438" w:rsidRDefault="000F4AF0" w:rsidP="00D10DB1">
      <w:pPr>
        <w:widowControl w:val="0"/>
        <w:autoSpaceDE w:val="0"/>
        <w:autoSpaceDN w:val="0"/>
        <w:adjustRightInd w:val="0"/>
        <w:ind w:left="360" w:hanging="360"/>
        <w:rPr>
          <w:sz w:val="22"/>
          <w:szCs w:val="22"/>
        </w:rPr>
      </w:pPr>
      <w:r w:rsidRPr="002B3438">
        <w:rPr>
          <w:sz w:val="22"/>
          <w:szCs w:val="22"/>
        </w:rPr>
        <w:t>Reilly DT and Burstein AH. 1974. The mechanical properties of cortical bone. J Bone Joint Surg 56A:1001-1021.</w:t>
      </w:r>
    </w:p>
    <w:p w14:paraId="74199337" w14:textId="77777777" w:rsidR="000F4AF0" w:rsidRPr="002B3438" w:rsidRDefault="000F4AF0" w:rsidP="00D10DB1">
      <w:pPr>
        <w:widowControl w:val="0"/>
        <w:autoSpaceDE w:val="0"/>
        <w:autoSpaceDN w:val="0"/>
        <w:adjustRightInd w:val="0"/>
        <w:ind w:left="360" w:hanging="360"/>
        <w:rPr>
          <w:sz w:val="22"/>
          <w:szCs w:val="22"/>
        </w:rPr>
      </w:pPr>
    </w:p>
    <w:p w14:paraId="14318EB5" w14:textId="77777777" w:rsidR="000F4AF0" w:rsidRPr="002B3438" w:rsidRDefault="000F4AF0" w:rsidP="000F4AF0">
      <w:pPr>
        <w:pStyle w:val="CommentText"/>
        <w:rPr>
          <w:sz w:val="22"/>
          <w:szCs w:val="22"/>
        </w:rPr>
      </w:pPr>
      <w:r w:rsidRPr="002B3438">
        <w:rPr>
          <w:sz w:val="22"/>
          <w:szCs w:val="22"/>
        </w:rPr>
        <w:t>Reilly DT and Burstein AH. 1975. The elastic and ultimate properties of compact bone tissue. J</w:t>
      </w:r>
    </w:p>
    <w:p w14:paraId="4C3C749E" w14:textId="77777777" w:rsidR="000F4AF0" w:rsidRPr="002B3438" w:rsidRDefault="000F4AF0" w:rsidP="000F4AF0">
      <w:pPr>
        <w:pStyle w:val="CommentText"/>
        <w:ind w:firstLine="360"/>
        <w:rPr>
          <w:sz w:val="22"/>
          <w:szCs w:val="22"/>
        </w:rPr>
      </w:pPr>
      <w:r w:rsidRPr="002B3438">
        <w:rPr>
          <w:sz w:val="22"/>
          <w:szCs w:val="22"/>
        </w:rPr>
        <w:t>Biomech 8:393-405.</w:t>
      </w:r>
    </w:p>
    <w:p w14:paraId="4652BA73" w14:textId="77777777" w:rsidR="000F4AF0" w:rsidRPr="002B3438" w:rsidRDefault="000F4AF0" w:rsidP="000F4AF0">
      <w:pPr>
        <w:widowControl w:val="0"/>
        <w:autoSpaceDE w:val="0"/>
        <w:autoSpaceDN w:val="0"/>
        <w:adjustRightInd w:val="0"/>
        <w:ind w:left="360" w:hanging="360"/>
        <w:rPr>
          <w:sz w:val="22"/>
          <w:szCs w:val="22"/>
        </w:rPr>
      </w:pPr>
    </w:p>
    <w:p w14:paraId="6EC79A94"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Reilly GC, Currey JD, Goodship AE. 1997. Exercise of young thoroughbred horses increases </w:t>
      </w:r>
    </w:p>
    <w:p w14:paraId="7A820092" w14:textId="77777777" w:rsidR="00657E55" w:rsidRPr="002B3438" w:rsidRDefault="00657E55" w:rsidP="00657E55">
      <w:pPr>
        <w:autoSpaceDE w:val="0"/>
        <w:autoSpaceDN w:val="0"/>
        <w:adjustRightInd w:val="0"/>
        <w:ind w:firstLine="360"/>
        <w:rPr>
          <w:rFonts w:eastAsia="NewCenturySchlbk-Roman"/>
          <w:sz w:val="22"/>
          <w:szCs w:val="22"/>
        </w:rPr>
      </w:pPr>
      <w:r w:rsidRPr="002B3438">
        <w:rPr>
          <w:rFonts w:eastAsia="NewCenturySchlbk-Roman"/>
          <w:sz w:val="22"/>
          <w:szCs w:val="22"/>
        </w:rPr>
        <w:t>impact strength of the third metacarpal bone. J Orthop Res 15:862–868.</w:t>
      </w:r>
    </w:p>
    <w:p w14:paraId="685CD4F3" w14:textId="77777777" w:rsidR="00657E55" w:rsidRPr="002B3438" w:rsidRDefault="00657E55" w:rsidP="00D10DB1">
      <w:pPr>
        <w:widowControl w:val="0"/>
        <w:autoSpaceDE w:val="0"/>
        <w:autoSpaceDN w:val="0"/>
        <w:adjustRightInd w:val="0"/>
        <w:ind w:left="360" w:hanging="360"/>
        <w:rPr>
          <w:sz w:val="22"/>
          <w:szCs w:val="22"/>
        </w:rPr>
      </w:pPr>
    </w:p>
    <w:p w14:paraId="4C626E7B" w14:textId="77777777" w:rsidR="0012412D" w:rsidRDefault="0012412D" w:rsidP="00D10DB1">
      <w:pPr>
        <w:widowControl w:val="0"/>
        <w:autoSpaceDE w:val="0"/>
        <w:autoSpaceDN w:val="0"/>
        <w:adjustRightInd w:val="0"/>
        <w:ind w:left="360" w:hanging="360"/>
        <w:rPr>
          <w:sz w:val="22"/>
          <w:szCs w:val="22"/>
        </w:rPr>
      </w:pPr>
      <w:r w:rsidRPr="002B3438">
        <w:rPr>
          <w:sz w:val="22"/>
          <w:szCs w:val="22"/>
        </w:rPr>
        <w:t>Richman E, Orter D, Schulter-Ellis F. 1979. Differences in intracortical bone remodeling in three aboriginal American populations: possible dietary factors. Calcif Tiss Int 28:209-214.</w:t>
      </w:r>
    </w:p>
    <w:p w14:paraId="7735365A" w14:textId="77777777" w:rsidR="00D40D10" w:rsidRPr="002B3438" w:rsidRDefault="00D40D10" w:rsidP="00D10DB1">
      <w:pPr>
        <w:widowControl w:val="0"/>
        <w:autoSpaceDE w:val="0"/>
        <w:autoSpaceDN w:val="0"/>
        <w:adjustRightInd w:val="0"/>
        <w:ind w:left="360" w:hanging="360"/>
        <w:rPr>
          <w:sz w:val="22"/>
          <w:szCs w:val="22"/>
        </w:rPr>
      </w:pPr>
    </w:p>
    <w:p w14:paraId="4F731A73" w14:textId="77777777" w:rsidR="004F008F" w:rsidRPr="002B3438" w:rsidRDefault="004F008F" w:rsidP="004F008F">
      <w:pPr>
        <w:autoSpaceDE w:val="0"/>
        <w:autoSpaceDN w:val="0"/>
        <w:adjustRightInd w:val="0"/>
        <w:rPr>
          <w:rFonts w:eastAsia="NewCenturySchlbk-Roman"/>
          <w:color w:val="231F20"/>
          <w:sz w:val="22"/>
          <w:szCs w:val="22"/>
        </w:rPr>
      </w:pPr>
      <w:r w:rsidRPr="002B3438">
        <w:rPr>
          <w:rFonts w:eastAsia="NewCenturySchlbk-Roman"/>
          <w:color w:val="231F20"/>
          <w:sz w:val="22"/>
          <w:szCs w:val="22"/>
        </w:rPr>
        <w:lastRenderedPageBreak/>
        <w:t>Riggs CM, Vaughan LC, Evans GP, Lanyon LE, Boyde A. 1993. Mechanical implications of collagen fibre orientation in cortical bone of the equine radius. Anat Embryol (Berl) 187:239–248.</w:t>
      </w:r>
    </w:p>
    <w:p w14:paraId="0DCA7C15" w14:textId="77777777" w:rsidR="004F008F" w:rsidRPr="002B3438" w:rsidRDefault="004F008F" w:rsidP="004F008F">
      <w:pPr>
        <w:widowControl w:val="0"/>
        <w:autoSpaceDE w:val="0"/>
        <w:autoSpaceDN w:val="0"/>
        <w:adjustRightInd w:val="0"/>
        <w:ind w:left="360" w:hanging="360"/>
        <w:rPr>
          <w:sz w:val="22"/>
          <w:szCs w:val="22"/>
        </w:rPr>
      </w:pPr>
    </w:p>
    <w:p w14:paraId="2C06DDFD" w14:textId="77777777" w:rsidR="001D48B2" w:rsidRPr="002B3438" w:rsidRDefault="001D48B2" w:rsidP="004F008F">
      <w:pPr>
        <w:widowControl w:val="0"/>
        <w:autoSpaceDE w:val="0"/>
        <w:autoSpaceDN w:val="0"/>
        <w:adjustRightInd w:val="0"/>
        <w:ind w:left="360" w:hanging="360"/>
        <w:rPr>
          <w:sz w:val="22"/>
          <w:szCs w:val="22"/>
        </w:rPr>
      </w:pPr>
      <w:r w:rsidRPr="002B3438">
        <w:rPr>
          <w:sz w:val="22"/>
          <w:szCs w:val="22"/>
        </w:rPr>
        <w:t>Rizzoli R, Bonjour JP. 1999. Determinants of peak bone mass and mechanisms of bone loss. Osteoporos Int 2:S17-S23</w:t>
      </w:r>
    </w:p>
    <w:p w14:paraId="1E7EFAC5" w14:textId="77777777" w:rsidR="001D48B2" w:rsidRPr="002B3438" w:rsidRDefault="001D48B2" w:rsidP="004F008F">
      <w:pPr>
        <w:widowControl w:val="0"/>
        <w:autoSpaceDE w:val="0"/>
        <w:autoSpaceDN w:val="0"/>
        <w:adjustRightInd w:val="0"/>
        <w:ind w:left="360" w:hanging="360"/>
        <w:rPr>
          <w:sz w:val="22"/>
          <w:szCs w:val="22"/>
        </w:rPr>
      </w:pPr>
    </w:p>
    <w:p w14:paraId="08671277" w14:textId="77777777" w:rsidR="00EB263B" w:rsidRPr="002B3438" w:rsidRDefault="00EB263B" w:rsidP="00EB263B">
      <w:pPr>
        <w:ind w:left="360" w:hanging="360"/>
        <w:rPr>
          <w:sz w:val="22"/>
          <w:szCs w:val="22"/>
        </w:rPr>
      </w:pPr>
      <w:r w:rsidRPr="002B3438">
        <w:rPr>
          <w:sz w:val="22"/>
          <w:szCs w:val="22"/>
        </w:rPr>
        <w:t>Rizzoli R, Bianchi ML, Garabédian M, McKay HA, Moreno LA. 2010. Maximizing bone mineral mass gain during growth for the prevention of fractures in the adolescents and the elderly. Bone 46:294-305.</w:t>
      </w:r>
    </w:p>
    <w:p w14:paraId="753C09DD" w14:textId="77777777" w:rsidR="001D48B2" w:rsidRPr="002B3438" w:rsidRDefault="001D48B2" w:rsidP="00D10DB1">
      <w:pPr>
        <w:autoSpaceDE w:val="0"/>
        <w:autoSpaceDN w:val="0"/>
        <w:adjustRightInd w:val="0"/>
        <w:ind w:left="360" w:hanging="360"/>
        <w:rPr>
          <w:sz w:val="22"/>
          <w:szCs w:val="22"/>
        </w:rPr>
      </w:pPr>
    </w:p>
    <w:p w14:paraId="1B534AB0" w14:textId="77777777" w:rsidR="000F4AF0" w:rsidRPr="002B3438" w:rsidRDefault="002F0E0A" w:rsidP="000F4AF0">
      <w:pPr>
        <w:autoSpaceDE w:val="0"/>
        <w:autoSpaceDN w:val="0"/>
        <w:adjustRightInd w:val="0"/>
        <w:rPr>
          <w:rFonts w:eastAsia="Calibri"/>
          <w:sz w:val="22"/>
          <w:szCs w:val="22"/>
        </w:rPr>
      </w:pPr>
      <w:r w:rsidRPr="002B3438">
        <w:rPr>
          <w:rFonts w:eastAsia="Calibri"/>
          <w:sz w:val="22"/>
          <w:szCs w:val="22"/>
        </w:rPr>
        <w:t>Robling AR, Stout SD. 1999. Morphology of the drifting osteons. Cells Tissues Organs 164:192–</w:t>
      </w:r>
    </w:p>
    <w:p w14:paraId="65650EE3" w14:textId="77777777" w:rsidR="002F0E0A" w:rsidRPr="002B3438" w:rsidRDefault="002F0E0A" w:rsidP="000F4AF0">
      <w:pPr>
        <w:autoSpaceDE w:val="0"/>
        <w:autoSpaceDN w:val="0"/>
        <w:adjustRightInd w:val="0"/>
        <w:ind w:firstLine="360"/>
        <w:rPr>
          <w:rFonts w:eastAsia="Calibri"/>
          <w:sz w:val="22"/>
          <w:szCs w:val="22"/>
        </w:rPr>
      </w:pPr>
      <w:r w:rsidRPr="002B3438">
        <w:rPr>
          <w:rFonts w:eastAsia="Calibri"/>
          <w:sz w:val="22"/>
          <w:szCs w:val="22"/>
        </w:rPr>
        <w:t>204.</w:t>
      </w:r>
    </w:p>
    <w:p w14:paraId="70F90935" w14:textId="77777777" w:rsidR="002F0E0A" w:rsidRPr="002B3438" w:rsidRDefault="002F0E0A" w:rsidP="002F0E0A">
      <w:pPr>
        <w:autoSpaceDE w:val="0"/>
        <w:autoSpaceDN w:val="0"/>
        <w:adjustRightInd w:val="0"/>
        <w:ind w:left="360" w:hanging="360"/>
        <w:rPr>
          <w:sz w:val="22"/>
          <w:szCs w:val="22"/>
        </w:rPr>
      </w:pPr>
    </w:p>
    <w:p w14:paraId="1CE321EE" w14:textId="77777777" w:rsidR="00772C78" w:rsidRPr="002B3438" w:rsidRDefault="00772C78" w:rsidP="00772C78">
      <w:pPr>
        <w:autoSpaceDE w:val="0"/>
        <w:autoSpaceDN w:val="0"/>
        <w:adjustRightInd w:val="0"/>
        <w:ind w:left="360" w:hanging="360"/>
        <w:rPr>
          <w:sz w:val="22"/>
          <w:szCs w:val="22"/>
        </w:rPr>
      </w:pPr>
      <w:r w:rsidRPr="002B3438">
        <w:rPr>
          <w:sz w:val="22"/>
          <w:szCs w:val="22"/>
        </w:rPr>
        <w:t>Robling AG, Stout SD. 2000. Methods of determining age at death using bone microstructure. In Biological Anthropology of the Human Skeleton, edited by MA Ka</w:t>
      </w:r>
      <w:r w:rsidR="001B27F1" w:rsidRPr="002B3438">
        <w:rPr>
          <w:sz w:val="22"/>
          <w:szCs w:val="22"/>
        </w:rPr>
        <w:t xml:space="preserve">tzenberg and SR Saunders, </w:t>
      </w:r>
      <w:r w:rsidRPr="002B3438">
        <w:rPr>
          <w:sz w:val="22"/>
          <w:szCs w:val="22"/>
        </w:rPr>
        <w:t>p. 187-205. Wiley-Liss, New York.</w:t>
      </w:r>
    </w:p>
    <w:p w14:paraId="50995BAF" w14:textId="77777777" w:rsidR="00772C78" w:rsidRPr="002B3438" w:rsidRDefault="00772C78" w:rsidP="00772C78">
      <w:pPr>
        <w:autoSpaceDE w:val="0"/>
        <w:autoSpaceDN w:val="0"/>
        <w:adjustRightInd w:val="0"/>
        <w:ind w:left="360" w:hanging="360"/>
        <w:rPr>
          <w:sz w:val="22"/>
          <w:szCs w:val="22"/>
        </w:rPr>
      </w:pPr>
    </w:p>
    <w:p w14:paraId="265F3991" w14:textId="77777777" w:rsidR="000F68E5" w:rsidRPr="002B3438" w:rsidRDefault="000F68E5" w:rsidP="00D10DB1">
      <w:pPr>
        <w:autoSpaceDE w:val="0"/>
        <w:autoSpaceDN w:val="0"/>
        <w:adjustRightInd w:val="0"/>
        <w:ind w:left="360" w:hanging="360"/>
        <w:rPr>
          <w:sz w:val="22"/>
          <w:szCs w:val="22"/>
        </w:rPr>
      </w:pPr>
      <w:r w:rsidRPr="002B3438">
        <w:rPr>
          <w:sz w:val="22"/>
          <w:szCs w:val="22"/>
        </w:rPr>
        <w:t>Robling AG, Burr DB, Turner CH. 2000. Partitioning a daily mechanical stimulus into discrete loading bouts improves the osteogenic response to loading. J Bone Miner Res 15:1596-1602.</w:t>
      </w:r>
    </w:p>
    <w:p w14:paraId="2E304638" w14:textId="77777777" w:rsidR="000F68E5" w:rsidRPr="002B3438" w:rsidRDefault="000F68E5" w:rsidP="00D10DB1">
      <w:pPr>
        <w:autoSpaceDE w:val="0"/>
        <w:autoSpaceDN w:val="0"/>
        <w:adjustRightInd w:val="0"/>
        <w:ind w:left="360" w:hanging="360"/>
        <w:rPr>
          <w:sz w:val="22"/>
          <w:szCs w:val="22"/>
        </w:rPr>
      </w:pPr>
    </w:p>
    <w:p w14:paraId="0D02A452" w14:textId="77777777" w:rsidR="006E23CC" w:rsidRPr="002B3438" w:rsidRDefault="006E23CC" w:rsidP="006E23CC">
      <w:pPr>
        <w:autoSpaceDE w:val="0"/>
        <w:autoSpaceDN w:val="0"/>
        <w:adjustRightInd w:val="0"/>
        <w:rPr>
          <w:rFonts w:eastAsia="JansonText-Roman"/>
          <w:color w:val="231F20"/>
          <w:sz w:val="22"/>
          <w:szCs w:val="22"/>
        </w:rPr>
      </w:pPr>
      <w:r w:rsidRPr="002B3438">
        <w:rPr>
          <w:rFonts w:eastAsia="JansonText-Roman"/>
          <w:color w:val="231F20"/>
          <w:sz w:val="22"/>
          <w:szCs w:val="22"/>
        </w:rPr>
        <w:t>Robling AG, Burr DB, Turner CH. 2001. Recovery periods restore mechanosensitivity to</w:t>
      </w:r>
    </w:p>
    <w:p w14:paraId="39668653" w14:textId="77777777" w:rsidR="006E23CC" w:rsidRPr="002B3438" w:rsidRDefault="006A3BEE" w:rsidP="006E23CC">
      <w:pPr>
        <w:autoSpaceDE w:val="0"/>
        <w:autoSpaceDN w:val="0"/>
        <w:adjustRightInd w:val="0"/>
        <w:rPr>
          <w:rFonts w:eastAsia="JansonText-Roman"/>
          <w:color w:val="231F20"/>
          <w:sz w:val="22"/>
          <w:szCs w:val="22"/>
        </w:rPr>
      </w:pPr>
      <w:r>
        <w:rPr>
          <w:rFonts w:eastAsia="JansonText-Roman"/>
          <w:color w:val="231F20"/>
          <w:sz w:val="22"/>
          <w:szCs w:val="22"/>
        </w:rPr>
        <w:t xml:space="preserve">  </w:t>
      </w:r>
      <w:r w:rsidR="006E23CC" w:rsidRPr="002B3438">
        <w:rPr>
          <w:rFonts w:eastAsia="JansonText-Roman"/>
          <w:color w:val="231F20"/>
          <w:sz w:val="22"/>
          <w:szCs w:val="22"/>
        </w:rPr>
        <w:t xml:space="preserve">dynamically loaded bone. </w:t>
      </w:r>
      <w:r w:rsidR="00772C78" w:rsidRPr="002B3438">
        <w:rPr>
          <w:rFonts w:eastAsia="JansonText-Roman"/>
          <w:iCs/>
          <w:color w:val="231F20"/>
          <w:sz w:val="22"/>
          <w:szCs w:val="22"/>
        </w:rPr>
        <w:t>J Exp Biol</w:t>
      </w:r>
      <w:r w:rsidR="006E23CC" w:rsidRPr="002B3438">
        <w:rPr>
          <w:rFonts w:eastAsia="JansonText-Roman"/>
          <w:iCs/>
          <w:color w:val="231F20"/>
          <w:sz w:val="22"/>
          <w:szCs w:val="22"/>
        </w:rPr>
        <w:t xml:space="preserve"> </w:t>
      </w:r>
      <w:r w:rsidR="006E23CC" w:rsidRPr="002B3438">
        <w:rPr>
          <w:rFonts w:eastAsia="JansonText-Roman"/>
          <w:color w:val="231F20"/>
          <w:sz w:val="22"/>
          <w:szCs w:val="22"/>
        </w:rPr>
        <w:t>204:3389–99</w:t>
      </w:r>
      <w:r w:rsidR="00772C78" w:rsidRPr="002B3438">
        <w:rPr>
          <w:rFonts w:eastAsia="JansonText-Roman"/>
          <w:color w:val="231F20"/>
          <w:sz w:val="22"/>
          <w:szCs w:val="22"/>
        </w:rPr>
        <w:t>.</w:t>
      </w:r>
    </w:p>
    <w:p w14:paraId="2D3C0242" w14:textId="77777777" w:rsidR="006E23CC" w:rsidRPr="002B3438" w:rsidRDefault="006E23CC" w:rsidP="006E23CC">
      <w:pPr>
        <w:autoSpaceDE w:val="0"/>
        <w:autoSpaceDN w:val="0"/>
        <w:adjustRightInd w:val="0"/>
        <w:rPr>
          <w:rFonts w:eastAsia="JansonText-Roman"/>
          <w:color w:val="231F20"/>
          <w:sz w:val="22"/>
          <w:szCs w:val="22"/>
        </w:rPr>
      </w:pPr>
    </w:p>
    <w:p w14:paraId="722F6B3A" w14:textId="77777777" w:rsidR="006E23CC" w:rsidRPr="002B3438" w:rsidRDefault="006E23CC" w:rsidP="006E23CC">
      <w:pPr>
        <w:autoSpaceDE w:val="0"/>
        <w:autoSpaceDN w:val="0"/>
        <w:adjustRightInd w:val="0"/>
        <w:ind w:left="360" w:hanging="360"/>
        <w:rPr>
          <w:sz w:val="22"/>
          <w:szCs w:val="22"/>
        </w:rPr>
      </w:pPr>
      <w:r w:rsidRPr="002B3438">
        <w:rPr>
          <w:sz w:val="22"/>
          <w:szCs w:val="22"/>
        </w:rPr>
        <w:t xml:space="preserve">Robling A, Castillo AB, Turner CH. 2006. Biomechanical and molecular regulation of bone remodeling. Ann Rev Biomed Eng 8:455-498. </w:t>
      </w:r>
    </w:p>
    <w:p w14:paraId="20317454" w14:textId="77777777" w:rsidR="006E23CC" w:rsidRPr="002B3438" w:rsidRDefault="006E23CC" w:rsidP="006E23CC">
      <w:pPr>
        <w:autoSpaceDE w:val="0"/>
        <w:autoSpaceDN w:val="0"/>
        <w:adjustRightInd w:val="0"/>
        <w:ind w:left="360" w:hanging="360"/>
        <w:rPr>
          <w:sz w:val="22"/>
          <w:szCs w:val="22"/>
        </w:rPr>
      </w:pPr>
    </w:p>
    <w:p w14:paraId="24486F7E" w14:textId="77777777" w:rsidR="00057DEB" w:rsidRPr="002B3438" w:rsidRDefault="00057DEB" w:rsidP="006E23CC">
      <w:pPr>
        <w:autoSpaceDE w:val="0"/>
        <w:autoSpaceDN w:val="0"/>
        <w:adjustRightInd w:val="0"/>
        <w:ind w:left="360" w:hanging="360"/>
        <w:rPr>
          <w:sz w:val="22"/>
          <w:szCs w:val="22"/>
        </w:rPr>
      </w:pPr>
      <w:r w:rsidRPr="002B3438">
        <w:rPr>
          <w:sz w:val="22"/>
          <w:szCs w:val="22"/>
        </w:rPr>
        <w:t xml:space="preserve">Rosenbaum Chou TG, Child JR, Naughtin RJ, Rigdon RR, Schumann C, Bloebaum RD. </w:t>
      </w:r>
      <w:r w:rsidR="007E530D" w:rsidRPr="002B3438">
        <w:rPr>
          <w:sz w:val="22"/>
          <w:szCs w:val="22"/>
        </w:rPr>
        <w:t xml:space="preserve">2008. </w:t>
      </w:r>
      <w:r w:rsidRPr="002B3438">
        <w:rPr>
          <w:sz w:val="22"/>
          <w:szCs w:val="22"/>
        </w:rPr>
        <w:t>The relationship between femoral periprosthetic cortical bone geometry and porosity after total hip arthoplasty. J Biomedic Mater Res A 87:107-115.</w:t>
      </w:r>
    </w:p>
    <w:p w14:paraId="09E9F85D" w14:textId="77777777" w:rsidR="00057DEB" w:rsidRPr="002B3438" w:rsidRDefault="00057DEB" w:rsidP="006E23CC">
      <w:pPr>
        <w:autoSpaceDE w:val="0"/>
        <w:autoSpaceDN w:val="0"/>
        <w:adjustRightInd w:val="0"/>
        <w:ind w:left="360" w:hanging="360"/>
        <w:rPr>
          <w:sz w:val="22"/>
          <w:szCs w:val="22"/>
        </w:rPr>
      </w:pPr>
    </w:p>
    <w:p w14:paraId="6FE9B51D" w14:textId="77777777" w:rsidR="00B14D52" w:rsidRPr="002B3438" w:rsidRDefault="00B14D52" w:rsidP="006E23CC">
      <w:pPr>
        <w:autoSpaceDE w:val="0"/>
        <w:autoSpaceDN w:val="0"/>
        <w:adjustRightInd w:val="0"/>
        <w:ind w:left="360" w:hanging="360"/>
        <w:rPr>
          <w:sz w:val="22"/>
          <w:szCs w:val="22"/>
        </w:rPr>
      </w:pPr>
      <w:r w:rsidRPr="002B3438">
        <w:rPr>
          <w:sz w:val="22"/>
          <w:szCs w:val="22"/>
        </w:rPr>
        <w:t>Ross DS. 1998. Bone disease in hyperparathyroidism. In: Aviolo LV, Krane SM, editors. Metabolic Bone Disease and Clinically Related Disorders. Third edition. San Diego: Academic Press. p 531-544.</w:t>
      </w:r>
    </w:p>
    <w:p w14:paraId="73D6159D" w14:textId="77777777" w:rsidR="00B14D52" w:rsidRPr="002B3438" w:rsidRDefault="00B14D52" w:rsidP="006E23CC">
      <w:pPr>
        <w:autoSpaceDE w:val="0"/>
        <w:autoSpaceDN w:val="0"/>
        <w:adjustRightInd w:val="0"/>
        <w:ind w:left="360" w:hanging="360"/>
        <w:rPr>
          <w:sz w:val="22"/>
          <w:szCs w:val="22"/>
        </w:rPr>
      </w:pPr>
    </w:p>
    <w:p w14:paraId="77082071" w14:textId="77777777" w:rsidR="00601B09" w:rsidRPr="002B3438" w:rsidRDefault="00601B09" w:rsidP="00601B09">
      <w:pPr>
        <w:pStyle w:val="ListParagraph"/>
        <w:autoSpaceDE w:val="0"/>
        <w:autoSpaceDN w:val="0"/>
        <w:adjustRightInd w:val="0"/>
        <w:ind w:left="0"/>
        <w:jc w:val="both"/>
        <w:rPr>
          <w:sz w:val="22"/>
          <w:szCs w:val="22"/>
          <w:lang w:val="lt-LT" w:eastAsia="lt-LT"/>
        </w:rPr>
      </w:pPr>
      <w:r w:rsidRPr="002B3438">
        <w:rPr>
          <w:sz w:val="22"/>
          <w:szCs w:val="22"/>
          <w:lang w:val="lt-LT" w:eastAsia="lt-LT"/>
        </w:rPr>
        <w:t>Rowell SC. 2001.</w:t>
      </w:r>
      <w:r w:rsidR="006A3BEE">
        <w:rPr>
          <w:sz w:val="22"/>
          <w:szCs w:val="22"/>
          <w:lang w:val="lt-LT" w:eastAsia="lt-LT"/>
        </w:rPr>
        <w:t xml:space="preserve"> </w:t>
      </w:r>
      <w:r w:rsidRPr="002B3438">
        <w:rPr>
          <w:sz w:val="22"/>
          <w:szCs w:val="22"/>
          <w:lang w:val="lt-LT" w:eastAsia="lt-LT"/>
        </w:rPr>
        <w:t xml:space="preserve">Iš viduramžių ūkų kylanti Lietuva. Pagonių imperija Rytų ir Vidurio Europoje, </w:t>
      </w:r>
    </w:p>
    <w:p w14:paraId="0DD18B5C" w14:textId="77777777" w:rsidR="00601B09" w:rsidRPr="002B3438" w:rsidRDefault="006A3BEE" w:rsidP="00601B09">
      <w:pPr>
        <w:pStyle w:val="ListParagraph"/>
        <w:autoSpaceDE w:val="0"/>
        <w:autoSpaceDN w:val="0"/>
        <w:adjustRightInd w:val="0"/>
        <w:ind w:left="0"/>
        <w:jc w:val="both"/>
        <w:rPr>
          <w:sz w:val="22"/>
          <w:szCs w:val="22"/>
          <w:lang w:val="lt-LT" w:eastAsia="lt-LT"/>
        </w:rPr>
      </w:pPr>
      <w:r>
        <w:rPr>
          <w:sz w:val="22"/>
          <w:szCs w:val="22"/>
          <w:lang w:val="lt-LT" w:eastAsia="lt-LT"/>
        </w:rPr>
        <w:t xml:space="preserve">  </w:t>
      </w:r>
      <w:r w:rsidR="00601B09" w:rsidRPr="002B3438">
        <w:rPr>
          <w:sz w:val="22"/>
          <w:szCs w:val="22"/>
          <w:lang w:val="lt-LT" w:eastAsia="lt-LT"/>
        </w:rPr>
        <w:t>1295-1345. Baltos lankos, Vilnius</w:t>
      </w:r>
    </w:p>
    <w:p w14:paraId="3ADC0916" w14:textId="77777777" w:rsidR="00601B09" w:rsidRPr="002B3438" w:rsidRDefault="00601B09" w:rsidP="006E23CC">
      <w:pPr>
        <w:autoSpaceDE w:val="0"/>
        <w:autoSpaceDN w:val="0"/>
        <w:adjustRightInd w:val="0"/>
        <w:ind w:left="360" w:hanging="360"/>
        <w:rPr>
          <w:sz w:val="22"/>
          <w:szCs w:val="22"/>
        </w:rPr>
      </w:pPr>
    </w:p>
    <w:p w14:paraId="26556178" w14:textId="77777777" w:rsidR="00E54129" w:rsidRPr="002B3438" w:rsidRDefault="00E54129" w:rsidP="00E54129">
      <w:pPr>
        <w:autoSpaceDE w:val="0"/>
        <w:autoSpaceDN w:val="0"/>
        <w:adjustRightInd w:val="0"/>
        <w:rPr>
          <w:sz w:val="22"/>
          <w:szCs w:val="22"/>
        </w:rPr>
      </w:pPr>
      <w:r w:rsidRPr="002B3438">
        <w:rPr>
          <w:sz w:val="22"/>
          <w:szCs w:val="22"/>
        </w:rPr>
        <w:t>Rubin CT, Lanyon LE. 1982. Limb mechanics as a function of speed and gait: a study of</w:t>
      </w:r>
    </w:p>
    <w:p w14:paraId="3488EF38" w14:textId="77777777" w:rsidR="00E54129" w:rsidRPr="002B3438" w:rsidRDefault="006A3BEE" w:rsidP="00E54129">
      <w:pPr>
        <w:autoSpaceDE w:val="0"/>
        <w:autoSpaceDN w:val="0"/>
        <w:adjustRightInd w:val="0"/>
        <w:ind w:left="360" w:hanging="360"/>
        <w:rPr>
          <w:sz w:val="22"/>
          <w:szCs w:val="22"/>
        </w:rPr>
      </w:pPr>
      <w:r>
        <w:rPr>
          <w:sz w:val="22"/>
          <w:szCs w:val="22"/>
        </w:rPr>
        <w:t xml:space="preserve">  </w:t>
      </w:r>
      <w:r w:rsidR="00E54129" w:rsidRPr="002B3438">
        <w:rPr>
          <w:sz w:val="22"/>
          <w:szCs w:val="22"/>
        </w:rPr>
        <w:t xml:space="preserve">functional strains in the radius and tibia of horse and dog. </w:t>
      </w:r>
      <w:r w:rsidR="00E54129" w:rsidRPr="002B3438">
        <w:rPr>
          <w:iCs/>
          <w:sz w:val="22"/>
          <w:szCs w:val="22"/>
        </w:rPr>
        <w:t>J Exp Biol</w:t>
      </w:r>
      <w:r w:rsidR="00E54129" w:rsidRPr="002B3438">
        <w:rPr>
          <w:i/>
          <w:iCs/>
          <w:sz w:val="22"/>
          <w:szCs w:val="22"/>
        </w:rPr>
        <w:t xml:space="preserve"> </w:t>
      </w:r>
      <w:r w:rsidR="00E54129" w:rsidRPr="002B3438">
        <w:rPr>
          <w:sz w:val="22"/>
          <w:szCs w:val="22"/>
        </w:rPr>
        <w:t>101: 187-211.</w:t>
      </w:r>
    </w:p>
    <w:p w14:paraId="044DFAC8" w14:textId="77777777" w:rsidR="00E54129" w:rsidRPr="002B3438" w:rsidRDefault="00E54129" w:rsidP="00E54129">
      <w:pPr>
        <w:autoSpaceDE w:val="0"/>
        <w:autoSpaceDN w:val="0"/>
        <w:adjustRightInd w:val="0"/>
        <w:ind w:left="360" w:hanging="360"/>
        <w:rPr>
          <w:sz w:val="22"/>
          <w:szCs w:val="22"/>
        </w:rPr>
      </w:pPr>
    </w:p>
    <w:p w14:paraId="3E9A906A" w14:textId="77777777" w:rsidR="00E54129" w:rsidRPr="002B3438" w:rsidRDefault="00E652A6" w:rsidP="00E652A6">
      <w:pPr>
        <w:pStyle w:val="CommentText"/>
        <w:rPr>
          <w:sz w:val="22"/>
          <w:szCs w:val="22"/>
        </w:rPr>
      </w:pPr>
      <w:r w:rsidRPr="002B3438">
        <w:rPr>
          <w:sz w:val="22"/>
          <w:szCs w:val="22"/>
        </w:rPr>
        <w:t>Rubin CT, Lanyon LE. 1984a. Dynamic strain similarity in vertebrates: an alternative to</w:t>
      </w:r>
      <w:r w:rsidR="006A3BEE">
        <w:rPr>
          <w:sz w:val="22"/>
          <w:szCs w:val="22"/>
        </w:rPr>
        <w:t xml:space="preserve"> </w:t>
      </w:r>
    </w:p>
    <w:p w14:paraId="4AA31078" w14:textId="77777777" w:rsidR="00E652A6" w:rsidRPr="002B3438" w:rsidRDefault="006A3BEE" w:rsidP="00E652A6">
      <w:pPr>
        <w:pStyle w:val="CommentText"/>
        <w:rPr>
          <w:sz w:val="22"/>
          <w:szCs w:val="22"/>
        </w:rPr>
      </w:pPr>
      <w:r>
        <w:rPr>
          <w:sz w:val="22"/>
          <w:szCs w:val="22"/>
        </w:rPr>
        <w:t xml:space="preserve">  </w:t>
      </w:r>
      <w:r w:rsidR="00E652A6" w:rsidRPr="002B3438">
        <w:rPr>
          <w:sz w:val="22"/>
          <w:szCs w:val="22"/>
        </w:rPr>
        <w:t>allometric limb bone scaling. J. Theor. Biol. 107, 321-327.</w:t>
      </w:r>
    </w:p>
    <w:p w14:paraId="6CBB9CE3" w14:textId="77777777" w:rsidR="00E652A6" w:rsidRPr="002B3438" w:rsidRDefault="00E652A6" w:rsidP="00E652A6">
      <w:pPr>
        <w:autoSpaceDE w:val="0"/>
        <w:autoSpaceDN w:val="0"/>
        <w:adjustRightInd w:val="0"/>
        <w:ind w:left="360" w:hanging="360"/>
        <w:rPr>
          <w:sz w:val="22"/>
          <w:szCs w:val="22"/>
        </w:rPr>
      </w:pPr>
    </w:p>
    <w:p w14:paraId="747EB3BD" w14:textId="77777777" w:rsidR="006A0BA5" w:rsidRPr="002B3438" w:rsidRDefault="00E652A6" w:rsidP="006A0BA5">
      <w:pPr>
        <w:autoSpaceDE w:val="0"/>
        <w:autoSpaceDN w:val="0"/>
        <w:adjustRightInd w:val="0"/>
        <w:rPr>
          <w:iCs/>
          <w:sz w:val="22"/>
          <w:szCs w:val="22"/>
        </w:rPr>
      </w:pPr>
      <w:r w:rsidRPr="002B3438">
        <w:rPr>
          <w:sz w:val="22"/>
          <w:szCs w:val="22"/>
        </w:rPr>
        <w:t>Rubin CT, Lanyon LE.</w:t>
      </w:r>
      <w:r w:rsidR="006A0BA5" w:rsidRPr="002B3438">
        <w:rPr>
          <w:sz w:val="22"/>
          <w:szCs w:val="22"/>
        </w:rPr>
        <w:t xml:space="preserve"> 1984</w:t>
      </w:r>
      <w:r w:rsidRPr="002B3438">
        <w:rPr>
          <w:sz w:val="22"/>
          <w:szCs w:val="22"/>
        </w:rPr>
        <w:t>b</w:t>
      </w:r>
      <w:r w:rsidR="006A0BA5" w:rsidRPr="002B3438">
        <w:rPr>
          <w:sz w:val="22"/>
          <w:szCs w:val="22"/>
        </w:rPr>
        <w:t xml:space="preserve">. Regulation of bone formation by applied dynamic loads. </w:t>
      </w:r>
      <w:r w:rsidR="006A0BA5" w:rsidRPr="002B3438">
        <w:rPr>
          <w:iCs/>
          <w:sz w:val="22"/>
          <w:szCs w:val="22"/>
        </w:rPr>
        <w:t>J</w:t>
      </w:r>
    </w:p>
    <w:p w14:paraId="3BC23C7E" w14:textId="77777777" w:rsidR="006A0BA5" w:rsidRPr="002B3438" w:rsidRDefault="006A0BA5" w:rsidP="006A0BA5">
      <w:pPr>
        <w:autoSpaceDE w:val="0"/>
        <w:autoSpaceDN w:val="0"/>
        <w:adjustRightInd w:val="0"/>
        <w:ind w:firstLine="360"/>
        <w:rPr>
          <w:sz w:val="22"/>
          <w:szCs w:val="22"/>
        </w:rPr>
      </w:pPr>
      <w:r w:rsidRPr="002B3438">
        <w:rPr>
          <w:iCs/>
          <w:sz w:val="22"/>
          <w:szCs w:val="22"/>
        </w:rPr>
        <w:t xml:space="preserve">Bone Joint Surg </w:t>
      </w:r>
      <w:r w:rsidRPr="002B3438">
        <w:rPr>
          <w:sz w:val="22"/>
          <w:szCs w:val="22"/>
        </w:rPr>
        <w:t>66: 367-402.</w:t>
      </w:r>
    </w:p>
    <w:p w14:paraId="259777BB" w14:textId="77777777" w:rsidR="00E652A6" w:rsidRPr="002B3438" w:rsidRDefault="00E652A6" w:rsidP="000F68E5">
      <w:pPr>
        <w:autoSpaceDE w:val="0"/>
        <w:autoSpaceDN w:val="0"/>
        <w:adjustRightInd w:val="0"/>
        <w:rPr>
          <w:sz w:val="22"/>
          <w:szCs w:val="22"/>
        </w:rPr>
      </w:pPr>
    </w:p>
    <w:p w14:paraId="3ED8FF20" w14:textId="77777777" w:rsidR="00B248DC" w:rsidRPr="002B3438" w:rsidRDefault="00B248DC" w:rsidP="00B248DC">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Rubin CT, Lanyon LE. 1985. Regulation of bone mass by mechanical strain magnitude. Calcif </w:t>
      </w:r>
    </w:p>
    <w:p w14:paraId="25C03F53" w14:textId="77777777" w:rsidR="00B248DC" w:rsidRPr="002B3438" w:rsidRDefault="006A3BEE" w:rsidP="00B248DC">
      <w:pPr>
        <w:autoSpaceDE w:val="0"/>
        <w:autoSpaceDN w:val="0"/>
        <w:adjustRightInd w:val="0"/>
        <w:rPr>
          <w:rFonts w:eastAsia="NewCenturySchlbk-Roman"/>
          <w:color w:val="231F20"/>
          <w:sz w:val="22"/>
          <w:szCs w:val="22"/>
        </w:rPr>
      </w:pPr>
      <w:r>
        <w:rPr>
          <w:rFonts w:eastAsia="NewCenturySchlbk-Roman"/>
          <w:color w:val="231F20"/>
          <w:sz w:val="22"/>
          <w:szCs w:val="22"/>
        </w:rPr>
        <w:t xml:space="preserve">  </w:t>
      </w:r>
      <w:r w:rsidR="00B248DC" w:rsidRPr="002B3438">
        <w:rPr>
          <w:rFonts w:eastAsia="NewCenturySchlbk-Roman"/>
          <w:color w:val="231F20"/>
          <w:sz w:val="22"/>
          <w:szCs w:val="22"/>
        </w:rPr>
        <w:t>Tissue Int 37:411–417.</w:t>
      </w:r>
    </w:p>
    <w:p w14:paraId="5B4A1EAE" w14:textId="77777777" w:rsidR="00B248DC" w:rsidRPr="002B3438" w:rsidRDefault="00B248DC" w:rsidP="000F68E5">
      <w:pPr>
        <w:autoSpaceDE w:val="0"/>
        <w:autoSpaceDN w:val="0"/>
        <w:adjustRightInd w:val="0"/>
        <w:rPr>
          <w:sz w:val="22"/>
          <w:szCs w:val="22"/>
        </w:rPr>
      </w:pPr>
    </w:p>
    <w:p w14:paraId="4587D6A6" w14:textId="77777777" w:rsidR="000F68E5" w:rsidRPr="002B3438" w:rsidRDefault="000F68E5" w:rsidP="000F68E5">
      <w:pPr>
        <w:autoSpaceDE w:val="0"/>
        <w:autoSpaceDN w:val="0"/>
        <w:adjustRightInd w:val="0"/>
        <w:rPr>
          <w:rFonts w:eastAsia="JansonText-Roman"/>
          <w:color w:val="231F20"/>
          <w:sz w:val="22"/>
          <w:szCs w:val="22"/>
        </w:rPr>
      </w:pPr>
      <w:r w:rsidRPr="002B3438">
        <w:rPr>
          <w:rFonts w:eastAsia="JansonText-Roman"/>
          <w:color w:val="231F20"/>
          <w:sz w:val="22"/>
          <w:szCs w:val="22"/>
        </w:rPr>
        <w:t>Rubin CT, Judex S, Hadjiargyrou M. 2002. Skeletal adaptation to mechanical stimuli in the</w:t>
      </w:r>
    </w:p>
    <w:p w14:paraId="07426531" w14:textId="77777777" w:rsidR="000F68E5" w:rsidRPr="002B3438" w:rsidRDefault="000F68E5" w:rsidP="000F68E5">
      <w:pPr>
        <w:autoSpaceDE w:val="0"/>
        <w:autoSpaceDN w:val="0"/>
        <w:adjustRightInd w:val="0"/>
        <w:ind w:firstLine="360"/>
        <w:rPr>
          <w:rFonts w:eastAsia="JansonText-Roman"/>
          <w:color w:val="231F20"/>
          <w:sz w:val="22"/>
          <w:szCs w:val="22"/>
        </w:rPr>
      </w:pPr>
      <w:r w:rsidRPr="002B3438">
        <w:rPr>
          <w:rFonts w:eastAsia="JansonText-Roman"/>
          <w:color w:val="231F20"/>
          <w:sz w:val="22"/>
          <w:szCs w:val="22"/>
        </w:rPr>
        <w:lastRenderedPageBreak/>
        <w:t xml:space="preserve">absence of formation or resorption of bone. </w:t>
      </w:r>
      <w:r w:rsidR="00E54129" w:rsidRPr="002B3438">
        <w:rPr>
          <w:rFonts w:eastAsia="JansonText-Roman"/>
          <w:iCs/>
          <w:color w:val="231F20"/>
          <w:sz w:val="22"/>
          <w:szCs w:val="22"/>
        </w:rPr>
        <w:t>J Musculoskelet</w:t>
      </w:r>
      <w:r w:rsidRPr="002B3438">
        <w:rPr>
          <w:rFonts w:eastAsia="JansonText-Roman"/>
          <w:iCs/>
          <w:color w:val="231F20"/>
          <w:sz w:val="22"/>
          <w:szCs w:val="22"/>
        </w:rPr>
        <w:t xml:space="preserve"> Neuronal</w:t>
      </w:r>
      <w:r w:rsidRPr="002B3438">
        <w:rPr>
          <w:rFonts w:eastAsia="JansonText-Roman"/>
          <w:color w:val="231F20"/>
          <w:sz w:val="22"/>
          <w:szCs w:val="22"/>
        </w:rPr>
        <w:t xml:space="preserve"> </w:t>
      </w:r>
      <w:r w:rsidRPr="002B3438">
        <w:rPr>
          <w:rFonts w:eastAsia="JansonText-Roman"/>
          <w:iCs/>
          <w:color w:val="231F20"/>
          <w:sz w:val="22"/>
          <w:szCs w:val="22"/>
        </w:rPr>
        <w:t xml:space="preserve">Interact. </w:t>
      </w:r>
      <w:r w:rsidRPr="002B3438">
        <w:rPr>
          <w:rFonts w:eastAsia="JansonText-Roman"/>
          <w:color w:val="231F20"/>
          <w:sz w:val="22"/>
          <w:szCs w:val="22"/>
        </w:rPr>
        <w:t>2:264–67</w:t>
      </w:r>
    </w:p>
    <w:p w14:paraId="1930B5D6" w14:textId="77777777" w:rsidR="003B4AD2" w:rsidRPr="002B3438" w:rsidRDefault="003B4AD2" w:rsidP="00AB27DD">
      <w:pPr>
        <w:autoSpaceDE w:val="0"/>
        <w:autoSpaceDN w:val="0"/>
        <w:adjustRightInd w:val="0"/>
        <w:rPr>
          <w:sz w:val="22"/>
          <w:szCs w:val="22"/>
        </w:rPr>
      </w:pPr>
    </w:p>
    <w:p w14:paraId="7CBC8C95" w14:textId="77777777" w:rsidR="004E00E3" w:rsidRPr="002B3438" w:rsidRDefault="004E00E3" w:rsidP="004E00E3">
      <w:pPr>
        <w:ind w:left="360" w:hanging="360"/>
        <w:rPr>
          <w:sz w:val="22"/>
          <w:szCs w:val="22"/>
        </w:rPr>
      </w:pPr>
      <w:r w:rsidRPr="002B3438">
        <w:rPr>
          <w:sz w:val="22"/>
          <w:szCs w:val="22"/>
        </w:rPr>
        <w:t>Ruff CB. 1987. Sexual dimorphism in human lower limb bone structure: relationship to subsistence strategy and sexual division of labor. J Hum Evol 5: 391-416.</w:t>
      </w:r>
    </w:p>
    <w:p w14:paraId="686A3905" w14:textId="77777777" w:rsidR="004E00E3" w:rsidRPr="002B3438" w:rsidRDefault="004E00E3" w:rsidP="006A0BA5">
      <w:pPr>
        <w:autoSpaceDE w:val="0"/>
        <w:autoSpaceDN w:val="0"/>
        <w:adjustRightInd w:val="0"/>
        <w:ind w:left="360" w:hanging="360"/>
        <w:rPr>
          <w:sz w:val="22"/>
          <w:szCs w:val="22"/>
        </w:rPr>
      </w:pPr>
    </w:p>
    <w:p w14:paraId="4E1A6FA0" w14:textId="77777777" w:rsidR="00C96681" w:rsidRPr="002B3438" w:rsidRDefault="00C96681" w:rsidP="00C96681">
      <w:pPr>
        <w:autoSpaceDE w:val="0"/>
        <w:autoSpaceDN w:val="0"/>
        <w:adjustRightInd w:val="0"/>
        <w:ind w:left="360" w:hanging="360"/>
        <w:rPr>
          <w:sz w:val="22"/>
          <w:szCs w:val="22"/>
          <w:highlight w:val="yellow"/>
        </w:rPr>
      </w:pPr>
      <w:r w:rsidRPr="002B3438">
        <w:rPr>
          <w:sz w:val="22"/>
          <w:szCs w:val="22"/>
          <w:highlight w:val="yellow"/>
        </w:rPr>
        <w:t xml:space="preserve">Ruff CB. 1988. Hindlimb articular surface allometry in Hominoidea and Macaca, with </w:t>
      </w:r>
    </w:p>
    <w:p w14:paraId="67391BCC" w14:textId="77777777" w:rsidR="00C96681" w:rsidRPr="002B3438" w:rsidRDefault="00C96681" w:rsidP="00C96681">
      <w:pPr>
        <w:autoSpaceDE w:val="0"/>
        <w:autoSpaceDN w:val="0"/>
        <w:adjustRightInd w:val="0"/>
        <w:ind w:left="360"/>
        <w:rPr>
          <w:sz w:val="22"/>
          <w:szCs w:val="22"/>
        </w:rPr>
      </w:pPr>
      <w:r w:rsidRPr="002B3438">
        <w:rPr>
          <w:sz w:val="22"/>
          <w:szCs w:val="22"/>
          <w:highlight w:val="yellow"/>
        </w:rPr>
        <w:t>comparisons to diaphyseal scaling. J Hum Evol 17:687-714.</w:t>
      </w:r>
      <w:r w:rsidR="00D40D10">
        <w:rPr>
          <w:sz w:val="22"/>
          <w:szCs w:val="22"/>
        </w:rPr>
        <w:t xml:space="preserve"> </w:t>
      </w:r>
    </w:p>
    <w:p w14:paraId="14EC56AD" w14:textId="77777777" w:rsidR="00AF75DB" w:rsidRPr="002B3438" w:rsidRDefault="00AF75DB" w:rsidP="00C96681">
      <w:pPr>
        <w:autoSpaceDE w:val="0"/>
        <w:autoSpaceDN w:val="0"/>
        <w:adjustRightInd w:val="0"/>
        <w:ind w:left="360"/>
        <w:rPr>
          <w:sz w:val="22"/>
          <w:szCs w:val="22"/>
        </w:rPr>
      </w:pPr>
    </w:p>
    <w:p w14:paraId="49C5DE19" w14:textId="77777777" w:rsidR="00C96681" w:rsidRPr="002B3438" w:rsidRDefault="00317B3C" w:rsidP="00C96681">
      <w:pPr>
        <w:autoSpaceDE w:val="0"/>
        <w:autoSpaceDN w:val="0"/>
        <w:adjustRightInd w:val="0"/>
        <w:ind w:left="360" w:hanging="360"/>
        <w:rPr>
          <w:sz w:val="22"/>
          <w:szCs w:val="22"/>
        </w:rPr>
      </w:pPr>
      <w:r w:rsidRPr="002B3438">
        <w:rPr>
          <w:sz w:val="22"/>
          <w:szCs w:val="22"/>
        </w:rPr>
        <w:t>Ruff CB. 1991. Aging and Osteoporosis in Native Americans from Pecos Pueblo, New Mexico: Behavorial and Biomechanical Effects. New York: Garland Publishing.</w:t>
      </w:r>
    </w:p>
    <w:p w14:paraId="46E64836" w14:textId="77777777" w:rsidR="00317B3C" w:rsidRPr="002B3438" w:rsidRDefault="00317B3C" w:rsidP="00C96681">
      <w:pPr>
        <w:autoSpaceDE w:val="0"/>
        <w:autoSpaceDN w:val="0"/>
        <w:adjustRightInd w:val="0"/>
        <w:ind w:left="360" w:hanging="360"/>
        <w:rPr>
          <w:sz w:val="22"/>
          <w:szCs w:val="22"/>
        </w:rPr>
      </w:pPr>
    </w:p>
    <w:p w14:paraId="0B6D2560" w14:textId="77777777" w:rsidR="00AF75DB" w:rsidRPr="002B3438" w:rsidRDefault="00AF75DB" w:rsidP="00C96681">
      <w:pPr>
        <w:autoSpaceDE w:val="0"/>
        <w:autoSpaceDN w:val="0"/>
        <w:adjustRightInd w:val="0"/>
        <w:ind w:left="360" w:hanging="360"/>
        <w:rPr>
          <w:rStyle w:val="CommentReference"/>
          <w:sz w:val="22"/>
          <w:szCs w:val="22"/>
        </w:rPr>
      </w:pPr>
      <w:r w:rsidRPr="002B3438">
        <w:rPr>
          <w:rStyle w:val="CommentReference"/>
          <w:sz w:val="22"/>
          <w:szCs w:val="22"/>
        </w:rPr>
        <w:t>Ruff CB. 1992. Biomechanical analyses of archaeological human skeletal samples. In: SR Saunders and MA Katzenberg, editors. The Skeletal Biology of Past Peoples: Advances in Research Methods. New York: Wiley-Liss. p37-58.</w:t>
      </w:r>
    </w:p>
    <w:p w14:paraId="753F7A9C" w14:textId="77777777" w:rsidR="00AF75DB" w:rsidRPr="002B3438" w:rsidRDefault="00AF75DB" w:rsidP="00C96681">
      <w:pPr>
        <w:autoSpaceDE w:val="0"/>
        <w:autoSpaceDN w:val="0"/>
        <w:adjustRightInd w:val="0"/>
        <w:ind w:left="360" w:hanging="360"/>
        <w:rPr>
          <w:sz w:val="22"/>
          <w:szCs w:val="22"/>
        </w:rPr>
      </w:pPr>
    </w:p>
    <w:p w14:paraId="1F4FAF5B" w14:textId="77777777" w:rsidR="00AB27DD" w:rsidRPr="002B3438" w:rsidRDefault="00AB27DD" w:rsidP="00AB27DD">
      <w:pPr>
        <w:autoSpaceDE w:val="0"/>
        <w:autoSpaceDN w:val="0"/>
        <w:adjustRightInd w:val="0"/>
        <w:rPr>
          <w:sz w:val="22"/>
          <w:szCs w:val="22"/>
        </w:rPr>
      </w:pPr>
      <w:r w:rsidRPr="002B3438">
        <w:rPr>
          <w:sz w:val="22"/>
          <w:szCs w:val="22"/>
        </w:rPr>
        <w:t xml:space="preserve">Ruff CB. 1994. Biomechanical analysis of Northern and Southern plains femora: Behavioral </w:t>
      </w:r>
    </w:p>
    <w:p w14:paraId="4F06F320" w14:textId="77777777" w:rsidR="00AB27DD" w:rsidRPr="002B3438" w:rsidRDefault="00AB27DD" w:rsidP="00AB27DD">
      <w:pPr>
        <w:autoSpaceDE w:val="0"/>
        <w:autoSpaceDN w:val="0"/>
        <w:adjustRightInd w:val="0"/>
        <w:ind w:left="360"/>
        <w:rPr>
          <w:sz w:val="22"/>
          <w:szCs w:val="22"/>
        </w:rPr>
      </w:pPr>
      <w:r w:rsidRPr="002B3438">
        <w:rPr>
          <w:sz w:val="22"/>
          <w:szCs w:val="22"/>
        </w:rPr>
        <w:t xml:space="preserve">implications. In: Owsley DW, Jantz RL, editors. </w:t>
      </w:r>
      <w:r w:rsidRPr="002B3438">
        <w:rPr>
          <w:iCs/>
          <w:sz w:val="22"/>
          <w:szCs w:val="22"/>
        </w:rPr>
        <w:t>Skeletal Biology in the</w:t>
      </w:r>
      <w:r w:rsidRPr="002B3438">
        <w:rPr>
          <w:sz w:val="22"/>
          <w:szCs w:val="22"/>
        </w:rPr>
        <w:t xml:space="preserve"> </w:t>
      </w:r>
      <w:r w:rsidRPr="002B3438">
        <w:rPr>
          <w:iCs/>
          <w:sz w:val="22"/>
          <w:szCs w:val="22"/>
        </w:rPr>
        <w:t>Great Plains: Migration, Warfare, Health, and Subsistance</w:t>
      </w:r>
      <w:r w:rsidRPr="002B3438">
        <w:rPr>
          <w:sz w:val="22"/>
          <w:szCs w:val="22"/>
        </w:rPr>
        <w:t>. Washington: Smithsonian Institutional Press. Pgs. 235-245.</w:t>
      </w:r>
    </w:p>
    <w:p w14:paraId="58A9EDE3" w14:textId="77777777" w:rsidR="00AB27DD" w:rsidRPr="002B3438" w:rsidRDefault="00AB27DD" w:rsidP="00C96681">
      <w:pPr>
        <w:autoSpaceDE w:val="0"/>
        <w:autoSpaceDN w:val="0"/>
        <w:adjustRightInd w:val="0"/>
        <w:ind w:left="360" w:hanging="360"/>
        <w:rPr>
          <w:sz w:val="22"/>
          <w:szCs w:val="22"/>
        </w:rPr>
      </w:pPr>
    </w:p>
    <w:p w14:paraId="0A180073" w14:textId="77777777" w:rsidR="000F3EE7" w:rsidRPr="002B3438" w:rsidRDefault="000F3EE7" w:rsidP="006A0BA5">
      <w:pPr>
        <w:autoSpaceDE w:val="0"/>
        <w:autoSpaceDN w:val="0"/>
        <w:adjustRightInd w:val="0"/>
        <w:ind w:left="360" w:hanging="360"/>
        <w:rPr>
          <w:sz w:val="22"/>
          <w:szCs w:val="22"/>
        </w:rPr>
      </w:pPr>
      <w:r w:rsidRPr="002B3438">
        <w:rPr>
          <w:sz w:val="22"/>
          <w:szCs w:val="22"/>
        </w:rPr>
        <w:t xml:space="preserve">Ruff CB. 1995. Biomechanics of the hip and birth in early </w:t>
      </w:r>
      <w:r w:rsidRPr="002B3438">
        <w:rPr>
          <w:i/>
          <w:sz w:val="22"/>
          <w:szCs w:val="22"/>
        </w:rPr>
        <w:t>Homo.</w:t>
      </w:r>
      <w:r w:rsidRPr="002B3438">
        <w:rPr>
          <w:sz w:val="22"/>
          <w:szCs w:val="22"/>
        </w:rPr>
        <w:t xml:space="preserve"> Am J Phys Anthropol 98:527-574.</w:t>
      </w:r>
    </w:p>
    <w:p w14:paraId="55D5ED3B" w14:textId="77777777" w:rsidR="000F3EE7" w:rsidRPr="002B3438" w:rsidRDefault="000F3EE7" w:rsidP="006A0BA5">
      <w:pPr>
        <w:autoSpaceDE w:val="0"/>
        <w:autoSpaceDN w:val="0"/>
        <w:adjustRightInd w:val="0"/>
        <w:ind w:left="360" w:hanging="360"/>
        <w:rPr>
          <w:sz w:val="22"/>
          <w:szCs w:val="22"/>
        </w:rPr>
      </w:pPr>
    </w:p>
    <w:p w14:paraId="0AFAC5C8" w14:textId="77777777" w:rsidR="00EB263B" w:rsidRPr="002B3438" w:rsidRDefault="00EB263B" w:rsidP="00EB263B">
      <w:pPr>
        <w:ind w:left="360" w:hanging="360"/>
        <w:rPr>
          <w:sz w:val="22"/>
          <w:szCs w:val="22"/>
        </w:rPr>
      </w:pPr>
      <w:r w:rsidRPr="002B3438">
        <w:rPr>
          <w:sz w:val="22"/>
          <w:szCs w:val="22"/>
        </w:rPr>
        <w:t>Ruff CB. 1999. Skeletal structure and behavioral patterns of prehistoric Great Basin populations. In: Hemphill BE, Larsen CS, editors. Prehistoric lifeways in the Great Basin wetlands: bioarchaeological reconstruction and interpretation. Salt Lake City: University of Utah Press. p 290-320.</w:t>
      </w:r>
    </w:p>
    <w:p w14:paraId="518238DC" w14:textId="77777777" w:rsidR="000F68E5" w:rsidRPr="002B3438" w:rsidRDefault="000F68E5" w:rsidP="00EB263B">
      <w:pPr>
        <w:ind w:left="360" w:hanging="360"/>
        <w:rPr>
          <w:sz w:val="22"/>
          <w:szCs w:val="22"/>
        </w:rPr>
      </w:pPr>
    </w:p>
    <w:p w14:paraId="0BCC3A66" w14:textId="77777777" w:rsidR="000F3EE7" w:rsidRPr="002B3438" w:rsidRDefault="000F3EE7" w:rsidP="000F3EE7">
      <w:pPr>
        <w:rPr>
          <w:sz w:val="22"/>
          <w:szCs w:val="22"/>
        </w:rPr>
      </w:pPr>
      <w:r w:rsidRPr="002B3438">
        <w:rPr>
          <w:sz w:val="22"/>
          <w:szCs w:val="22"/>
        </w:rPr>
        <w:t>Ruff CB. 2002. Long bone articular and diaphyseal structure in Old World monkeys and apes, I:</w:t>
      </w:r>
    </w:p>
    <w:p w14:paraId="34E912CD" w14:textId="77777777" w:rsidR="000F3EE7" w:rsidRPr="002B3438" w:rsidRDefault="006A3BEE" w:rsidP="000F3EE7">
      <w:pPr>
        <w:rPr>
          <w:sz w:val="22"/>
          <w:szCs w:val="22"/>
        </w:rPr>
      </w:pPr>
      <w:r>
        <w:rPr>
          <w:sz w:val="22"/>
          <w:szCs w:val="22"/>
        </w:rPr>
        <w:t xml:space="preserve">  </w:t>
      </w:r>
      <w:r w:rsidR="000F3EE7" w:rsidRPr="002B3438">
        <w:rPr>
          <w:sz w:val="22"/>
          <w:szCs w:val="22"/>
        </w:rPr>
        <w:t>locomotor effects. Am J Phys Anthropol 119:305-342.</w:t>
      </w:r>
    </w:p>
    <w:p w14:paraId="6C8321B4" w14:textId="77777777" w:rsidR="000F3EE7" w:rsidRPr="002B3438" w:rsidRDefault="000F3EE7" w:rsidP="00EB263B">
      <w:pPr>
        <w:ind w:left="360" w:hanging="360"/>
        <w:rPr>
          <w:sz w:val="22"/>
          <w:szCs w:val="22"/>
        </w:rPr>
      </w:pPr>
    </w:p>
    <w:p w14:paraId="7DB0F16B" w14:textId="77777777" w:rsidR="00F52E06" w:rsidRPr="002B3438" w:rsidRDefault="00F52E06" w:rsidP="00F52E06">
      <w:pPr>
        <w:autoSpaceDE w:val="0"/>
        <w:autoSpaceDN w:val="0"/>
        <w:adjustRightInd w:val="0"/>
        <w:ind w:left="360" w:hanging="360"/>
        <w:rPr>
          <w:sz w:val="22"/>
          <w:szCs w:val="22"/>
        </w:rPr>
      </w:pPr>
      <w:r w:rsidRPr="002B3438">
        <w:rPr>
          <w:sz w:val="22"/>
          <w:szCs w:val="22"/>
        </w:rPr>
        <w:t>Ruff CB. 2003a. Growth in bone strength, body size, and muscle size in a juvenile longitudinal sample. Bone 33:317-329.</w:t>
      </w:r>
    </w:p>
    <w:p w14:paraId="082A9FF8" w14:textId="77777777" w:rsidR="00F52E06" w:rsidRPr="002B3438" w:rsidRDefault="00F52E06" w:rsidP="00F52E06">
      <w:pPr>
        <w:autoSpaceDE w:val="0"/>
        <w:autoSpaceDN w:val="0"/>
        <w:adjustRightInd w:val="0"/>
        <w:ind w:left="360" w:hanging="360"/>
        <w:rPr>
          <w:sz w:val="22"/>
          <w:szCs w:val="22"/>
        </w:rPr>
      </w:pPr>
    </w:p>
    <w:p w14:paraId="66479793" w14:textId="77777777" w:rsidR="00F52E06" w:rsidRPr="002B3438" w:rsidRDefault="00F52E06" w:rsidP="00F52E06">
      <w:pPr>
        <w:autoSpaceDE w:val="0"/>
        <w:autoSpaceDN w:val="0"/>
        <w:adjustRightInd w:val="0"/>
        <w:ind w:left="360" w:hanging="360"/>
        <w:rPr>
          <w:sz w:val="22"/>
          <w:szCs w:val="22"/>
        </w:rPr>
      </w:pPr>
      <w:r w:rsidRPr="002B3438">
        <w:rPr>
          <w:sz w:val="22"/>
          <w:szCs w:val="22"/>
        </w:rPr>
        <w:t>Ruff CB. 2003b. Ontogenetic adaptation to bipedalism: age changes in femoral to humeral length and strength proportions in humans, with a comparison to baboons. J Hum Evol 45:317-349.</w:t>
      </w:r>
    </w:p>
    <w:p w14:paraId="638EE23A" w14:textId="77777777" w:rsidR="00F52E06" w:rsidRPr="002B3438" w:rsidRDefault="00F52E06" w:rsidP="00EB263B">
      <w:pPr>
        <w:ind w:left="360" w:hanging="360"/>
        <w:rPr>
          <w:sz w:val="22"/>
          <w:szCs w:val="22"/>
        </w:rPr>
      </w:pPr>
    </w:p>
    <w:p w14:paraId="7B89C6A0" w14:textId="77777777" w:rsidR="00EB263B" w:rsidRPr="002B3438" w:rsidRDefault="00EB263B" w:rsidP="00EB263B">
      <w:pPr>
        <w:autoSpaceDE w:val="0"/>
        <w:autoSpaceDN w:val="0"/>
        <w:adjustRightInd w:val="0"/>
        <w:ind w:left="360" w:hanging="360"/>
        <w:rPr>
          <w:sz w:val="22"/>
          <w:szCs w:val="22"/>
        </w:rPr>
      </w:pPr>
      <w:r w:rsidRPr="002B3438">
        <w:rPr>
          <w:sz w:val="22"/>
          <w:szCs w:val="22"/>
        </w:rPr>
        <w:t>Ruff CB. 2006. Environmental influences on skeletal morphology. In: Ubelaker DH, editor. Handbook of North American Indians,</w:t>
      </w:r>
      <w:r w:rsidRPr="002B3438">
        <w:rPr>
          <w:i/>
          <w:iCs/>
          <w:sz w:val="22"/>
          <w:szCs w:val="22"/>
        </w:rPr>
        <w:t xml:space="preserve"> </w:t>
      </w:r>
      <w:r w:rsidRPr="002B3438">
        <w:rPr>
          <w:sz w:val="22"/>
          <w:szCs w:val="22"/>
        </w:rPr>
        <w:t>Vol. 3: environment, origins and population. Washington, DC: Smithsonian Institution. p 685-694.</w:t>
      </w:r>
    </w:p>
    <w:p w14:paraId="6F95D61E" w14:textId="77777777" w:rsidR="00EB263B" w:rsidRPr="002B3438" w:rsidRDefault="00EB263B" w:rsidP="00D10DB1">
      <w:pPr>
        <w:autoSpaceDE w:val="0"/>
        <w:autoSpaceDN w:val="0"/>
        <w:adjustRightInd w:val="0"/>
        <w:ind w:left="360" w:hanging="360"/>
        <w:rPr>
          <w:sz w:val="22"/>
          <w:szCs w:val="22"/>
        </w:rPr>
      </w:pPr>
    </w:p>
    <w:p w14:paraId="62442F9D" w14:textId="77777777" w:rsidR="001C63C7" w:rsidRPr="002B3438" w:rsidRDefault="001C63C7" w:rsidP="001C63C7">
      <w:pPr>
        <w:autoSpaceDE w:val="0"/>
        <w:autoSpaceDN w:val="0"/>
        <w:adjustRightInd w:val="0"/>
        <w:ind w:left="360" w:hanging="360"/>
        <w:rPr>
          <w:sz w:val="22"/>
          <w:szCs w:val="22"/>
        </w:rPr>
      </w:pPr>
      <w:r w:rsidRPr="002B3438">
        <w:rPr>
          <w:sz w:val="22"/>
          <w:szCs w:val="22"/>
        </w:rPr>
        <w:t>Ruff CB. 2007. Body size prediction from juvenile skeletal remains. Am J Phys Anthropol 133:698-716.</w:t>
      </w:r>
    </w:p>
    <w:p w14:paraId="6CE37778" w14:textId="77777777" w:rsidR="001C63C7" w:rsidRPr="002B3438" w:rsidRDefault="001C63C7" w:rsidP="00D10DB1">
      <w:pPr>
        <w:autoSpaceDE w:val="0"/>
        <w:autoSpaceDN w:val="0"/>
        <w:adjustRightInd w:val="0"/>
        <w:ind w:left="360" w:hanging="360"/>
        <w:rPr>
          <w:sz w:val="22"/>
          <w:szCs w:val="22"/>
        </w:rPr>
      </w:pPr>
    </w:p>
    <w:p w14:paraId="6D6B23D6" w14:textId="77777777" w:rsidR="00D10DB1" w:rsidRPr="002B3438" w:rsidRDefault="00D10DB1" w:rsidP="00D10DB1">
      <w:pPr>
        <w:autoSpaceDE w:val="0"/>
        <w:autoSpaceDN w:val="0"/>
        <w:adjustRightInd w:val="0"/>
        <w:ind w:left="360" w:hanging="360"/>
        <w:rPr>
          <w:sz w:val="22"/>
          <w:szCs w:val="22"/>
        </w:rPr>
      </w:pPr>
      <w:r w:rsidRPr="002B3438">
        <w:rPr>
          <w:sz w:val="22"/>
          <w:szCs w:val="22"/>
        </w:rPr>
        <w:t>Ruff CB. 2008. Biomechanical analyses of archaeological human skeletons. In: Katzenberg MA and Saunders SR, editors. Biological anthropology of the human skeleton. New York: John Wiley &amp; Sons, Inc. p 71-102.</w:t>
      </w:r>
    </w:p>
    <w:p w14:paraId="424AC2A7" w14:textId="77777777" w:rsidR="007C1D9B" w:rsidRPr="002B3438" w:rsidRDefault="007C1D9B" w:rsidP="007C1D9B">
      <w:pPr>
        <w:ind w:left="360" w:hanging="360"/>
        <w:rPr>
          <w:sz w:val="22"/>
          <w:szCs w:val="22"/>
        </w:rPr>
      </w:pPr>
    </w:p>
    <w:p w14:paraId="491A4886" w14:textId="77777777" w:rsidR="000D36E0" w:rsidRPr="002B3438" w:rsidRDefault="000D36E0" w:rsidP="000D36E0">
      <w:pPr>
        <w:ind w:left="360" w:hanging="360"/>
        <w:rPr>
          <w:sz w:val="22"/>
          <w:szCs w:val="22"/>
        </w:rPr>
      </w:pPr>
      <w:r w:rsidRPr="002B3438">
        <w:rPr>
          <w:sz w:val="22"/>
          <w:szCs w:val="22"/>
        </w:rPr>
        <w:t>Ruff CB, Hayes W. 1983a. Cross-sectional geometry of Pecos Pueblo femora and tibiae: a biomechanical investigation: I. method and general patterns of variation. Am J Phys Anthropol 60:359-381.</w:t>
      </w:r>
    </w:p>
    <w:p w14:paraId="105D1DF1" w14:textId="77777777" w:rsidR="000D36E0" w:rsidRPr="002B3438" w:rsidRDefault="000D36E0" w:rsidP="000D36E0">
      <w:pPr>
        <w:ind w:left="360" w:hanging="360"/>
        <w:rPr>
          <w:sz w:val="22"/>
          <w:szCs w:val="22"/>
        </w:rPr>
      </w:pPr>
    </w:p>
    <w:p w14:paraId="5F52512F" w14:textId="77777777" w:rsidR="000D36E0" w:rsidRPr="002B3438" w:rsidRDefault="000D36E0" w:rsidP="000D36E0">
      <w:pPr>
        <w:ind w:left="360" w:hanging="360"/>
        <w:rPr>
          <w:sz w:val="22"/>
          <w:szCs w:val="22"/>
        </w:rPr>
      </w:pPr>
      <w:r w:rsidRPr="002B3438">
        <w:rPr>
          <w:sz w:val="22"/>
          <w:szCs w:val="22"/>
        </w:rPr>
        <w:t>Ruff CB, Hayes W. 1983b. Cross-sectional geometry of Pecos Pueblo femora and tibiae: a biomechanical investigation: II. sex, age, and side differences. Am J Phys Anthropol 60:383-400.</w:t>
      </w:r>
    </w:p>
    <w:p w14:paraId="74015F79" w14:textId="77777777" w:rsidR="000D36E0" w:rsidRPr="002B3438" w:rsidRDefault="000D36E0" w:rsidP="007C1D9B">
      <w:pPr>
        <w:ind w:left="360" w:hanging="360"/>
        <w:rPr>
          <w:sz w:val="22"/>
          <w:szCs w:val="22"/>
        </w:rPr>
      </w:pPr>
    </w:p>
    <w:p w14:paraId="73B89845" w14:textId="77777777" w:rsidR="005875C9" w:rsidRPr="002B3438" w:rsidRDefault="005875C9" w:rsidP="007C1D9B">
      <w:pPr>
        <w:ind w:left="360" w:hanging="360"/>
        <w:rPr>
          <w:sz w:val="22"/>
          <w:szCs w:val="22"/>
        </w:rPr>
      </w:pPr>
      <w:r w:rsidRPr="002B3438">
        <w:rPr>
          <w:sz w:val="22"/>
          <w:szCs w:val="22"/>
        </w:rPr>
        <w:t>Ruff CB and Hayes WC. 1988. Sex differences in age-related remodeling of the femur and tibia. J Ortho Res 6:886-896.</w:t>
      </w:r>
    </w:p>
    <w:p w14:paraId="0BB67DE4" w14:textId="77777777" w:rsidR="005875C9" w:rsidRPr="002B3438" w:rsidRDefault="005875C9" w:rsidP="007C1D9B">
      <w:pPr>
        <w:ind w:left="360" w:hanging="360"/>
        <w:rPr>
          <w:sz w:val="22"/>
          <w:szCs w:val="22"/>
        </w:rPr>
      </w:pPr>
    </w:p>
    <w:p w14:paraId="730839D0" w14:textId="77777777" w:rsidR="00166434" w:rsidRPr="002B3438" w:rsidRDefault="00166434" w:rsidP="00166434">
      <w:pPr>
        <w:autoSpaceDE w:val="0"/>
        <w:autoSpaceDN w:val="0"/>
        <w:adjustRightInd w:val="0"/>
        <w:rPr>
          <w:sz w:val="22"/>
          <w:szCs w:val="22"/>
        </w:rPr>
      </w:pPr>
      <w:r w:rsidRPr="002B3438">
        <w:rPr>
          <w:sz w:val="22"/>
          <w:szCs w:val="22"/>
        </w:rPr>
        <w:t xml:space="preserve">Ruff CB, Larsen CS. 1990. Postcranial biomechanical adaptations to subsistence strategy changes </w:t>
      </w:r>
    </w:p>
    <w:p w14:paraId="1D9EE44A" w14:textId="77777777" w:rsidR="00166434" w:rsidRPr="002B3438" w:rsidRDefault="00166434" w:rsidP="00166434">
      <w:pPr>
        <w:autoSpaceDE w:val="0"/>
        <w:autoSpaceDN w:val="0"/>
        <w:adjustRightInd w:val="0"/>
        <w:ind w:left="360" w:firstLine="15"/>
        <w:rPr>
          <w:sz w:val="22"/>
          <w:szCs w:val="22"/>
        </w:rPr>
      </w:pPr>
      <w:r w:rsidRPr="002B3438">
        <w:rPr>
          <w:sz w:val="22"/>
          <w:szCs w:val="22"/>
        </w:rPr>
        <w:t xml:space="preserve">on the Georgia Coast. In: Larsen CS, editor. </w:t>
      </w:r>
      <w:r w:rsidRPr="002B3438">
        <w:rPr>
          <w:i/>
          <w:iCs/>
          <w:sz w:val="22"/>
          <w:szCs w:val="22"/>
        </w:rPr>
        <w:t>The Archaeology of Mission</w:t>
      </w:r>
      <w:r w:rsidRPr="002B3438">
        <w:rPr>
          <w:sz w:val="22"/>
          <w:szCs w:val="22"/>
        </w:rPr>
        <w:t xml:space="preserve"> </w:t>
      </w:r>
      <w:r w:rsidRPr="002B3438">
        <w:rPr>
          <w:i/>
          <w:iCs/>
          <w:sz w:val="22"/>
          <w:szCs w:val="22"/>
        </w:rPr>
        <w:t>Santa Catalina de Guale: 2. Biocultural Interpretations of a Population in Transition.</w:t>
      </w:r>
      <w:r w:rsidRPr="002B3438">
        <w:rPr>
          <w:sz w:val="22"/>
          <w:szCs w:val="22"/>
        </w:rPr>
        <w:t>Anthropological Papers of the American Museum of Natural History 68: 94-120.</w:t>
      </w:r>
    </w:p>
    <w:p w14:paraId="73A8AAF2" w14:textId="77777777" w:rsidR="00166434" w:rsidRPr="002B3438" w:rsidRDefault="00166434" w:rsidP="00166434">
      <w:pPr>
        <w:ind w:left="360" w:hanging="360"/>
        <w:rPr>
          <w:sz w:val="22"/>
          <w:szCs w:val="22"/>
        </w:rPr>
      </w:pPr>
    </w:p>
    <w:p w14:paraId="28B2EB5E" w14:textId="77777777" w:rsidR="007C1D9B" w:rsidRPr="002B3438" w:rsidRDefault="007C1D9B" w:rsidP="007C1D9B">
      <w:pPr>
        <w:ind w:left="360" w:hanging="360"/>
        <w:rPr>
          <w:sz w:val="22"/>
          <w:szCs w:val="22"/>
        </w:rPr>
      </w:pPr>
      <w:r w:rsidRPr="002B3438">
        <w:rPr>
          <w:sz w:val="22"/>
          <w:szCs w:val="22"/>
        </w:rPr>
        <w:t>Ruff CB, Larsen C. 2001. Reconstructing behavior in Spanish Florida: the biomechanical evidence. In: Larsen CS, editor. Bioarchaeology of Spanish Florida: the impact of colonialism. University Press of Florida, Gainesville. p 113-145.</w:t>
      </w:r>
    </w:p>
    <w:p w14:paraId="72FC4CE3" w14:textId="77777777" w:rsidR="00D10DB1" w:rsidRPr="002B3438" w:rsidRDefault="00D10DB1" w:rsidP="00D10DB1">
      <w:pPr>
        <w:ind w:left="360" w:hanging="360"/>
        <w:rPr>
          <w:sz w:val="22"/>
          <w:szCs w:val="22"/>
        </w:rPr>
      </w:pPr>
    </w:p>
    <w:p w14:paraId="541E9534" w14:textId="77777777" w:rsidR="00E54129" w:rsidRPr="002B3438" w:rsidRDefault="00E54129" w:rsidP="00E54129">
      <w:pPr>
        <w:ind w:left="360" w:hanging="360"/>
        <w:rPr>
          <w:sz w:val="22"/>
          <w:szCs w:val="22"/>
        </w:rPr>
      </w:pPr>
      <w:r w:rsidRPr="002B3438">
        <w:rPr>
          <w:sz w:val="22"/>
          <w:szCs w:val="22"/>
        </w:rPr>
        <w:t>Ruff CB, Larsen C, Hayes W. 1984. Structural changes in the femur with the transition to agriculture on the Georgia Coast. Am J Phys Anthropol 64:125-136.</w:t>
      </w:r>
    </w:p>
    <w:p w14:paraId="344EC5BB" w14:textId="77777777" w:rsidR="00E54129" w:rsidRPr="002B3438" w:rsidRDefault="00E54129" w:rsidP="00D10DB1">
      <w:pPr>
        <w:ind w:left="360" w:hanging="360"/>
        <w:rPr>
          <w:sz w:val="22"/>
          <w:szCs w:val="22"/>
        </w:rPr>
      </w:pPr>
    </w:p>
    <w:p w14:paraId="4D04689B" w14:textId="77777777" w:rsidR="004E00E3" w:rsidRPr="002B3438" w:rsidRDefault="004E00E3" w:rsidP="004E00E3">
      <w:pPr>
        <w:autoSpaceDE w:val="0"/>
        <w:autoSpaceDN w:val="0"/>
        <w:adjustRightInd w:val="0"/>
        <w:rPr>
          <w:sz w:val="22"/>
          <w:szCs w:val="22"/>
        </w:rPr>
      </w:pPr>
      <w:r w:rsidRPr="002B3438">
        <w:rPr>
          <w:sz w:val="22"/>
          <w:szCs w:val="22"/>
        </w:rPr>
        <w:t xml:space="preserve">Ruff CB, Trinkaus E, Walker A, Larsen CS. 1993. Postcranial robusticity in Homo, I: Temporal </w:t>
      </w:r>
    </w:p>
    <w:p w14:paraId="3D2DDBB3" w14:textId="77777777" w:rsidR="004E00E3" w:rsidRPr="002B3438" w:rsidRDefault="006A3BEE" w:rsidP="004E00E3">
      <w:pPr>
        <w:autoSpaceDE w:val="0"/>
        <w:autoSpaceDN w:val="0"/>
        <w:adjustRightInd w:val="0"/>
        <w:rPr>
          <w:sz w:val="22"/>
          <w:szCs w:val="22"/>
        </w:rPr>
      </w:pPr>
      <w:r>
        <w:rPr>
          <w:sz w:val="22"/>
          <w:szCs w:val="22"/>
        </w:rPr>
        <w:t xml:space="preserve">  </w:t>
      </w:r>
      <w:r w:rsidR="004E00E3" w:rsidRPr="002B3438">
        <w:rPr>
          <w:sz w:val="22"/>
          <w:szCs w:val="22"/>
        </w:rPr>
        <w:t>trends and mechanical interpretation. Am J Phys Anthropol 91:21-53.</w:t>
      </w:r>
    </w:p>
    <w:p w14:paraId="23523041" w14:textId="77777777" w:rsidR="004E00E3" w:rsidRPr="002B3438" w:rsidRDefault="004E00E3" w:rsidP="004E00E3">
      <w:pPr>
        <w:autoSpaceDE w:val="0"/>
        <w:autoSpaceDN w:val="0"/>
        <w:adjustRightInd w:val="0"/>
        <w:rPr>
          <w:sz w:val="22"/>
          <w:szCs w:val="22"/>
        </w:rPr>
      </w:pPr>
    </w:p>
    <w:p w14:paraId="2311F95E" w14:textId="77777777" w:rsidR="00BD24E2" w:rsidRPr="002B3438" w:rsidRDefault="00BD24E2" w:rsidP="00BD24E2">
      <w:pPr>
        <w:autoSpaceDE w:val="0"/>
        <w:autoSpaceDN w:val="0"/>
        <w:adjustRightInd w:val="0"/>
        <w:rPr>
          <w:iCs/>
          <w:sz w:val="22"/>
          <w:szCs w:val="22"/>
        </w:rPr>
      </w:pPr>
      <w:r w:rsidRPr="002B3438">
        <w:rPr>
          <w:sz w:val="22"/>
          <w:szCs w:val="22"/>
        </w:rPr>
        <w:t xml:space="preserve">Ruff CB, Walker A, Trinkaus E. 1994. Postcranial robusticity in Homo. III: Ontogeny. </w:t>
      </w:r>
      <w:r w:rsidRPr="002B3438">
        <w:rPr>
          <w:iCs/>
          <w:sz w:val="22"/>
          <w:szCs w:val="22"/>
        </w:rPr>
        <w:t>Am</w:t>
      </w:r>
    </w:p>
    <w:p w14:paraId="03985721" w14:textId="77777777" w:rsidR="00BD24E2" w:rsidRPr="002B3438" w:rsidRDefault="00BD24E2" w:rsidP="00BD24E2">
      <w:pPr>
        <w:autoSpaceDE w:val="0"/>
        <w:autoSpaceDN w:val="0"/>
        <w:adjustRightInd w:val="0"/>
        <w:ind w:firstLine="360"/>
        <w:rPr>
          <w:sz w:val="22"/>
          <w:szCs w:val="22"/>
        </w:rPr>
      </w:pPr>
      <w:r w:rsidRPr="002B3438">
        <w:rPr>
          <w:iCs/>
          <w:sz w:val="22"/>
          <w:szCs w:val="22"/>
        </w:rPr>
        <w:t xml:space="preserve">J Phys Anthro 9: </w:t>
      </w:r>
      <w:r w:rsidRPr="002B3438">
        <w:rPr>
          <w:sz w:val="22"/>
          <w:szCs w:val="22"/>
        </w:rPr>
        <w:t>35-54.</w:t>
      </w:r>
    </w:p>
    <w:p w14:paraId="06534783" w14:textId="77777777" w:rsidR="00BD24E2" w:rsidRPr="002B3438" w:rsidRDefault="00BD24E2" w:rsidP="00BD24E2">
      <w:pPr>
        <w:ind w:left="360" w:hanging="360"/>
        <w:rPr>
          <w:sz w:val="22"/>
          <w:szCs w:val="22"/>
        </w:rPr>
      </w:pPr>
    </w:p>
    <w:p w14:paraId="43EB1ABF" w14:textId="77777777" w:rsidR="00167FB1" w:rsidRPr="002B3438" w:rsidRDefault="00167FB1" w:rsidP="00167FB1">
      <w:pPr>
        <w:ind w:left="360" w:hanging="360"/>
        <w:rPr>
          <w:sz w:val="22"/>
          <w:szCs w:val="22"/>
          <w:highlight w:val="yellow"/>
        </w:rPr>
      </w:pPr>
      <w:r w:rsidRPr="002B3438">
        <w:rPr>
          <w:sz w:val="22"/>
          <w:szCs w:val="22"/>
          <w:highlight w:val="yellow"/>
        </w:rPr>
        <w:t xml:space="preserve">Ruff CB, McHenry HM, Thackeray F. 1999. Cross-sectional morphology of the SK </w:t>
      </w:r>
    </w:p>
    <w:p w14:paraId="2D6DE708" w14:textId="77777777" w:rsidR="00167FB1" w:rsidRPr="002B3438" w:rsidRDefault="00167FB1" w:rsidP="00167FB1">
      <w:pPr>
        <w:ind w:left="360"/>
        <w:rPr>
          <w:sz w:val="22"/>
          <w:szCs w:val="22"/>
        </w:rPr>
      </w:pPr>
      <w:r w:rsidRPr="002B3438">
        <w:rPr>
          <w:sz w:val="22"/>
          <w:szCs w:val="22"/>
          <w:highlight w:val="yellow"/>
        </w:rPr>
        <w:t>82 and 97 proximal femora. Am J Phys Anthropol 109: 509-521.</w:t>
      </w:r>
      <w:r w:rsidR="006A3BEE">
        <w:rPr>
          <w:sz w:val="22"/>
          <w:szCs w:val="22"/>
        </w:rPr>
        <w:t xml:space="preserve"> </w:t>
      </w:r>
      <w:r w:rsidR="00DD21E8">
        <w:rPr>
          <w:sz w:val="22"/>
          <w:szCs w:val="22"/>
        </w:rPr>
        <w:t>NEED OTHER RUFF ET AL. 1999 REFERENCE TOO--SUBSISTENCE</w:t>
      </w:r>
    </w:p>
    <w:p w14:paraId="6C44E8FB" w14:textId="77777777" w:rsidR="00167FB1" w:rsidRPr="002B3438" w:rsidRDefault="00167FB1" w:rsidP="00167FB1">
      <w:pPr>
        <w:ind w:left="360" w:hanging="360"/>
        <w:rPr>
          <w:sz w:val="22"/>
          <w:szCs w:val="22"/>
        </w:rPr>
      </w:pPr>
    </w:p>
    <w:p w14:paraId="2AAAE58A" w14:textId="77777777" w:rsidR="00EF54D7" w:rsidRPr="002B3438" w:rsidRDefault="00D10DB1" w:rsidP="00EB263B">
      <w:pPr>
        <w:ind w:left="360" w:hanging="360"/>
        <w:rPr>
          <w:sz w:val="22"/>
          <w:szCs w:val="22"/>
        </w:rPr>
      </w:pPr>
      <w:r w:rsidRPr="002B3438">
        <w:rPr>
          <w:sz w:val="22"/>
          <w:szCs w:val="22"/>
        </w:rPr>
        <w:t>Ruff CB, Holt B, Trinkaus E. 2006. Who’s afraid of t</w:t>
      </w:r>
      <w:r w:rsidR="00F622C7" w:rsidRPr="002B3438">
        <w:rPr>
          <w:sz w:val="22"/>
          <w:szCs w:val="22"/>
        </w:rPr>
        <w:t>he big bad Wolff?: “Wolff’s law”</w:t>
      </w:r>
      <w:r w:rsidRPr="002B3438">
        <w:rPr>
          <w:sz w:val="22"/>
          <w:szCs w:val="22"/>
        </w:rPr>
        <w:t xml:space="preserve"> and bone functional adaptation. Am J Phys Anthropol 129:484-498.</w:t>
      </w:r>
    </w:p>
    <w:p w14:paraId="79349873" w14:textId="77777777" w:rsidR="008B04DB" w:rsidRPr="002B3438" w:rsidRDefault="008B04DB" w:rsidP="008B04DB">
      <w:pPr>
        <w:ind w:left="360" w:hanging="360"/>
        <w:rPr>
          <w:sz w:val="22"/>
          <w:szCs w:val="22"/>
        </w:rPr>
      </w:pPr>
    </w:p>
    <w:p w14:paraId="71C97241" w14:textId="77777777" w:rsidR="00BD558B" w:rsidRPr="002B3438" w:rsidRDefault="00BD558B" w:rsidP="008B04DB">
      <w:pPr>
        <w:ind w:left="360" w:hanging="360"/>
        <w:rPr>
          <w:sz w:val="22"/>
          <w:szCs w:val="22"/>
        </w:rPr>
      </w:pPr>
      <w:r w:rsidRPr="002B3438">
        <w:rPr>
          <w:sz w:val="22"/>
          <w:szCs w:val="22"/>
        </w:rPr>
        <w:t>Russo CR, Lauretani F, Bandinelli S, Bartali B, DiIorio S, Volpoto S, Guralnik JM, Harris T, Ferrucci L. 2003. Aging bone in men and women: beyond changes in bone mineral density. Osteoporos Int 14:531-538.</w:t>
      </w:r>
    </w:p>
    <w:p w14:paraId="583118D4" w14:textId="77777777" w:rsidR="00BD558B" w:rsidRPr="002B3438" w:rsidRDefault="00BD558B" w:rsidP="008B04DB">
      <w:pPr>
        <w:ind w:left="360" w:hanging="360"/>
        <w:rPr>
          <w:sz w:val="22"/>
          <w:szCs w:val="22"/>
        </w:rPr>
      </w:pPr>
    </w:p>
    <w:p w14:paraId="6E926889" w14:textId="77777777" w:rsidR="0060407E" w:rsidRPr="002B3438" w:rsidRDefault="0060407E" w:rsidP="008B04DB">
      <w:pPr>
        <w:ind w:left="360" w:hanging="360"/>
        <w:rPr>
          <w:sz w:val="22"/>
          <w:szCs w:val="22"/>
        </w:rPr>
      </w:pPr>
      <w:r w:rsidRPr="002B3438">
        <w:rPr>
          <w:sz w:val="22"/>
          <w:szCs w:val="22"/>
        </w:rPr>
        <w:t xml:space="preserve">Saunders SR, 1992. Subadult skeletons and growth related studies. In: Saunders SR, Katzenberg MA, editors. Skeletal Biology of Past Peoples: Research Methods. New York: Wiley-Liss. P 1-20. </w:t>
      </w:r>
    </w:p>
    <w:p w14:paraId="01C142B7" w14:textId="77777777" w:rsidR="0060407E" w:rsidRPr="002B3438" w:rsidRDefault="0060407E" w:rsidP="008B04DB">
      <w:pPr>
        <w:ind w:left="360" w:hanging="360"/>
        <w:rPr>
          <w:sz w:val="22"/>
          <w:szCs w:val="22"/>
        </w:rPr>
      </w:pPr>
    </w:p>
    <w:p w14:paraId="6E290C2B" w14:textId="77777777" w:rsidR="00305E34" w:rsidRPr="002B3438" w:rsidRDefault="00305E34" w:rsidP="008B04DB">
      <w:pPr>
        <w:ind w:left="360" w:hanging="360"/>
        <w:rPr>
          <w:rFonts w:eastAsia="Calibri"/>
          <w:sz w:val="22"/>
          <w:szCs w:val="22"/>
        </w:rPr>
      </w:pPr>
      <w:r w:rsidRPr="002B3438">
        <w:rPr>
          <w:rFonts w:eastAsia="Calibri"/>
          <w:sz w:val="22"/>
          <w:szCs w:val="22"/>
        </w:rPr>
        <w:t>Saunders SR, Hoppa RD. 1993. Growth deficit in survivors and non-survivors: biological mortality bias in subadult skeletal samples. Yearb Phys Anth 36:127-151.</w:t>
      </w:r>
    </w:p>
    <w:p w14:paraId="37C4B57A" w14:textId="77777777" w:rsidR="00CB4014" w:rsidRPr="002B3438" w:rsidRDefault="00CB4014" w:rsidP="008B04DB">
      <w:pPr>
        <w:ind w:left="360" w:hanging="360"/>
        <w:rPr>
          <w:rFonts w:eastAsia="Calibri"/>
          <w:sz w:val="22"/>
          <w:szCs w:val="22"/>
        </w:rPr>
      </w:pPr>
    </w:p>
    <w:p w14:paraId="1072CA70" w14:textId="77777777" w:rsidR="00305E34" w:rsidRPr="002B3438" w:rsidRDefault="00CB4014" w:rsidP="008B04DB">
      <w:pPr>
        <w:ind w:left="360" w:hanging="360"/>
        <w:rPr>
          <w:sz w:val="22"/>
          <w:szCs w:val="22"/>
        </w:rPr>
      </w:pPr>
      <w:r w:rsidRPr="002B3438">
        <w:rPr>
          <w:sz w:val="22"/>
          <w:szCs w:val="22"/>
        </w:rPr>
        <w:t>Sazawal S, Black RE, Bhan MK. 1995. Zinc</w:t>
      </w:r>
      <w:r w:rsidR="006A3BEE">
        <w:rPr>
          <w:sz w:val="22"/>
          <w:szCs w:val="22"/>
        </w:rPr>
        <w:t xml:space="preserve"> </w:t>
      </w:r>
      <w:r w:rsidRPr="002B3438">
        <w:rPr>
          <w:sz w:val="22"/>
          <w:szCs w:val="22"/>
        </w:rPr>
        <w:t>supplementation in young children with acute diarrhea in India. N Engl J Med 333:839-844.</w:t>
      </w:r>
    </w:p>
    <w:p w14:paraId="1ECCD83F" w14:textId="77777777" w:rsidR="00CB4014" w:rsidRPr="002B3438" w:rsidRDefault="00CB4014" w:rsidP="008B04DB">
      <w:pPr>
        <w:ind w:left="360" w:hanging="360"/>
        <w:rPr>
          <w:sz w:val="22"/>
          <w:szCs w:val="22"/>
        </w:rPr>
      </w:pPr>
    </w:p>
    <w:p w14:paraId="3390AD26" w14:textId="77777777" w:rsidR="003A3F6B" w:rsidRPr="002B3438" w:rsidRDefault="003A3F6B" w:rsidP="003A3F6B">
      <w:pPr>
        <w:autoSpaceDE w:val="0"/>
        <w:autoSpaceDN w:val="0"/>
        <w:adjustRightInd w:val="0"/>
        <w:rPr>
          <w:rFonts w:eastAsia="Calibri"/>
          <w:sz w:val="22"/>
          <w:szCs w:val="22"/>
        </w:rPr>
      </w:pPr>
      <w:r w:rsidRPr="002B3438">
        <w:rPr>
          <w:rFonts w:eastAsia="Calibri"/>
          <w:sz w:val="22"/>
          <w:szCs w:val="22"/>
        </w:rPr>
        <w:t xml:space="preserve">Schaffler MB, Burr DB. 1988. Stiffness of compact bone: effects of porosity and density. J </w:t>
      </w:r>
    </w:p>
    <w:p w14:paraId="504F507D" w14:textId="77777777" w:rsidR="003A3F6B" w:rsidRPr="002B3438" w:rsidRDefault="003A3F6B" w:rsidP="003A3F6B">
      <w:pPr>
        <w:autoSpaceDE w:val="0"/>
        <w:autoSpaceDN w:val="0"/>
        <w:adjustRightInd w:val="0"/>
        <w:ind w:firstLine="360"/>
        <w:rPr>
          <w:rFonts w:eastAsia="Calibri"/>
          <w:sz w:val="22"/>
          <w:szCs w:val="22"/>
        </w:rPr>
      </w:pPr>
      <w:r w:rsidRPr="002B3438">
        <w:rPr>
          <w:rFonts w:eastAsia="Calibri"/>
          <w:sz w:val="22"/>
          <w:szCs w:val="22"/>
        </w:rPr>
        <w:t xml:space="preserve">Biomech 21:13–16. </w:t>
      </w:r>
    </w:p>
    <w:p w14:paraId="0DCFA268" w14:textId="77777777" w:rsidR="003A3F6B" w:rsidRPr="002B3438" w:rsidRDefault="003A3F6B" w:rsidP="003A3F6B">
      <w:pPr>
        <w:ind w:left="360" w:hanging="360"/>
        <w:rPr>
          <w:sz w:val="22"/>
          <w:szCs w:val="22"/>
        </w:rPr>
      </w:pPr>
    </w:p>
    <w:p w14:paraId="71961ED5" w14:textId="77777777" w:rsidR="004F008F" w:rsidRPr="002B3438" w:rsidRDefault="004F008F" w:rsidP="004F008F">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Schaffler MB, Radin EL, Burr DB. 1989. Mechanical and morphological effects of strain rate on </w:t>
      </w:r>
    </w:p>
    <w:p w14:paraId="2729D448" w14:textId="77777777" w:rsidR="004F008F" w:rsidRPr="002B3438" w:rsidRDefault="006A3BEE" w:rsidP="004F008F">
      <w:pPr>
        <w:autoSpaceDE w:val="0"/>
        <w:autoSpaceDN w:val="0"/>
        <w:adjustRightInd w:val="0"/>
        <w:rPr>
          <w:rFonts w:eastAsia="NewCenturySchlbk-Roman"/>
          <w:color w:val="231F20"/>
          <w:sz w:val="22"/>
          <w:szCs w:val="22"/>
        </w:rPr>
      </w:pPr>
      <w:r>
        <w:rPr>
          <w:rFonts w:eastAsia="NewCenturySchlbk-Roman"/>
          <w:color w:val="231F20"/>
          <w:sz w:val="22"/>
          <w:szCs w:val="22"/>
        </w:rPr>
        <w:t xml:space="preserve">  </w:t>
      </w:r>
      <w:r w:rsidR="004F008F" w:rsidRPr="002B3438">
        <w:rPr>
          <w:rFonts w:eastAsia="NewCenturySchlbk-Roman"/>
          <w:color w:val="231F20"/>
          <w:sz w:val="22"/>
          <w:szCs w:val="22"/>
        </w:rPr>
        <w:t>fatigue of compact bone. Bone 10:207–214.</w:t>
      </w:r>
    </w:p>
    <w:p w14:paraId="0AC18E39" w14:textId="77777777" w:rsidR="004F008F" w:rsidRPr="002B3438" w:rsidRDefault="004F008F" w:rsidP="004F008F">
      <w:pPr>
        <w:autoSpaceDE w:val="0"/>
        <w:autoSpaceDN w:val="0"/>
        <w:adjustRightInd w:val="0"/>
        <w:rPr>
          <w:rFonts w:eastAsia="NewCenturySchlbk-Roman"/>
          <w:color w:val="231F20"/>
          <w:sz w:val="22"/>
          <w:szCs w:val="22"/>
        </w:rPr>
      </w:pPr>
    </w:p>
    <w:p w14:paraId="3E79DFCC" w14:textId="77777777" w:rsidR="004F008F" w:rsidRPr="002B3438" w:rsidRDefault="004F008F" w:rsidP="004F008F">
      <w:pPr>
        <w:autoSpaceDE w:val="0"/>
        <w:autoSpaceDN w:val="0"/>
        <w:adjustRightInd w:val="0"/>
        <w:rPr>
          <w:rFonts w:eastAsia="NewCenturySchlbk-Roman"/>
          <w:color w:val="231F20"/>
          <w:sz w:val="22"/>
          <w:szCs w:val="22"/>
        </w:rPr>
      </w:pPr>
      <w:r w:rsidRPr="002B3438">
        <w:rPr>
          <w:rFonts w:eastAsia="NewCenturySchlbk-Roman"/>
          <w:color w:val="231F20"/>
          <w:sz w:val="22"/>
          <w:szCs w:val="22"/>
        </w:rPr>
        <w:t xml:space="preserve">Schaffler MB, Radin EL, Burr DB. 1990. Long-term fatigue behavior of compact bone at low </w:t>
      </w:r>
    </w:p>
    <w:p w14:paraId="648B6CB3" w14:textId="77777777" w:rsidR="004F008F" w:rsidRPr="002B3438" w:rsidRDefault="006A3BEE" w:rsidP="004F008F">
      <w:pPr>
        <w:autoSpaceDE w:val="0"/>
        <w:autoSpaceDN w:val="0"/>
        <w:adjustRightInd w:val="0"/>
        <w:rPr>
          <w:rFonts w:eastAsia="NewCenturySchlbk-Roman"/>
          <w:color w:val="231F20"/>
          <w:sz w:val="22"/>
          <w:szCs w:val="22"/>
        </w:rPr>
      </w:pPr>
      <w:r>
        <w:rPr>
          <w:rFonts w:eastAsia="NewCenturySchlbk-Roman"/>
          <w:color w:val="231F20"/>
          <w:sz w:val="22"/>
          <w:szCs w:val="22"/>
        </w:rPr>
        <w:lastRenderedPageBreak/>
        <w:t xml:space="preserve">  </w:t>
      </w:r>
      <w:r w:rsidR="004F008F" w:rsidRPr="002B3438">
        <w:rPr>
          <w:rFonts w:eastAsia="NewCenturySchlbk-Roman"/>
          <w:color w:val="231F20"/>
          <w:sz w:val="22"/>
          <w:szCs w:val="22"/>
        </w:rPr>
        <w:t>strain magnitude and rate. Bone 11:321–326.</w:t>
      </w:r>
    </w:p>
    <w:p w14:paraId="53D5F5D4" w14:textId="77777777" w:rsidR="004F008F" w:rsidRPr="002B3438" w:rsidRDefault="004F008F" w:rsidP="004F008F">
      <w:pPr>
        <w:ind w:left="360" w:hanging="360"/>
        <w:rPr>
          <w:sz w:val="22"/>
          <w:szCs w:val="22"/>
        </w:rPr>
      </w:pPr>
    </w:p>
    <w:p w14:paraId="5244A7F2" w14:textId="77777777" w:rsidR="00383E0C" w:rsidRPr="002B3438" w:rsidRDefault="00383E0C" w:rsidP="008B04DB">
      <w:pPr>
        <w:ind w:left="360" w:hanging="360"/>
        <w:rPr>
          <w:sz w:val="22"/>
          <w:szCs w:val="22"/>
        </w:rPr>
      </w:pPr>
      <w:r w:rsidRPr="002B3438">
        <w:rPr>
          <w:sz w:val="22"/>
          <w:szCs w:val="22"/>
        </w:rPr>
        <w:t>Schaffler MB, Choi K, Milgrom C</w:t>
      </w:r>
      <w:r w:rsidR="00ED597F" w:rsidRPr="002B3438">
        <w:rPr>
          <w:sz w:val="22"/>
          <w:szCs w:val="22"/>
        </w:rPr>
        <w:t>. 1995</w:t>
      </w:r>
      <w:r w:rsidRPr="002B3438">
        <w:rPr>
          <w:sz w:val="22"/>
          <w:szCs w:val="22"/>
        </w:rPr>
        <w:t>. Aging and matrix microdamage accumulation in human compact bone. Bone 17:521-525.</w:t>
      </w:r>
    </w:p>
    <w:p w14:paraId="2EEBD844" w14:textId="77777777" w:rsidR="00383E0C" w:rsidRPr="002B3438" w:rsidRDefault="00383E0C" w:rsidP="008B04DB">
      <w:pPr>
        <w:ind w:left="360" w:hanging="360"/>
        <w:rPr>
          <w:sz w:val="22"/>
          <w:szCs w:val="22"/>
        </w:rPr>
      </w:pPr>
    </w:p>
    <w:p w14:paraId="28D46B04" w14:textId="77777777" w:rsidR="00E74F2B" w:rsidRPr="002B3438" w:rsidRDefault="00E74F2B" w:rsidP="00E74F2B">
      <w:pPr>
        <w:autoSpaceDE w:val="0"/>
        <w:autoSpaceDN w:val="0"/>
        <w:adjustRightInd w:val="0"/>
        <w:rPr>
          <w:sz w:val="22"/>
          <w:szCs w:val="22"/>
        </w:rPr>
      </w:pPr>
      <w:r w:rsidRPr="002B3438">
        <w:rPr>
          <w:sz w:val="22"/>
          <w:szCs w:val="22"/>
        </w:rPr>
        <w:t xml:space="preserve">Schneider V, Oganov V, LeBlanc A. 1995. Bone and body mass changes during space flight. </w:t>
      </w:r>
    </w:p>
    <w:p w14:paraId="781A48C6" w14:textId="77777777" w:rsidR="00E74F2B" w:rsidRPr="002B3438" w:rsidRDefault="00E74F2B" w:rsidP="00E74F2B">
      <w:pPr>
        <w:autoSpaceDE w:val="0"/>
        <w:autoSpaceDN w:val="0"/>
        <w:adjustRightInd w:val="0"/>
        <w:ind w:firstLine="360"/>
        <w:rPr>
          <w:sz w:val="22"/>
          <w:szCs w:val="22"/>
        </w:rPr>
      </w:pPr>
      <w:r w:rsidRPr="002B3438">
        <w:rPr>
          <w:iCs/>
          <w:sz w:val="22"/>
          <w:szCs w:val="22"/>
        </w:rPr>
        <w:t xml:space="preserve">Acta Astronaut </w:t>
      </w:r>
      <w:r w:rsidRPr="002B3438">
        <w:rPr>
          <w:sz w:val="22"/>
          <w:szCs w:val="22"/>
        </w:rPr>
        <w:t>36:463-466.</w:t>
      </w:r>
    </w:p>
    <w:p w14:paraId="2366C958" w14:textId="77777777" w:rsidR="00E74F2B" w:rsidRPr="002B3438" w:rsidRDefault="00E74F2B" w:rsidP="00E74F2B">
      <w:pPr>
        <w:ind w:left="360" w:hanging="360"/>
        <w:rPr>
          <w:sz w:val="22"/>
          <w:szCs w:val="22"/>
        </w:rPr>
      </w:pPr>
    </w:p>
    <w:p w14:paraId="394700B9" w14:textId="77777777" w:rsidR="003B35F5" w:rsidRPr="002B3438" w:rsidRDefault="003B35F5" w:rsidP="00E74F2B">
      <w:pPr>
        <w:ind w:left="360" w:hanging="360"/>
        <w:rPr>
          <w:sz w:val="22"/>
          <w:szCs w:val="22"/>
        </w:rPr>
      </w:pPr>
      <w:r w:rsidRPr="002B3438">
        <w:rPr>
          <w:sz w:val="22"/>
          <w:szCs w:val="22"/>
        </w:rPr>
        <w:t>Schoenau E, Neu CM, Rauch F, Manz F. 2001. The development of bone strength at the proximal radius during childhood and adolescence. J Clin Endocrinol Metab 86:613-618.</w:t>
      </w:r>
    </w:p>
    <w:p w14:paraId="73F3852E" w14:textId="77777777" w:rsidR="003B35F5" w:rsidRPr="002B3438" w:rsidRDefault="003B35F5" w:rsidP="00E74F2B">
      <w:pPr>
        <w:ind w:left="360" w:hanging="360"/>
        <w:rPr>
          <w:sz w:val="22"/>
          <w:szCs w:val="22"/>
        </w:rPr>
      </w:pPr>
    </w:p>
    <w:p w14:paraId="60493CF4" w14:textId="77777777" w:rsidR="00351BB9" w:rsidRPr="002B3438" w:rsidRDefault="00351BB9" w:rsidP="008B04DB">
      <w:pPr>
        <w:ind w:left="360" w:hanging="360"/>
        <w:rPr>
          <w:sz w:val="22"/>
          <w:szCs w:val="22"/>
        </w:rPr>
      </w:pPr>
      <w:r w:rsidRPr="002B3438">
        <w:rPr>
          <w:sz w:val="22"/>
          <w:szCs w:val="22"/>
        </w:rPr>
        <w:t>Schultz, DR., Benson, AB, Hirsch C. 1974. Force-deformation properties of human ribs. J Biomech 7:303–309.</w:t>
      </w:r>
    </w:p>
    <w:p w14:paraId="74B45798" w14:textId="77777777" w:rsidR="00351BB9" w:rsidRPr="002B3438" w:rsidRDefault="00351BB9" w:rsidP="008B04DB">
      <w:pPr>
        <w:ind w:left="360" w:hanging="360"/>
        <w:rPr>
          <w:sz w:val="22"/>
          <w:szCs w:val="22"/>
        </w:rPr>
      </w:pPr>
    </w:p>
    <w:p w14:paraId="45916532" w14:textId="77777777" w:rsidR="007E530D" w:rsidRPr="002B3438" w:rsidRDefault="007E530D" w:rsidP="008B04DB">
      <w:pPr>
        <w:ind w:left="360" w:hanging="360"/>
        <w:rPr>
          <w:sz w:val="22"/>
          <w:szCs w:val="22"/>
        </w:rPr>
      </w:pPr>
      <w:r w:rsidRPr="002B3438">
        <w:rPr>
          <w:sz w:val="22"/>
          <w:szCs w:val="22"/>
        </w:rPr>
        <w:t>Schultz M. 2001. Paleohistopathology of bone: a new approach to the study of ancient diseases. Yrbk Phys Anth 44:106-147.</w:t>
      </w:r>
    </w:p>
    <w:p w14:paraId="75E3F61E" w14:textId="77777777" w:rsidR="007E530D" w:rsidRPr="002B3438" w:rsidRDefault="007E530D" w:rsidP="008B04DB">
      <w:pPr>
        <w:ind w:left="360" w:hanging="360"/>
        <w:rPr>
          <w:sz w:val="22"/>
          <w:szCs w:val="22"/>
        </w:rPr>
      </w:pPr>
    </w:p>
    <w:p w14:paraId="4565DDA0" w14:textId="77777777" w:rsidR="00F622C7" w:rsidRPr="002B3438" w:rsidRDefault="00F622C7" w:rsidP="008B04DB">
      <w:pPr>
        <w:ind w:left="360" w:hanging="360"/>
        <w:rPr>
          <w:color w:val="000000"/>
          <w:sz w:val="22"/>
          <w:szCs w:val="22"/>
        </w:rPr>
      </w:pPr>
      <w:r w:rsidRPr="002B3438">
        <w:rPr>
          <w:color w:val="000000"/>
          <w:sz w:val="22"/>
          <w:szCs w:val="22"/>
        </w:rPr>
        <w:t>Sedlin, ED 1964 The Ratio of Cortical Area to Total Cross-section area in rib diaphysis: A quantitative index of osteoporosis. Clin Orthop, 36:161-168.</w:t>
      </w:r>
    </w:p>
    <w:p w14:paraId="6FF41F5C" w14:textId="77777777" w:rsidR="00351BB9" w:rsidRPr="002B3438" w:rsidRDefault="00351BB9" w:rsidP="008B04DB">
      <w:pPr>
        <w:ind w:left="360" w:hanging="360"/>
        <w:rPr>
          <w:sz w:val="22"/>
          <w:szCs w:val="22"/>
        </w:rPr>
      </w:pPr>
    </w:p>
    <w:p w14:paraId="0363FD45" w14:textId="77777777" w:rsidR="00ED2F2C" w:rsidRPr="002B3438" w:rsidRDefault="00ED2F2C" w:rsidP="00ED2F2C">
      <w:pPr>
        <w:autoSpaceDE w:val="0"/>
        <w:autoSpaceDN w:val="0"/>
        <w:adjustRightInd w:val="0"/>
        <w:rPr>
          <w:rFonts w:eastAsia="Calibri"/>
          <w:sz w:val="22"/>
          <w:szCs w:val="22"/>
        </w:rPr>
      </w:pPr>
      <w:r w:rsidRPr="002B3438">
        <w:rPr>
          <w:rFonts w:eastAsia="Calibri"/>
          <w:sz w:val="22"/>
          <w:szCs w:val="22"/>
        </w:rPr>
        <w:t>Sedlin E, Frost H, Villanueva A. 1963. Age changes in resorption in the human rib cortex.</w:t>
      </w:r>
    </w:p>
    <w:p w14:paraId="2DF7E276" w14:textId="77777777" w:rsidR="00ED2F2C" w:rsidRPr="002B3438" w:rsidRDefault="006A3BEE" w:rsidP="00ED2F2C">
      <w:pPr>
        <w:autoSpaceDE w:val="0"/>
        <w:autoSpaceDN w:val="0"/>
        <w:adjustRightInd w:val="0"/>
        <w:rPr>
          <w:rFonts w:eastAsia="Calibri"/>
          <w:sz w:val="22"/>
          <w:szCs w:val="22"/>
        </w:rPr>
      </w:pPr>
      <w:r>
        <w:rPr>
          <w:rFonts w:eastAsia="Calibri"/>
          <w:sz w:val="22"/>
          <w:szCs w:val="22"/>
        </w:rPr>
        <w:t xml:space="preserve">  </w:t>
      </w:r>
      <w:r w:rsidR="00ED2F2C" w:rsidRPr="002B3438">
        <w:rPr>
          <w:rFonts w:eastAsia="Calibri"/>
          <w:iCs/>
          <w:sz w:val="22"/>
          <w:szCs w:val="22"/>
        </w:rPr>
        <w:t>Journal of Gerontology 18:</w:t>
      </w:r>
      <w:r w:rsidR="00ED2F2C" w:rsidRPr="002B3438">
        <w:rPr>
          <w:rFonts w:eastAsia="Calibri"/>
          <w:sz w:val="22"/>
          <w:szCs w:val="22"/>
        </w:rPr>
        <w:t>345-349</w:t>
      </w:r>
    </w:p>
    <w:p w14:paraId="19B78AA8" w14:textId="77777777" w:rsidR="00ED2F2C" w:rsidRPr="002B3438" w:rsidRDefault="00ED2F2C" w:rsidP="00ED2F2C">
      <w:pPr>
        <w:ind w:left="360" w:hanging="360"/>
        <w:rPr>
          <w:sz w:val="22"/>
          <w:szCs w:val="22"/>
        </w:rPr>
      </w:pPr>
    </w:p>
    <w:p w14:paraId="314F14F1" w14:textId="77777777" w:rsidR="00ED2F2C" w:rsidRPr="002B3438" w:rsidRDefault="00ED2F2C" w:rsidP="00ED2F2C">
      <w:pPr>
        <w:autoSpaceDE w:val="0"/>
        <w:autoSpaceDN w:val="0"/>
        <w:adjustRightInd w:val="0"/>
        <w:rPr>
          <w:rFonts w:eastAsia="Calibri"/>
          <w:sz w:val="22"/>
          <w:szCs w:val="22"/>
        </w:rPr>
      </w:pPr>
      <w:r w:rsidRPr="002B3438">
        <w:rPr>
          <w:rFonts w:eastAsia="Calibri"/>
          <w:sz w:val="22"/>
          <w:szCs w:val="22"/>
        </w:rPr>
        <w:t xml:space="preserve">Seeman E. 2001. Clinical review 137: sexual dimorphism in skeletal size, density, and strength. J </w:t>
      </w:r>
    </w:p>
    <w:p w14:paraId="41E32716" w14:textId="77777777" w:rsidR="00ED2F2C" w:rsidRPr="002B3438" w:rsidRDefault="00ED2F2C" w:rsidP="00ED2F2C">
      <w:pPr>
        <w:autoSpaceDE w:val="0"/>
        <w:autoSpaceDN w:val="0"/>
        <w:adjustRightInd w:val="0"/>
        <w:ind w:firstLine="360"/>
        <w:rPr>
          <w:rFonts w:eastAsia="Calibri"/>
          <w:sz w:val="22"/>
          <w:szCs w:val="22"/>
        </w:rPr>
      </w:pPr>
      <w:r w:rsidRPr="002B3438">
        <w:rPr>
          <w:rFonts w:eastAsia="Calibri"/>
          <w:sz w:val="22"/>
          <w:szCs w:val="22"/>
        </w:rPr>
        <w:t>Clin Endocrinol Metab 86:4576-4584 .</w:t>
      </w:r>
    </w:p>
    <w:p w14:paraId="425F400C" w14:textId="77777777" w:rsidR="00ED2F2C" w:rsidRPr="002B3438" w:rsidRDefault="00ED2F2C" w:rsidP="00ED2F2C">
      <w:pPr>
        <w:ind w:left="360" w:hanging="360"/>
        <w:rPr>
          <w:sz w:val="22"/>
          <w:szCs w:val="22"/>
        </w:rPr>
      </w:pPr>
    </w:p>
    <w:p w14:paraId="5B28EA05" w14:textId="77777777" w:rsidR="008F1F18" w:rsidRPr="002B3438" w:rsidRDefault="008F1F18" w:rsidP="008F1F18">
      <w:pPr>
        <w:autoSpaceDE w:val="0"/>
        <w:autoSpaceDN w:val="0"/>
        <w:adjustRightInd w:val="0"/>
        <w:ind w:left="360" w:hanging="360"/>
        <w:rPr>
          <w:rFonts w:eastAsia="AdvTimes"/>
          <w:sz w:val="22"/>
          <w:szCs w:val="22"/>
        </w:rPr>
      </w:pPr>
      <w:r w:rsidRPr="002B3438">
        <w:rPr>
          <w:sz w:val="22"/>
          <w:szCs w:val="22"/>
        </w:rPr>
        <w:t xml:space="preserve">Seeman E. 2003a. Reduced bone formation and increased bone resorption: rational targets for the treatment of osteoporosis. </w:t>
      </w:r>
      <w:r w:rsidRPr="002B3438">
        <w:rPr>
          <w:rFonts w:eastAsia="AdvTimes"/>
          <w:sz w:val="22"/>
          <w:szCs w:val="22"/>
        </w:rPr>
        <w:t>Osteoporos Int 14(S3): S2–S8.</w:t>
      </w:r>
    </w:p>
    <w:p w14:paraId="4BA69D9A" w14:textId="77777777" w:rsidR="008F1F18" w:rsidRPr="002B3438" w:rsidRDefault="008F1F18" w:rsidP="008B04DB">
      <w:pPr>
        <w:ind w:left="360" w:hanging="360"/>
        <w:rPr>
          <w:sz w:val="22"/>
          <w:szCs w:val="22"/>
        </w:rPr>
      </w:pPr>
    </w:p>
    <w:p w14:paraId="51F90A57" w14:textId="77777777" w:rsidR="008F1F18" w:rsidRPr="002B3438" w:rsidRDefault="008F1F18" w:rsidP="008B04DB">
      <w:pPr>
        <w:ind w:left="360" w:hanging="360"/>
        <w:rPr>
          <w:sz w:val="22"/>
          <w:szCs w:val="22"/>
        </w:rPr>
      </w:pPr>
      <w:r w:rsidRPr="002B3438">
        <w:rPr>
          <w:sz w:val="22"/>
          <w:szCs w:val="22"/>
        </w:rPr>
        <w:t>Seeman E. 2003b. Periosteal bone formation-a neglected determinant for bone strength. N Engl J Med 349:320-323.</w:t>
      </w:r>
    </w:p>
    <w:p w14:paraId="5A0E8CF0" w14:textId="77777777" w:rsidR="008F1F18" w:rsidRPr="002B3438" w:rsidRDefault="008F1F18" w:rsidP="008B04DB">
      <w:pPr>
        <w:ind w:left="360" w:hanging="360"/>
        <w:rPr>
          <w:sz w:val="22"/>
          <w:szCs w:val="22"/>
        </w:rPr>
      </w:pPr>
    </w:p>
    <w:p w14:paraId="7B41AB26" w14:textId="77777777" w:rsidR="00ED1F1B" w:rsidRPr="002B3438" w:rsidRDefault="00ED1F1B" w:rsidP="00ED1F1B">
      <w:pPr>
        <w:autoSpaceDE w:val="0"/>
        <w:autoSpaceDN w:val="0"/>
        <w:adjustRightInd w:val="0"/>
        <w:ind w:left="360" w:hanging="360"/>
        <w:rPr>
          <w:rFonts w:eastAsia="AdvTimes"/>
          <w:sz w:val="22"/>
          <w:szCs w:val="22"/>
        </w:rPr>
      </w:pPr>
      <w:r w:rsidRPr="002B3438">
        <w:rPr>
          <w:rFonts w:eastAsia="AdvTimes"/>
          <w:sz w:val="22"/>
          <w:szCs w:val="22"/>
        </w:rPr>
        <w:t>Seeman E, Delmas PD. 2006. Bone quality: the material and structural basis of bone strength and fragility. N Engl J Med 354:2250-2261.</w:t>
      </w:r>
    </w:p>
    <w:p w14:paraId="214FDA73" w14:textId="77777777" w:rsidR="00B248DC" w:rsidRPr="002B3438" w:rsidRDefault="00B248DC" w:rsidP="00ED1F1B">
      <w:pPr>
        <w:autoSpaceDE w:val="0"/>
        <w:autoSpaceDN w:val="0"/>
        <w:adjustRightInd w:val="0"/>
        <w:ind w:left="360" w:hanging="360"/>
        <w:rPr>
          <w:rFonts w:eastAsia="AdvTimes"/>
          <w:sz w:val="22"/>
          <w:szCs w:val="22"/>
        </w:rPr>
      </w:pPr>
    </w:p>
    <w:p w14:paraId="0F7C3B2E" w14:textId="77777777" w:rsidR="00AF75DB" w:rsidRPr="002B3438" w:rsidRDefault="00AF75DB" w:rsidP="00ED1F1B">
      <w:pPr>
        <w:autoSpaceDE w:val="0"/>
        <w:autoSpaceDN w:val="0"/>
        <w:adjustRightInd w:val="0"/>
        <w:ind w:left="360" w:hanging="360"/>
        <w:rPr>
          <w:rFonts w:eastAsia="AdvTimes"/>
          <w:sz w:val="22"/>
          <w:szCs w:val="22"/>
        </w:rPr>
      </w:pPr>
      <w:r w:rsidRPr="002B3438">
        <w:rPr>
          <w:rFonts w:eastAsia="AdvTimes"/>
          <w:sz w:val="22"/>
          <w:szCs w:val="22"/>
        </w:rPr>
        <w:t>Seeman E, Szmukler GI, Formica C, Tsalamandris C, Mestrovic R. 1992. Osteoporosis in anorexia nervosa: the influence of peak bone density, bone loss, oral contraceptive use, and exercise. J Bone Miner Res 7:1467-1474.</w:t>
      </w:r>
    </w:p>
    <w:p w14:paraId="2BF71F8A" w14:textId="77777777" w:rsidR="00AF75DB" w:rsidRPr="002B3438" w:rsidRDefault="00AF75DB" w:rsidP="00ED1F1B">
      <w:pPr>
        <w:autoSpaceDE w:val="0"/>
        <w:autoSpaceDN w:val="0"/>
        <w:adjustRightInd w:val="0"/>
        <w:ind w:left="360" w:hanging="360"/>
        <w:rPr>
          <w:rFonts w:eastAsia="AdvTimes"/>
          <w:sz w:val="22"/>
          <w:szCs w:val="22"/>
        </w:rPr>
      </w:pPr>
    </w:p>
    <w:p w14:paraId="4281C414" w14:textId="77777777" w:rsidR="00E64563" w:rsidRPr="002B3438" w:rsidRDefault="00E64563" w:rsidP="00E64563">
      <w:pPr>
        <w:autoSpaceDE w:val="0"/>
        <w:autoSpaceDN w:val="0"/>
        <w:adjustRightInd w:val="0"/>
        <w:rPr>
          <w:sz w:val="22"/>
          <w:szCs w:val="22"/>
        </w:rPr>
      </w:pPr>
      <w:r w:rsidRPr="002B3438">
        <w:rPr>
          <w:sz w:val="22"/>
          <w:szCs w:val="22"/>
        </w:rPr>
        <w:t xml:space="preserve">Seeman E, Karlsson MK, Duan Y. 2000. On exposure to anorexia nervosa, the temporal variation </w:t>
      </w:r>
    </w:p>
    <w:p w14:paraId="074C1008" w14:textId="77777777" w:rsidR="00E64563" w:rsidRPr="002B3438" w:rsidRDefault="00E64563" w:rsidP="00E64563">
      <w:pPr>
        <w:autoSpaceDE w:val="0"/>
        <w:autoSpaceDN w:val="0"/>
        <w:adjustRightInd w:val="0"/>
        <w:ind w:left="360"/>
        <w:rPr>
          <w:sz w:val="22"/>
          <w:szCs w:val="22"/>
        </w:rPr>
      </w:pPr>
      <w:r w:rsidRPr="002B3438">
        <w:rPr>
          <w:sz w:val="22"/>
          <w:szCs w:val="22"/>
        </w:rPr>
        <w:t>in axial and appendicular skeletal development predisposes to site-specific deficits in bone size and density: a cross-sectional study. J Bone Miner Res 2000:15:2259–2265.</w:t>
      </w:r>
    </w:p>
    <w:p w14:paraId="0C0FB171" w14:textId="77777777" w:rsidR="00E64563" w:rsidRPr="002B3438" w:rsidRDefault="00E64563" w:rsidP="00E64563">
      <w:pPr>
        <w:autoSpaceDE w:val="0"/>
        <w:autoSpaceDN w:val="0"/>
        <w:adjustRightInd w:val="0"/>
        <w:rPr>
          <w:sz w:val="22"/>
          <w:szCs w:val="22"/>
        </w:rPr>
      </w:pPr>
    </w:p>
    <w:p w14:paraId="5116E7CF" w14:textId="77777777" w:rsidR="00A05597" w:rsidRPr="002B3438" w:rsidRDefault="00A05597" w:rsidP="00E64563">
      <w:pPr>
        <w:autoSpaceDE w:val="0"/>
        <w:autoSpaceDN w:val="0"/>
        <w:adjustRightInd w:val="0"/>
        <w:rPr>
          <w:sz w:val="22"/>
          <w:szCs w:val="22"/>
        </w:rPr>
      </w:pPr>
      <w:r w:rsidRPr="002B3438">
        <w:rPr>
          <w:sz w:val="22"/>
          <w:szCs w:val="22"/>
        </w:rPr>
        <w:t xml:space="preserve">Šereikienė I., Jankauskas R.2002. Late medieval Lithuanian children growth (according to </w:t>
      </w:r>
    </w:p>
    <w:p w14:paraId="76C7CD08" w14:textId="77777777" w:rsidR="00A05597" w:rsidRPr="002B3438" w:rsidRDefault="006A3BEE" w:rsidP="00A05597">
      <w:pPr>
        <w:autoSpaceDE w:val="0"/>
        <w:autoSpaceDN w:val="0"/>
        <w:adjustRightInd w:val="0"/>
        <w:rPr>
          <w:sz w:val="22"/>
          <w:szCs w:val="22"/>
        </w:rPr>
      </w:pPr>
      <w:r>
        <w:rPr>
          <w:sz w:val="22"/>
          <w:szCs w:val="22"/>
        </w:rPr>
        <w:t xml:space="preserve">  </w:t>
      </w:r>
      <w:r w:rsidR="00A05597" w:rsidRPr="002B3438">
        <w:rPr>
          <w:sz w:val="22"/>
          <w:szCs w:val="22"/>
        </w:rPr>
        <w:t>paleoosteological material of 14th-17th cc. Alytus burial ground. Anthropologie:157-163.</w:t>
      </w:r>
    </w:p>
    <w:p w14:paraId="6A11AE21" w14:textId="77777777" w:rsidR="00A05597" w:rsidRPr="002B3438" w:rsidRDefault="00A05597" w:rsidP="00E64563">
      <w:pPr>
        <w:autoSpaceDE w:val="0"/>
        <w:autoSpaceDN w:val="0"/>
        <w:adjustRightInd w:val="0"/>
        <w:rPr>
          <w:sz w:val="22"/>
          <w:szCs w:val="22"/>
        </w:rPr>
      </w:pPr>
    </w:p>
    <w:p w14:paraId="43521C80" w14:textId="77777777" w:rsidR="00A05597" w:rsidRPr="002B3438" w:rsidRDefault="00A05597" w:rsidP="00E64563">
      <w:pPr>
        <w:autoSpaceDE w:val="0"/>
        <w:autoSpaceDN w:val="0"/>
        <w:adjustRightInd w:val="0"/>
        <w:rPr>
          <w:sz w:val="22"/>
          <w:szCs w:val="22"/>
        </w:rPr>
      </w:pPr>
      <w:r w:rsidRPr="002B3438">
        <w:rPr>
          <w:sz w:val="22"/>
          <w:szCs w:val="22"/>
        </w:rPr>
        <w:t xml:space="preserve">Šereikienė I., Jankauskas R. 2004. Lithuanian children’s growth in the past –an updated medieval </w:t>
      </w:r>
    </w:p>
    <w:p w14:paraId="401C45A6" w14:textId="77777777" w:rsidR="00A05597" w:rsidRPr="002B3438" w:rsidRDefault="006A3BEE" w:rsidP="00E64563">
      <w:pPr>
        <w:autoSpaceDE w:val="0"/>
        <w:autoSpaceDN w:val="0"/>
        <w:adjustRightInd w:val="0"/>
        <w:rPr>
          <w:sz w:val="22"/>
          <w:szCs w:val="22"/>
        </w:rPr>
      </w:pPr>
      <w:r>
        <w:rPr>
          <w:sz w:val="22"/>
          <w:szCs w:val="22"/>
        </w:rPr>
        <w:t xml:space="preserve">  </w:t>
      </w:r>
      <w:r w:rsidR="00A05597" w:rsidRPr="002B3438">
        <w:rPr>
          <w:sz w:val="22"/>
          <w:szCs w:val="22"/>
        </w:rPr>
        <w:t>sample. Papers on Anthropology (Tartu):226-238.</w:t>
      </w:r>
    </w:p>
    <w:p w14:paraId="17A8C168" w14:textId="77777777" w:rsidR="00A05597" w:rsidRPr="002B3438" w:rsidRDefault="00A05597" w:rsidP="00E64563">
      <w:pPr>
        <w:autoSpaceDE w:val="0"/>
        <w:autoSpaceDN w:val="0"/>
        <w:adjustRightInd w:val="0"/>
        <w:rPr>
          <w:sz w:val="22"/>
          <w:szCs w:val="22"/>
        </w:rPr>
      </w:pPr>
    </w:p>
    <w:p w14:paraId="40106CED" w14:textId="77777777" w:rsidR="00065BB5" w:rsidRPr="002B3438" w:rsidRDefault="00065BB5" w:rsidP="00ED1F1B">
      <w:pPr>
        <w:autoSpaceDE w:val="0"/>
        <w:autoSpaceDN w:val="0"/>
        <w:adjustRightInd w:val="0"/>
        <w:ind w:left="360" w:hanging="360"/>
        <w:rPr>
          <w:sz w:val="22"/>
          <w:szCs w:val="22"/>
        </w:rPr>
      </w:pPr>
      <w:r w:rsidRPr="002B3438">
        <w:rPr>
          <w:sz w:val="22"/>
          <w:szCs w:val="22"/>
        </w:rPr>
        <w:lastRenderedPageBreak/>
        <w:t>Severs D, Williams T, Davies JW. 1961. Infantile scurvy: a public health problem. Can J Public Health 52:214-220.</w:t>
      </w:r>
    </w:p>
    <w:p w14:paraId="512F9823" w14:textId="77777777" w:rsidR="00065BB5" w:rsidRPr="002B3438" w:rsidRDefault="00065BB5" w:rsidP="00ED1F1B">
      <w:pPr>
        <w:autoSpaceDE w:val="0"/>
        <w:autoSpaceDN w:val="0"/>
        <w:adjustRightInd w:val="0"/>
        <w:ind w:left="360" w:hanging="360"/>
        <w:rPr>
          <w:rFonts w:eastAsia="AdvTimes"/>
          <w:sz w:val="22"/>
          <w:szCs w:val="22"/>
        </w:rPr>
      </w:pPr>
    </w:p>
    <w:p w14:paraId="29EC60F7" w14:textId="77777777" w:rsidR="001D48B2" w:rsidRPr="002B3438" w:rsidRDefault="001D48B2" w:rsidP="001D48B2">
      <w:pPr>
        <w:ind w:left="360" w:hanging="360"/>
        <w:rPr>
          <w:sz w:val="22"/>
          <w:szCs w:val="22"/>
        </w:rPr>
      </w:pPr>
      <w:r w:rsidRPr="002B3438">
        <w:rPr>
          <w:sz w:val="22"/>
          <w:szCs w:val="22"/>
        </w:rPr>
        <w:t>Shapiro R, Heaney RP. 2003. Co-dependence of calcium and phosphorus for growth and development under conditions of varying deficiency. Bone 32:532-540.</w:t>
      </w:r>
    </w:p>
    <w:p w14:paraId="6C50ACEF" w14:textId="77777777" w:rsidR="001D48B2" w:rsidRPr="002B3438" w:rsidRDefault="001D48B2" w:rsidP="00ED1F1B">
      <w:pPr>
        <w:autoSpaceDE w:val="0"/>
        <w:autoSpaceDN w:val="0"/>
        <w:adjustRightInd w:val="0"/>
        <w:ind w:left="360" w:hanging="360"/>
        <w:rPr>
          <w:rFonts w:eastAsia="AdvTimes"/>
          <w:sz w:val="22"/>
          <w:szCs w:val="22"/>
        </w:rPr>
      </w:pPr>
    </w:p>
    <w:p w14:paraId="6E07386B" w14:textId="77777777" w:rsidR="00B248DC" w:rsidRPr="002B3438" w:rsidRDefault="00B248DC" w:rsidP="00B248DC">
      <w:pPr>
        <w:autoSpaceDE w:val="0"/>
        <w:autoSpaceDN w:val="0"/>
        <w:adjustRightInd w:val="0"/>
        <w:rPr>
          <w:rFonts w:eastAsia="NewCenturySchlbk-Roman"/>
          <w:sz w:val="22"/>
          <w:szCs w:val="22"/>
        </w:rPr>
      </w:pPr>
      <w:r w:rsidRPr="002B3438">
        <w:rPr>
          <w:rFonts w:eastAsia="NewCenturySchlbk-Roman"/>
          <w:sz w:val="22"/>
          <w:szCs w:val="22"/>
        </w:rPr>
        <w:t xml:space="preserve">Skedros JG. 2000. Do BMUs adapt osteon cross-sectional shape for habitual tension vs. </w:t>
      </w:r>
    </w:p>
    <w:p w14:paraId="260C5AC8" w14:textId="77777777" w:rsidR="00B248DC" w:rsidRPr="002B3438" w:rsidRDefault="006A3BEE" w:rsidP="00B248DC">
      <w:pPr>
        <w:autoSpaceDE w:val="0"/>
        <w:autoSpaceDN w:val="0"/>
        <w:adjustRightInd w:val="0"/>
        <w:rPr>
          <w:rFonts w:eastAsia="NewCenturySchlbk-Roman"/>
          <w:sz w:val="22"/>
          <w:szCs w:val="22"/>
        </w:rPr>
      </w:pPr>
      <w:r>
        <w:rPr>
          <w:rFonts w:eastAsia="NewCenturySchlbk-Roman"/>
          <w:sz w:val="22"/>
          <w:szCs w:val="22"/>
        </w:rPr>
        <w:t xml:space="preserve">  </w:t>
      </w:r>
      <w:r w:rsidR="00B248DC" w:rsidRPr="002B3438">
        <w:rPr>
          <w:rFonts w:eastAsia="NewCenturySchlbk-Roman"/>
          <w:sz w:val="22"/>
          <w:szCs w:val="22"/>
        </w:rPr>
        <w:t>compression loading? J Bone Miner Res 15(Suppl 1):S347.</w:t>
      </w:r>
    </w:p>
    <w:p w14:paraId="43037283" w14:textId="77777777" w:rsidR="00ED1F1B" w:rsidRPr="002B3438" w:rsidRDefault="00ED1F1B" w:rsidP="008B04DB">
      <w:pPr>
        <w:ind w:left="360" w:hanging="360"/>
        <w:rPr>
          <w:sz w:val="22"/>
          <w:szCs w:val="22"/>
        </w:rPr>
      </w:pPr>
    </w:p>
    <w:p w14:paraId="764CECD8"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Bloebaum RD, Mason MW, Bramble DM. 1994a. Analysis of a tension/compression </w:t>
      </w:r>
    </w:p>
    <w:p w14:paraId="002711D5" w14:textId="77777777" w:rsidR="00657E55" w:rsidRPr="002B3438" w:rsidRDefault="00657E55" w:rsidP="00657E55">
      <w:pPr>
        <w:autoSpaceDE w:val="0"/>
        <w:autoSpaceDN w:val="0"/>
        <w:adjustRightInd w:val="0"/>
        <w:ind w:left="375"/>
        <w:rPr>
          <w:rFonts w:eastAsia="NewCenturySchlbk-Roman"/>
          <w:sz w:val="22"/>
          <w:szCs w:val="22"/>
        </w:rPr>
      </w:pPr>
      <w:r w:rsidRPr="002B3438">
        <w:rPr>
          <w:rFonts w:eastAsia="NewCenturySchlbk-Roman"/>
          <w:sz w:val="22"/>
          <w:szCs w:val="22"/>
        </w:rPr>
        <w:t>skeletal system: possible strain-specific differences in the hierarchical organization of bone. Anat Rec 239:396–404.</w:t>
      </w:r>
    </w:p>
    <w:p w14:paraId="75E3D97D" w14:textId="77777777" w:rsidR="00657E55" w:rsidRPr="002B3438" w:rsidRDefault="00657E55" w:rsidP="00657E55">
      <w:pPr>
        <w:autoSpaceDE w:val="0"/>
        <w:autoSpaceDN w:val="0"/>
        <w:adjustRightInd w:val="0"/>
        <w:rPr>
          <w:rFonts w:eastAsia="NewCenturySchlbk-Roman"/>
          <w:sz w:val="22"/>
          <w:szCs w:val="22"/>
        </w:rPr>
      </w:pPr>
    </w:p>
    <w:p w14:paraId="411B8AB2"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Mason MW, Bloebaum RD. 1994b. Differences in osteonal micromorphologies </w:t>
      </w:r>
    </w:p>
    <w:p w14:paraId="58A4A14F" w14:textId="77777777" w:rsidR="00657E55" w:rsidRPr="002B3438" w:rsidRDefault="00657E55" w:rsidP="00657E55">
      <w:pPr>
        <w:autoSpaceDE w:val="0"/>
        <w:autoSpaceDN w:val="0"/>
        <w:adjustRightInd w:val="0"/>
        <w:ind w:left="375"/>
        <w:rPr>
          <w:rFonts w:eastAsia="NewCenturySchlbk-Roman"/>
          <w:sz w:val="22"/>
          <w:szCs w:val="22"/>
        </w:rPr>
      </w:pPr>
      <w:r w:rsidRPr="002B3438">
        <w:rPr>
          <w:rFonts w:eastAsia="NewCenturySchlbk-Roman"/>
          <w:sz w:val="22"/>
          <w:szCs w:val="22"/>
        </w:rPr>
        <w:t>between tensile and compressive cortices of a bending skeletal system: indications of potential strain-specific differences in bone microstructure. Anat Rec 239:405–413.</w:t>
      </w:r>
    </w:p>
    <w:p w14:paraId="3ECD3AF3" w14:textId="77777777" w:rsidR="00657E55" w:rsidRPr="002B3438" w:rsidRDefault="00657E55" w:rsidP="00657E55">
      <w:pPr>
        <w:autoSpaceDE w:val="0"/>
        <w:autoSpaceDN w:val="0"/>
        <w:adjustRightInd w:val="0"/>
        <w:rPr>
          <w:rFonts w:eastAsia="NewCenturySchlbk-Roman"/>
          <w:sz w:val="22"/>
          <w:szCs w:val="22"/>
        </w:rPr>
      </w:pPr>
    </w:p>
    <w:p w14:paraId="625B61A7"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Mason MW, Nelson MC, Bloebaum RD. 1996. Evidence of structural and material </w:t>
      </w:r>
    </w:p>
    <w:p w14:paraId="66BE3AA7" w14:textId="77777777" w:rsidR="00657E55" w:rsidRPr="002B3438" w:rsidRDefault="006A3BEE" w:rsidP="00657E55">
      <w:pPr>
        <w:autoSpaceDE w:val="0"/>
        <w:autoSpaceDN w:val="0"/>
        <w:adjustRightInd w:val="0"/>
        <w:rPr>
          <w:rFonts w:eastAsia="NewCenturySchlbk-Roman"/>
          <w:sz w:val="22"/>
          <w:szCs w:val="22"/>
        </w:rPr>
      </w:pPr>
      <w:r>
        <w:rPr>
          <w:rFonts w:eastAsia="NewCenturySchlbk-Roman"/>
          <w:sz w:val="22"/>
          <w:szCs w:val="22"/>
        </w:rPr>
        <w:t xml:space="preserve">  </w:t>
      </w:r>
      <w:r w:rsidR="00657E55" w:rsidRPr="002B3438">
        <w:rPr>
          <w:rFonts w:eastAsia="NewCenturySchlbk-Roman"/>
          <w:sz w:val="22"/>
          <w:szCs w:val="22"/>
        </w:rPr>
        <w:t>adaptation to specific strain features in cortical bone. Anat Rec 246:47–63.</w:t>
      </w:r>
    </w:p>
    <w:p w14:paraId="2ADD0398" w14:textId="77777777" w:rsidR="00657E55" w:rsidRPr="002B3438" w:rsidRDefault="00657E55" w:rsidP="00657E55">
      <w:pPr>
        <w:autoSpaceDE w:val="0"/>
        <w:autoSpaceDN w:val="0"/>
        <w:adjustRightInd w:val="0"/>
        <w:rPr>
          <w:rFonts w:eastAsia="NewCenturySchlbk-Roman"/>
          <w:sz w:val="22"/>
          <w:szCs w:val="22"/>
        </w:rPr>
      </w:pPr>
    </w:p>
    <w:p w14:paraId="7BDF9969"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Su SC, Bloebaum RD. 1997. Biomechanical implications of mineral content and </w:t>
      </w:r>
    </w:p>
    <w:p w14:paraId="4C0D3E04" w14:textId="77777777" w:rsidR="00657E55" w:rsidRPr="002B3438" w:rsidRDefault="00657E55" w:rsidP="00657E55">
      <w:pPr>
        <w:pStyle w:val="CommentText"/>
        <w:ind w:left="315"/>
        <w:rPr>
          <w:rFonts w:eastAsia="NewCenturySchlbk-Roman"/>
          <w:sz w:val="22"/>
          <w:szCs w:val="22"/>
        </w:rPr>
      </w:pPr>
      <w:r w:rsidRPr="002B3438">
        <w:rPr>
          <w:rFonts w:eastAsia="NewCenturySchlbk-Roman"/>
          <w:sz w:val="22"/>
          <w:szCs w:val="22"/>
        </w:rPr>
        <w:t>microstructural variations in cortical bone of horse, elk and sheep calcanei. Anat Rec 249:297–316.</w:t>
      </w:r>
    </w:p>
    <w:p w14:paraId="3310F672" w14:textId="77777777" w:rsidR="00657E55" w:rsidRPr="002B3438" w:rsidRDefault="00657E55" w:rsidP="00657E55">
      <w:pPr>
        <w:autoSpaceDE w:val="0"/>
        <w:autoSpaceDN w:val="0"/>
        <w:adjustRightInd w:val="0"/>
        <w:rPr>
          <w:rFonts w:eastAsia="NewCenturySchlbk-Roman"/>
          <w:sz w:val="22"/>
          <w:szCs w:val="22"/>
        </w:rPr>
      </w:pPr>
    </w:p>
    <w:p w14:paraId="2CCB48D5"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Mason MW, Bloebaum RD. 2001a. Modeling and remodeling in a developing </w:t>
      </w:r>
    </w:p>
    <w:p w14:paraId="0DB5EFEB" w14:textId="77777777" w:rsidR="00657E55" w:rsidRPr="002B3438" w:rsidRDefault="00657E55" w:rsidP="00657E55">
      <w:pPr>
        <w:autoSpaceDE w:val="0"/>
        <w:autoSpaceDN w:val="0"/>
        <w:adjustRightInd w:val="0"/>
        <w:ind w:left="375"/>
        <w:rPr>
          <w:rFonts w:eastAsia="NewCenturySchlbk-Roman"/>
          <w:sz w:val="22"/>
          <w:szCs w:val="22"/>
        </w:rPr>
      </w:pPr>
      <w:r w:rsidRPr="002B3438">
        <w:rPr>
          <w:rFonts w:eastAsia="NewCenturySchlbk-Roman"/>
          <w:sz w:val="22"/>
          <w:szCs w:val="22"/>
        </w:rPr>
        <w:t>artiodactyl calcaneus: a model for evaluating Frost’s Mechanostat hypothesis and its corollaries. Anat Rec 263:167–185.</w:t>
      </w:r>
    </w:p>
    <w:p w14:paraId="17C1CA5D" w14:textId="77777777" w:rsidR="00657E55" w:rsidRPr="002B3438" w:rsidRDefault="00657E55" w:rsidP="00657E55">
      <w:pPr>
        <w:autoSpaceDE w:val="0"/>
        <w:autoSpaceDN w:val="0"/>
        <w:adjustRightInd w:val="0"/>
        <w:rPr>
          <w:rFonts w:eastAsia="NewCenturySchlbk-Roman"/>
          <w:sz w:val="22"/>
          <w:szCs w:val="22"/>
        </w:rPr>
      </w:pPr>
    </w:p>
    <w:p w14:paraId="007D09E9" w14:textId="77777777" w:rsidR="00657E55" w:rsidRPr="002B3438" w:rsidRDefault="00657E55" w:rsidP="00657E55">
      <w:pPr>
        <w:autoSpaceDE w:val="0"/>
        <w:autoSpaceDN w:val="0"/>
        <w:adjustRightInd w:val="0"/>
        <w:rPr>
          <w:rFonts w:eastAsia="NewCenturySchlbk-Roman"/>
          <w:sz w:val="22"/>
          <w:szCs w:val="22"/>
        </w:rPr>
      </w:pPr>
      <w:r w:rsidRPr="002B3438">
        <w:rPr>
          <w:rFonts w:eastAsia="NewCenturySchlbk-Roman"/>
          <w:sz w:val="22"/>
          <w:szCs w:val="22"/>
        </w:rPr>
        <w:t xml:space="preserve">Skedros JG, Hunt KJ, Bloebaum RD. 2001b. Expanding Wolff’s law: variant and invariant strain </w:t>
      </w:r>
    </w:p>
    <w:p w14:paraId="57F1E4FE" w14:textId="77777777" w:rsidR="00657E55" w:rsidRPr="002B3438" w:rsidRDefault="006A3BEE" w:rsidP="00657E55">
      <w:pPr>
        <w:autoSpaceDE w:val="0"/>
        <w:autoSpaceDN w:val="0"/>
        <w:adjustRightInd w:val="0"/>
        <w:rPr>
          <w:rFonts w:eastAsia="NewCenturySchlbk-Roman"/>
          <w:sz w:val="22"/>
          <w:szCs w:val="22"/>
        </w:rPr>
      </w:pPr>
      <w:r>
        <w:rPr>
          <w:rFonts w:eastAsia="NewCenturySchlbk-Roman"/>
          <w:sz w:val="22"/>
          <w:szCs w:val="22"/>
        </w:rPr>
        <w:t xml:space="preserve">  </w:t>
      </w:r>
      <w:r w:rsidR="00657E55" w:rsidRPr="002B3438">
        <w:rPr>
          <w:rFonts w:eastAsia="NewCenturySchlbk-Roman"/>
          <w:sz w:val="22"/>
          <w:szCs w:val="22"/>
        </w:rPr>
        <w:t>stimuli in bone adaptation and maintenance. Trans Orthop Res Soc 26:548.</w:t>
      </w:r>
    </w:p>
    <w:p w14:paraId="75EACAB3" w14:textId="77777777" w:rsidR="00657E55" w:rsidRPr="002B3438" w:rsidRDefault="00657E55" w:rsidP="008B04DB">
      <w:pPr>
        <w:ind w:left="360" w:hanging="360"/>
        <w:rPr>
          <w:sz w:val="22"/>
          <w:szCs w:val="22"/>
        </w:rPr>
      </w:pPr>
    </w:p>
    <w:p w14:paraId="4B6F25F2" w14:textId="77777777" w:rsidR="007C03B5" w:rsidRPr="002B3438" w:rsidRDefault="00CD5490" w:rsidP="00CD5490">
      <w:pPr>
        <w:autoSpaceDE w:val="0"/>
        <w:autoSpaceDN w:val="0"/>
        <w:adjustRightInd w:val="0"/>
        <w:rPr>
          <w:rFonts w:eastAsia="Calibri"/>
          <w:sz w:val="22"/>
          <w:szCs w:val="22"/>
        </w:rPr>
      </w:pPr>
      <w:r w:rsidRPr="002B3438">
        <w:rPr>
          <w:rFonts w:eastAsia="Calibri"/>
          <w:sz w:val="22"/>
          <w:szCs w:val="22"/>
        </w:rPr>
        <w:t xml:space="preserve">Slemenda CW, Miller JZ, Hui SL, Reister TK, Johnston CC Jr. 1991. Role of physical activity in </w:t>
      </w:r>
    </w:p>
    <w:p w14:paraId="020F8491" w14:textId="77777777" w:rsidR="00CD5490" w:rsidRPr="002B3438" w:rsidRDefault="006A3BEE" w:rsidP="007C03B5">
      <w:pPr>
        <w:autoSpaceDE w:val="0"/>
        <w:autoSpaceDN w:val="0"/>
        <w:adjustRightInd w:val="0"/>
        <w:rPr>
          <w:rFonts w:eastAsia="Calibri"/>
          <w:sz w:val="22"/>
          <w:szCs w:val="22"/>
        </w:rPr>
      </w:pPr>
      <w:r>
        <w:rPr>
          <w:rFonts w:eastAsia="Calibri"/>
          <w:sz w:val="22"/>
          <w:szCs w:val="22"/>
        </w:rPr>
        <w:t xml:space="preserve">  </w:t>
      </w:r>
      <w:r w:rsidR="00CD5490" w:rsidRPr="002B3438">
        <w:rPr>
          <w:rFonts w:eastAsia="Calibri"/>
          <w:sz w:val="22"/>
          <w:szCs w:val="22"/>
        </w:rPr>
        <w:t>the development of skeletal mass in children. J Bone Miner Res 6:1227-1233.</w:t>
      </w:r>
    </w:p>
    <w:p w14:paraId="285D6560" w14:textId="77777777" w:rsidR="00CD5490" w:rsidRPr="002B3438" w:rsidRDefault="00CD5490" w:rsidP="00CD5490">
      <w:pPr>
        <w:ind w:left="360" w:hanging="360"/>
        <w:rPr>
          <w:sz w:val="22"/>
          <w:szCs w:val="22"/>
        </w:rPr>
      </w:pPr>
    </w:p>
    <w:p w14:paraId="2206DE49" w14:textId="77777777" w:rsidR="007C03B5" w:rsidRPr="002B3438" w:rsidRDefault="00CD5490" w:rsidP="007C03B5">
      <w:pPr>
        <w:autoSpaceDE w:val="0"/>
        <w:autoSpaceDN w:val="0"/>
        <w:adjustRightInd w:val="0"/>
        <w:rPr>
          <w:rFonts w:eastAsia="Calibri"/>
          <w:sz w:val="22"/>
          <w:szCs w:val="22"/>
        </w:rPr>
      </w:pPr>
      <w:r w:rsidRPr="002B3438">
        <w:rPr>
          <w:rFonts w:eastAsia="Calibri"/>
          <w:sz w:val="22"/>
          <w:szCs w:val="22"/>
        </w:rPr>
        <w:t>Slemenda CW, Reister TK, Hui SL, Miller JZ, Christian JC, Johnston CC</w:t>
      </w:r>
      <w:r w:rsidR="007C03B5" w:rsidRPr="002B3438">
        <w:rPr>
          <w:rFonts w:eastAsia="Calibri"/>
          <w:sz w:val="22"/>
          <w:szCs w:val="22"/>
        </w:rPr>
        <w:t>. 1994</w:t>
      </w:r>
      <w:r w:rsidRPr="002B3438">
        <w:rPr>
          <w:rFonts w:eastAsia="Calibri"/>
          <w:sz w:val="22"/>
          <w:szCs w:val="22"/>
        </w:rPr>
        <w:t xml:space="preserve">. Influences of </w:t>
      </w:r>
    </w:p>
    <w:p w14:paraId="7C8A48CB" w14:textId="77777777" w:rsidR="00CD5490" w:rsidRPr="002B3438" w:rsidRDefault="00CD5490" w:rsidP="007C03B5">
      <w:pPr>
        <w:autoSpaceDE w:val="0"/>
        <w:autoSpaceDN w:val="0"/>
        <w:adjustRightInd w:val="0"/>
        <w:ind w:left="360"/>
        <w:rPr>
          <w:rFonts w:eastAsia="Calibri"/>
          <w:sz w:val="22"/>
          <w:szCs w:val="22"/>
        </w:rPr>
      </w:pPr>
      <w:r w:rsidRPr="002B3438">
        <w:rPr>
          <w:rFonts w:eastAsia="Calibri"/>
          <w:sz w:val="22"/>
          <w:szCs w:val="22"/>
        </w:rPr>
        <w:t>skeletal</w:t>
      </w:r>
      <w:r w:rsidR="007C03B5" w:rsidRPr="002B3438">
        <w:rPr>
          <w:rFonts w:eastAsia="Calibri"/>
          <w:sz w:val="22"/>
          <w:szCs w:val="22"/>
        </w:rPr>
        <w:t xml:space="preserve"> </w:t>
      </w:r>
      <w:r w:rsidRPr="002B3438">
        <w:rPr>
          <w:rFonts w:eastAsia="Calibri"/>
          <w:sz w:val="22"/>
          <w:szCs w:val="22"/>
        </w:rPr>
        <w:t>mineralization in children and adolescents: evidenc</w:t>
      </w:r>
      <w:r w:rsidR="007C03B5" w:rsidRPr="002B3438">
        <w:rPr>
          <w:rFonts w:eastAsia="Calibri"/>
          <w:sz w:val="22"/>
          <w:szCs w:val="22"/>
        </w:rPr>
        <w:t xml:space="preserve">e for varying effects of sexual </w:t>
      </w:r>
      <w:r w:rsidRPr="002B3438">
        <w:rPr>
          <w:rFonts w:eastAsia="Calibri"/>
          <w:sz w:val="22"/>
          <w:szCs w:val="22"/>
        </w:rPr>
        <w:t>maturation and</w:t>
      </w:r>
      <w:r w:rsidR="007C03B5" w:rsidRPr="002B3438">
        <w:rPr>
          <w:rFonts w:eastAsia="Calibri"/>
          <w:sz w:val="22"/>
          <w:szCs w:val="22"/>
        </w:rPr>
        <w:t xml:space="preserve"> </w:t>
      </w:r>
      <w:r w:rsidRPr="002B3438">
        <w:rPr>
          <w:rFonts w:eastAsia="Calibri"/>
          <w:sz w:val="22"/>
          <w:szCs w:val="22"/>
        </w:rPr>
        <w:t>ph</w:t>
      </w:r>
      <w:r w:rsidR="007C03B5" w:rsidRPr="002B3438">
        <w:rPr>
          <w:rFonts w:eastAsia="Calibri"/>
          <w:sz w:val="22"/>
          <w:szCs w:val="22"/>
        </w:rPr>
        <w:t xml:space="preserve">ysical activity. J Pediatr </w:t>
      </w:r>
      <w:r w:rsidRPr="002B3438">
        <w:rPr>
          <w:rFonts w:eastAsia="Calibri"/>
          <w:sz w:val="22"/>
          <w:szCs w:val="22"/>
        </w:rPr>
        <w:t>125:201-207</w:t>
      </w:r>
      <w:r w:rsidR="007C03B5" w:rsidRPr="002B3438">
        <w:rPr>
          <w:rFonts w:eastAsia="Calibri"/>
          <w:sz w:val="22"/>
          <w:szCs w:val="22"/>
        </w:rPr>
        <w:t>.</w:t>
      </w:r>
    </w:p>
    <w:p w14:paraId="60178F60" w14:textId="77777777" w:rsidR="00CD5490" w:rsidRPr="002B3438" w:rsidRDefault="00CD5490" w:rsidP="00CD5490">
      <w:pPr>
        <w:ind w:left="360" w:hanging="360"/>
        <w:rPr>
          <w:sz w:val="22"/>
          <w:szCs w:val="22"/>
        </w:rPr>
      </w:pPr>
    </w:p>
    <w:p w14:paraId="02E44AFE" w14:textId="77777777" w:rsidR="007204EA" w:rsidRPr="002B3438" w:rsidRDefault="007204EA" w:rsidP="008B04DB">
      <w:pPr>
        <w:ind w:left="360" w:hanging="360"/>
        <w:rPr>
          <w:sz w:val="22"/>
          <w:szCs w:val="22"/>
        </w:rPr>
      </w:pPr>
      <w:r w:rsidRPr="002B3438">
        <w:rPr>
          <w:sz w:val="22"/>
          <w:szCs w:val="22"/>
        </w:rPr>
        <w:t>Sims NA, Gooi JH. 2008, Bone remodeling: Multiple cellular interactions required for coupling of bone formation and resorption, Seminars in Cell &amp; Developmental Biology 19:444-451.</w:t>
      </w:r>
    </w:p>
    <w:p w14:paraId="0B1DA215" w14:textId="77777777" w:rsidR="006E23CC" w:rsidRPr="002B3438" w:rsidRDefault="006E23CC" w:rsidP="006E23CC">
      <w:pPr>
        <w:ind w:left="360" w:hanging="360"/>
        <w:rPr>
          <w:sz w:val="22"/>
          <w:szCs w:val="22"/>
        </w:rPr>
      </w:pPr>
    </w:p>
    <w:p w14:paraId="0ADFAEC4" w14:textId="77777777" w:rsidR="006E55E1" w:rsidRPr="002B3438" w:rsidRDefault="006E55E1" w:rsidP="006E23CC">
      <w:pPr>
        <w:ind w:left="360" w:hanging="360"/>
        <w:rPr>
          <w:sz w:val="22"/>
          <w:szCs w:val="22"/>
        </w:rPr>
      </w:pPr>
      <w:r w:rsidRPr="002B3438">
        <w:rPr>
          <w:sz w:val="22"/>
          <w:szCs w:val="22"/>
        </w:rPr>
        <w:t xml:space="preserve">Siraisi NG. 1990. Medieval and early Renaissance medicine: an introduction to knowledge and practice. Chicago:University of Chicago Press. </w:t>
      </w:r>
    </w:p>
    <w:p w14:paraId="424042FA" w14:textId="77777777" w:rsidR="006E55E1" w:rsidRPr="002B3438" w:rsidRDefault="006E55E1" w:rsidP="006E23CC">
      <w:pPr>
        <w:ind w:left="360" w:hanging="360"/>
        <w:rPr>
          <w:sz w:val="22"/>
          <w:szCs w:val="22"/>
        </w:rPr>
      </w:pPr>
    </w:p>
    <w:p w14:paraId="36563ABB" w14:textId="77777777" w:rsidR="000F4AF0" w:rsidRPr="002B3438" w:rsidRDefault="000F4AF0" w:rsidP="006E23CC">
      <w:pPr>
        <w:ind w:left="360" w:hanging="360"/>
        <w:rPr>
          <w:sz w:val="22"/>
          <w:szCs w:val="22"/>
        </w:rPr>
      </w:pPr>
      <w:r w:rsidRPr="002B3438">
        <w:rPr>
          <w:sz w:val="22"/>
          <w:szCs w:val="22"/>
        </w:rPr>
        <w:t>Skedros JG, Mason MW, Bloebaum RD. 2001. Modeling and remodeling in a developing artiodactyls calcaneus: a model for evaluating Frost’s mechanostat hypothesis and its corollaries. Anat Rec 263:167-185.</w:t>
      </w:r>
    </w:p>
    <w:p w14:paraId="2517D693" w14:textId="77777777" w:rsidR="000F4AF0" w:rsidRPr="002B3438" w:rsidRDefault="000F4AF0" w:rsidP="006E23CC">
      <w:pPr>
        <w:ind w:left="360" w:hanging="360"/>
        <w:rPr>
          <w:sz w:val="22"/>
          <w:szCs w:val="22"/>
        </w:rPr>
      </w:pPr>
    </w:p>
    <w:p w14:paraId="1E8F998D" w14:textId="77777777" w:rsidR="00AA5FE8" w:rsidRPr="002B3438" w:rsidRDefault="00AA5FE8" w:rsidP="00AA5FE8">
      <w:pPr>
        <w:pStyle w:val="title0"/>
        <w:shd w:val="clear" w:color="auto" w:fill="FFFFFF"/>
        <w:spacing w:before="0" w:beforeAutospacing="0" w:after="0" w:afterAutospacing="0"/>
        <w:rPr>
          <w:sz w:val="22"/>
          <w:szCs w:val="22"/>
        </w:rPr>
      </w:pPr>
      <w:r w:rsidRPr="002B3438">
        <w:rPr>
          <w:sz w:val="22"/>
          <w:szCs w:val="22"/>
        </w:rPr>
        <w:t xml:space="preserve">Skedros JG, Knight AN, Clark GC, Crowder CM, Dominguez VM, Qiu S, Mulhern DM, </w:t>
      </w:r>
    </w:p>
    <w:p w14:paraId="06026907" w14:textId="77777777" w:rsidR="00AA5FE8" w:rsidRPr="002B3438" w:rsidRDefault="00AA5FE8" w:rsidP="00AA5FE8">
      <w:pPr>
        <w:pStyle w:val="title0"/>
        <w:shd w:val="clear" w:color="auto" w:fill="FFFFFF"/>
        <w:spacing w:before="0" w:beforeAutospacing="0" w:after="0" w:afterAutospacing="0"/>
        <w:ind w:left="360"/>
        <w:rPr>
          <w:sz w:val="22"/>
          <w:szCs w:val="22"/>
        </w:rPr>
      </w:pPr>
      <w:r w:rsidRPr="002B3438">
        <w:rPr>
          <w:sz w:val="22"/>
          <w:szCs w:val="22"/>
        </w:rPr>
        <w:lastRenderedPageBreak/>
        <w:t xml:space="preserve">Donahue SW, Busse B, Hulsey BI, Zedda M, Sorenson SM. 2013. </w:t>
      </w:r>
      <w:hyperlink r:id="rId33" w:history="1">
        <w:r w:rsidRPr="002B3438">
          <w:rPr>
            <w:rStyle w:val="Hyperlink"/>
            <w:color w:val="auto"/>
            <w:sz w:val="22"/>
            <w:szCs w:val="22"/>
            <w:u w:val="none"/>
          </w:rPr>
          <w:t>Scaling of Haversian canal surface area to secondary osteon bone volume in ribs and limb bones.</w:t>
        </w:r>
      </w:hyperlink>
      <w:r w:rsidRPr="002B3438">
        <w:rPr>
          <w:sz w:val="22"/>
          <w:szCs w:val="22"/>
        </w:rPr>
        <w:t xml:space="preserve"> </w:t>
      </w:r>
      <w:r w:rsidRPr="002B3438">
        <w:rPr>
          <w:rStyle w:val="jrnl"/>
          <w:sz w:val="22"/>
          <w:szCs w:val="22"/>
        </w:rPr>
        <w:t>Am J Phys Anthropol</w:t>
      </w:r>
      <w:r w:rsidRPr="002B3438">
        <w:rPr>
          <w:sz w:val="22"/>
          <w:szCs w:val="22"/>
        </w:rPr>
        <w:t xml:space="preserve"> 151:230-44.</w:t>
      </w:r>
    </w:p>
    <w:p w14:paraId="2583EADD" w14:textId="77777777" w:rsidR="00AA5FE8" w:rsidRPr="002B3438" w:rsidRDefault="00AA5FE8" w:rsidP="005F438C">
      <w:pPr>
        <w:ind w:left="360" w:hanging="360"/>
        <w:rPr>
          <w:sz w:val="22"/>
          <w:szCs w:val="22"/>
        </w:rPr>
      </w:pPr>
    </w:p>
    <w:p w14:paraId="50D5F866" w14:textId="77777777" w:rsidR="005F438C" w:rsidRPr="002B3438" w:rsidRDefault="005F438C" w:rsidP="005F438C">
      <w:pPr>
        <w:ind w:left="360" w:hanging="360"/>
        <w:rPr>
          <w:sz w:val="22"/>
          <w:szCs w:val="22"/>
        </w:rPr>
      </w:pPr>
      <w:r w:rsidRPr="002B3438">
        <w:rPr>
          <w:sz w:val="22"/>
          <w:szCs w:val="22"/>
        </w:rPr>
        <w:t>Skerry TM. 2008. The response of bone to mechanical loading and disuse: fundamental principles and influences on osteoblast/osteocyte homeostasis.</w:t>
      </w:r>
      <w:r w:rsidR="006A3BEE">
        <w:rPr>
          <w:sz w:val="22"/>
          <w:szCs w:val="22"/>
        </w:rPr>
        <w:t xml:space="preserve"> </w:t>
      </w:r>
      <w:r w:rsidRPr="002B3438">
        <w:rPr>
          <w:sz w:val="22"/>
          <w:szCs w:val="22"/>
        </w:rPr>
        <w:t xml:space="preserve">Arch Biochem Biophys 473:117-123. </w:t>
      </w:r>
    </w:p>
    <w:p w14:paraId="3BA75246" w14:textId="77777777" w:rsidR="00F52E06" w:rsidRPr="002B3438" w:rsidRDefault="00F52E06" w:rsidP="00F52E06">
      <w:pPr>
        <w:ind w:left="360" w:hanging="360"/>
        <w:rPr>
          <w:sz w:val="22"/>
          <w:szCs w:val="22"/>
        </w:rPr>
      </w:pPr>
    </w:p>
    <w:p w14:paraId="1D0C0C84" w14:textId="77777777" w:rsidR="0060407E" w:rsidRPr="002B3438" w:rsidRDefault="0060407E" w:rsidP="0060407E">
      <w:pPr>
        <w:ind w:left="360" w:hanging="360"/>
        <w:rPr>
          <w:sz w:val="22"/>
          <w:szCs w:val="22"/>
        </w:rPr>
      </w:pPr>
      <w:r w:rsidRPr="002B3438">
        <w:rPr>
          <w:sz w:val="22"/>
          <w:szCs w:val="22"/>
          <w:highlight w:val="yellow"/>
        </w:rPr>
        <w:t>under conditions of varying deficiency. Bone 32:532-540.</w:t>
      </w:r>
    </w:p>
    <w:p w14:paraId="7248E98F" w14:textId="77777777" w:rsidR="0060407E" w:rsidRPr="002B3438" w:rsidRDefault="0060407E" w:rsidP="0060407E">
      <w:pPr>
        <w:ind w:left="360" w:hanging="360"/>
        <w:rPr>
          <w:sz w:val="22"/>
          <w:szCs w:val="22"/>
        </w:rPr>
      </w:pPr>
      <w:r w:rsidRPr="002B3438">
        <w:rPr>
          <w:sz w:val="22"/>
          <w:szCs w:val="22"/>
        </w:rPr>
        <w:t>Smith BH. 1991. Standards of human tooth formation and dental age assessment. In: Kelley MA, Larsen CS, editors. Advances in dental anthropology. New York: Wiley-Liss. p 143-168.</w:t>
      </w:r>
    </w:p>
    <w:p w14:paraId="72350955" w14:textId="77777777" w:rsidR="0060407E" w:rsidRPr="002B3438" w:rsidRDefault="0060407E" w:rsidP="00F52E06">
      <w:pPr>
        <w:ind w:left="360" w:hanging="360"/>
        <w:rPr>
          <w:sz w:val="22"/>
          <w:szCs w:val="22"/>
        </w:rPr>
      </w:pPr>
    </w:p>
    <w:p w14:paraId="77B401C7" w14:textId="77777777" w:rsidR="002F624D" w:rsidRPr="002B3438" w:rsidRDefault="002F624D" w:rsidP="002F624D">
      <w:pPr>
        <w:autoSpaceDE w:val="0"/>
        <w:autoSpaceDN w:val="0"/>
        <w:adjustRightInd w:val="0"/>
        <w:rPr>
          <w:rFonts w:eastAsia="Calibri"/>
          <w:i/>
          <w:iCs/>
          <w:sz w:val="22"/>
          <w:szCs w:val="22"/>
        </w:rPr>
      </w:pPr>
      <w:r w:rsidRPr="002B3438">
        <w:rPr>
          <w:rFonts w:eastAsia="Calibri"/>
          <w:sz w:val="22"/>
          <w:szCs w:val="22"/>
        </w:rPr>
        <w:t xml:space="preserve">Smith EL, Gilligan C. 1987. Effects of inactivity and exercise on bone. </w:t>
      </w:r>
      <w:r w:rsidRPr="002B3438">
        <w:rPr>
          <w:rFonts w:eastAsia="Calibri"/>
          <w:iCs/>
          <w:sz w:val="22"/>
          <w:szCs w:val="22"/>
        </w:rPr>
        <w:t>Physicians Sportsmed.</w:t>
      </w:r>
      <w:r w:rsidRPr="002B3438">
        <w:rPr>
          <w:rFonts w:eastAsia="Calibri"/>
          <w:i/>
          <w:iCs/>
          <w:sz w:val="22"/>
          <w:szCs w:val="22"/>
        </w:rPr>
        <w:t xml:space="preserve"> </w:t>
      </w:r>
    </w:p>
    <w:p w14:paraId="4FB531E4" w14:textId="77777777" w:rsidR="002F624D" w:rsidRPr="002B3438" w:rsidRDefault="006A3BEE" w:rsidP="002F624D">
      <w:pPr>
        <w:autoSpaceDE w:val="0"/>
        <w:autoSpaceDN w:val="0"/>
        <w:adjustRightInd w:val="0"/>
        <w:rPr>
          <w:rFonts w:eastAsia="Calibri"/>
          <w:i/>
          <w:iCs/>
          <w:sz w:val="22"/>
          <w:szCs w:val="22"/>
        </w:rPr>
      </w:pPr>
      <w:r>
        <w:rPr>
          <w:rFonts w:eastAsia="Calibri"/>
          <w:i/>
          <w:iCs/>
          <w:sz w:val="22"/>
          <w:szCs w:val="22"/>
        </w:rPr>
        <w:t xml:space="preserve">  </w:t>
      </w:r>
      <w:r w:rsidR="002F624D" w:rsidRPr="002B3438">
        <w:rPr>
          <w:rFonts w:eastAsia="Calibri"/>
          <w:sz w:val="22"/>
          <w:szCs w:val="22"/>
        </w:rPr>
        <w:t>15:91-100.</w:t>
      </w:r>
    </w:p>
    <w:p w14:paraId="7547E8BE" w14:textId="77777777" w:rsidR="002F624D" w:rsidRPr="002B3438" w:rsidRDefault="002F624D" w:rsidP="002F624D">
      <w:pPr>
        <w:ind w:left="360" w:hanging="360"/>
        <w:rPr>
          <w:sz w:val="22"/>
          <w:szCs w:val="22"/>
        </w:rPr>
      </w:pPr>
    </w:p>
    <w:p w14:paraId="62B8B6F5" w14:textId="77777777" w:rsidR="003B443C" w:rsidRDefault="00317419" w:rsidP="003B443C">
      <w:pPr>
        <w:widowControl w:val="0"/>
        <w:autoSpaceDE w:val="0"/>
        <w:autoSpaceDN w:val="0"/>
        <w:adjustRightInd w:val="0"/>
        <w:spacing w:after="240"/>
        <w:contextualSpacing/>
        <w:rPr>
          <w:rFonts w:ascii="Times" w:hAnsi="Times" w:cs="Times"/>
          <w:color w:val="101010"/>
          <w:sz w:val="22"/>
          <w:szCs w:val="22"/>
        </w:rPr>
      </w:pPr>
      <w:r>
        <w:rPr>
          <w:rFonts w:ascii="Times" w:hAnsi="Times" w:cs="Times"/>
          <w:color w:val="101010"/>
          <w:sz w:val="22"/>
          <w:szCs w:val="22"/>
        </w:rPr>
        <w:t xml:space="preserve">Sofaer Derevenski JR. 1997. Engendering children, engendering </w:t>
      </w:r>
      <w:r w:rsidR="003B443C">
        <w:rPr>
          <w:rFonts w:ascii="Times" w:hAnsi="Times" w:cs="Times"/>
          <w:color w:val="101010"/>
          <w:sz w:val="22"/>
          <w:szCs w:val="22"/>
        </w:rPr>
        <w:t>archaeology. In: Moore J, Scott</w:t>
      </w:r>
    </w:p>
    <w:p w14:paraId="634FD19C" w14:textId="77777777" w:rsidR="00317419" w:rsidRDefault="006A3BEE" w:rsidP="003B443C">
      <w:pPr>
        <w:widowControl w:val="0"/>
        <w:autoSpaceDE w:val="0"/>
        <w:autoSpaceDN w:val="0"/>
        <w:adjustRightInd w:val="0"/>
        <w:spacing w:after="240"/>
        <w:contextualSpacing/>
        <w:rPr>
          <w:rFonts w:ascii="Times" w:hAnsi="Times" w:cs="Times"/>
          <w:color w:val="101010"/>
          <w:sz w:val="22"/>
          <w:szCs w:val="22"/>
        </w:rPr>
      </w:pPr>
      <w:r>
        <w:rPr>
          <w:rFonts w:ascii="Times" w:hAnsi="Times" w:cs="Times"/>
          <w:color w:val="101010"/>
          <w:sz w:val="22"/>
          <w:szCs w:val="22"/>
        </w:rPr>
        <w:t xml:space="preserve"> </w:t>
      </w:r>
      <w:r w:rsidR="003B443C">
        <w:rPr>
          <w:rFonts w:ascii="Times" w:hAnsi="Times" w:cs="Times"/>
          <w:color w:val="101010"/>
          <w:sz w:val="22"/>
          <w:szCs w:val="22"/>
        </w:rPr>
        <w:t xml:space="preserve"> </w:t>
      </w:r>
      <w:r w:rsidR="00317419">
        <w:rPr>
          <w:rFonts w:ascii="Times" w:hAnsi="Times" w:cs="Times"/>
          <w:color w:val="101010"/>
          <w:sz w:val="22"/>
          <w:szCs w:val="22"/>
        </w:rPr>
        <w:t>EC, editors. Invisible people and proc</w:t>
      </w:r>
      <w:r w:rsidR="003B443C">
        <w:rPr>
          <w:rFonts w:ascii="Times" w:hAnsi="Times" w:cs="Times"/>
          <w:color w:val="101010"/>
          <w:sz w:val="22"/>
          <w:szCs w:val="22"/>
        </w:rPr>
        <w:t xml:space="preserve">esses. </w:t>
      </w:r>
      <w:r w:rsidR="00317419">
        <w:rPr>
          <w:rFonts w:ascii="Times" w:hAnsi="Times" w:cs="Times"/>
          <w:color w:val="101010"/>
          <w:sz w:val="22"/>
          <w:szCs w:val="22"/>
        </w:rPr>
        <w:t>London: Leicester University Press</w:t>
      </w:r>
      <w:r w:rsidR="003B443C">
        <w:rPr>
          <w:rFonts w:ascii="Times" w:hAnsi="Times" w:cs="Times"/>
          <w:color w:val="101010"/>
          <w:sz w:val="22"/>
          <w:szCs w:val="22"/>
        </w:rPr>
        <w:t>. p 192–202</w:t>
      </w:r>
      <w:r w:rsidR="00317419">
        <w:rPr>
          <w:rFonts w:ascii="Times" w:hAnsi="Times" w:cs="Times"/>
          <w:color w:val="101010"/>
          <w:sz w:val="22"/>
          <w:szCs w:val="22"/>
        </w:rPr>
        <w:t>.</w:t>
      </w:r>
    </w:p>
    <w:p w14:paraId="08292A23" w14:textId="77777777" w:rsidR="003B443C" w:rsidRDefault="003B443C" w:rsidP="003B443C">
      <w:pPr>
        <w:widowControl w:val="0"/>
        <w:autoSpaceDE w:val="0"/>
        <w:autoSpaceDN w:val="0"/>
        <w:adjustRightInd w:val="0"/>
        <w:spacing w:after="240"/>
        <w:contextualSpacing/>
        <w:rPr>
          <w:rFonts w:ascii="Times" w:hAnsi="Times" w:cs="Times"/>
        </w:rPr>
      </w:pPr>
    </w:p>
    <w:p w14:paraId="2E4239BD" w14:textId="77777777" w:rsidR="00070298" w:rsidRPr="002B3438" w:rsidRDefault="00070298" w:rsidP="002F624D">
      <w:pPr>
        <w:ind w:left="360" w:hanging="360"/>
        <w:rPr>
          <w:sz w:val="22"/>
          <w:szCs w:val="22"/>
        </w:rPr>
      </w:pPr>
      <w:r w:rsidRPr="002B3438">
        <w:rPr>
          <w:sz w:val="22"/>
          <w:szCs w:val="22"/>
        </w:rPr>
        <w:t>Soafer Deverenski J</w:t>
      </w:r>
      <w:r w:rsidR="003B443C">
        <w:rPr>
          <w:sz w:val="22"/>
          <w:szCs w:val="22"/>
        </w:rPr>
        <w:t>R</w:t>
      </w:r>
      <w:r w:rsidRPr="002B3438">
        <w:rPr>
          <w:sz w:val="22"/>
          <w:szCs w:val="22"/>
        </w:rPr>
        <w:t>. 2000. Children and Material Culture. London, Routledge.</w:t>
      </w:r>
    </w:p>
    <w:p w14:paraId="3DADC3E7" w14:textId="77777777" w:rsidR="00070298" w:rsidRPr="002B3438" w:rsidRDefault="00070298" w:rsidP="002F624D">
      <w:pPr>
        <w:ind w:left="360" w:hanging="360"/>
        <w:rPr>
          <w:sz w:val="22"/>
          <w:szCs w:val="22"/>
        </w:rPr>
      </w:pPr>
    </w:p>
    <w:p w14:paraId="4E415041" w14:textId="77777777" w:rsidR="00F344AC" w:rsidRPr="002B3438" w:rsidRDefault="00F344AC" w:rsidP="002F624D">
      <w:pPr>
        <w:ind w:left="360" w:hanging="360"/>
        <w:rPr>
          <w:rFonts w:eastAsia="Calibri"/>
          <w:sz w:val="22"/>
          <w:szCs w:val="22"/>
        </w:rPr>
      </w:pPr>
      <w:r w:rsidRPr="002B3438">
        <w:rPr>
          <w:rFonts w:eastAsia="Calibri"/>
          <w:sz w:val="22"/>
          <w:szCs w:val="22"/>
        </w:rPr>
        <w:t xml:space="preserve">Squillante RG, Williams JL. 1993. Videodensitometry of osteons in females with femoral neck fractures. Calcif Tissue Int </w:t>
      </w:r>
      <w:r w:rsidRPr="002B3438">
        <w:rPr>
          <w:rFonts w:eastAsia="Calibri"/>
          <w:bCs/>
          <w:sz w:val="22"/>
          <w:szCs w:val="22"/>
        </w:rPr>
        <w:t>52:</w:t>
      </w:r>
      <w:r w:rsidRPr="002B3438">
        <w:rPr>
          <w:rFonts w:eastAsia="Calibri"/>
          <w:sz w:val="22"/>
          <w:szCs w:val="22"/>
        </w:rPr>
        <w:t>273–277.</w:t>
      </w:r>
    </w:p>
    <w:p w14:paraId="3AB0B790" w14:textId="77777777" w:rsidR="00F344AC" w:rsidRPr="002B3438" w:rsidRDefault="00F344AC" w:rsidP="002F624D">
      <w:pPr>
        <w:ind w:left="360" w:hanging="360"/>
        <w:rPr>
          <w:sz w:val="22"/>
          <w:szCs w:val="22"/>
        </w:rPr>
      </w:pPr>
    </w:p>
    <w:p w14:paraId="287EE302" w14:textId="77777777" w:rsidR="0068508E" w:rsidRPr="002B3438" w:rsidRDefault="0068508E" w:rsidP="002F624D">
      <w:pPr>
        <w:ind w:left="360" w:hanging="360"/>
        <w:rPr>
          <w:sz w:val="22"/>
          <w:szCs w:val="22"/>
        </w:rPr>
      </w:pPr>
      <w:r w:rsidRPr="002B3438">
        <w:rPr>
          <w:sz w:val="22"/>
          <w:szCs w:val="22"/>
        </w:rPr>
        <w:t>Srinivasan S, Keilin SA, Judex S, Bray RC, Zernicke RF, Gross TS. Aging-induced osteopenia in avian cortical bone. Bone 26:361-365.</w:t>
      </w:r>
    </w:p>
    <w:p w14:paraId="26D79972" w14:textId="77777777" w:rsidR="0068508E" w:rsidRPr="002B3438" w:rsidRDefault="0068508E" w:rsidP="002F624D">
      <w:pPr>
        <w:ind w:left="360" w:hanging="360"/>
        <w:rPr>
          <w:sz w:val="22"/>
          <w:szCs w:val="22"/>
        </w:rPr>
      </w:pPr>
    </w:p>
    <w:p w14:paraId="38267C76" w14:textId="77777777" w:rsidR="00F52E06" w:rsidRPr="002B3438" w:rsidRDefault="00F52E06" w:rsidP="00F52E06">
      <w:pPr>
        <w:autoSpaceDE w:val="0"/>
        <w:autoSpaceDN w:val="0"/>
        <w:adjustRightInd w:val="0"/>
        <w:rPr>
          <w:rFonts w:eastAsia="JansonText-Roman"/>
          <w:color w:val="231F20"/>
          <w:sz w:val="22"/>
          <w:szCs w:val="22"/>
        </w:rPr>
      </w:pPr>
      <w:r w:rsidRPr="002B3438">
        <w:rPr>
          <w:rFonts w:eastAsia="JansonText-Roman"/>
          <w:color w:val="231F20"/>
          <w:sz w:val="22"/>
          <w:szCs w:val="22"/>
        </w:rPr>
        <w:t>Srinivasan S,Weimer DA, Agans SC, Bain SD, Gross TS. 2002. Low-magnitude mechanical</w:t>
      </w:r>
    </w:p>
    <w:p w14:paraId="378190BC" w14:textId="77777777" w:rsidR="00F52E06" w:rsidRPr="002B3438" w:rsidRDefault="00F52E06" w:rsidP="00F52E06">
      <w:pPr>
        <w:autoSpaceDE w:val="0"/>
        <w:autoSpaceDN w:val="0"/>
        <w:adjustRightInd w:val="0"/>
        <w:ind w:left="360"/>
        <w:rPr>
          <w:rFonts w:eastAsia="JansonText-Roman"/>
          <w:color w:val="231F20"/>
          <w:sz w:val="22"/>
          <w:szCs w:val="22"/>
        </w:rPr>
      </w:pPr>
      <w:r w:rsidRPr="002B3438">
        <w:rPr>
          <w:rFonts w:eastAsia="JansonText-Roman"/>
          <w:color w:val="231F20"/>
          <w:sz w:val="22"/>
          <w:szCs w:val="22"/>
        </w:rPr>
        <w:t>loading becomes osteogenic when rest is inserted between each load cycle.</w:t>
      </w:r>
      <w:r w:rsidR="006A3BEE">
        <w:rPr>
          <w:rFonts w:eastAsia="JansonText-Roman"/>
          <w:color w:val="231F20"/>
          <w:sz w:val="22"/>
          <w:szCs w:val="22"/>
        </w:rPr>
        <w:t xml:space="preserve"> </w:t>
      </w:r>
      <w:r w:rsidRPr="002B3438">
        <w:rPr>
          <w:rFonts w:eastAsia="JansonText-Roman"/>
          <w:iCs/>
          <w:color w:val="231F20"/>
          <w:sz w:val="22"/>
          <w:szCs w:val="22"/>
        </w:rPr>
        <w:t>Bone Miner Res</w:t>
      </w:r>
      <w:r w:rsidRPr="002B3438">
        <w:rPr>
          <w:rFonts w:eastAsia="JansonText-Roman"/>
          <w:i/>
          <w:iCs/>
          <w:color w:val="231F20"/>
          <w:sz w:val="22"/>
          <w:szCs w:val="22"/>
        </w:rPr>
        <w:t xml:space="preserve"> </w:t>
      </w:r>
      <w:r w:rsidRPr="002B3438">
        <w:rPr>
          <w:rFonts w:eastAsia="JansonText-Roman"/>
          <w:color w:val="231F20"/>
          <w:sz w:val="22"/>
          <w:szCs w:val="22"/>
        </w:rPr>
        <w:t>17:1613–20.</w:t>
      </w:r>
    </w:p>
    <w:p w14:paraId="009A5C49" w14:textId="77777777" w:rsidR="00F622C7" w:rsidRPr="002B3438" w:rsidRDefault="00F622C7" w:rsidP="00821F63">
      <w:pPr>
        <w:rPr>
          <w:sz w:val="22"/>
          <w:szCs w:val="22"/>
          <w:highlight w:val="yellow"/>
        </w:rPr>
      </w:pPr>
    </w:p>
    <w:p w14:paraId="3CD303C8" w14:textId="77777777" w:rsidR="00351BB9" w:rsidRPr="002B3438" w:rsidRDefault="00351BB9" w:rsidP="005F438C">
      <w:pPr>
        <w:ind w:left="360" w:hanging="360"/>
        <w:rPr>
          <w:sz w:val="22"/>
          <w:szCs w:val="22"/>
        </w:rPr>
      </w:pPr>
      <w:r w:rsidRPr="002B3438">
        <w:rPr>
          <w:sz w:val="22"/>
          <w:szCs w:val="22"/>
        </w:rPr>
        <w:t>Stein I</w:t>
      </w:r>
      <w:r w:rsidR="0004239A" w:rsidRPr="002B3438">
        <w:rPr>
          <w:sz w:val="22"/>
          <w:szCs w:val="22"/>
        </w:rPr>
        <w:t>D</w:t>
      </w:r>
      <w:r w:rsidRPr="002B3438">
        <w:rPr>
          <w:sz w:val="22"/>
          <w:szCs w:val="22"/>
        </w:rPr>
        <w:t>, Granik G. 1976. Rib structure and bending strength: an autopsy study. Calcif Tiss Res</w:t>
      </w:r>
      <w:r w:rsidR="0004239A" w:rsidRPr="002B3438">
        <w:rPr>
          <w:sz w:val="22"/>
          <w:szCs w:val="22"/>
        </w:rPr>
        <w:t xml:space="preserve"> 20:</w:t>
      </w:r>
      <w:r w:rsidRPr="002B3438">
        <w:rPr>
          <w:sz w:val="22"/>
          <w:szCs w:val="22"/>
        </w:rPr>
        <w:t>61–73.</w:t>
      </w:r>
    </w:p>
    <w:p w14:paraId="0644F065" w14:textId="77777777" w:rsidR="00B92502" w:rsidRPr="002B3438" w:rsidRDefault="00B92502" w:rsidP="00B92502">
      <w:pPr>
        <w:ind w:left="360" w:hanging="360"/>
        <w:rPr>
          <w:sz w:val="22"/>
          <w:szCs w:val="22"/>
        </w:rPr>
      </w:pPr>
    </w:p>
    <w:p w14:paraId="1DC6FE61" w14:textId="77777777" w:rsidR="00C27558" w:rsidRPr="002B3438" w:rsidRDefault="00C27558" w:rsidP="00B92502">
      <w:pPr>
        <w:ind w:left="360" w:hanging="360"/>
        <w:rPr>
          <w:sz w:val="22"/>
          <w:szCs w:val="22"/>
        </w:rPr>
      </w:pPr>
      <w:r w:rsidRPr="002B3438">
        <w:rPr>
          <w:sz w:val="22"/>
          <w:szCs w:val="22"/>
        </w:rPr>
        <w:t>Stein MS, Feik SA, Thomas CD, Clement JG, Ward JD. 1999. An automated analysis of intracortical porosity in human femoral bone across age. J Bone Miner Res14:624-32</w:t>
      </w:r>
    </w:p>
    <w:p w14:paraId="76197EBD" w14:textId="77777777" w:rsidR="00C27558" w:rsidRPr="002B3438" w:rsidRDefault="00C27558" w:rsidP="00B92502">
      <w:pPr>
        <w:ind w:left="360" w:hanging="360"/>
        <w:rPr>
          <w:sz w:val="22"/>
          <w:szCs w:val="22"/>
        </w:rPr>
      </w:pPr>
    </w:p>
    <w:p w14:paraId="4B201F02" w14:textId="77777777" w:rsidR="00B92502" w:rsidRPr="002B3438" w:rsidRDefault="00B92502" w:rsidP="00B92502">
      <w:pPr>
        <w:pStyle w:val="CommentText"/>
        <w:rPr>
          <w:sz w:val="22"/>
          <w:szCs w:val="22"/>
        </w:rPr>
      </w:pPr>
      <w:r w:rsidRPr="002B3438">
        <w:rPr>
          <w:sz w:val="22"/>
          <w:szCs w:val="22"/>
        </w:rPr>
        <w:t xml:space="preserve">Stitzel JD, Cormier JM, Barretta JT, Kennedy EA, Smith EP, Rath AL, Duma SM, Matsuoka F. </w:t>
      </w:r>
    </w:p>
    <w:p w14:paraId="2A525D6E" w14:textId="77777777" w:rsidR="00B92502" w:rsidRPr="002B3438" w:rsidRDefault="00B92502" w:rsidP="00B92502">
      <w:pPr>
        <w:pStyle w:val="CommentText"/>
        <w:ind w:left="360" w:firstLine="15"/>
        <w:rPr>
          <w:sz w:val="22"/>
          <w:szCs w:val="22"/>
        </w:rPr>
      </w:pPr>
      <w:r w:rsidRPr="002B3438">
        <w:rPr>
          <w:sz w:val="22"/>
          <w:szCs w:val="22"/>
        </w:rPr>
        <w:t>2003. Defining regional variation in the material properties of human rib cortical bone and its</w:t>
      </w:r>
      <w:r w:rsidR="006A3BEE">
        <w:rPr>
          <w:sz w:val="22"/>
          <w:szCs w:val="22"/>
        </w:rPr>
        <w:t xml:space="preserve"> </w:t>
      </w:r>
      <w:r w:rsidRPr="002B3438">
        <w:rPr>
          <w:sz w:val="22"/>
          <w:szCs w:val="22"/>
        </w:rPr>
        <w:t>effect on fracture prediction. Stapp Car Crash Journal 47:243–265.</w:t>
      </w:r>
    </w:p>
    <w:p w14:paraId="34D7064D" w14:textId="77777777" w:rsidR="00B92502" w:rsidRPr="002B3438" w:rsidRDefault="00B92502" w:rsidP="005F438C">
      <w:pPr>
        <w:ind w:left="360" w:hanging="360"/>
        <w:rPr>
          <w:sz w:val="22"/>
          <w:szCs w:val="22"/>
        </w:rPr>
      </w:pPr>
    </w:p>
    <w:p w14:paraId="38197A6F" w14:textId="77777777" w:rsidR="00167FB1" w:rsidRPr="002B3438" w:rsidRDefault="00167FB1" w:rsidP="00167FB1">
      <w:pPr>
        <w:ind w:left="360" w:hanging="360"/>
        <w:rPr>
          <w:sz w:val="22"/>
          <w:szCs w:val="22"/>
        </w:rPr>
      </w:pPr>
      <w:r w:rsidRPr="002B3438">
        <w:rPr>
          <w:sz w:val="22"/>
          <w:szCs w:val="22"/>
        </w:rPr>
        <w:t xml:space="preserve">Stock JT. 2006. Hunter-gatherer postcranial robusticity relative to patterns of mobility, climatic adaptation, and selection for tissue economy. Am J Phys Anthropol 131:194-204. </w:t>
      </w:r>
    </w:p>
    <w:p w14:paraId="447AD296" w14:textId="77777777" w:rsidR="00167FB1" w:rsidRPr="002B3438" w:rsidRDefault="00167FB1" w:rsidP="005F438C">
      <w:pPr>
        <w:ind w:left="360" w:hanging="360"/>
        <w:rPr>
          <w:sz w:val="22"/>
          <w:szCs w:val="22"/>
        </w:rPr>
      </w:pPr>
    </w:p>
    <w:p w14:paraId="36ED8B4D" w14:textId="77777777" w:rsidR="00167FB1" w:rsidRPr="002B3438" w:rsidRDefault="00167FB1" w:rsidP="00167FB1">
      <w:pPr>
        <w:ind w:left="360" w:hanging="360"/>
        <w:rPr>
          <w:sz w:val="22"/>
          <w:szCs w:val="22"/>
        </w:rPr>
      </w:pPr>
      <w:r w:rsidRPr="002B3438">
        <w:rPr>
          <w:sz w:val="22"/>
          <w:szCs w:val="22"/>
        </w:rPr>
        <w:t>Stock JT, Pfeiffer SK. 2001. Linking structural variability in long bone diaphyses to habitual behaviors: foragers from the southern African Later Stone Age and the Andaman Islands. Am J Phys Anthropol 115:337-348.</w:t>
      </w:r>
    </w:p>
    <w:p w14:paraId="5205D566" w14:textId="77777777" w:rsidR="00167FB1" w:rsidRPr="002B3438" w:rsidRDefault="00167FB1" w:rsidP="005F438C">
      <w:pPr>
        <w:ind w:left="360" w:hanging="360"/>
        <w:rPr>
          <w:sz w:val="22"/>
          <w:szCs w:val="22"/>
        </w:rPr>
      </w:pPr>
    </w:p>
    <w:p w14:paraId="44D88E62" w14:textId="77777777" w:rsidR="002A4B41" w:rsidRPr="002B3438" w:rsidRDefault="002A4B41" w:rsidP="002A4B41">
      <w:pPr>
        <w:autoSpaceDE w:val="0"/>
        <w:autoSpaceDN w:val="0"/>
        <w:adjustRightInd w:val="0"/>
        <w:rPr>
          <w:color w:val="241F20"/>
          <w:sz w:val="22"/>
          <w:szCs w:val="22"/>
        </w:rPr>
      </w:pPr>
      <w:r w:rsidRPr="002B3438">
        <w:rPr>
          <w:color w:val="241F20"/>
          <w:sz w:val="22"/>
          <w:szCs w:val="22"/>
        </w:rPr>
        <w:t>Stock J</w:t>
      </w:r>
      <w:r w:rsidR="00873EE9" w:rsidRPr="002B3438">
        <w:rPr>
          <w:color w:val="241F20"/>
          <w:sz w:val="22"/>
          <w:szCs w:val="22"/>
        </w:rPr>
        <w:t>T</w:t>
      </w:r>
      <w:r w:rsidRPr="002B3438">
        <w:rPr>
          <w:color w:val="241F20"/>
          <w:sz w:val="22"/>
          <w:szCs w:val="22"/>
        </w:rPr>
        <w:t>, Pfeiffer S</w:t>
      </w:r>
      <w:r w:rsidR="00873EE9" w:rsidRPr="002B3438">
        <w:rPr>
          <w:color w:val="241F20"/>
          <w:sz w:val="22"/>
          <w:szCs w:val="22"/>
        </w:rPr>
        <w:t>K</w:t>
      </w:r>
      <w:r w:rsidRPr="002B3438">
        <w:rPr>
          <w:color w:val="241F20"/>
          <w:sz w:val="22"/>
          <w:szCs w:val="22"/>
        </w:rPr>
        <w:t xml:space="preserve">. 2004. Long bone robusticity and subsistence behaviour among Later Stone </w:t>
      </w:r>
    </w:p>
    <w:p w14:paraId="42DB27C2" w14:textId="77777777" w:rsidR="002A4B41" w:rsidRPr="002B3438" w:rsidRDefault="002A4B41" w:rsidP="002A4B41">
      <w:pPr>
        <w:autoSpaceDE w:val="0"/>
        <w:autoSpaceDN w:val="0"/>
        <w:adjustRightInd w:val="0"/>
        <w:ind w:firstLine="360"/>
        <w:rPr>
          <w:color w:val="241F20"/>
          <w:sz w:val="22"/>
          <w:szCs w:val="22"/>
        </w:rPr>
      </w:pPr>
      <w:r w:rsidRPr="002B3438">
        <w:rPr>
          <w:color w:val="241F20"/>
          <w:sz w:val="22"/>
          <w:szCs w:val="22"/>
        </w:rPr>
        <w:t>Age foragers of the forest and fynbos biomes of South Africa. J Archaeol Sci 31:999–1013.</w:t>
      </w:r>
    </w:p>
    <w:p w14:paraId="6C91155D" w14:textId="77777777" w:rsidR="002A4B41" w:rsidRPr="002B3438" w:rsidRDefault="002A4B41" w:rsidP="002A4B41">
      <w:pPr>
        <w:ind w:left="360" w:hanging="360"/>
        <w:rPr>
          <w:sz w:val="22"/>
          <w:szCs w:val="22"/>
        </w:rPr>
      </w:pPr>
    </w:p>
    <w:p w14:paraId="14ED9377" w14:textId="77777777" w:rsidR="00CB0C91" w:rsidRPr="002B3438" w:rsidRDefault="00CB0C91" w:rsidP="005F438C">
      <w:pPr>
        <w:ind w:left="360" w:hanging="360"/>
        <w:rPr>
          <w:sz w:val="22"/>
          <w:szCs w:val="22"/>
        </w:rPr>
      </w:pPr>
      <w:r w:rsidRPr="002B3438">
        <w:rPr>
          <w:sz w:val="22"/>
          <w:szCs w:val="22"/>
        </w:rPr>
        <w:lastRenderedPageBreak/>
        <w:t>Stone KL, Seeley DG, Lui L-Y, Cauley JA, Ensrud K, Browner WS, Nevitt MC, Cummings SR. 2003. BMD at multiple sites and risk of fracture of multiple types: long-term results from the study of os</w:t>
      </w:r>
      <w:r w:rsidR="00E24D5F" w:rsidRPr="002B3438">
        <w:rPr>
          <w:sz w:val="22"/>
          <w:szCs w:val="22"/>
        </w:rPr>
        <w:t>teoporotic fractures. J Bone Miner Res 18:1947-1954.</w:t>
      </w:r>
    </w:p>
    <w:p w14:paraId="793EE750" w14:textId="77777777" w:rsidR="00B92502" w:rsidRPr="002B3438" w:rsidRDefault="00B92502" w:rsidP="00B92502">
      <w:pPr>
        <w:ind w:left="360" w:hanging="360"/>
        <w:rPr>
          <w:sz w:val="22"/>
          <w:szCs w:val="22"/>
        </w:rPr>
      </w:pPr>
    </w:p>
    <w:p w14:paraId="7D3CD2E8" w14:textId="77777777" w:rsidR="00B92502" w:rsidRPr="002B3438" w:rsidRDefault="00B92502" w:rsidP="00B92502">
      <w:pPr>
        <w:ind w:left="360" w:hanging="360"/>
        <w:rPr>
          <w:sz w:val="22"/>
          <w:szCs w:val="22"/>
        </w:rPr>
      </w:pPr>
      <w:r w:rsidRPr="002B3438">
        <w:rPr>
          <w:sz w:val="22"/>
          <w:szCs w:val="22"/>
        </w:rPr>
        <w:t xml:space="preserve">Stout SD. 1978. Histological structure and its preservation in ancient bone. Curr Anth 19:601-604. </w:t>
      </w:r>
    </w:p>
    <w:p w14:paraId="21740F63" w14:textId="77777777" w:rsidR="00B92502" w:rsidRPr="002B3438" w:rsidRDefault="00B92502" w:rsidP="00B92502">
      <w:pPr>
        <w:ind w:left="360" w:hanging="360"/>
        <w:rPr>
          <w:sz w:val="22"/>
          <w:szCs w:val="22"/>
        </w:rPr>
      </w:pPr>
    </w:p>
    <w:p w14:paraId="7C7EFB3D" w14:textId="77777777" w:rsidR="007B6E1F" w:rsidRPr="002B3438" w:rsidRDefault="007B6E1F" w:rsidP="007B6E1F">
      <w:pPr>
        <w:ind w:left="360" w:hanging="360"/>
        <w:rPr>
          <w:sz w:val="22"/>
          <w:szCs w:val="22"/>
        </w:rPr>
      </w:pPr>
      <w:r w:rsidRPr="002B3438">
        <w:rPr>
          <w:sz w:val="22"/>
          <w:szCs w:val="22"/>
        </w:rPr>
        <w:t>Stout SD. 1989. Histomorphometric analysis of human skeletal remains. In Iscan MY, Kennedy KAR, editors. Reconstruction of life from the skeleton. New York: Alan R. Liss, Inc. p 41-52.</w:t>
      </w:r>
    </w:p>
    <w:p w14:paraId="2E794ECB" w14:textId="77777777" w:rsidR="007B6E1F" w:rsidRPr="002B3438" w:rsidRDefault="007B6E1F" w:rsidP="00B92502">
      <w:pPr>
        <w:ind w:left="360" w:hanging="360"/>
        <w:rPr>
          <w:sz w:val="22"/>
          <w:szCs w:val="22"/>
        </w:rPr>
      </w:pPr>
    </w:p>
    <w:p w14:paraId="7ED0907E" w14:textId="77777777" w:rsidR="00B92502" w:rsidRPr="002B3438" w:rsidRDefault="00B92502" w:rsidP="00B92502">
      <w:pPr>
        <w:ind w:left="360" w:hanging="360"/>
        <w:rPr>
          <w:sz w:val="22"/>
          <w:szCs w:val="22"/>
        </w:rPr>
      </w:pPr>
      <w:r w:rsidRPr="002B3438">
        <w:rPr>
          <w:sz w:val="22"/>
          <w:szCs w:val="22"/>
        </w:rPr>
        <w:t>Stout SD, Paine RR. 1992. Brief communication: histological age estimation using rib and clavicle. Am J Phys Anthropol 87:111-115.</w:t>
      </w:r>
    </w:p>
    <w:p w14:paraId="22442E4E" w14:textId="77777777" w:rsidR="00CB0C91" w:rsidRPr="002B3438" w:rsidRDefault="00CB0C91" w:rsidP="00CB0C91">
      <w:pPr>
        <w:rPr>
          <w:sz w:val="22"/>
          <w:szCs w:val="22"/>
        </w:rPr>
      </w:pPr>
    </w:p>
    <w:p w14:paraId="2CB13BFB" w14:textId="77777777" w:rsidR="007B6E1F" w:rsidRPr="002B3438" w:rsidRDefault="007B6E1F" w:rsidP="00CB0C91">
      <w:pPr>
        <w:rPr>
          <w:sz w:val="22"/>
          <w:szCs w:val="22"/>
        </w:rPr>
      </w:pPr>
      <w:r w:rsidRPr="002B3438">
        <w:rPr>
          <w:sz w:val="22"/>
          <w:szCs w:val="22"/>
        </w:rPr>
        <w:t xml:space="preserve">Stout SD, Teitelbaum SL. 1976. Histomorphometric Determination of formation rates of </w:t>
      </w:r>
    </w:p>
    <w:p w14:paraId="2656D743" w14:textId="77777777" w:rsidR="007B6E1F" w:rsidRPr="002B3438" w:rsidRDefault="007B6E1F" w:rsidP="007B6E1F">
      <w:pPr>
        <w:ind w:firstLine="360"/>
        <w:rPr>
          <w:sz w:val="22"/>
          <w:szCs w:val="22"/>
        </w:rPr>
      </w:pPr>
      <w:r w:rsidRPr="002B3438">
        <w:rPr>
          <w:sz w:val="22"/>
          <w:szCs w:val="22"/>
        </w:rPr>
        <w:t>archaeological bone. Calcif Tiss Res 21:163-169.</w:t>
      </w:r>
    </w:p>
    <w:p w14:paraId="6C8CFF54" w14:textId="77777777" w:rsidR="007B6E1F" w:rsidRPr="002B3438" w:rsidRDefault="007B6E1F" w:rsidP="00CB0C91">
      <w:pPr>
        <w:rPr>
          <w:sz w:val="22"/>
          <w:szCs w:val="22"/>
        </w:rPr>
      </w:pPr>
    </w:p>
    <w:p w14:paraId="782C191F" w14:textId="77777777" w:rsidR="00057DEB" w:rsidRPr="002B3438" w:rsidRDefault="00057DEB" w:rsidP="00057DEB">
      <w:pPr>
        <w:ind w:left="360" w:hanging="360"/>
        <w:rPr>
          <w:sz w:val="22"/>
          <w:szCs w:val="22"/>
        </w:rPr>
      </w:pPr>
      <w:r w:rsidRPr="002B3438">
        <w:rPr>
          <w:sz w:val="22"/>
          <w:szCs w:val="22"/>
        </w:rPr>
        <w:t>Stout SD, Simmons DJ. 1979. Use of histology in ancient bone research. Yearb Phys Anthropol 22:228-249.</w:t>
      </w:r>
    </w:p>
    <w:p w14:paraId="4ECCB1C6" w14:textId="77777777" w:rsidR="00057DEB" w:rsidRPr="002B3438" w:rsidRDefault="00057DEB" w:rsidP="00CB0C91">
      <w:pPr>
        <w:rPr>
          <w:sz w:val="22"/>
          <w:szCs w:val="22"/>
        </w:rPr>
      </w:pPr>
    </w:p>
    <w:p w14:paraId="1DCCC7FB" w14:textId="77777777" w:rsidR="007B6E1F" w:rsidRPr="002B3438" w:rsidRDefault="007B6E1F" w:rsidP="00CB0C91">
      <w:pPr>
        <w:rPr>
          <w:sz w:val="22"/>
          <w:szCs w:val="22"/>
        </w:rPr>
      </w:pPr>
      <w:r w:rsidRPr="002B3438">
        <w:rPr>
          <w:sz w:val="22"/>
          <w:szCs w:val="22"/>
        </w:rPr>
        <w:t xml:space="preserve">Stout S, Lueck R. 1995. Bone remodeling rates and skeletal maturation in three </w:t>
      </w:r>
    </w:p>
    <w:p w14:paraId="5420B3DC" w14:textId="77777777" w:rsidR="007B6E1F" w:rsidRDefault="007B6E1F" w:rsidP="007B6E1F">
      <w:pPr>
        <w:ind w:firstLine="360"/>
        <w:rPr>
          <w:sz w:val="22"/>
          <w:szCs w:val="22"/>
        </w:rPr>
      </w:pPr>
      <w:r w:rsidRPr="002B3438">
        <w:rPr>
          <w:sz w:val="22"/>
          <w:szCs w:val="22"/>
        </w:rPr>
        <w:t>archaeological skeletal populations. Am J Phys Anthrop 98:161-171.</w:t>
      </w:r>
    </w:p>
    <w:p w14:paraId="05A0EA4C" w14:textId="77777777" w:rsidR="00DD21E8" w:rsidRPr="002B3438" w:rsidRDefault="00DD21E8" w:rsidP="007B6E1F">
      <w:pPr>
        <w:ind w:firstLine="360"/>
        <w:rPr>
          <w:sz w:val="22"/>
          <w:szCs w:val="22"/>
        </w:rPr>
      </w:pPr>
    </w:p>
    <w:p w14:paraId="09492441" w14:textId="77777777" w:rsidR="00BD24E2" w:rsidRPr="002B3438" w:rsidRDefault="00BD24E2" w:rsidP="00BD24E2">
      <w:pPr>
        <w:ind w:left="360" w:hanging="360"/>
        <w:rPr>
          <w:sz w:val="22"/>
          <w:szCs w:val="22"/>
        </w:rPr>
      </w:pPr>
      <w:r w:rsidRPr="002B3438">
        <w:rPr>
          <w:sz w:val="22"/>
          <w:szCs w:val="22"/>
        </w:rPr>
        <w:t>Streeter M. 2005. Histomorphometric characteristics of the subadult rib cortex: normal patterns of dynamic bone modeling and remodeling during growth and development. Ph.D. dissertation, University of Missouri, Columbia.</w:t>
      </w:r>
    </w:p>
    <w:p w14:paraId="56007F65" w14:textId="77777777" w:rsidR="00BD24E2" w:rsidRPr="002B3438" w:rsidRDefault="00BD24E2" w:rsidP="006E23CC">
      <w:pPr>
        <w:ind w:left="360" w:hanging="360"/>
        <w:rPr>
          <w:sz w:val="22"/>
          <w:szCs w:val="22"/>
        </w:rPr>
      </w:pPr>
    </w:p>
    <w:p w14:paraId="6C241EDB" w14:textId="77777777" w:rsidR="00317B3C" w:rsidRPr="002B3438" w:rsidRDefault="00317B3C" w:rsidP="006E23CC">
      <w:pPr>
        <w:ind w:left="360" w:hanging="360"/>
        <w:rPr>
          <w:sz w:val="22"/>
          <w:szCs w:val="22"/>
        </w:rPr>
      </w:pPr>
      <w:r w:rsidRPr="002B3438">
        <w:rPr>
          <w:sz w:val="22"/>
          <w:szCs w:val="22"/>
        </w:rPr>
        <w:t>Streeter M, Stout S, Trinkaus E, Burr D. 2010. Brief communication: bone remodeling rates in Pleistocene humans are not slower than rates observed in modern populations: a reexamination of Abbott et al (1996). Am J Phys Anthrop 141:315-318.</w:t>
      </w:r>
    </w:p>
    <w:p w14:paraId="40C0973E" w14:textId="77777777" w:rsidR="00F422CE" w:rsidRPr="002B3438" w:rsidRDefault="00F422CE" w:rsidP="006E23CC">
      <w:pPr>
        <w:ind w:left="360" w:hanging="360"/>
        <w:rPr>
          <w:sz w:val="22"/>
          <w:szCs w:val="22"/>
        </w:rPr>
      </w:pPr>
    </w:p>
    <w:p w14:paraId="3776FDB7" w14:textId="77777777" w:rsidR="00772C78" w:rsidRPr="002B3438" w:rsidRDefault="00772C78" w:rsidP="00772C78">
      <w:pPr>
        <w:ind w:left="360" w:hanging="360"/>
        <w:rPr>
          <w:sz w:val="22"/>
          <w:szCs w:val="22"/>
        </w:rPr>
      </w:pPr>
      <w:r w:rsidRPr="002B3438">
        <w:rPr>
          <w:sz w:val="22"/>
          <w:szCs w:val="22"/>
        </w:rPr>
        <w:t>Sumner DR, Andriacchi TP. 1996. Adaptation to differential loading: comparison of growth-related changes in cross-sectional properties of the human femur and humerus. Bone 19:121-126.</w:t>
      </w:r>
    </w:p>
    <w:p w14:paraId="6AF0274D" w14:textId="77777777" w:rsidR="009D34AE" w:rsidRPr="002B3438" w:rsidRDefault="009D34AE" w:rsidP="00772C78">
      <w:pPr>
        <w:ind w:left="360" w:hanging="360"/>
        <w:rPr>
          <w:sz w:val="22"/>
          <w:szCs w:val="22"/>
        </w:rPr>
      </w:pPr>
    </w:p>
    <w:p w14:paraId="1A209C4D" w14:textId="77777777" w:rsidR="00A22BE6" w:rsidRPr="002B3438" w:rsidRDefault="00A22BE6" w:rsidP="00A22BE6">
      <w:pPr>
        <w:pStyle w:val="ListParagraph"/>
        <w:autoSpaceDE w:val="0"/>
        <w:autoSpaceDN w:val="0"/>
        <w:adjustRightInd w:val="0"/>
        <w:ind w:left="0"/>
        <w:jc w:val="both"/>
        <w:rPr>
          <w:sz w:val="22"/>
          <w:szCs w:val="22"/>
          <w:lang w:val="lt-LT" w:eastAsia="lt-LT"/>
        </w:rPr>
      </w:pPr>
      <w:r w:rsidRPr="002B3438">
        <w:rPr>
          <w:sz w:val="22"/>
          <w:szCs w:val="22"/>
          <w:lang w:val="lt-LT" w:eastAsia="lt-LT"/>
        </w:rPr>
        <w:t>Svetikas E. 2003. Alytaus kapinynas: christianizacijos šaltiniai. Vilnius, Diemedžio leidykla.</w:t>
      </w:r>
    </w:p>
    <w:p w14:paraId="7018FC07" w14:textId="77777777" w:rsidR="00A22BE6" w:rsidRPr="002B3438" w:rsidRDefault="00A22BE6" w:rsidP="00772C78">
      <w:pPr>
        <w:ind w:left="360" w:hanging="360"/>
        <w:rPr>
          <w:sz w:val="22"/>
          <w:szCs w:val="22"/>
        </w:rPr>
      </w:pPr>
    </w:p>
    <w:p w14:paraId="09899261" w14:textId="77777777" w:rsidR="00053BF6" w:rsidRPr="002B3438" w:rsidRDefault="00053BF6" w:rsidP="00772C78">
      <w:pPr>
        <w:ind w:left="360" w:hanging="360"/>
        <w:rPr>
          <w:sz w:val="22"/>
          <w:szCs w:val="22"/>
        </w:rPr>
      </w:pPr>
      <w:r w:rsidRPr="002B3438">
        <w:rPr>
          <w:sz w:val="22"/>
          <w:szCs w:val="22"/>
        </w:rPr>
        <w:t>Szulc P, Seeman E, Dabouef F, Sornay-Rendu E, Delmas P. 2006. Bone fragility: failure of periosteal apposition to compensate for increased endocortical resorption in postmenopausal women. J Bone Miner Res 21:1856-1863.</w:t>
      </w:r>
    </w:p>
    <w:p w14:paraId="7DC15433" w14:textId="77777777" w:rsidR="00053BF6" w:rsidRPr="002B3438" w:rsidRDefault="00053BF6" w:rsidP="00772C78">
      <w:pPr>
        <w:ind w:left="360" w:hanging="360"/>
        <w:rPr>
          <w:sz w:val="22"/>
          <w:szCs w:val="22"/>
        </w:rPr>
      </w:pPr>
    </w:p>
    <w:p w14:paraId="7CC814DF" w14:textId="77777777" w:rsidR="009D34AE" w:rsidRPr="002B3438" w:rsidRDefault="009D34AE" w:rsidP="00772C78">
      <w:pPr>
        <w:ind w:left="360" w:hanging="360"/>
        <w:rPr>
          <w:sz w:val="22"/>
          <w:szCs w:val="22"/>
        </w:rPr>
      </w:pPr>
      <w:r w:rsidRPr="002B3438">
        <w:rPr>
          <w:sz w:val="22"/>
          <w:szCs w:val="22"/>
        </w:rPr>
        <w:t xml:space="preserve">Taaffe DR, Robinson TL, Snow CM, Robert M. 1997. High-impact exercise promotes bone gain in well-trained female athletes. J Bone Miner Res 12:255-260. </w:t>
      </w:r>
    </w:p>
    <w:p w14:paraId="22D5A207" w14:textId="77777777" w:rsidR="005251D0" w:rsidRPr="002B3438" w:rsidRDefault="005251D0" w:rsidP="00772C78">
      <w:pPr>
        <w:ind w:left="360" w:hanging="360"/>
        <w:rPr>
          <w:sz w:val="22"/>
          <w:szCs w:val="22"/>
        </w:rPr>
      </w:pPr>
    </w:p>
    <w:p w14:paraId="78B5B97C" w14:textId="77777777" w:rsidR="00ED2F2C" w:rsidRPr="002B3438" w:rsidRDefault="00ED2F2C" w:rsidP="00772C78">
      <w:pPr>
        <w:ind w:left="360" w:hanging="360"/>
        <w:rPr>
          <w:rStyle w:val="st"/>
          <w:color w:val="222222"/>
          <w:sz w:val="22"/>
          <w:szCs w:val="22"/>
        </w:rPr>
      </w:pPr>
      <w:r w:rsidRPr="002B3438">
        <w:rPr>
          <w:rStyle w:val="Emphasis"/>
          <w:i w:val="0"/>
          <w:color w:val="222222"/>
          <w:sz w:val="22"/>
          <w:szCs w:val="22"/>
        </w:rPr>
        <w:t>Takahashi</w:t>
      </w:r>
      <w:r w:rsidRPr="002B3438">
        <w:rPr>
          <w:rStyle w:val="st"/>
          <w:i/>
          <w:color w:val="222222"/>
          <w:sz w:val="22"/>
          <w:szCs w:val="22"/>
        </w:rPr>
        <w:t>,</w:t>
      </w:r>
      <w:r w:rsidRPr="002B3438">
        <w:rPr>
          <w:rStyle w:val="st"/>
          <w:color w:val="222222"/>
          <w:sz w:val="22"/>
          <w:szCs w:val="22"/>
        </w:rPr>
        <w:t xml:space="preserve"> H., and </w:t>
      </w:r>
      <w:r w:rsidRPr="002B3438">
        <w:rPr>
          <w:rStyle w:val="Emphasis"/>
          <w:i w:val="0"/>
          <w:color w:val="222222"/>
          <w:sz w:val="22"/>
          <w:szCs w:val="22"/>
        </w:rPr>
        <w:t>Frost</w:t>
      </w:r>
      <w:r w:rsidRPr="002B3438">
        <w:rPr>
          <w:rStyle w:val="st"/>
          <w:color w:val="222222"/>
          <w:sz w:val="22"/>
          <w:szCs w:val="22"/>
        </w:rPr>
        <w:t xml:space="preserve">, H. M. </w:t>
      </w:r>
      <w:r w:rsidRPr="002B3438">
        <w:rPr>
          <w:rStyle w:val="Emphasis"/>
          <w:i w:val="0"/>
          <w:color w:val="222222"/>
          <w:sz w:val="22"/>
          <w:szCs w:val="22"/>
        </w:rPr>
        <w:t>1966</w:t>
      </w:r>
      <w:r w:rsidRPr="002B3438">
        <w:rPr>
          <w:rStyle w:val="st"/>
          <w:color w:val="222222"/>
          <w:sz w:val="22"/>
          <w:szCs w:val="22"/>
        </w:rPr>
        <w:t>. Age and sex related changes in the amount of cortex in normal human ribs. Acta Orthop Scand 37:122–130</w:t>
      </w:r>
    </w:p>
    <w:p w14:paraId="6E99CD2B" w14:textId="77777777" w:rsidR="00ED2F2C" w:rsidRPr="002B3438" w:rsidRDefault="00ED2F2C" w:rsidP="00772C78">
      <w:pPr>
        <w:ind w:left="360" w:hanging="360"/>
        <w:rPr>
          <w:sz w:val="22"/>
          <w:szCs w:val="22"/>
        </w:rPr>
      </w:pPr>
    </w:p>
    <w:p w14:paraId="1D60E608" w14:textId="77777777" w:rsidR="00772C78" w:rsidRPr="002B3438" w:rsidRDefault="005251D0" w:rsidP="006E23CC">
      <w:pPr>
        <w:ind w:left="360" w:hanging="360"/>
        <w:rPr>
          <w:sz w:val="22"/>
          <w:szCs w:val="22"/>
        </w:rPr>
      </w:pPr>
      <w:r w:rsidRPr="002B3438">
        <w:rPr>
          <w:sz w:val="22"/>
          <w:szCs w:val="22"/>
        </w:rPr>
        <w:t>Teitelbaum SL, Tondravi MM, Ross FP. 1996. Osteoclast biology. In: Marcus R, Feldman D, Kelsey J, editors. Osteoporosis.</w:t>
      </w:r>
      <w:r w:rsidR="001B27F1" w:rsidRPr="002B3438">
        <w:rPr>
          <w:sz w:val="22"/>
          <w:szCs w:val="22"/>
        </w:rPr>
        <w:t xml:space="preserve"> San Diego, CA:Academic Press. </w:t>
      </w:r>
      <w:r w:rsidRPr="002B3438">
        <w:rPr>
          <w:sz w:val="22"/>
          <w:szCs w:val="22"/>
        </w:rPr>
        <w:t>p 61-94.</w:t>
      </w:r>
    </w:p>
    <w:p w14:paraId="29657AAD" w14:textId="77777777" w:rsidR="005251D0" w:rsidRPr="002B3438" w:rsidRDefault="005251D0" w:rsidP="006E23CC">
      <w:pPr>
        <w:ind w:left="360" w:hanging="360"/>
        <w:rPr>
          <w:sz w:val="22"/>
          <w:szCs w:val="22"/>
        </w:rPr>
      </w:pPr>
    </w:p>
    <w:p w14:paraId="35201A69" w14:textId="77777777" w:rsidR="004E00E3" w:rsidRPr="002B3438" w:rsidRDefault="004E00E3" w:rsidP="004E00E3">
      <w:pPr>
        <w:autoSpaceDE w:val="0"/>
        <w:autoSpaceDN w:val="0"/>
        <w:adjustRightInd w:val="0"/>
        <w:ind w:left="360" w:hanging="360"/>
        <w:rPr>
          <w:sz w:val="22"/>
          <w:szCs w:val="22"/>
        </w:rPr>
      </w:pPr>
      <w:r w:rsidRPr="002B3438">
        <w:rPr>
          <w:sz w:val="22"/>
          <w:szCs w:val="22"/>
        </w:rPr>
        <w:t>Tersigni MA. 2005. Serial long bone histology: inter- and intra-bone age estimation. PhD dissertation. University of Tennessee, Knoxville.</w:t>
      </w:r>
    </w:p>
    <w:p w14:paraId="2BA206A3" w14:textId="77777777" w:rsidR="004E00E3" w:rsidRPr="002B3438" w:rsidRDefault="004E00E3" w:rsidP="006E23CC">
      <w:pPr>
        <w:ind w:left="360" w:hanging="360"/>
        <w:rPr>
          <w:sz w:val="22"/>
          <w:szCs w:val="22"/>
        </w:rPr>
      </w:pPr>
    </w:p>
    <w:p w14:paraId="01E5628D" w14:textId="77777777" w:rsidR="00B248DC" w:rsidRPr="002B3438" w:rsidRDefault="00B248DC" w:rsidP="006E23CC">
      <w:pPr>
        <w:ind w:left="360" w:hanging="360"/>
        <w:rPr>
          <w:sz w:val="22"/>
          <w:szCs w:val="22"/>
        </w:rPr>
      </w:pPr>
      <w:r w:rsidRPr="002B3438">
        <w:rPr>
          <w:sz w:val="22"/>
          <w:szCs w:val="22"/>
        </w:rPr>
        <w:t>Thomas CD, Feik SA, Clement JG. 2005. Regional variation of intracortical porosity in the midshaft of the human femur: age and sex differences. J Anat 206:115-125.</w:t>
      </w:r>
    </w:p>
    <w:p w14:paraId="58026BB3" w14:textId="77777777" w:rsidR="00B248DC" w:rsidRPr="002B3438" w:rsidRDefault="00B248DC" w:rsidP="006E23CC">
      <w:pPr>
        <w:ind w:left="360" w:hanging="360"/>
        <w:rPr>
          <w:sz w:val="22"/>
          <w:szCs w:val="22"/>
        </w:rPr>
      </w:pPr>
    </w:p>
    <w:p w14:paraId="6FEA9FDF" w14:textId="77777777" w:rsidR="00F422CE" w:rsidRPr="002B3438" w:rsidRDefault="00F422CE" w:rsidP="00F422CE">
      <w:pPr>
        <w:pStyle w:val="CommentText"/>
        <w:rPr>
          <w:sz w:val="22"/>
          <w:szCs w:val="22"/>
        </w:rPr>
      </w:pPr>
      <w:r w:rsidRPr="002B3438">
        <w:rPr>
          <w:sz w:val="22"/>
          <w:szCs w:val="22"/>
        </w:rPr>
        <w:t xml:space="preserve">Thompson DD. 1979. The core technique in the determination of age at death in skeletons. </w:t>
      </w:r>
    </w:p>
    <w:p w14:paraId="170429CC" w14:textId="77777777" w:rsidR="00F422CE" w:rsidRPr="002B3438" w:rsidRDefault="006A3BEE" w:rsidP="00F422CE">
      <w:pPr>
        <w:pStyle w:val="CommentText"/>
        <w:rPr>
          <w:sz w:val="22"/>
          <w:szCs w:val="22"/>
        </w:rPr>
      </w:pPr>
      <w:r>
        <w:rPr>
          <w:sz w:val="22"/>
          <w:szCs w:val="22"/>
        </w:rPr>
        <w:t xml:space="preserve">  </w:t>
      </w:r>
      <w:r w:rsidR="00F422CE" w:rsidRPr="002B3438">
        <w:rPr>
          <w:sz w:val="22"/>
          <w:szCs w:val="22"/>
        </w:rPr>
        <w:t>Journal of Forensic Sciences 44:902-915.</w:t>
      </w:r>
    </w:p>
    <w:p w14:paraId="15C42D49" w14:textId="77777777" w:rsidR="00F422CE" w:rsidRPr="002B3438" w:rsidRDefault="00F422CE" w:rsidP="006E23CC">
      <w:pPr>
        <w:ind w:left="360" w:hanging="360"/>
        <w:rPr>
          <w:sz w:val="22"/>
          <w:szCs w:val="22"/>
        </w:rPr>
      </w:pPr>
    </w:p>
    <w:p w14:paraId="220A0983" w14:textId="77777777" w:rsidR="00E74F2B" w:rsidRPr="002B3438" w:rsidRDefault="00E74F2B" w:rsidP="00E74F2B">
      <w:pPr>
        <w:autoSpaceDE w:val="0"/>
        <w:autoSpaceDN w:val="0"/>
        <w:adjustRightInd w:val="0"/>
        <w:rPr>
          <w:sz w:val="22"/>
          <w:szCs w:val="22"/>
        </w:rPr>
      </w:pPr>
      <w:r w:rsidRPr="002B3438">
        <w:rPr>
          <w:sz w:val="22"/>
          <w:szCs w:val="22"/>
        </w:rPr>
        <w:t xml:space="preserve">Tilton FE, Degioanni JC, Schneider VS. 1980. Long term follow-up of skylab bone </w:t>
      </w:r>
    </w:p>
    <w:p w14:paraId="761B9EB5" w14:textId="77777777" w:rsidR="00E74F2B" w:rsidRPr="002B3438" w:rsidRDefault="00E74F2B" w:rsidP="00E74F2B">
      <w:pPr>
        <w:autoSpaceDE w:val="0"/>
        <w:autoSpaceDN w:val="0"/>
        <w:adjustRightInd w:val="0"/>
        <w:ind w:firstLine="360"/>
        <w:rPr>
          <w:sz w:val="22"/>
          <w:szCs w:val="22"/>
        </w:rPr>
      </w:pPr>
      <w:r w:rsidRPr="002B3438">
        <w:rPr>
          <w:sz w:val="22"/>
          <w:szCs w:val="22"/>
        </w:rPr>
        <w:t xml:space="preserve">demineralization. </w:t>
      </w:r>
      <w:r w:rsidRPr="002B3438">
        <w:rPr>
          <w:iCs/>
          <w:sz w:val="22"/>
          <w:szCs w:val="22"/>
        </w:rPr>
        <w:t>Aviat Space Environ Med</w:t>
      </w:r>
      <w:r w:rsidRPr="002B3438">
        <w:rPr>
          <w:i/>
          <w:iCs/>
          <w:sz w:val="22"/>
          <w:szCs w:val="22"/>
        </w:rPr>
        <w:t xml:space="preserve"> </w:t>
      </w:r>
      <w:r w:rsidRPr="002B3438">
        <w:rPr>
          <w:sz w:val="22"/>
          <w:szCs w:val="22"/>
        </w:rPr>
        <w:t>51:1209-1213.</w:t>
      </w:r>
    </w:p>
    <w:p w14:paraId="1CA487D5" w14:textId="77777777" w:rsidR="00E74F2B" w:rsidRPr="002B3438" w:rsidRDefault="00E74F2B" w:rsidP="00E74F2B">
      <w:pPr>
        <w:ind w:left="360" w:hanging="360"/>
        <w:rPr>
          <w:sz w:val="22"/>
          <w:szCs w:val="22"/>
        </w:rPr>
      </w:pPr>
    </w:p>
    <w:p w14:paraId="6EFBB671" w14:textId="77777777" w:rsidR="00F622C7" w:rsidRPr="002B3438" w:rsidRDefault="00F622C7" w:rsidP="00F622C7">
      <w:pPr>
        <w:ind w:left="360" w:hanging="360"/>
        <w:rPr>
          <w:sz w:val="22"/>
          <w:szCs w:val="22"/>
        </w:rPr>
      </w:pPr>
      <w:r w:rsidRPr="002B3438">
        <w:rPr>
          <w:sz w:val="22"/>
          <w:szCs w:val="22"/>
        </w:rPr>
        <w:t>Tommerup LJ, Raab DM, Crenshaw TD, Smith EL. 1993. Does weight bearing exercise affect non- weight bearing bone? J Bone Miner Res 8:1053-1058.</w:t>
      </w:r>
    </w:p>
    <w:p w14:paraId="4992F281" w14:textId="77777777" w:rsidR="00F622C7" w:rsidRPr="002B3438" w:rsidRDefault="00F622C7" w:rsidP="006E23CC">
      <w:pPr>
        <w:ind w:left="360" w:hanging="360"/>
        <w:rPr>
          <w:sz w:val="22"/>
          <w:szCs w:val="22"/>
        </w:rPr>
      </w:pPr>
    </w:p>
    <w:p w14:paraId="256E169B" w14:textId="77777777" w:rsidR="004E00E3" w:rsidRPr="002B3438" w:rsidRDefault="004E00E3" w:rsidP="006E23CC">
      <w:pPr>
        <w:ind w:left="360" w:hanging="360"/>
        <w:rPr>
          <w:sz w:val="22"/>
          <w:szCs w:val="22"/>
        </w:rPr>
      </w:pPr>
      <w:r w:rsidRPr="002B3438">
        <w:rPr>
          <w:sz w:val="22"/>
          <w:szCs w:val="22"/>
        </w:rPr>
        <w:t>Trinkaus E., Ruff CB. 1999. Diaphyseal cross-sectional geometry of Near Eastern Middle Paleolithic humans: the femur. J Arch Sci 26:409-424.</w:t>
      </w:r>
    </w:p>
    <w:p w14:paraId="0B6606B0" w14:textId="77777777" w:rsidR="005879AA" w:rsidRPr="002B3438" w:rsidRDefault="005879AA" w:rsidP="006E23CC">
      <w:pPr>
        <w:ind w:left="360" w:hanging="360"/>
        <w:rPr>
          <w:sz w:val="22"/>
          <w:szCs w:val="22"/>
        </w:rPr>
      </w:pPr>
    </w:p>
    <w:p w14:paraId="641B4143" w14:textId="77777777" w:rsidR="005879AA" w:rsidRPr="002B3438" w:rsidRDefault="005879AA" w:rsidP="005879AA">
      <w:pPr>
        <w:autoSpaceDE w:val="0"/>
        <w:autoSpaceDN w:val="0"/>
        <w:adjustRightInd w:val="0"/>
        <w:rPr>
          <w:sz w:val="22"/>
          <w:szCs w:val="22"/>
        </w:rPr>
      </w:pPr>
      <w:r w:rsidRPr="002B3438">
        <w:rPr>
          <w:sz w:val="22"/>
          <w:szCs w:val="22"/>
        </w:rPr>
        <w:t>Tucker B, Young AG. 2005. Growing up Mikea: Children’s time allocation and tuber</w:t>
      </w:r>
    </w:p>
    <w:p w14:paraId="04A39171" w14:textId="77777777" w:rsidR="005879AA" w:rsidRPr="002B3438" w:rsidRDefault="006A3BEE" w:rsidP="005879AA">
      <w:pPr>
        <w:autoSpaceDE w:val="0"/>
        <w:autoSpaceDN w:val="0"/>
        <w:adjustRightInd w:val="0"/>
        <w:rPr>
          <w:iCs/>
          <w:sz w:val="22"/>
          <w:szCs w:val="22"/>
        </w:rPr>
      </w:pPr>
      <w:r>
        <w:rPr>
          <w:sz w:val="22"/>
          <w:szCs w:val="22"/>
        </w:rPr>
        <w:t xml:space="preserve">  </w:t>
      </w:r>
      <w:r w:rsidR="005879AA" w:rsidRPr="002B3438">
        <w:rPr>
          <w:sz w:val="22"/>
          <w:szCs w:val="22"/>
        </w:rPr>
        <w:t xml:space="preserve">foraging in southwestern Madagascar. In: Hewlett BS, Lamb ME, editors. </w:t>
      </w:r>
      <w:r w:rsidR="005879AA" w:rsidRPr="002B3438">
        <w:rPr>
          <w:iCs/>
          <w:sz w:val="22"/>
          <w:szCs w:val="22"/>
        </w:rPr>
        <w:t>Hunter-</w:t>
      </w:r>
    </w:p>
    <w:p w14:paraId="120F5752" w14:textId="77777777" w:rsidR="005879AA" w:rsidRPr="002B3438" w:rsidRDefault="005879AA" w:rsidP="005879AA">
      <w:pPr>
        <w:autoSpaceDE w:val="0"/>
        <w:autoSpaceDN w:val="0"/>
        <w:adjustRightInd w:val="0"/>
        <w:ind w:firstLine="360"/>
        <w:rPr>
          <w:sz w:val="22"/>
          <w:szCs w:val="22"/>
        </w:rPr>
      </w:pPr>
      <w:r w:rsidRPr="002B3438">
        <w:rPr>
          <w:iCs/>
          <w:sz w:val="22"/>
          <w:szCs w:val="22"/>
        </w:rPr>
        <w:t>Gatherer Childhoods: Evolutionary, Developmental and Cultural Perspectives</w:t>
      </w:r>
      <w:r w:rsidRPr="002B3438">
        <w:rPr>
          <w:sz w:val="22"/>
          <w:szCs w:val="22"/>
        </w:rPr>
        <w:t>. New</w:t>
      </w:r>
    </w:p>
    <w:p w14:paraId="7195B243" w14:textId="77777777" w:rsidR="004E00E3" w:rsidRPr="002B3438" w:rsidRDefault="005879AA" w:rsidP="005879AA">
      <w:pPr>
        <w:ind w:left="360"/>
        <w:rPr>
          <w:sz w:val="22"/>
          <w:szCs w:val="22"/>
        </w:rPr>
      </w:pPr>
      <w:r w:rsidRPr="002B3438">
        <w:rPr>
          <w:sz w:val="22"/>
          <w:szCs w:val="22"/>
        </w:rPr>
        <w:t>Brunswick: Aldine.</w:t>
      </w:r>
    </w:p>
    <w:p w14:paraId="16E4AD80" w14:textId="77777777" w:rsidR="005879AA" w:rsidRPr="002B3438" w:rsidRDefault="005879AA" w:rsidP="005879AA">
      <w:pPr>
        <w:ind w:left="360" w:hanging="360"/>
        <w:rPr>
          <w:sz w:val="22"/>
          <w:szCs w:val="22"/>
        </w:rPr>
      </w:pPr>
    </w:p>
    <w:p w14:paraId="5DE0D666" w14:textId="77777777" w:rsidR="0042542E" w:rsidRPr="002B3438" w:rsidRDefault="0042542E" w:rsidP="008B04DB">
      <w:pPr>
        <w:ind w:left="360" w:hanging="360"/>
        <w:rPr>
          <w:sz w:val="22"/>
          <w:szCs w:val="22"/>
        </w:rPr>
      </w:pPr>
      <w:r w:rsidRPr="002B3438">
        <w:rPr>
          <w:sz w:val="22"/>
          <w:szCs w:val="22"/>
        </w:rPr>
        <w:t>Turner CH. 1992. Editorial: Functional determinants of bone structure: beyond Wolff’s law of bone transformation. Bone 13:403-409.</w:t>
      </w:r>
    </w:p>
    <w:p w14:paraId="158DEB29" w14:textId="77777777" w:rsidR="0042542E" w:rsidRPr="002B3438" w:rsidRDefault="0042542E" w:rsidP="008B04DB">
      <w:pPr>
        <w:ind w:left="360" w:hanging="360"/>
        <w:rPr>
          <w:sz w:val="22"/>
          <w:szCs w:val="22"/>
        </w:rPr>
      </w:pPr>
    </w:p>
    <w:p w14:paraId="00835126" w14:textId="77777777" w:rsidR="008B04DB" w:rsidRPr="002B3438" w:rsidRDefault="008B04DB" w:rsidP="008B04DB">
      <w:pPr>
        <w:ind w:left="360" w:hanging="360"/>
        <w:rPr>
          <w:sz w:val="22"/>
          <w:szCs w:val="22"/>
        </w:rPr>
      </w:pPr>
      <w:r w:rsidRPr="002B3438">
        <w:rPr>
          <w:sz w:val="22"/>
          <w:szCs w:val="22"/>
        </w:rPr>
        <w:t>Turner CH. 1998. Three rules for bone adaptation to mechanical stimuli. Bone 23:399-407.</w:t>
      </w:r>
    </w:p>
    <w:p w14:paraId="48CCDCB2" w14:textId="77777777" w:rsidR="00EF54D7" w:rsidRPr="002B3438" w:rsidRDefault="00EF54D7" w:rsidP="00D10DB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763B73DA" w14:textId="77777777" w:rsidR="00022B7E" w:rsidRPr="002B3438" w:rsidRDefault="00022B7E" w:rsidP="00022B7E">
      <w:pPr>
        <w:ind w:left="360" w:hanging="360"/>
        <w:rPr>
          <w:sz w:val="22"/>
          <w:szCs w:val="22"/>
        </w:rPr>
      </w:pPr>
      <w:r w:rsidRPr="002B3438">
        <w:rPr>
          <w:sz w:val="22"/>
          <w:szCs w:val="22"/>
        </w:rPr>
        <w:t>Turner CH. 2001. Animal models of osteoporosis: necessity and limitations. European Cells and Materials 1:66-81.</w:t>
      </w:r>
    </w:p>
    <w:p w14:paraId="61D859AB" w14:textId="77777777" w:rsidR="00022B7E" w:rsidRPr="002B3438" w:rsidRDefault="00022B7E" w:rsidP="00D10DB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43F4EF7B" w14:textId="77777777" w:rsidR="00EF54D7" w:rsidRPr="002B3438" w:rsidRDefault="00EF54D7" w:rsidP="00EF54D7">
      <w:pPr>
        <w:ind w:left="360" w:hanging="360"/>
        <w:rPr>
          <w:sz w:val="22"/>
          <w:szCs w:val="22"/>
        </w:rPr>
      </w:pPr>
      <w:r w:rsidRPr="002B3438">
        <w:rPr>
          <w:sz w:val="22"/>
          <w:szCs w:val="22"/>
        </w:rPr>
        <w:t>Turner CH. 2002. Biomechanics of bone: determinants of skeletal fragility and bone quality. Osteoporos Int 13:97-104.</w:t>
      </w:r>
    </w:p>
    <w:p w14:paraId="26940CEA" w14:textId="77777777" w:rsidR="006A0BA5" w:rsidRPr="002B3438" w:rsidRDefault="006A0BA5" w:rsidP="006A0BA5">
      <w:pPr>
        <w:autoSpaceDE w:val="0"/>
        <w:autoSpaceDN w:val="0"/>
        <w:adjustRightInd w:val="0"/>
        <w:rPr>
          <w:rFonts w:eastAsia="JansonText-Roman"/>
          <w:color w:val="231F20"/>
          <w:sz w:val="22"/>
          <w:szCs w:val="22"/>
        </w:rPr>
      </w:pPr>
    </w:p>
    <w:p w14:paraId="18C02E93" w14:textId="77777777" w:rsidR="006A0BA5" w:rsidRPr="002B3438" w:rsidRDefault="006A0BA5" w:rsidP="006A0BA5">
      <w:pPr>
        <w:autoSpaceDE w:val="0"/>
        <w:autoSpaceDN w:val="0"/>
        <w:adjustRightInd w:val="0"/>
        <w:rPr>
          <w:rFonts w:eastAsia="JansonText-Roman"/>
          <w:color w:val="231F20"/>
          <w:sz w:val="22"/>
          <w:szCs w:val="22"/>
        </w:rPr>
      </w:pPr>
      <w:r w:rsidRPr="002B3438">
        <w:rPr>
          <w:rFonts w:eastAsia="JansonText-Roman"/>
          <w:color w:val="231F20"/>
          <w:sz w:val="22"/>
          <w:szCs w:val="22"/>
        </w:rPr>
        <w:t>Turner CH, Forwood MR, Otter MW. 1994. Mechanotransduction in bone: do bone cells act as</w:t>
      </w:r>
    </w:p>
    <w:p w14:paraId="1FC76E68" w14:textId="77777777" w:rsidR="006A0BA5" w:rsidRPr="002B3438" w:rsidRDefault="006A0BA5" w:rsidP="006A0BA5">
      <w:pPr>
        <w:autoSpaceDE w:val="0"/>
        <w:autoSpaceDN w:val="0"/>
        <w:adjustRightInd w:val="0"/>
        <w:ind w:firstLine="360"/>
        <w:rPr>
          <w:rFonts w:eastAsia="JansonText-Roman"/>
          <w:color w:val="231F20"/>
          <w:sz w:val="22"/>
          <w:szCs w:val="22"/>
        </w:rPr>
      </w:pPr>
      <w:r w:rsidRPr="002B3438">
        <w:rPr>
          <w:rFonts w:eastAsia="JansonText-Roman"/>
          <w:color w:val="231F20"/>
          <w:sz w:val="22"/>
          <w:szCs w:val="22"/>
        </w:rPr>
        <w:t xml:space="preserve">sensors of fluid flow? </w:t>
      </w:r>
      <w:r w:rsidRPr="00DD21E8">
        <w:rPr>
          <w:rFonts w:eastAsia="JansonText-Roman"/>
          <w:i/>
          <w:iCs/>
          <w:color w:val="231F20"/>
          <w:sz w:val="22"/>
          <w:szCs w:val="22"/>
        </w:rPr>
        <w:t>FASEB J.</w:t>
      </w:r>
      <w:r w:rsidRPr="002B3438">
        <w:rPr>
          <w:rFonts w:eastAsia="JansonText-Roman"/>
          <w:i/>
          <w:iCs/>
          <w:color w:val="231F20"/>
          <w:sz w:val="22"/>
          <w:szCs w:val="22"/>
        </w:rPr>
        <w:t xml:space="preserve"> </w:t>
      </w:r>
      <w:r w:rsidRPr="002B3438">
        <w:rPr>
          <w:rFonts w:eastAsia="JansonText-Roman"/>
          <w:color w:val="231F20"/>
          <w:sz w:val="22"/>
          <w:szCs w:val="22"/>
        </w:rPr>
        <w:t>8:875–78.</w:t>
      </w:r>
    </w:p>
    <w:p w14:paraId="40E35DAE" w14:textId="77777777" w:rsidR="006A0BA5" w:rsidRPr="002B3438" w:rsidRDefault="006A0BA5" w:rsidP="006A0BA5">
      <w:pPr>
        <w:autoSpaceDE w:val="0"/>
        <w:autoSpaceDN w:val="0"/>
        <w:adjustRightInd w:val="0"/>
        <w:ind w:firstLine="360"/>
        <w:rPr>
          <w:rFonts w:eastAsia="JansonText-Roman"/>
          <w:color w:val="231F20"/>
          <w:sz w:val="22"/>
          <w:szCs w:val="22"/>
        </w:rPr>
      </w:pPr>
    </w:p>
    <w:p w14:paraId="6D8DA424" w14:textId="77777777" w:rsidR="006A0BA5" w:rsidRPr="002B3438" w:rsidRDefault="006A0BA5" w:rsidP="006A0BA5">
      <w:pPr>
        <w:autoSpaceDE w:val="0"/>
        <w:autoSpaceDN w:val="0"/>
        <w:adjustRightInd w:val="0"/>
        <w:rPr>
          <w:rFonts w:eastAsia="JansonText-Roman"/>
          <w:iCs/>
          <w:color w:val="231F20"/>
          <w:sz w:val="22"/>
          <w:szCs w:val="22"/>
        </w:rPr>
      </w:pPr>
      <w:r w:rsidRPr="002B3438">
        <w:rPr>
          <w:rFonts w:eastAsia="JansonText-Roman"/>
          <w:color w:val="231F20"/>
          <w:sz w:val="22"/>
          <w:szCs w:val="22"/>
        </w:rPr>
        <w:t xml:space="preserve">Turner CH, Owan I, Takano Y. 1995. Mechanotransduction in bone: role of strain rate. </w:t>
      </w:r>
      <w:r w:rsidR="005251D0" w:rsidRPr="002B3438">
        <w:rPr>
          <w:rFonts w:eastAsia="JansonText-Roman"/>
          <w:iCs/>
          <w:color w:val="231F20"/>
          <w:sz w:val="22"/>
          <w:szCs w:val="22"/>
        </w:rPr>
        <w:t>Am J</w:t>
      </w:r>
    </w:p>
    <w:p w14:paraId="6DDEE14D" w14:textId="77777777" w:rsidR="00EB263B" w:rsidRPr="002B3438" w:rsidRDefault="005251D0" w:rsidP="006A0BA5">
      <w:pPr>
        <w:autoSpaceDE w:val="0"/>
        <w:autoSpaceDN w:val="0"/>
        <w:adjustRightInd w:val="0"/>
        <w:ind w:firstLine="360"/>
        <w:rPr>
          <w:rFonts w:eastAsia="JansonText-Roman"/>
          <w:color w:val="231F20"/>
          <w:sz w:val="22"/>
          <w:szCs w:val="22"/>
        </w:rPr>
      </w:pPr>
      <w:r w:rsidRPr="002B3438">
        <w:rPr>
          <w:rFonts w:eastAsia="JansonText-Roman"/>
          <w:iCs/>
          <w:color w:val="231F20"/>
          <w:sz w:val="22"/>
          <w:szCs w:val="22"/>
        </w:rPr>
        <w:t>Physiol</w:t>
      </w:r>
      <w:r w:rsidR="006A0BA5" w:rsidRPr="002B3438">
        <w:rPr>
          <w:rFonts w:eastAsia="JansonText-Roman"/>
          <w:iCs/>
          <w:color w:val="231F20"/>
          <w:sz w:val="22"/>
          <w:szCs w:val="22"/>
        </w:rPr>
        <w:t xml:space="preserve"> E</w:t>
      </w:r>
      <w:r w:rsidRPr="002B3438">
        <w:rPr>
          <w:rFonts w:eastAsia="JansonText-Roman"/>
          <w:iCs/>
          <w:color w:val="231F20"/>
          <w:sz w:val="22"/>
          <w:szCs w:val="22"/>
        </w:rPr>
        <w:t>ndocrinol Metab</w:t>
      </w:r>
      <w:r w:rsidR="006A0BA5" w:rsidRPr="002B3438">
        <w:rPr>
          <w:rFonts w:eastAsia="JansonText-Roman"/>
          <w:iCs/>
          <w:color w:val="231F20"/>
          <w:sz w:val="22"/>
          <w:szCs w:val="22"/>
        </w:rPr>
        <w:t xml:space="preserve"> </w:t>
      </w:r>
      <w:r w:rsidR="006A0BA5" w:rsidRPr="002B3438">
        <w:rPr>
          <w:rFonts w:eastAsia="JansonText-Roman"/>
          <w:color w:val="231F20"/>
          <w:sz w:val="22"/>
          <w:szCs w:val="22"/>
        </w:rPr>
        <w:t>269:E438–42.</w:t>
      </w:r>
    </w:p>
    <w:p w14:paraId="1A763A4A" w14:textId="77777777" w:rsidR="006A0BA5" w:rsidRPr="002B3438" w:rsidRDefault="006A0BA5" w:rsidP="006A0BA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44A6F157" w14:textId="77777777" w:rsidR="00E52078" w:rsidRPr="002B3438" w:rsidRDefault="00E52078" w:rsidP="00E52078">
      <w:pPr>
        <w:autoSpaceDE w:val="0"/>
        <w:autoSpaceDN w:val="0"/>
        <w:adjustRightInd w:val="0"/>
        <w:rPr>
          <w:sz w:val="22"/>
          <w:szCs w:val="22"/>
          <w:highlight w:val="yellow"/>
        </w:rPr>
      </w:pPr>
      <w:r w:rsidRPr="002B3438">
        <w:rPr>
          <w:sz w:val="22"/>
          <w:szCs w:val="22"/>
          <w:highlight w:val="yellow"/>
        </w:rPr>
        <w:t xml:space="preserve">Turner C, Robling A, Duncan R, Burr D. 2002. Do bone cells behave like a neuronal network? </w:t>
      </w:r>
    </w:p>
    <w:p w14:paraId="538562E2" w14:textId="77777777" w:rsidR="00E52078" w:rsidRPr="002B3438" w:rsidRDefault="00E52078" w:rsidP="00E52078">
      <w:pPr>
        <w:autoSpaceDE w:val="0"/>
        <w:autoSpaceDN w:val="0"/>
        <w:adjustRightInd w:val="0"/>
        <w:ind w:firstLine="360"/>
        <w:rPr>
          <w:sz w:val="22"/>
          <w:szCs w:val="22"/>
        </w:rPr>
      </w:pPr>
      <w:r w:rsidRPr="002B3438">
        <w:rPr>
          <w:i/>
          <w:iCs/>
          <w:sz w:val="22"/>
          <w:szCs w:val="22"/>
          <w:highlight w:val="yellow"/>
        </w:rPr>
        <w:t xml:space="preserve">Calcif Tissue Int </w:t>
      </w:r>
      <w:r w:rsidRPr="002B3438">
        <w:rPr>
          <w:sz w:val="22"/>
          <w:szCs w:val="22"/>
          <w:highlight w:val="yellow"/>
        </w:rPr>
        <w:t xml:space="preserve">70: 435-442. </w:t>
      </w:r>
    </w:p>
    <w:p w14:paraId="3F2F4E7F" w14:textId="77777777" w:rsidR="00E52078" w:rsidRPr="002B3438" w:rsidRDefault="00E52078" w:rsidP="00E520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14E3222D" w14:textId="77777777" w:rsidR="00EB263B" w:rsidRPr="002B3438" w:rsidRDefault="00EB263B" w:rsidP="00EB263B">
      <w:pPr>
        <w:ind w:left="360" w:hanging="360"/>
        <w:rPr>
          <w:sz w:val="22"/>
          <w:szCs w:val="22"/>
        </w:rPr>
      </w:pPr>
      <w:r w:rsidRPr="002B3438">
        <w:rPr>
          <w:sz w:val="22"/>
          <w:szCs w:val="22"/>
        </w:rPr>
        <w:t>Turner CH, Sun Q, Schriefer J, Pitner N, Price R, Bouxsein ML, Rosen CJ, Donahue LR, Schultz KL, Beamer WG. 2003. Congenic mice reveal sex-specific genetic regulation of femoral structure and strength. Calcif Tissue Int 73:297-303.</w:t>
      </w:r>
    </w:p>
    <w:p w14:paraId="68A2C920" w14:textId="77777777" w:rsidR="00167FB1" w:rsidRPr="002B3438" w:rsidRDefault="00167FB1" w:rsidP="00167FB1">
      <w:pPr>
        <w:autoSpaceDE w:val="0"/>
        <w:autoSpaceDN w:val="0"/>
        <w:adjustRightInd w:val="0"/>
        <w:rPr>
          <w:sz w:val="22"/>
          <w:szCs w:val="22"/>
        </w:rPr>
      </w:pPr>
    </w:p>
    <w:p w14:paraId="480AB3FB" w14:textId="77777777" w:rsidR="002D30BE" w:rsidRPr="002B3438" w:rsidRDefault="002D30BE" w:rsidP="002D30BE">
      <w:pPr>
        <w:pStyle w:val="ListParagraph"/>
        <w:autoSpaceDE w:val="0"/>
        <w:autoSpaceDN w:val="0"/>
        <w:adjustRightInd w:val="0"/>
        <w:ind w:left="0"/>
        <w:jc w:val="both"/>
        <w:rPr>
          <w:i/>
          <w:sz w:val="22"/>
          <w:szCs w:val="22"/>
          <w:lang w:val="lt-LT" w:eastAsia="lt-LT"/>
        </w:rPr>
      </w:pPr>
      <w:r w:rsidRPr="002B3438">
        <w:rPr>
          <w:sz w:val="22"/>
          <w:szCs w:val="22"/>
          <w:lang w:val="lt-LT" w:eastAsia="lt-LT"/>
        </w:rPr>
        <w:t xml:space="preserve">Tyla, A. 1989. XVI-XVIII a. Alytaus ekonomijos </w:t>
      </w:r>
      <w:r w:rsidR="00F50D1A" w:rsidRPr="002B3438">
        <w:rPr>
          <w:sz w:val="22"/>
          <w:szCs w:val="22"/>
          <w:lang w:val="lt-LT" w:eastAsia="lt-LT"/>
        </w:rPr>
        <w:t>valdymas. In Leščinskienė, D</w:t>
      </w:r>
      <w:r w:rsidRPr="002B3438">
        <w:rPr>
          <w:sz w:val="22"/>
          <w:szCs w:val="22"/>
          <w:lang w:val="lt-LT" w:eastAsia="lt-LT"/>
        </w:rPr>
        <w:t xml:space="preserve">, editor. </w:t>
      </w:r>
      <w:r w:rsidRPr="002B3438">
        <w:rPr>
          <w:i/>
          <w:sz w:val="22"/>
          <w:szCs w:val="22"/>
          <w:lang w:val="lt-LT" w:eastAsia="lt-LT"/>
        </w:rPr>
        <w:t xml:space="preserve">Alytaus </w:t>
      </w:r>
    </w:p>
    <w:p w14:paraId="5DA7787A" w14:textId="77777777" w:rsidR="002D30BE" w:rsidRPr="002B3438" w:rsidRDefault="006A3BEE" w:rsidP="002D30BE">
      <w:pPr>
        <w:pStyle w:val="ListParagraph"/>
        <w:autoSpaceDE w:val="0"/>
        <w:autoSpaceDN w:val="0"/>
        <w:adjustRightInd w:val="0"/>
        <w:ind w:left="0"/>
        <w:jc w:val="both"/>
        <w:rPr>
          <w:sz w:val="22"/>
          <w:szCs w:val="22"/>
          <w:lang w:val="lt-LT" w:eastAsia="lt-LT"/>
        </w:rPr>
      </w:pPr>
      <w:r>
        <w:rPr>
          <w:i/>
          <w:sz w:val="22"/>
          <w:szCs w:val="22"/>
          <w:lang w:val="lt-LT" w:eastAsia="lt-LT"/>
        </w:rPr>
        <w:t xml:space="preserve">  </w:t>
      </w:r>
      <w:r w:rsidR="002D30BE" w:rsidRPr="002B3438">
        <w:rPr>
          <w:i/>
          <w:sz w:val="22"/>
          <w:szCs w:val="22"/>
          <w:lang w:val="lt-LT" w:eastAsia="lt-LT"/>
        </w:rPr>
        <w:t>miesto ir apylinkių istorijos bruožai</w:t>
      </w:r>
      <w:r w:rsidR="002D30BE" w:rsidRPr="002B3438">
        <w:rPr>
          <w:sz w:val="22"/>
          <w:szCs w:val="22"/>
          <w:lang w:val="lt-LT" w:eastAsia="lt-LT"/>
        </w:rPr>
        <w:t xml:space="preserve">. Mokslas, Vilnius </w:t>
      </w:r>
    </w:p>
    <w:p w14:paraId="7CC5C76B" w14:textId="77777777" w:rsidR="002D30BE" w:rsidRPr="002B3438" w:rsidRDefault="002D30BE" w:rsidP="00167FB1">
      <w:pPr>
        <w:autoSpaceDE w:val="0"/>
        <w:autoSpaceDN w:val="0"/>
        <w:adjustRightInd w:val="0"/>
        <w:rPr>
          <w:sz w:val="22"/>
          <w:szCs w:val="22"/>
        </w:rPr>
      </w:pPr>
    </w:p>
    <w:p w14:paraId="4A8051AD" w14:textId="77777777" w:rsidR="005C58AA" w:rsidRPr="002B3438" w:rsidRDefault="005C58AA" w:rsidP="005C58AA">
      <w:pPr>
        <w:pStyle w:val="CommentText"/>
        <w:rPr>
          <w:sz w:val="22"/>
          <w:szCs w:val="22"/>
        </w:rPr>
      </w:pPr>
      <w:r w:rsidRPr="002B3438">
        <w:rPr>
          <w:sz w:val="22"/>
          <w:szCs w:val="22"/>
        </w:rPr>
        <w:t xml:space="preserve">Ulijaszek SJ. 1991. Human dietary change. Philosophical Transactions of the Royal Society of </w:t>
      </w:r>
    </w:p>
    <w:p w14:paraId="37CA32CA" w14:textId="77777777" w:rsidR="005C58AA" w:rsidRPr="002B3438" w:rsidRDefault="006A3BEE" w:rsidP="005C58AA">
      <w:pPr>
        <w:pStyle w:val="CommentText"/>
        <w:rPr>
          <w:sz w:val="22"/>
          <w:szCs w:val="22"/>
        </w:rPr>
      </w:pPr>
      <w:r>
        <w:rPr>
          <w:sz w:val="22"/>
          <w:szCs w:val="22"/>
        </w:rPr>
        <w:lastRenderedPageBreak/>
        <w:t xml:space="preserve">  </w:t>
      </w:r>
      <w:r w:rsidR="005C58AA" w:rsidRPr="002B3438">
        <w:rPr>
          <w:sz w:val="22"/>
          <w:szCs w:val="22"/>
        </w:rPr>
        <w:t>London 334:271-279.</w:t>
      </w:r>
    </w:p>
    <w:p w14:paraId="630B3A29" w14:textId="77777777" w:rsidR="005C58AA" w:rsidRPr="002B3438" w:rsidRDefault="005C58AA" w:rsidP="00167FB1">
      <w:pPr>
        <w:autoSpaceDE w:val="0"/>
        <w:autoSpaceDN w:val="0"/>
        <w:adjustRightInd w:val="0"/>
        <w:rPr>
          <w:sz w:val="22"/>
          <w:szCs w:val="22"/>
        </w:rPr>
      </w:pPr>
    </w:p>
    <w:p w14:paraId="40C31B60" w14:textId="77777777" w:rsidR="00DF678C" w:rsidRPr="002B3438" w:rsidRDefault="00DF678C" w:rsidP="00DF678C">
      <w:pPr>
        <w:pStyle w:val="ListParagraph"/>
        <w:autoSpaceDE w:val="0"/>
        <w:autoSpaceDN w:val="0"/>
        <w:adjustRightInd w:val="0"/>
        <w:ind w:left="0"/>
        <w:rPr>
          <w:sz w:val="22"/>
          <w:szCs w:val="22"/>
          <w:lang w:val="lt-LT" w:eastAsia="lt-LT"/>
        </w:rPr>
      </w:pPr>
      <w:r w:rsidRPr="002B3438">
        <w:rPr>
          <w:sz w:val="22"/>
          <w:szCs w:val="22"/>
          <w:lang w:val="lt-LT" w:eastAsia="lt-LT"/>
        </w:rPr>
        <w:t xml:space="preserve">Urbanavičius A. 2001. Imigracija į Vilnių iš Alytaus XVII a. 2-oje pusėje – XVIII a. In </w:t>
      </w:r>
    </w:p>
    <w:p w14:paraId="17FDFB9B" w14:textId="77777777" w:rsidR="00DF678C" w:rsidRPr="002B3438" w:rsidRDefault="00DF678C" w:rsidP="00DF678C">
      <w:pPr>
        <w:pStyle w:val="ListParagraph"/>
        <w:autoSpaceDE w:val="0"/>
        <w:autoSpaceDN w:val="0"/>
        <w:adjustRightInd w:val="0"/>
        <w:ind w:left="375"/>
        <w:rPr>
          <w:sz w:val="22"/>
          <w:szCs w:val="22"/>
          <w:lang w:val="lt-LT" w:eastAsia="lt-LT"/>
        </w:rPr>
      </w:pPr>
      <w:r w:rsidRPr="002B3438">
        <w:rPr>
          <w:sz w:val="22"/>
          <w:szCs w:val="22"/>
          <w:lang w:val="lt-LT" w:eastAsia="lt-LT"/>
        </w:rPr>
        <w:t>Jakunskienė A, editor. Alytaus miesto istorijos fragmentai. Alytaus Kraštotyros muziejus, Alytus.</w:t>
      </w:r>
    </w:p>
    <w:p w14:paraId="05AA38F6" w14:textId="77777777" w:rsidR="00DF678C" w:rsidRPr="002B3438" w:rsidRDefault="00DF678C" w:rsidP="00167FB1">
      <w:pPr>
        <w:autoSpaceDE w:val="0"/>
        <w:autoSpaceDN w:val="0"/>
        <w:adjustRightInd w:val="0"/>
        <w:rPr>
          <w:sz w:val="22"/>
          <w:szCs w:val="22"/>
        </w:rPr>
      </w:pPr>
    </w:p>
    <w:p w14:paraId="6E57EC10" w14:textId="77777777" w:rsidR="00167FB1" w:rsidRPr="002B3438" w:rsidRDefault="00167FB1" w:rsidP="00167FB1">
      <w:pPr>
        <w:autoSpaceDE w:val="0"/>
        <w:autoSpaceDN w:val="0"/>
        <w:adjustRightInd w:val="0"/>
        <w:rPr>
          <w:rFonts w:eastAsia="Calibri"/>
          <w:color w:val="231F20"/>
          <w:sz w:val="22"/>
          <w:szCs w:val="22"/>
        </w:rPr>
      </w:pPr>
      <w:r w:rsidRPr="002B3438">
        <w:rPr>
          <w:rFonts w:eastAsia="Calibri"/>
          <w:color w:val="231F20"/>
          <w:sz w:val="22"/>
          <w:szCs w:val="22"/>
        </w:rPr>
        <w:t xml:space="preserve">Vajda EG, Kneissel M, Muggenburg B, Miller SC. 1999. Increased intracortical bone remodeling </w:t>
      </w:r>
    </w:p>
    <w:p w14:paraId="3E081294" w14:textId="77777777" w:rsidR="00167FB1" w:rsidRPr="002B3438" w:rsidRDefault="006A3BEE" w:rsidP="00167FB1">
      <w:pPr>
        <w:autoSpaceDE w:val="0"/>
        <w:autoSpaceDN w:val="0"/>
        <w:adjustRightInd w:val="0"/>
        <w:rPr>
          <w:rFonts w:eastAsia="Calibri"/>
          <w:color w:val="231F20"/>
          <w:sz w:val="22"/>
          <w:szCs w:val="22"/>
        </w:rPr>
      </w:pPr>
      <w:r>
        <w:rPr>
          <w:rFonts w:eastAsia="Calibri"/>
          <w:color w:val="231F20"/>
          <w:sz w:val="22"/>
          <w:szCs w:val="22"/>
        </w:rPr>
        <w:t xml:space="preserve">  </w:t>
      </w:r>
      <w:r w:rsidR="00167FB1" w:rsidRPr="002B3438">
        <w:rPr>
          <w:rFonts w:eastAsia="Calibri"/>
          <w:color w:val="231F20"/>
          <w:sz w:val="22"/>
          <w:szCs w:val="22"/>
        </w:rPr>
        <w:t>during lactation in beagle dogs. Biol Reprod 61:1439–1444.</w:t>
      </w:r>
    </w:p>
    <w:p w14:paraId="56BD9FD7" w14:textId="77777777" w:rsidR="002F624D" w:rsidRPr="002B3438" w:rsidRDefault="002F624D" w:rsidP="002F624D">
      <w:pPr>
        <w:autoSpaceDE w:val="0"/>
        <w:autoSpaceDN w:val="0"/>
        <w:adjustRightInd w:val="0"/>
        <w:rPr>
          <w:sz w:val="22"/>
          <w:szCs w:val="22"/>
        </w:rPr>
      </w:pPr>
    </w:p>
    <w:p w14:paraId="43A9E069" w14:textId="77777777" w:rsidR="00CE5BCD" w:rsidRPr="002B3438" w:rsidRDefault="000F68E5" w:rsidP="00CE5BCD">
      <w:pPr>
        <w:autoSpaceDE w:val="0"/>
        <w:autoSpaceDN w:val="0"/>
        <w:adjustRightInd w:val="0"/>
        <w:rPr>
          <w:sz w:val="22"/>
          <w:szCs w:val="22"/>
        </w:rPr>
      </w:pPr>
      <w:r w:rsidRPr="002B3438">
        <w:rPr>
          <w:sz w:val="22"/>
          <w:szCs w:val="22"/>
        </w:rPr>
        <w:t>Van der Meulen MC, Beaupré GS, Carter DR. 1993. Mechanobiologic influences in long</w:t>
      </w:r>
    </w:p>
    <w:p w14:paraId="6712E5CC" w14:textId="77777777" w:rsidR="000F68E5" w:rsidRPr="002B3438" w:rsidRDefault="006A3BEE" w:rsidP="00CE5BCD">
      <w:pPr>
        <w:autoSpaceDE w:val="0"/>
        <w:autoSpaceDN w:val="0"/>
        <w:adjustRightInd w:val="0"/>
        <w:rPr>
          <w:sz w:val="22"/>
          <w:szCs w:val="22"/>
        </w:rPr>
      </w:pPr>
      <w:r>
        <w:rPr>
          <w:sz w:val="22"/>
          <w:szCs w:val="22"/>
        </w:rPr>
        <w:t xml:space="preserve">  </w:t>
      </w:r>
      <w:r w:rsidR="000F68E5" w:rsidRPr="002B3438">
        <w:rPr>
          <w:sz w:val="22"/>
          <w:szCs w:val="22"/>
        </w:rPr>
        <w:t xml:space="preserve">bone cross-sectional growth. </w:t>
      </w:r>
      <w:r w:rsidR="000F68E5" w:rsidRPr="002B3438">
        <w:rPr>
          <w:i/>
          <w:iCs/>
          <w:sz w:val="22"/>
          <w:szCs w:val="22"/>
        </w:rPr>
        <w:t xml:space="preserve">Bone </w:t>
      </w:r>
      <w:r w:rsidR="000F68E5" w:rsidRPr="002B3438">
        <w:rPr>
          <w:sz w:val="22"/>
          <w:szCs w:val="22"/>
        </w:rPr>
        <w:t>14: 635-42.</w:t>
      </w:r>
    </w:p>
    <w:p w14:paraId="5B06B227" w14:textId="77777777" w:rsidR="000F68E5" w:rsidRPr="002B3438" w:rsidRDefault="000F68E5" w:rsidP="000F68E5">
      <w:pPr>
        <w:autoSpaceDE w:val="0"/>
        <w:autoSpaceDN w:val="0"/>
        <w:adjustRightInd w:val="0"/>
        <w:rPr>
          <w:sz w:val="22"/>
          <w:szCs w:val="22"/>
        </w:rPr>
      </w:pPr>
    </w:p>
    <w:p w14:paraId="2AED635A" w14:textId="77777777" w:rsidR="000F68E5" w:rsidRPr="002B3438" w:rsidRDefault="000F68E5" w:rsidP="000F68E5">
      <w:pPr>
        <w:autoSpaceDE w:val="0"/>
        <w:autoSpaceDN w:val="0"/>
        <w:adjustRightInd w:val="0"/>
        <w:rPr>
          <w:sz w:val="22"/>
          <w:szCs w:val="22"/>
        </w:rPr>
      </w:pPr>
      <w:r w:rsidRPr="002B3438">
        <w:rPr>
          <w:sz w:val="22"/>
          <w:szCs w:val="22"/>
        </w:rPr>
        <w:t>Van der Meulen MC, De Ausen JM, Kiratli BJ, Bachrach LK, Carter DR. 1995. Race and</w:t>
      </w:r>
    </w:p>
    <w:p w14:paraId="70093DB9" w14:textId="77777777" w:rsidR="000F68E5" w:rsidRPr="002B3438" w:rsidRDefault="000F68E5" w:rsidP="00CE5BCD">
      <w:pPr>
        <w:autoSpaceDE w:val="0"/>
        <w:autoSpaceDN w:val="0"/>
        <w:adjustRightInd w:val="0"/>
        <w:ind w:left="375"/>
        <w:rPr>
          <w:iCs/>
          <w:sz w:val="22"/>
          <w:szCs w:val="22"/>
        </w:rPr>
      </w:pPr>
      <w:r w:rsidRPr="002B3438">
        <w:rPr>
          <w:sz w:val="22"/>
          <w:szCs w:val="22"/>
        </w:rPr>
        <w:t xml:space="preserve">gender effects on bone mass and strength acquisition during adolescence. </w:t>
      </w:r>
      <w:r w:rsidRPr="002B3438">
        <w:rPr>
          <w:iCs/>
          <w:sz w:val="22"/>
          <w:szCs w:val="22"/>
        </w:rPr>
        <w:t>Trans</w:t>
      </w:r>
      <w:r w:rsidR="00CE5BCD" w:rsidRPr="002B3438">
        <w:rPr>
          <w:iCs/>
          <w:sz w:val="22"/>
          <w:szCs w:val="22"/>
        </w:rPr>
        <w:t xml:space="preserve"> </w:t>
      </w:r>
      <w:r w:rsidRPr="002B3438">
        <w:rPr>
          <w:iCs/>
          <w:sz w:val="22"/>
          <w:szCs w:val="22"/>
        </w:rPr>
        <w:t>Orthop Res</w:t>
      </w:r>
      <w:r w:rsidR="006A3BEE">
        <w:rPr>
          <w:iCs/>
          <w:sz w:val="22"/>
          <w:szCs w:val="22"/>
        </w:rPr>
        <w:t xml:space="preserve"> </w:t>
      </w:r>
      <w:r w:rsidRPr="002B3438">
        <w:rPr>
          <w:iCs/>
          <w:sz w:val="22"/>
          <w:szCs w:val="22"/>
        </w:rPr>
        <w:t xml:space="preserve">Soc </w:t>
      </w:r>
      <w:r w:rsidRPr="002B3438">
        <w:rPr>
          <w:sz w:val="22"/>
          <w:szCs w:val="22"/>
        </w:rPr>
        <w:t>20: 542.</w:t>
      </w:r>
    </w:p>
    <w:p w14:paraId="2D91CDBB" w14:textId="77777777" w:rsidR="000F68E5" w:rsidRPr="002B3438" w:rsidRDefault="000F68E5" w:rsidP="000F68E5">
      <w:pPr>
        <w:autoSpaceDE w:val="0"/>
        <w:autoSpaceDN w:val="0"/>
        <w:adjustRightInd w:val="0"/>
        <w:rPr>
          <w:sz w:val="22"/>
          <w:szCs w:val="22"/>
        </w:rPr>
      </w:pPr>
    </w:p>
    <w:p w14:paraId="4D8E4B96" w14:textId="77777777" w:rsidR="00CE5BCD" w:rsidRPr="002B3438" w:rsidRDefault="000F68E5" w:rsidP="000F68E5">
      <w:pPr>
        <w:autoSpaceDE w:val="0"/>
        <w:autoSpaceDN w:val="0"/>
        <w:adjustRightInd w:val="0"/>
        <w:rPr>
          <w:sz w:val="22"/>
          <w:szCs w:val="22"/>
        </w:rPr>
      </w:pPr>
      <w:r w:rsidRPr="002B3438">
        <w:rPr>
          <w:sz w:val="22"/>
          <w:szCs w:val="22"/>
        </w:rPr>
        <w:t>Van der Meulen MC, Ashford MWJ, Kiratli BJ</w:t>
      </w:r>
      <w:r w:rsidR="00CE5BCD" w:rsidRPr="002B3438">
        <w:rPr>
          <w:sz w:val="22"/>
          <w:szCs w:val="22"/>
        </w:rPr>
        <w:t>, Backrach LK, Carter DR. 1996. Determinates of</w:t>
      </w:r>
    </w:p>
    <w:p w14:paraId="66F68C5C" w14:textId="77777777" w:rsidR="000F68E5" w:rsidRPr="002B3438" w:rsidRDefault="006A3BEE" w:rsidP="00CE5BCD">
      <w:pPr>
        <w:autoSpaceDE w:val="0"/>
        <w:autoSpaceDN w:val="0"/>
        <w:adjustRightInd w:val="0"/>
        <w:rPr>
          <w:sz w:val="22"/>
          <w:szCs w:val="22"/>
        </w:rPr>
      </w:pPr>
      <w:r>
        <w:rPr>
          <w:sz w:val="22"/>
          <w:szCs w:val="22"/>
        </w:rPr>
        <w:t xml:space="preserve">  </w:t>
      </w:r>
      <w:r w:rsidR="000F68E5" w:rsidRPr="002B3438">
        <w:rPr>
          <w:sz w:val="22"/>
          <w:szCs w:val="22"/>
        </w:rPr>
        <w:t xml:space="preserve">femoral geometry and structure during adolescent growth. </w:t>
      </w:r>
      <w:r w:rsidR="000F68E5" w:rsidRPr="002B3438">
        <w:rPr>
          <w:iCs/>
          <w:sz w:val="22"/>
          <w:szCs w:val="22"/>
        </w:rPr>
        <w:t>J</w:t>
      </w:r>
      <w:r w:rsidR="00CE5BCD" w:rsidRPr="002B3438">
        <w:rPr>
          <w:sz w:val="22"/>
          <w:szCs w:val="22"/>
        </w:rPr>
        <w:t xml:space="preserve"> </w:t>
      </w:r>
      <w:r w:rsidR="000F68E5" w:rsidRPr="002B3438">
        <w:rPr>
          <w:iCs/>
          <w:sz w:val="22"/>
          <w:szCs w:val="22"/>
        </w:rPr>
        <w:t xml:space="preserve">Orthop Res </w:t>
      </w:r>
      <w:r w:rsidR="000F68E5" w:rsidRPr="002B3438">
        <w:rPr>
          <w:sz w:val="22"/>
          <w:szCs w:val="22"/>
        </w:rPr>
        <w:t>14: 22-29.</w:t>
      </w:r>
    </w:p>
    <w:p w14:paraId="1B73A195" w14:textId="77777777" w:rsidR="000F68E5" w:rsidRPr="002B3438" w:rsidRDefault="000F68E5" w:rsidP="000F68E5">
      <w:pPr>
        <w:autoSpaceDE w:val="0"/>
        <w:autoSpaceDN w:val="0"/>
        <w:adjustRightInd w:val="0"/>
        <w:rPr>
          <w:sz w:val="22"/>
          <w:szCs w:val="22"/>
        </w:rPr>
      </w:pPr>
    </w:p>
    <w:p w14:paraId="3E0A83C8" w14:textId="77777777" w:rsidR="00CE5BCD" w:rsidRPr="002B3438" w:rsidRDefault="000F68E5" w:rsidP="000F68E5">
      <w:pPr>
        <w:autoSpaceDE w:val="0"/>
        <w:autoSpaceDN w:val="0"/>
        <w:adjustRightInd w:val="0"/>
        <w:rPr>
          <w:sz w:val="22"/>
          <w:szCs w:val="22"/>
        </w:rPr>
      </w:pPr>
      <w:r w:rsidRPr="002B3438">
        <w:rPr>
          <w:sz w:val="22"/>
          <w:szCs w:val="22"/>
        </w:rPr>
        <w:t>Van der Meulen MC, Marcus R, Backrach LK, Carter D</w:t>
      </w:r>
      <w:r w:rsidR="00CE5BCD" w:rsidRPr="002B3438">
        <w:rPr>
          <w:sz w:val="22"/>
          <w:szCs w:val="22"/>
        </w:rPr>
        <w:t>R. 1997. Correspondence between</w:t>
      </w:r>
    </w:p>
    <w:p w14:paraId="346E6167" w14:textId="77777777" w:rsidR="000F68E5" w:rsidRPr="002B3438" w:rsidRDefault="000F68E5" w:rsidP="00CE5BCD">
      <w:pPr>
        <w:autoSpaceDE w:val="0"/>
        <w:autoSpaceDN w:val="0"/>
        <w:adjustRightInd w:val="0"/>
        <w:ind w:left="375"/>
        <w:rPr>
          <w:sz w:val="22"/>
          <w:szCs w:val="22"/>
        </w:rPr>
      </w:pPr>
      <w:r w:rsidRPr="002B3438">
        <w:rPr>
          <w:sz w:val="22"/>
          <w:szCs w:val="22"/>
        </w:rPr>
        <w:t>theoretical models and dual energy x-ray absorptiometry measurements of</w:t>
      </w:r>
      <w:r w:rsidR="00CE5BCD" w:rsidRPr="002B3438">
        <w:rPr>
          <w:sz w:val="22"/>
          <w:szCs w:val="22"/>
        </w:rPr>
        <w:t xml:space="preserve"> </w:t>
      </w:r>
      <w:r w:rsidRPr="002B3438">
        <w:rPr>
          <w:sz w:val="22"/>
          <w:szCs w:val="22"/>
        </w:rPr>
        <w:t>femoral cross-</w:t>
      </w:r>
      <w:r w:rsidR="006A3BEE">
        <w:rPr>
          <w:sz w:val="22"/>
          <w:szCs w:val="22"/>
        </w:rPr>
        <w:t xml:space="preserve"> </w:t>
      </w:r>
      <w:r w:rsidRPr="002B3438">
        <w:rPr>
          <w:sz w:val="22"/>
          <w:szCs w:val="22"/>
        </w:rPr>
        <w:t xml:space="preserve">sectional growth during adolescence. </w:t>
      </w:r>
      <w:r w:rsidRPr="002B3438">
        <w:rPr>
          <w:iCs/>
          <w:sz w:val="22"/>
          <w:szCs w:val="22"/>
        </w:rPr>
        <w:t>J Orthop Res</w:t>
      </w:r>
      <w:r w:rsidRPr="002B3438">
        <w:rPr>
          <w:i/>
          <w:iCs/>
          <w:sz w:val="22"/>
          <w:szCs w:val="22"/>
        </w:rPr>
        <w:t xml:space="preserve"> </w:t>
      </w:r>
      <w:r w:rsidRPr="002B3438">
        <w:rPr>
          <w:sz w:val="22"/>
          <w:szCs w:val="22"/>
        </w:rPr>
        <w:t>15: 473-75.</w:t>
      </w:r>
    </w:p>
    <w:p w14:paraId="099B8CC8" w14:textId="77777777" w:rsidR="00CE5BCD" w:rsidRPr="002B3438" w:rsidRDefault="00CE5BCD" w:rsidP="000F68E5">
      <w:pPr>
        <w:autoSpaceDE w:val="0"/>
        <w:autoSpaceDN w:val="0"/>
        <w:adjustRightInd w:val="0"/>
        <w:rPr>
          <w:sz w:val="22"/>
          <w:szCs w:val="22"/>
        </w:rPr>
      </w:pPr>
    </w:p>
    <w:p w14:paraId="2F747866" w14:textId="77777777" w:rsidR="002F0EEE" w:rsidRPr="002B3438" w:rsidRDefault="002F0EEE" w:rsidP="002F0EEE">
      <w:pPr>
        <w:autoSpaceDE w:val="0"/>
        <w:autoSpaceDN w:val="0"/>
        <w:adjustRightInd w:val="0"/>
        <w:rPr>
          <w:color w:val="000000"/>
          <w:sz w:val="22"/>
          <w:szCs w:val="22"/>
        </w:rPr>
      </w:pPr>
      <w:r w:rsidRPr="002B3438">
        <w:rPr>
          <w:color w:val="000000"/>
          <w:sz w:val="22"/>
          <w:szCs w:val="22"/>
        </w:rPr>
        <w:t xml:space="preserve">Van Gerven D, Hummert J, Burr D. 1985. Cortical bone maintenance and geometry of the tibia in </w:t>
      </w:r>
    </w:p>
    <w:p w14:paraId="223BAD2F" w14:textId="77777777" w:rsidR="002F0EEE" w:rsidRPr="002B3438" w:rsidRDefault="006A3BEE" w:rsidP="002F0EEE">
      <w:pPr>
        <w:autoSpaceDE w:val="0"/>
        <w:autoSpaceDN w:val="0"/>
        <w:adjustRightInd w:val="0"/>
        <w:rPr>
          <w:color w:val="000000"/>
          <w:sz w:val="22"/>
          <w:szCs w:val="22"/>
        </w:rPr>
      </w:pPr>
      <w:r>
        <w:rPr>
          <w:color w:val="000000"/>
          <w:sz w:val="22"/>
          <w:szCs w:val="22"/>
        </w:rPr>
        <w:t xml:space="preserve">  </w:t>
      </w:r>
      <w:r w:rsidR="002F0EEE" w:rsidRPr="002B3438">
        <w:rPr>
          <w:color w:val="000000"/>
          <w:sz w:val="22"/>
          <w:szCs w:val="22"/>
        </w:rPr>
        <w:t>prehistoric children from Nubia's Batn el Hajar. Am J Phys Anthropol 66:275-280</w:t>
      </w:r>
    </w:p>
    <w:p w14:paraId="666FAC87" w14:textId="77777777" w:rsidR="002F0EEE" w:rsidRPr="002B3438" w:rsidRDefault="002F0EEE" w:rsidP="000F68E5">
      <w:pPr>
        <w:autoSpaceDE w:val="0"/>
        <w:autoSpaceDN w:val="0"/>
        <w:adjustRightInd w:val="0"/>
        <w:rPr>
          <w:sz w:val="22"/>
          <w:szCs w:val="22"/>
        </w:rPr>
      </w:pPr>
    </w:p>
    <w:p w14:paraId="653AA9AE" w14:textId="77777777" w:rsidR="00A62100" w:rsidRPr="002B3438" w:rsidRDefault="00343B29" w:rsidP="00343B29">
      <w:pPr>
        <w:spacing w:line="313" w:lineRule="atLeast"/>
        <w:rPr>
          <w:color w:val="000000"/>
          <w:sz w:val="22"/>
          <w:szCs w:val="22"/>
        </w:rPr>
      </w:pPr>
      <w:r w:rsidRPr="002B3438">
        <w:rPr>
          <w:color w:val="000000"/>
          <w:sz w:val="22"/>
          <w:szCs w:val="22"/>
        </w:rPr>
        <w:t xml:space="preserve">Vatanparast H, Whiting SJ, Bailey DA, Baxter-Jones A. 2007. The beneficial effect of dietary </w:t>
      </w:r>
    </w:p>
    <w:p w14:paraId="168C74F8" w14:textId="77777777" w:rsidR="00343B29" w:rsidRPr="002B3438" w:rsidRDefault="00343B29" w:rsidP="00A62100">
      <w:pPr>
        <w:spacing w:line="313" w:lineRule="atLeast"/>
        <w:ind w:left="420"/>
        <w:rPr>
          <w:color w:val="000000"/>
          <w:sz w:val="22"/>
          <w:szCs w:val="22"/>
        </w:rPr>
      </w:pPr>
      <w:r w:rsidRPr="002B3438">
        <w:rPr>
          <w:color w:val="000000"/>
          <w:sz w:val="22"/>
          <w:szCs w:val="22"/>
        </w:rPr>
        <w:t>protein on bone mineral mass is influenced by habitual dietary calcium intake in young adult females.</w:t>
      </w:r>
      <w:r w:rsidRPr="002B3438">
        <w:rPr>
          <w:rStyle w:val="apple-converted-space"/>
          <w:color w:val="000000"/>
          <w:sz w:val="22"/>
          <w:szCs w:val="22"/>
        </w:rPr>
        <w:t> </w:t>
      </w:r>
      <w:r w:rsidRPr="002B3438">
        <w:rPr>
          <w:iCs/>
          <w:color w:val="000000"/>
          <w:sz w:val="22"/>
          <w:szCs w:val="22"/>
        </w:rPr>
        <w:t>J Nutr</w:t>
      </w:r>
      <w:r w:rsidR="00A62100" w:rsidRPr="002B3438">
        <w:rPr>
          <w:iCs/>
          <w:color w:val="000000"/>
          <w:sz w:val="22"/>
          <w:szCs w:val="22"/>
        </w:rPr>
        <w:t xml:space="preserve"> </w:t>
      </w:r>
      <w:r w:rsidRPr="002B3438">
        <w:rPr>
          <w:color w:val="000000"/>
          <w:sz w:val="22"/>
          <w:szCs w:val="22"/>
        </w:rPr>
        <w:t>137:2674-</w:t>
      </w:r>
      <w:r w:rsidR="00A62100" w:rsidRPr="002B3438">
        <w:rPr>
          <w:color w:val="000000"/>
          <w:sz w:val="22"/>
          <w:szCs w:val="22"/>
        </w:rPr>
        <w:t>267</w:t>
      </w:r>
      <w:r w:rsidRPr="002B3438">
        <w:rPr>
          <w:color w:val="000000"/>
          <w:sz w:val="22"/>
          <w:szCs w:val="22"/>
        </w:rPr>
        <w:t>9.</w:t>
      </w:r>
    </w:p>
    <w:p w14:paraId="25701221" w14:textId="77777777" w:rsidR="00A05597" w:rsidRPr="002B3438" w:rsidRDefault="00A05597" w:rsidP="00A62100">
      <w:pPr>
        <w:spacing w:line="313" w:lineRule="atLeast"/>
        <w:ind w:left="420"/>
        <w:rPr>
          <w:color w:val="000000"/>
          <w:sz w:val="22"/>
          <w:szCs w:val="22"/>
        </w:rPr>
      </w:pPr>
    </w:p>
    <w:p w14:paraId="57745321" w14:textId="77777777" w:rsidR="00DD21E8" w:rsidRDefault="00A05597" w:rsidP="00A05597">
      <w:pPr>
        <w:pStyle w:val="CommentText"/>
        <w:rPr>
          <w:sz w:val="22"/>
          <w:szCs w:val="22"/>
        </w:rPr>
      </w:pPr>
      <w:r w:rsidRPr="002B3438">
        <w:rPr>
          <w:sz w:val="22"/>
          <w:szCs w:val="22"/>
          <w:lang w:val="lt-LT" w:eastAsia="lt-LT"/>
        </w:rPr>
        <w:t xml:space="preserve">Vėlius N. 2003. </w:t>
      </w:r>
      <w:r w:rsidRPr="002B3438">
        <w:rPr>
          <w:sz w:val="22"/>
          <w:szCs w:val="22"/>
        </w:rPr>
        <w:t>Kernavė in the context of towns of the Grand Duchy o</w:t>
      </w:r>
      <w:r w:rsidR="00DD21E8">
        <w:rPr>
          <w:sz w:val="22"/>
          <w:szCs w:val="22"/>
        </w:rPr>
        <w:t>f Lithuania. In:</w:t>
      </w:r>
    </w:p>
    <w:p w14:paraId="24A5FC58" w14:textId="77777777" w:rsidR="00A05597" w:rsidRPr="002B3438" w:rsidRDefault="006A3BEE" w:rsidP="00A05597">
      <w:pPr>
        <w:pStyle w:val="CommentText"/>
        <w:rPr>
          <w:sz w:val="22"/>
          <w:szCs w:val="22"/>
        </w:rPr>
      </w:pPr>
      <w:r>
        <w:rPr>
          <w:sz w:val="22"/>
          <w:szCs w:val="22"/>
        </w:rPr>
        <w:t xml:space="preserve">  </w:t>
      </w:r>
      <w:r w:rsidR="00A05597" w:rsidRPr="002B3438">
        <w:rPr>
          <w:sz w:val="22"/>
          <w:szCs w:val="22"/>
        </w:rPr>
        <w:t>Archaeologia Lituana. Vilnius. p 161–174.</w:t>
      </w:r>
    </w:p>
    <w:p w14:paraId="0ECE9044" w14:textId="77777777" w:rsidR="00A05597" w:rsidRPr="002B3438" w:rsidRDefault="00A05597" w:rsidP="00A05597">
      <w:pPr>
        <w:pStyle w:val="ListParagraph"/>
        <w:autoSpaceDE w:val="0"/>
        <w:autoSpaceDN w:val="0"/>
        <w:adjustRightInd w:val="0"/>
        <w:ind w:left="0"/>
        <w:jc w:val="both"/>
        <w:rPr>
          <w:sz w:val="22"/>
          <w:szCs w:val="22"/>
          <w:lang w:val="lt-LT" w:eastAsia="lt-LT"/>
        </w:rPr>
      </w:pPr>
    </w:p>
    <w:p w14:paraId="25814171" w14:textId="77777777" w:rsidR="00A05597" w:rsidRPr="002B3438" w:rsidRDefault="00A05597" w:rsidP="00A05597">
      <w:pPr>
        <w:pStyle w:val="ListParagraph"/>
        <w:autoSpaceDE w:val="0"/>
        <w:autoSpaceDN w:val="0"/>
        <w:adjustRightInd w:val="0"/>
        <w:ind w:left="0"/>
        <w:jc w:val="both"/>
        <w:rPr>
          <w:sz w:val="22"/>
          <w:szCs w:val="22"/>
        </w:rPr>
      </w:pPr>
      <w:r w:rsidRPr="002B3438">
        <w:rPr>
          <w:sz w:val="22"/>
          <w:szCs w:val="22"/>
          <w:lang w:val="lt-LT" w:eastAsia="lt-LT"/>
        </w:rPr>
        <w:t xml:space="preserve">Vėlius N. 2005. </w:t>
      </w:r>
      <w:r w:rsidRPr="002B3438">
        <w:rPr>
          <w:sz w:val="22"/>
          <w:szCs w:val="22"/>
        </w:rPr>
        <w:t>Kernavės miesto bendruomenė XIII–XIV amžiuje. Vilnius. p 112.</w:t>
      </w:r>
    </w:p>
    <w:p w14:paraId="6AB8637D" w14:textId="77777777" w:rsidR="00A05597" w:rsidRPr="002B3438" w:rsidRDefault="00A05597" w:rsidP="00A05597">
      <w:pPr>
        <w:pStyle w:val="ListParagraph"/>
        <w:autoSpaceDE w:val="0"/>
        <w:autoSpaceDN w:val="0"/>
        <w:adjustRightInd w:val="0"/>
        <w:ind w:left="0"/>
        <w:jc w:val="both"/>
        <w:rPr>
          <w:sz w:val="22"/>
          <w:szCs w:val="22"/>
          <w:lang w:val="lt-LT" w:eastAsia="lt-LT"/>
        </w:rPr>
      </w:pPr>
    </w:p>
    <w:p w14:paraId="3ECDB1A4" w14:textId="77777777" w:rsidR="003B35F5" w:rsidRPr="002B3438" w:rsidRDefault="003B35F5" w:rsidP="003B35F5">
      <w:pPr>
        <w:autoSpaceDE w:val="0"/>
        <w:autoSpaceDN w:val="0"/>
        <w:adjustRightInd w:val="0"/>
        <w:rPr>
          <w:rStyle w:val="Strong"/>
          <w:b w:val="0"/>
          <w:color w:val="333333"/>
          <w:sz w:val="22"/>
          <w:szCs w:val="22"/>
          <w:bdr w:val="none" w:sz="0" w:space="0" w:color="auto" w:frame="1"/>
        </w:rPr>
      </w:pPr>
      <w:r w:rsidRPr="002B3438">
        <w:rPr>
          <w:rStyle w:val="sb-authors"/>
          <w:color w:val="333333"/>
          <w:sz w:val="22"/>
          <w:szCs w:val="22"/>
          <w:bdr w:val="none" w:sz="0" w:space="0" w:color="auto" w:frame="1"/>
        </w:rPr>
        <w:t>Wachter NJ, Augat P, Krischak GD, Sarkar MR, Mentzel M, Kinzl L, Claes L.</w:t>
      </w:r>
      <w:r w:rsidRPr="002B3438">
        <w:rPr>
          <w:rStyle w:val="sb-authors"/>
          <w:b/>
          <w:color w:val="333333"/>
          <w:sz w:val="22"/>
          <w:szCs w:val="22"/>
          <w:bdr w:val="none" w:sz="0" w:space="0" w:color="auto" w:frame="1"/>
        </w:rPr>
        <w:t xml:space="preserve"> </w:t>
      </w:r>
      <w:r w:rsidRPr="002B3438">
        <w:rPr>
          <w:rStyle w:val="sb-authors"/>
          <w:color w:val="333333"/>
          <w:sz w:val="22"/>
          <w:szCs w:val="22"/>
          <w:bdr w:val="none" w:sz="0" w:space="0" w:color="auto" w:frame="1"/>
        </w:rPr>
        <w:t>2001.</w:t>
      </w:r>
      <w:r w:rsidRPr="002B3438">
        <w:rPr>
          <w:rStyle w:val="sb-contribution"/>
          <w:b/>
          <w:color w:val="333333"/>
          <w:sz w:val="22"/>
          <w:szCs w:val="22"/>
          <w:bdr w:val="none" w:sz="0" w:space="0" w:color="auto" w:frame="1"/>
          <w:shd w:val="clear" w:color="auto" w:fill="FFFFFF"/>
        </w:rPr>
        <w:t> </w:t>
      </w:r>
      <w:r w:rsidRPr="002B3438">
        <w:rPr>
          <w:rStyle w:val="Strong"/>
          <w:b w:val="0"/>
          <w:color w:val="333333"/>
          <w:sz w:val="22"/>
          <w:szCs w:val="22"/>
          <w:bdr w:val="none" w:sz="0" w:space="0" w:color="auto" w:frame="1"/>
        </w:rPr>
        <w:t xml:space="preserve">Prediction </w:t>
      </w:r>
    </w:p>
    <w:p w14:paraId="7424A463" w14:textId="77777777" w:rsidR="003B35F5" w:rsidRPr="002B3438" w:rsidRDefault="003B35F5" w:rsidP="003B35F5">
      <w:pPr>
        <w:autoSpaceDE w:val="0"/>
        <w:autoSpaceDN w:val="0"/>
        <w:adjustRightInd w:val="0"/>
        <w:ind w:left="375"/>
        <w:rPr>
          <w:rStyle w:val="sb-pages"/>
          <w:b/>
          <w:color w:val="333333"/>
          <w:sz w:val="22"/>
          <w:szCs w:val="22"/>
          <w:bdr w:val="none" w:sz="0" w:space="0" w:color="auto" w:frame="1"/>
          <w:shd w:val="clear" w:color="auto" w:fill="FFFFFF"/>
        </w:rPr>
      </w:pPr>
      <w:r w:rsidRPr="002B3438">
        <w:rPr>
          <w:rStyle w:val="Strong"/>
          <w:b w:val="0"/>
          <w:color w:val="333333"/>
          <w:sz w:val="22"/>
          <w:szCs w:val="22"/>
          <w:bdr w:val="none" w:sz="0" w:space="0" w:color="auto" w:frame="1"/>
        </w:rPr>
        <w:t xml:space="preserve">of strength of cortical bone in vitro by microcomputed tomography. </w:t>
      </w:r>
      <w:r w:rsidRPr="002B3438">
        <w:rPr>
          <w:rStyle w:val="Emphasis"/>
          <w:i w:val="0"/>
          <w:color w:val="333333"/>
          <w:sz w:val="22"/>
          <w:szCs w:val="22"/>
          <w:bdr w:val="none" w:sz="0" w:space="0" w:color="auto" w:frame="1"/>
        </w:rPr>
        <w:t>Clin Biomech</w:t>
      </w:r>
      <w:r w:rsidRPr="002B3438">
        <w:rPr>
          <w:rStyle w:val="sb-date"/>
          <w:sz w:val="22"/>
          <w:szCs w:val="22"/>
        </w:rPr>
        <w:t xml:space="preserve"> </w:t>
      </w:r>
      <w:r w:rsidRPr="002B3438">
        <w:rPr>
          <w:rStyle w:val="sb-volume-nr"/>
          <w:color w:val="333333"/>
          <w:sz w:val="22"/>
          <w:szCs w:val="22"/>
          <w:bdr w:val="none" w:sz="0" w:space="0" w:color="auto" w:frame="1"/>
        </w:rPr>
        <w:t>16</w:t>
      </w:r>
      <w:r w:rsidRPr="002B3438">
        <w:rPr>
          <w:rStyle w:val="sb-issue"/>
          <w:color w:val="333333"/>
          <w:sz w:val="22"/>
          <w:szCs w:val="22"/>
          <w:bdr w:val="none" w:sz="0" w:space="0" w:color="auto" w:frame="1"/>
          <w:shd w:val="clear" w:color="auto" w:fill="FFFFFF"/>
        </w:rPr>
        <w:t>:</w:t>
      </w:r>
      <w:r w:rsidRPr="002B3438">
        <w:rPr>
          <w:rStyle w:val="sb-pages"/>
          <w:color w:val="333333"/>
          <w:sz w:val="22"/>
          <w:szCs w:val="22"/>
          <w:bdr w:val="none" w:sz="0" w:space="0" w:color="auto" w:frame="1"/>
          <w:shd w:val="clear" w:color="auto" w:fill="FFFFFF"/>
        </w:rPr>
        <w:t>252–256.</w:t>
      </w:r>
    </w:p>
    <w:p w14:paraId="3CC35291" w14:textId="77777777" w:rsidR="003B35F5" w:rsidRPr="002B3438" w:rsidRDefault="003B35F5" w:rsidP="000F68E5">
      <w:pPr>
        <w:autoSpaceDE w:val="0"/>
        <w:autoSpaceDN w:val="0"/>
        <w:adjustRightInd w:val="0"/>
        <w:rPr>
          <w:sz w:val="22"/>
          <w:szCs w:val="22"/>
        </w:rPr>
      </w:pPr>
    </w:p>
    <w:p w14:paraId="2C434E08" w14:textId="77777777" w:rsidR="006F36B3" w:rsidRPr="002B3438" w:rsidRDefault="006F36B3" w:rsidP="006F36B3">
      <w:pPr>
        <w:autoSpaceDE w:val="0"/>
        <w:autoSpaceDN w:val="0"/>
        <w:adjustRightInd w:val="0"/>
        <w:rPr>
          <w:sz w:val="22"/>
          <w:szCs w:val="22"/>
        </w:rPr>
      </w:pPr>
      <w:r w:rsidRPr="002B3438">
        <w:rPr>
          <w:sz w:val="22"/>
          <w:szCs w:val="22"/>
        </w:rPr>
        <w:t>Wachter NJ, Krischak GD, Mentzel M, Sarkar MR, Ebinger T, Kinzl L. 2002. Correlation</w:t>
      </w:r>
    </w:p>
    <w:p w14:paraId="2D155C14" w14:textId="77777777" w:rsidR="006F36B3" w:rsidRPr="002B3438" w:rsidRDefault="006F36B3" w:rsidP="006F36B3">
      <w:pPr>
        <w:autoSpaceDE w:val="0"/>
        <w:autoSpaceDN w:val="0"/>
        <w:adjustRightInd w:val="0"/>
        <w:ind w:left="375"/>
        <w:rPr>
          <w:sz w:val="22"/>
          <w:szCs w:val="22"/>
        </w:rPr>
      </w:pPr>
      <w:r w:rsidRPr="002B3438">
        <w:rPr>
          <w:sz w:val="22"/>
          <w:szCs w:val="22"/>
        </w:rPr>
        <w:t xml:space="preserve">of bone mineral density with strength and microstructural parameters of cortical bone in vitro. </w:t>
      </w:r>
      <w:r w:rsidRPr="002B3438">
        <w:rPr>
          <w:iCs/>
          <w:sz w:val="22"/>
          <w:szCs w:val="22"/>
        </w:rPr>
        <w:t xml:space="preserve">Bone </w:t>
      </w:r>
      <w:r w:rsidRPr="002B3438">
        <w:rPr>
          <w:sz w:val="22"/>
          <w:szCs w:val="22"/>
        </w:rPr>
        <w:t>31: 90-95.</w:t>
      </w:r>
    </w:p>
    <w:p w14:paraId="277A3692" w14:textId="77777777" w:rsidR="003B35F5" w:rsidRPr="002B3438" w:rsidRDefault="003B35F5" w:rsidP="00F622C7">
      <w:pPr>
        <w:autoSpaceDE w:val="0"/>
        <w:autoSpaceDN w:val="0"/>
        <w:adjustRightInd w:val="0"/>
        <w:rPr>
          <w:sz w:val="22"/>
          <w:szCs w:val="22"/>
        </w:rPr>
      </w:pPr>
    </w:p>
    <w:p w14:paraId="168C4793" w14:textId="77777777" w:rsidR="00305E34" w:rsidRPr="002B3438" w:rsidRDefault="00305E34" w:rsidP="00F622C7">
      <w:pPr>
        <w:autoSpaceDE w:val="0"/>
        <w:autoSpaceDN w:val="0"/>
        <w:adjustRightInd w:val="0"/>
        <w:rPr>
          <w:sz w:val="22"/>
          <w:szCs w:val="22"/>
        </w:rPr>
      </w:pPr>
      <w:r w:rsidRPr="002B3438">
        <w:rPr>
          <w:sz w:val="22"/>
          <w:szCs w:val="22"/>
        </w:rPr>
        <w:t xml:space="preserve">Walker PL, Bathurst RR, Richman R, Gjerdrum T, Andrushko VA. 2009. The causes of </w:t>
      </w:r>
    </w:p>
    <w:p w14:paraId="1EA27F49" w14:textId="77777777" w:rsidR="00305E34" w:rsidRPr="002B3438" w:rsidRDefault="00305E34" w:rsidP="00305E34">
      <w:pPr>
        <w:autoSpaceDE w:val="0"/>
        <w:autoSpaceDN w:val="0"/>
        <w:adjustRightInd w:val="0"/>
        <w:ind w:left="405"/>
        <w:rPr>
          <w:sz w:val="22"/>
          <w:szCs w:val="22"/>
        </w:rPr>
      </w:pPr>
      <w:r w:rsidRPr="002B3438">
        <w:rPr>
          <w:sz w:val="22"/>
          <w:szCs w:val="22"/>
        </w:rPr>
        <w:t>porotic hyperostosis and cribra orbitalia: a reappraisal of the iron-deficiency-anemia hypothesis. Am J Phys Anthrop 139:109–125.</w:t>
      </w:r>
    </w:p>
    <w:p w14:paraId="5AF9E5CA" w14:textId="77777777" w:rsidR="00305E34" w:rsidRPr="002B3438" w:rsidRDefault="00305E34" w:rsidP="00F622C7">
      <w:pPr>
        <w:autoSpaceDE w:val="0"/>
        <w:autoSpaceDN w:val="0"/>
        <w:adjustRightInd w:val="0"/>
        <w:rPr>
          <w:sz w:val="22"/>
          <w:szCs w:val="22"/>
        </w:rPr>
      </w:pPr>
    </w:p>
    <w:p w14:paraId="3FF16128" w14:textId="77777777" w:rsidR="00EA4878" w:rsidRPr="002B3438" w:rsidRDefault="00EA4878" w:rsidP="00F622C7">
      <w:pPr>
        <w:autoSpaceDE w:val="0"/>
        <w:autoSpaceDN w:val="0"/>
        <w:adjustRightInd w:val="0"/>
        <w:rPr>
          <w:sz w:val="22"/>
          <w:szCs w:val="22"/>
        </w:rPr>
      </w:pPr>
      <w:r w:rsidRPr="002B3438">
        <w:rPr>
          <w:sz w:val="22"/>
          <w:szCs w:val="22"/>
        </w:rPr>
        <w:t xml:space="preserve">Wapler U, Crube´zy E, Schultz M. 2004. Is cribra orbitalia synonymous with anemia? </w:t>
      </w:r>
    </w:p>
    <w:p w14:paraId="2A290F27" w14:textId="77777777" w:rsidR="00EA4878" w:rsidRPr="002B3438" w:rsidRDefault="00EA4878" w:rsidP="00EA4878">
      <w:pPr>
        <w:autoSpaceDE w:val="0"/>
        <w:autoSpaceDN w:val="0"/>
        <w:adjustRightInd w:val="0"/>
        <w:ind w:left="405"/>
        <w:rPr>
          <w:sz w:val="22"/>
          <w:szCs w:val="22"/>
        </w:rPr>
      </w:pPr>
      <w:r w:rsidRPr="002B3438">
        <w:rPr>
          <w:sz w:val="22"/>
          <w:szCs w:val="22"/>
        </w:rPr>
        <w:t>Analysis and interpretation of cranial pathology in Sudan. Am J Phys Anthrop 123:333–339.</w:t>
      </w:r>
    </w:p>
    <w:p w14:paraId="043719EC" w14:textId="77777777" w:rsidR="00EA4878" w:rsidRPr="002B3438" w:rsidRDefault="00EA4878" w:rsidP="00F622C7">
      <w:pPr>
        <w:autoSpaceDE w:val="0"/>
        <w:autoSpaceDN w:val="0"/>
        <w:adjustRightInd w:val="0"/>
        <w:rPr>
          <w:sz w:val="22"/>
          <w:szCs w:val="22"/>
        </w:rPr>
      </w:pPr>
    </w:p>
    <w:p w14:paraId="50EA228A" w14:textId="77777777" w:rsidR="007C03B5" w:rsidRPr="002B3438" w:rsidRDefault="007C03B5" w:rsidP="007C03B5">
      <w:pPr>
        <w:autoSpaceDE w:val="0"/>
        <w:autoSpaceDN w:val="0"/>
        <w:adjustRightInd w:val="0"/>
        <w:rPr>
          <w:rFonts w:eastAsia="Calibri"/>
          <w:sz w:val="22"/>
          <w:szCs w:val="22"/>
        </w:rPr>
      </w:pPr>
      <w:r w:rsidRPr="002B3438">
        <w:rPr>
          <w:rFonts w:eastAsia="Calibri"/>
          <w:sz w:val="22"/>
          <w:szCs w:val="22"/>
        </w:rPr>
        <w:lastRenderedPageBreak/>
        <w:t xml:space="preserve">Wang QJ, Suominen H, Nicholson PH, Zou LC, Alen M, KoistinenA, Cheng S. 2004. Influence </w:t>
      </w:r>
    </w:p>
    <w:p w14:paraId="413BDDA0" w14:textId="77777777" w:rsidR="007C03B5" w:rsidRPr="002B3438" w:rsidRDefault="007C03B5" w:rsidP="007C03B5">
      <w:pPr>
        <w:autoSpaceDE w:val="0"/>
        <w:autoSpaceDN w:val="0"/>
        <w:adjustRightInd w:val="0"/>
        <w:ind w:left="375"/>
        <w:rPr>
          <w:rFonts w:eastAsia="Calibri"/>
          <w:sz w:val="22"/>
          <w:szCs w:val="22"/>
        </w:rPr>
      </w:pPr>
      <w:r w:rsidRPr="002B3438">
        <w:rPr>
          <w:rFonts w:eastAsia="Calibri"/>
          <w:sz w:val="22"/>
          <w:szCs w:val="22"/>
        </w:rPr>
        <w:t>of physical activity and maturation status on bone mass and geometry in early pubertal girls. Scand J Med Sci Sports 15:100-106.</w:t>
      </w:r>
    </w:p>
    <w:p w14:paraId="30B226A2" w14:textId="77777777" w:rsidR="007C03B5" w:rsidRPr="002B3438" w:rsidRDefault="007C03B5" w:rsidP="007C03B5">
      <w:pPr>
        <w:autoSpaceDE w:val="0"/>
        <w:autoSpaceDN w:val="0"/>
        <w:adjustRightInd w:val="0"/>
        <w:rPr>
          <w:sz w:val="22"/>
          <w:szCs w:val="22"/>
        </w:rPr>
      </w:pPr>
    </w:p>
    <w:p w14:paraId="3D80D0B8" w14:textId="77777777" w:rsidR="00CD0AF6" w:rsidRPr="002B3438" w:rsidRDefault="00CD0AF6" w:rsidP="00F622C7">
      <w:pPr>
        <w:autoSpaceDE w:val="0"/>
        <w:autoSpaceDN w:val="0"/>
        <w:adjustRightInd w:val="0"/>
        <w:rPr>
          <w:sz w:val="22"/>
          <w:szCs w:val="22"/>
        </w:rPr>
      </w:pPr>
      <w:r w:rsidRPr="002B3438">
        <w:rPr>
          <w:sz w:val="22"/>
          <w:szCs w:val="22"/>
        </w:rPr>
        <w:t xml:space="preserve">Wang Q, Seeman E. Skeletal growth and peak bone strength. Best Practices &amp; Research Clinical </w:t>
      </w:r>
    </w:p>
    <w:p w14:paraId="11D401B5" w14:textId="77777777" w:rsidR="00CD0AF6" w:rsidRPr="002B3438" w:rsidRDefault="00CD0AF6" w:rsidP="00CD0AF6">
      <w:pPr>
        <w:autoSpaceDE w:val="0"/>
        <w:autoSpaceDN w:val="0"/>
        <w:adjustRightInd w:val="0"/>
        <w:ind w:firstLine="360"/>
        <w:rPr>
          <w:sz w:val="22"/>
          <w:szCs w:val="22"/>
        </w:rPr>
      </w:pPr>
      <w:r w:rsidRPr="002B3438">
        <w:rPr>
          <w:sz w:val="22"/>
          <w:szCs w:val="22"/>
        </w:rPr>
        <w:t>Endocrinology &amp; Metabolism 22:687-700.</w:t>
      </w:r>
    </w:p>
    <w:p w14:paraId="0D522E96" w14:textId="77777777" w:rsidR="00CD0AF6" w:rsidRPr="002B3438" w:rsidRDefault="00CD0AF6" w:rsidP="00F622C7">
      <w:pPr>
        <w:autoSpaceDE w:val="0"/>
        <w:autoSpaceDN w:val="0"/>
        <w:adjustRightInd w:val="0"/>
        <w:rPr>
          <w:sz w:val="22"/>
          <w:szCs w:val="22"/>
        </w:rPr>
      </w:pPr>
    </w:p>
    <w:p w14:paraId="24D1DBF4" w14:textId="77777777" w:rsidR="005E40E9" w:rsidRPr="002B3438" w:rsidRDefault="00CD5490" w:rsidP="005E40E9">
      <w:pPr>
        <w:autoSpaceDE w:val="0"/>
        <w:autoSpaceDN w:val="0"/>
        <w:adjustRightInd w:val="0"/>
        <w:rPr>
          <w:rFonts w:eastAsia="Calibri"/>
          <w:sz w:val="22"/>
          <w:szCs w:val="22"/>
        </w:rPr>
      </w:pPr>
      <w:r w:rsidRPr="002B3438">
        <w:rPr>
          <w:rFonts w:eastAsia="Calibri"/>
          <w:sz w:val="22"/>
          <w:szCs w:val="22"/>
        </w:rPr>
        <w:t xml:space="preserve">Ward KA, Roberts SA, Adams JE, Mughal MZ. 2005. Bone geometry and density in the skeleton </w:t>
      </w:r>
    </w:p>
    <w:p w14:paraId="21EFE09B" w14:textId="77777777" w:rsidR="00CD5490" w:rsidRPr="002B3438" w:rsidRDefault="00CD5490" w:rsidP="005E40E9">
      <w:pPr>
        <w:autoSpaceDE w:val="0"/>
        <w:autoSpaceDN w:val="0"/>
        <w:adjustRightInd w:val="0"/>
        <w:ind w:firstLine="360"/>
        <w:rPr>
          <w:rFonts w:eastAsia="Calibri"/>
          <w:sz w:val="22"/>
          <w:szCs w:val="22"/>
        </w:rPr>
      </w:pPr>
      <w:r w:rsidRPr="002B3438">
        <w:rPr>
          <w:rFonts w:eastAsia="Calibri"/>
          <w:sz w:val="22"/>
          <w:szCs w:val="22"/>
        </w:rPr>
        <w:t>of prepubertal gymnasts and school children. Bone 36:1012-1018.</w:t>
      </w:r>
    </w:p>
    <w:p w14:paraId="0A88604C" w14:textId="77777777" w:rsidR="00CD5490" w:rsidRPr="002B3438" w:rsidRDefault="00CD5490" w:rsidP="00CD5490">
      <w:pPr>
        <w:autoSpaceDE w:val="0"/>
        <w:autoSpaceDN w:val="0"/>
        <w:adjustRightInd w:val="0"/>
        <w:rPr>
          <w:sz w:val="22"/>
          <w:szCs w:val="22"/>
        </w:rPr>
      </w:pPr>
    </w:p>
    <w:p w14:paraId="2CE2E9C0" w14:textId="77777777" w:rsidR="004E00E3" w:rsidRPr="002B3438" w:rsidRDefault="004E00E3" w:rsidP="004E00E3">
      <w:pPr>
        <w:ind w:left="360" w:hanging="360"/>
        <w:rPr>
          <w:sz w:val="22"/>
          <w:szCs w:val="22"/>
        </w:rPr>
      </w:pPr>
      <w:r w:rsidRPr="002B3438">
        <w:rPr>
          <w:sz w:val="22"/>
          <w:szCs w:val="22"/>
        </w:rPr>
        <w:t>Wescott DJ. 2006. Effect of mobility on femur midshaft external shape and robusticity. Am J Phys Anthropol 130:201-213.</w:t>
      </w:r>
    </w:p>
    <w:p w14:paraId="182E2FB0" w14:textId="77777777" w:rsidR="004E00E3" w:rsidRPr="002B3438" w:rsidRDefault="004E00E3" w:rsidP="00F622C7">
      <w:pPr>
        <w:autoSpaceDE w:val="0"/>
        <w:autoSpaceDN w:val="0"/>
        <w:adjustRightInd w:val="0"/>
        <w:rPr>
          <w:sz w:val="22"/>
          <w:szCs w:val="22"/>
        </w:rPr>
      </w:pPr>
    </w:p>
    <w:p w14:paraId="3EE82A9C" w14:textId="77777777" w:rsidR="00167FB1" w:rsidRPr="00DD21E8" w:rsidRDefault="00167FB1" w:rsidP="00167FB1">
      <w:pPr>
        <w:autoSpaceDE w:val="0"/>
        <w:autoSpaceDN w:val="0"/>
        <w:adjustRightInd w:val="0"/>
        <w:rPr>
          <w:rFonts w:eastAsia="NewCenturySchlbk-Roman"/>
          <w:color w:val="231F20"/>
          <w:sz w:val="22"/>
          <w:szCs w:val="22"/>
        </w:rPr>
      </w:pPr>
      <w:r w:rsidRPr="00DD21E8">
        <w:rPr>
          <w:rFonts w:eastAsia="NewCenturySchlbk-Roman"/>
          <w:color w:val="231F20"/>
          <w:sz w:val="22"/>
          <w:szCs w:val="22"/>
        </w:rPr>
        <w:t xml:space="preserve">Weiss E. 2003. Humeral cross-sections and the physical environment. Am J Phys Anthropol </w:t>
      </w:r>
    </w:p>
    <w:p w14:paraId="6BB77AEF" w14:textId="77777777" w:rsidR="00167FB1" w:rsidRPr="002B3438" w:rsidRDefault="006A3BEE" w:rsidP="00167FB1">
      <w:pPr>
        <w:autoSpaceDE w:val="0"/>
        <w:autoSpaceDN w:val="0"/>
        <w:adjustRightInd w:val="0"/>
        <w:rPr>
          <w:rFonts w:eastAsia="NewCenturySchlbk-Roman"/>
          <w:color w:val="231F20"/>
          <w:sz w:val="22"/>
          <w:szCs w:val="22"/>
        </w:rPr>
      </w:pPr>
      <w:r>
        <w:rPr>
          <w:rFonts w:eastAsia="NewCenturySchlbk-Roman"/>
          <w:color w:val="231F20"/>
          <w:sz w:val="22"/>
          <w:szCs w:val="22"/>
        </w:rPr>
        <w:t xml:space="preserve">  </w:t>
      </w:r>
      <w:r w:rsidR="00DD21E8" w:rsidRPr="00DD21E8">
        <w:rPr>
          <w:rFonts w:eastAsia="NewCenturySchlbk-Roman"/>
          <w:color w:val="231F20"/>
          <w:sz w:val="22"/>
          <w:szCs w:val="22"/>
        </w:rPr>
        <w:t xml:space="preserve">121:293–302. </w:t>
      </w:r>
    </w:p>
    <w:p w14:paraId="78F421F9" w14:textId="77777777" w:rsidR="00167FB1" w:rsidRPr="002B3438" w:rsidRDefault="00167FB1" w:rsidP="00167FB1">
      <w:pPr>
        <w:autoSpaceDE w:val="0"/>
        <w:autoSpaceDN w:val="0"/>
        <w:adjustRightInd w:val="0"/>
        <w:rPr>
          <w:sz w:val="22"/>
          <w:szCs w:val="22"/>
        </w:rPr>
      </w:pPr>
    </w:p>
    <w:p w14:paraId="48C8571A" w14:textId="77777777" w:rsidR="00BF4615" w:rsidRPr="002B3438" w:rsidRDefault="00BF4615" w:rsidP="00BF4615">
      <w:pPr>
        <w:autoSpaceDE w:val="0"/>
        <w:autoSpaceDN w:val="0"/>
        <w:adjustRightInd w:val="0"/>
        <w:rPr>
          <w:sz w:val="22"/>
          <w:szCs w:val="22"/>
        </w:rPr>
      </w:pPr>
      <w:r w:rsidRPr="002B3438">
        <w:rPr>
          <w:sz w:val="22"/>
          <w:szCs w:val="22"/>
        </w:rPr>
        <w:t>White B. 1975. The economic importance of children in a Javanese village. In: M. Nag,</w:t>
      </w:r>
    </w:p>
    <w:p w14:paraId="48C24DD9" w14:textId="77777777" w:rsidR="00BF4615" w:rsidRPr="002B3438" w:rsidRDefault="006A3BEE" w:rsidP="00BF4615">
      <w:pPr>
        <w:autoSpaceDE w:val="0"/>
        <w:autoSpaceDN w:val="0"/>
        <w:adjustRightInd w:val="0"/>
        <w:rPr>
          <w:sz w:val="22"/>
          <w:szCs w:val="22"/>
        </w:rPr>
      </w:pPr>
      <w:r>
        <w:rPr>
          <w:sz w:val="22"/>
          <w:szCs w:val="22"/>
        </w:rPr>
        <w:t xml:space="preserve">  </w:t>
      </w:r>
      <w:r w:rsidR="00BF4615" w:rsidRPr="002B3438">
        <w:rPr>
          <w:sz w:val="22"/>
          <w:szCs w:val="22"/>
        </w:rPr>
        <w:t xml:space="preserve">editors. </w:t>
      </w:r>
      <w:r w:rsidR="00BF4615" w:rsidRPr="002B3438">
        <w:rPr>
          <w:i/>
          <w:iCs/>
          <w:sz w:val="22"/>
          <w:szCs w:val="22"/>
        </w:rPr>
        <w:t xml:space="preserve">Population and Social Organization. </w:t>
      </w:r>
      <w:r w:rsidR="001B27F1" w:rsidRPr="002B3438">
        <w:rPr>
          <w:sz w:val="22"/>
          <w:szCs w:val="22"/>
        </w:rPr>
        <w:t>Mouton: The Hague. p</w:t>
      </w:r>
      <w:r w:rsidR="00BF4615" w:rsidRPr="002B3438">
        <w:rPr>
          <w:sz w:val="22"/>
          <w:szCs w:val="22"/>
        </w:rPr>
        <w:t xml:space="preserve"> 127-146.</w:t>
      </w:r>
    </w:p>
    <w:p w14:paraId="613149A8" w14:textId="77777777" w:rsidR="00BF4615" w:rsidRPr="002B3438" w:rsidRDefault="00BF4615" w:rsidP="00BF4615">
      <w:pPr>
        <w:autoSpaceDE w:val="0"/>
        <w:autoSpaceDN w:val="0"/>
        <w:adjustRightInd w:val="0"/>
        <w:rPr>
          <w:sz w:val="22"/>
          <w:szCs w:val="22"/>
        </w:rPr>
      </w:pPr>
    </w:p>
    <w:p w14:paraId="3AE3AB57" w14:textId="77777777" w:rsidR="006A0BA5" w:rsidRPr="002B3438" w:rsidRDefault="00F03F94" w:rsidP="006A0BA5">
      <w:pPr>
        <w:autoSpaceDE w:val="0"/>
        <w:autoSpaceDN w:val="0"/>
        <w:adjustRightInd w:val="0"/>
        <w:rPr>
          <w:sz w:val="22"/>
          <w:szCs w:val="22"/>
        </w:rPr>
      </w:pPr>
      <w:r w:rsidRPr="002B3438">
        <w:rPr>
          <w:sz w:val="22"/>
          <w:szCs w:val="22"/>
        </w:rPr>
        <w:t xml:space="preserve">Wolff J. 1986. </w:t>
      </w:r>
      <w:r w:rsidRPr="002B3438">
        <w:rPr>
          <w:i/>
          <w:iCs/>
          <w:sz w:val="22"/>
          <w:szCs w:val="22"/>
        </w:rPr>
        <w:t xml:space="preserve">The law of bone remodeling </w:t>
      </w:r>
      <w:r w:rsidRPr="002B3438">
        <w:rPr>
          <w:sz w:val="22"/>
          <w:szCs w:val="22"/>
        </w:rPr>
        <w:t>(translated from the 1892 original, Das Gesetz de</w:t>
      </w:r>
    </w:p>
    <w:p w14:paraId="4B31055E" w14:textId="77777777" w:rsidR="00CE5BCD" w:rsidRPr="002B3438" w:rsidRDefault="006A3BEE" w:rsidP="006A0BA5">
      <w:pPr>
        <w:autoSpaceDE w:val="0"/>
        <w:autoSpaceDN w:val="0"/>
        <w:adjustRightInd w:val="0"/>
        <w:rPr>
          <w:sz w:val="22"/>
          <w:szCs w:val="22"/>
        </w:rPr>
      </w:pPr>
      <w:r>
        <w:rPr>
          <w:sz w:val="22"/>
          <w:szCs w:val="22"/>
        </w:rPr>
        <w:t xml:space="preserve">  </w:t>
      </w:r>
      <w:r w:rsidR="00F03F94" w:rsidRPr="002B3438">
        <w:rPr>
          <w:sz w:val="22"/>
          <w:szCs w:val="22"/>
        </w:rPr>
        <w:t>Transformation der Knochen, by P. Maquet an</w:t>
      </w:r>
      <w:r w:rsidR="006A0BA5" w:rsidRPr="002B3438">
        <w:rPr>
          <w:sz w:val="22"/>
          <w:szCs w:val="22"/>
        </w:rPr>
        <w:t xml:space="preserve">d R. Ferlong). Berlin: Springer </w:t>
      </w:r>
      <w:r w:rsidR="00F03F94" w:rsidRPr="002B3438">
        <w:rPr>
          <w:sz w:val="22"/>
          <w:szCs w:val="22"/>
        </w:rPr>
        <w:t>Verlag.</w:t>
      </w:r>
    </w:p>
    <w:p w14:paraId="32A7BC0B" w14:textId="77777777" w:rsidR="00CE5BCD" w:rsidRPr="002B3438" w:rsidRDefault="00CE5BCD" w:rsidP="006A0BA5">
      <w:pPr>
        <w:autoSpaceDE w:val="0"/>
        <w:autoSpaceDN w:val="0"/>
        <w:adjustRightInd w:val="0"/>
        <w:rPr>
          <w:sz w:val="22"/>
          <w:szCs w:val="22"/>
        </w:rPr>
      </w:pPr>
    </w:p>
    <w:p w14:paraId="67E5C41E" w14:textId="77777777" w:rsidR="00CE5BCD" w:rsidRPr="002B3438" w:rsidRDefault="00CE5BCD" w:rsidP="006A0BA5">
      <w:pPr>
        <w:autoSpaceDE w:val="0"/>
        <w:autoSpaceDN w:val="0"/>
        <w:adjustRightInd w:val="0"/>
        <w:rPr>
          <w:sz w:val="22"/>
          <w:szCs w:val="22"/>
        </w:rPr>
      </w:pPr>
      <w:r w:rsidRPr="002B3438">
        <w:rPr>
          <w:sz w:val="22"/>
          <w:szCs w:val="22"/>
        </w:rPr>
        <w:t>Wong MW, Carter DR. 1990. A theoretical model of endochondral ossification and bone</w:t>
      </w:r>
    </w:p>
    <w:p w14:paraId="74A18FBB" w14:textId="77777777" w:rsidR="00351BB9" w:rsidRPr="002B3438" w:rsidRDefault="006A3BEE" w:rsidP="00CE5BCD">
      <w:pPr>
        <w:autoSpaceDE w:val="0"/>
        <w:autoSpaceDN w:val="0"/>
        <w:adjustRightInd w:val="0"/>
        <w:rPr>
          <w:sz w:val="22"/>
          <w:szCs w:val="22"/>
        </w:rPr>
      </w:pPr>
      <w:r>
        <w:rPr>
          <w:sz w:val="22"/>
          <w:szCs w:val="22"/>
        </w:rPr>
        <w:t xml:space="preserve">  </w:t>
      </w:r>
      <w:r w:rsidR="00CE5BCD" w:rsidRPr="002B3438">
        <w:rPr>
          <w:sz w:val="22"/>
          <w:szCs w:val="22"/>
        </w:rPr>
        <w:t>architectural construction in long bone ontogeny. Anat Embryol 181:523-532.</w:t>
      </w:r>
    </w:p>
    <w:p w14:paraId="7513FB28" w14:textId="77777777" w:rsidR="005E40E9" w:rsidRPr="002B3438" w:rsidRDefault="005E40E9" w:rsidP="00CE5BCD">
      <w:pPr>
        <w:autoSpaceDE w:val="0"/>
        <w:autoSpaceDN w:val="0"/>
        <w:adjustRightInd w:val="0"/>
        <w:rPr>
          <w:sz w:val="22"/>
          <w:szCs w:val="22"/>
        </w:rPr>
      </w:pPr>
    </w:p>
    <w:p w14:paraId="1A97220C" w14:textId="77777777" w:rsidR="00B5122A" w:rsidRPr="002B3438" w:rsidRDefault="00B5122A" w:rsidP="00B5122A">
      <w:pPr>
        <w:autoSpaceDE w:val="0"/>
        <w:autoSpaceDN w:val="0"/>
        <w:adjustRightInd w:val="0"/>
        <w:rPr>
          <w:rFonts w:eastAsia="Calibri"/>
          <w:sz w:val="22"/>
          <w:szCs w:val="22"/>
        </w:rPr>
      </w:pPr>
      <w:r w:rsidRPr="002B3438">
        <w:rPr>
          <w:rFonts w:eastAsia="Calibri"/>
          <w:sz w:val="22"/>
          <w:szCs w:val="22"/>
        </w:rPr>
        <w:t xml:space="preserve">Wong S, Au B, Lau E, Lee Y, Sham A, Lee S. 2004. Osteoporosis in Chinese patients with </w:t>
      </w:r>
    </w:p>
    <w:p w14:paraId="3301EB38" w14:textId="77777777" w:rsidR="00B5122A" w:rsidRPr="002B3438" w:rsidRDefault="00B5122A" w:rsidP="00B5122A">
      <w:pPr>
        <w:autoSpaceDE w:val="0"/>
        <w:autoSpaceDN w:val="0"/>
        <w:adjustRightInd w:val="0"/>
        <w:ind w:firstLine="360"/>
        <w:rPr>
          <w:rFonts w:eastAsia="Calibri"/>
          <w:sz w:val="22"/>
          <w:szCs w:val="22"/>
        </w:rPr>
      </w:pPr>
      <w:r w:rsidRPr="002B3438">
        <w:rPr>
          <w:rFonts w:eastAsia="Calibri"/>
          <w:sz w:val="22"/>
          <w:szCs w:val="22"/>
        </w:rPr>
        <w:t>anorexia nervosa. Int J Eat Disord 36:104–108.</w:t>
      </w:r>
    </w:p>
    <w:p w14:paraId="6BA99A68" w14:textId="77777777" w:rsidR="00B5122A" w:rsidRPr="002B3438" w:rsidRDefault="00B5122A" w:rsidP="00B5122A">
      <w:pPr>
        <w:autoSpaceDE w:val="0"/>
        <w:autoSpaceDN w:val="0"/>
        <w:adjustRightInd w:val="0"/>
        <w:rPr>
          <w:sz w:val="22"/>
          <w:szCs w:val="22"/>
        </w:rPr>
      </w:pPr>
    </w:p>
    <w:p w14:paraId="64958A87" w14:textId="77777777" w:rsidR="00305E34" w:rsidRPr="002B3438" w:rsidRDefault="00305E34" w:rsidP="00305E34">
      <w:pPr>
        <w:autoSpaceDE w:val="0"/>
        <w:autoSpaceDN w:val="0"/>
        <w:adjustRightInd w:val="0"/>
        <w:ind w:left="360" w:hanging="360"/>
        <w:rPr>
          <w:sz w:val="22"/>
          <w:szCs w:val="22"/>
        </w:rPr>
      </w:pPr>
      <w:r w:rsidRPr="002B3438">
        <w:rPr>
          <w:sz w:val="22"/>
          <w:szCs w:val="22"/>
        </w:rPr>
        <w:t>Wood JW, Milner GR, Harpending HC, Weiss KM. 1992. The osteological paradox: problems of inferring prehistoric health from skeletal samples. Curr Anth 33:343-370.</w:t>
      </w:r>
    </w:p>
    <w:p w14:paraId="57F05BE5" w14:textId="77777777" w:rsidR="00305E34" w:rsidRPr="002B3438" w:rsidRDefault="00305E34" w:rsidP="00CE5BCD">
      <w:pPr>
        <w:autoSpaceDE w:val="0"/>
        <w:autoSpaceDN w:val="0"/>
        <w:adjustRightInd w:val="0"/>
        <w:rPr>
          <w:sz w:val="22"/>
          <w:szCs w:val="22"/>
        </w:rPr>
      </w:pPr>
    </w:p>
    <w:p w14:paraId="3B024DE3" w14:textId="77777777" w:rsidR="00F422CE" w:rsidRPr="002B3438" w:rsidRDefault="00F422CE" w:rsidP="00F422CE">
      <w:pPr>
        <w:autoSpaceDE w:val="0"/>
        <w:autoSpaceDN w:val="0"/>
        <w:adjustRightInd w:val="0"/>
        <w:rPr>
          <w:sz w:val="22"/>
          <w:szCs w:val="22"/>
        </w:rPr>
      </w:pPr>
      <w:r w:rsidRPr="002B3438">
        <w:rPr>
          <w:sz w:val="22"/>
          <w:szCs w:val="22"/>
        </w:rPr>
        <w:t xml:space="preserve">Wu K, Schubeck KE, Frost HM, Villanueva AR. 1970. Haversian bone formation rates </w:t>
      </w:r>
    </w:p>
    <w:p w14:paraId="6272D44E" w14:textId="77777777" w:rsidR="00F422CE" w:rsidRPr="002B3438" w:rsidRDefault="00F422CE" w:rsidP="00F422CE">
      <w:pPr>
        <w:autoSpaceDE w:val="0"/>
        <w:autoSpaceDN w:val="0"/>
        <w:adjustRightInd w:val="0"/>
        <w:ind w:left="405"/>
        <w:rPr>
          <w:sz w:val="22"/>
          <w:szCs w:val="22"/>
        </w:rPr>
      </w:pPr>
      <w:r w:rsidRPr="002B3438">
        <w:rPr>
          <w:sz w:val="22"/>
          <w:szCs w:val="22"/>
        </w:rPr>
        <w:t>determined by a new method in a mastodon, and in human diabetes mellitus and osteoporosis. Calcif Tiss Int 22:204-219.</w:t>
      </w:r>
    </w:p>
    <w:p w14:paraId="6A47A22E" w14:textId="77777777" w:rsidR="00F422CE" w:rsidRPr="002B3438" w:rsidRDefault="00F422CE" w:rsidP="00CE5BCD">
      <w:pPr>
        <w:autoSpaceDE w:val="0"/>
        <w:autoSpaceDN w:val="0"/>
        <w:adjustRightInd w:val="0"/>
        <w:rPr>
          <w:sz w:val="22"/>
          <w:szCs w:val="22"/>
        </w:rPr>
      </w:pPr>
    </w:p>
    <w:p w14:paraId="5925A37D" w14:textId="77777777" w:rsidR="0060407E" w:rsidRPr="002B3438" w:rsidRDefault="0060407E" w:rsidP="0060407E">
      <w:pPr>
        <w:autoSpaceDE w:val="0"/>
        <w:autoSpaceDN w:val="0"/>
        <w:adjustRightInd w:val="0"/>
        <w:rPr>
          <w:rFonts w:eastAsia="UB-Times"/>
          <w:sz w:val="22"/>
          <w:szCs w:val="22"/>
        </w:rPr>
      </w:pPr>
      <w:r w:rsidRPr="002B3438">
        <w:rPr>
          <w:rFonts w:eastAsia="UB-Times"/>
          <w:sz w:val="22"/>
          <w:szCs w:val="22"/>
        </w:rPr>
        <w:t xml:space="preserve">Yao W, Jee WSS, Zhou H, Lu J, Cui L, Setterberg R, Liang T, Ma YF. 1999. Anabolic effect of </w:t>
      </w:r>
    </w:p>
    <w:p w14:paraId="13FDD804" w14:textId="77777777" w:rsidR="0060407E" w:rsidRPr="002B3438" w:rsidRDefault="0060407E" w:rsidP="0060407E">
      <w:pPr>
        <w:autoSpaceDE w:val="0"/>
        <w:autoSpaceDN w:val="0"/>
        <w:adjustRightInd w:val="0"/>
        <w:ind w:left="375"/>
        <w:rPr>
          <w:rFonts w:eastAsia="UB-Times"/>
          <w:sz w:val="22"/>
          <w:szCs w:val="22"/>
        </w:rPr>
      </w:pPr>
      <w:r w:rsidRPr="002B3438">
        <w:rPr>
          <w:rFonts w:eastAsia="UB-Times"/>
          <w:sz w:val="22"/>
          <w:szCs w:val="22"/>
        </w:rPr>
        <w:t>prostaglandin E2 on cortical bone of aged male rats comes mainly from modeling-dependent bone gain. Bone 25:697-702.</w:t>
      </w:r>
    </w:p>
    <w:p w14:paraId="0C54D09F" w14:textId="77777777" w:rsidR="0060407E" w:rsidRPr="002B3438" w:rsidRDefault="0060407E" w:rsidP="0060407E">
      <w:pPr>
        <w:autoSpaceDE w:val="0"/>
        <w:autoSpaceDN w:val="0"/>
        <w:adjustRightInd w:val="0"/>
        <w:rPr>
          <w:sz w:val="22"/>
          <w:szCs w:val="22"/>
        </w:rPr>
      </w:pPr>
    </w:p>
    <w:p w14:paraId="2CD41BF6" w14:textId="77777777" w:rsidR="00F344AC" w:rsidRPr="002B3438" w:rsidRDefault="00F344AC" w:rsidP="00F344AC">
      <w:pPr>
        <w:autoSpaceDE w:val="0"/>
        <w:autoSpaceDN w:val="0"/>
        <w:adjustRightInd w:val="0"/>
        <w:rPr>
          <w:rFonts w:eastAsia="Calibri"/>
          <w:sz w:val="22"/>
          <w:szCs w:val="22"/>
        </w:rPr>
      </w:pPr>
      <w:r w:rsidRPr="002B3438">
        <w:rPr>
          <w:rFonts w:eastAsia="Calibri"/>
          <w:sz w:val="22"/>
          <w:szCs w:val="22"/>
        </w:rPr>
        <w:t xml:space="preserve">Yeni YN, Brown CU, Wang Z, Norman TL. 1997. The influence of bone morphology on fracture </w:t>
      </w:r>
    </w:p>
    <w:p w14:paraId="604168AF" w14:textId="77777777" w:rsidR="00F344AC" w:rsidRPr="002B3438" w:rsidRDefault="006A3BEE" w:rsidP="00F344AC">
      <w:pPr>
        <w:autoSpaceDE w:val="0"/>
        <w:autoSpaceDN w:val="0"/>
        <w:adjustRightInd w:val="0"/>
        <w:rPr>
          <w:rFonts w:eastAsia="Calibri"/>
          <w:sz w:val="22"/>
          <w:szCs w:val="22"/>
        </w:rPr>
      </w:pPr>
      <w:r>
        <w:rPr>
          <w:rFonts w:eastAsia="Calibri"/>
          <w:sz w:val="22"/>
          <w:szCs w:val="22"/>
        </w:rPr>
        <w:t xml:space="preserve">  </w:t>
      </w:r>
      <w:r w:rsidR="00F344AC" w:rsidRPr="002B3438">
        <w:rPr>
          <w:rFonts w:eastAsia="Calibri"/>
          <w:sz w:val="22"/>
          <w:szCs w:val="22"/>
        </w:rPr>
        <w:t xml:space="preserve">toughness of the human femur and tibia. Bone </w:t>
      </w:r>
      <w:r w:rsidR="00F344AC" w:rsidRPr="002B3438">
        <w:rPr>
          <w:rFonts w:eastAsia="Calibri"/>
          <w:bCs/>
          <w:sz w:val="22"/>
          <w:szCs w:val="22"/>
        </w:rPr>
        <w:t>21</w:t>
      </w:r>
      <w:r w:rsidR="00F344AC" w:rsidRPr="002B3438">
        <w:rPr>
          <w:rFonts w:eastAsia="Calibri"/>
          <w:b/>
          <w:bCs/>
          <w:sz w:val="22"/>
          <w:szCs w:val="22"/>
        </w:rPr>
        <w:t>:</w:t>
      </w:r>
      <w:r w:rsidR="00F344AC" w:rsidRPr="002B3438">
        <w:rPr>
          <w:rFonts w:eastAsia="Calibri"/>
          <w:sz w:val="22"/>
          <w:szCs w:val="22"/>
        </w:rPr>
        <w:t>453–459.</w:t>
      </w:r>
    </w:p>
    <w:p w14:paraId="4859E3E1" w14:textId="77777777" w:rsidR="00F344AC" w:rsidRPr="002B3438" w:rsidRDefault="00F344AC" w:rsidP="00F344AC">
      <w:pPr>
        <w:autoSpaceDE w:val="0"/>
        <w:autoSpaceDN w:val="0"/>
        <w:adjustRightInd w:val="0"/>
        <w:rPr>
          <w:rFonts w:eastAsia="Calibri"/>
          <w:sz w:val="22"/>
          <w:szCs w:val="22"/>
        </w:rPr>
      </w:pPr>
    </w:p>
    <w:p w14:paraId="3B881491" w14:textId="77777777" w:rsidR="00F344AC" w:rsidRPr="002B3438" w:rsidRDefault="00F344AC" w:rsidP="00F344AC">
      <w:pPr>
        <w:autoSpaceDE w:val="0"/>
        <w:autoSpaceDN w:val="0"/>
        <w:adjustRightInd w:val="0"/>
        <w:rPr>
          <w:rFonts w:eastAsia="Calibri"/>
          <w:sz w:val="22"/>
          <w:szCs w:val="22"/>
        </w:rPr>
      </w:pPr>
      <w:r w:rsidRPr="002B3438">
        <w:rPr>
          <w:rFonts w:eastAsia="Calibri"/>
          <w:sz w:val="22"/>
          <w:szCs w:val="22"/>
        </w:rPr>
        <w:t xml:space="preserve">Yeni YN, Brown CU, Norman TL. 1998. Influence of bone composition and apparent density on </w:t>
      </w:r>
    </w:p>
    <w:p w14:paraId="6E89D2BE" w14:textId="77777777" w:rsidR="00F344AC" w:rsidRPr="002B3438" w:rsidRDefault="006A3BEE" w:rsidP="00F344AC">
      <w:pPr>
        <w:autoSpaceDE w:val="0"/>
        <w:autoSpaceDN w:val="0"/>
        <w:adjustRightInd w:val="0"/>
        <w:rPr>
          <w:rFonts w:eastAsia="Calibri"/>
          <w:sz w:val="22"/>
          <w:szCs w:val="22"/>
        </w:rPr>
      </w:pPr>
      <w:r>
        <w:rPr>
          <w:rFonts w:eastAsia="Calibri"/>
          <w:sz w:val="22"/>
          <w:szCs w:val="22"/>
        </w:rPr>
        <w:t xml:space="preserve">  </w:t>
      </w:r>
      <w:r w:rsidR="00F344AC" w:rsidRPr="002B3438">
        <w:rPr>
          <w:rFonts w:eastAsia="Calibri"/>
          <w:sz w:val="22"/>
          <w:szCs w:val="22"/>
        </w:rPr>
        <w:t xml:space="preserve">fracture toughness of the human femur and tibia. Bone </w:t>
      </w:r>
      <w:r w:rsidR="00F344AC" w:rsidRPr="002B3438">
        <w:rPr>
          <w:rFonts w:eastAsia="Calibri"/>
          <w:bCs/>
          <w:sz w:val="22"/>
          <w:szCs w:val="22"/>
        </w:rPr>
        <w:t>22</w:t>
      </w:r>
      <w:r w:rsidR="00F344AC" w:rsidRPr="002B3438">
        <w:rPr>
          <w:rFonts w:eastAsia="Calibri"/>
          <w:b/>
          <w:bCs/>
          <w:sz w:val="22"/>
          <w:szCs w:val="22"/>
        </w:rPr>
        <w:t>:</w:t>
      </w:r>
      <w:r w:rsidR="00F344AC" w:rsidRPr="002B3438">
        <w:rPr>
          <w:rFonts w:eastAsia="Calibri"/>
          <w:sz w:val="22"/>
          <w:szCs w:val="22"/>
        </w:rPr>
        <w:t>79–84.</w:t>
      </w:r>
    </w:p>
    <w:p w14:paraId="3866BB95" w14:textId="77777777" w:rsidR="00F344AC" w:rsidRPr="002B3438" w:rsidRDefault="00F344AC" w:rsidP="00F344AC">
      <w:pPr>
        <w:autoSpaceDE w:val="0"/>
        <w:autoSpaceDN w:val="0"/>
        <w:adjustRightInd w:val="0"/>
        <w:rPr>
          <w:sz w:val="22"/>
          <w:szCs w:val="22"/>
        </w:rPr>
      </w:pPr>
    </w:p>
    <w:p w14:paraId="58372702" w14:textId="77777777" w:rsidR="005E40E9" w:rsidRPr="002B3438" w:rsidRDefault="005E40E9" w:rsidP="00CE5BCD">
      <w:pPr>
        <w:autoSpaceDE w:val="0"/>
        <w:autoSpaceDN w:val="0"/>
        <w:adjustRightInd w:val="0"/>
        <w:rPr>
          <w:sz w:val="22"/>
          <w:szCs w:val="22"/>
        </w:rPr>
      </w:pPr>
      <w:r w:rsidRPr="002B3438">
        <w:rPr>
          <w:sz w:val="22"/>
          <w:szCs w:val="22"/>
        </w:rPr>
        <w:t xml:space="preserve">Yeni YN, Norman TL. 2000. Fracture toughness of human femoral neck: effect of </w:t>
      </w:r>
    </w:p>
    <w:p w14:paraId="56E0566F" w14:textId="77777777" w:rsidR="00351BB9" w:rsidRPr="002B3438" w:rsidRDefault="006A3BEE" w:rsidP="00F344AC">
      <w:pPr>
        <w:autoSpaceDE w:val="0"/>
        <w:autoSpaceDN w:val="0"/>
        <w:adjustRightInd w:val="0"/>
        <w:rPr>
          <w:sz w:val="22"/>
          <w:szCs w:val="22"/>
        </w:rPr>
      </w:pPr>
      <w:r>
        <w:rPr>
          <w:sz w:val="22"/>
          <w:szCs w:val="22"/>
        </w:rPr>
        <w:t xml:space="preserve">  </w:t>
      </w:r>
      <w:r w:rsidR="005E40E9" w:rsidRPr="002B3438">
        <w:rPr>
          <w:sz w:val="22"/>
          <w:szCs w:val="22"/>
        </w:rPr>
        <w:t>microstructure, composition, and age. Bone 26:499-504.</w:t>
      </w:r>
    </w:p>
    <w:p w14:paraId="7760D0F0" w14:textId="77777777" w:rsidR="005E40E9" w:rsidRPr="002B3438" w:rsidRDefault="005E40E9" w:rsidP="005E40E9">
      <w:pPr>
        <w:autoSpaceDE w:val="0"/>
        <w:autoSpaceDN w:val="0"/>
        <w:adjustRightInd w:val="0"/>
        <w:ind w:firstLine="720"/>
        <w:rPr>
          <w:sz w:val="22"/>
          <w:szCs w:val="22"/>
        </w:rPr>
      </w:pPr>
    </w:p>
    <w:p w14:paraId="583C879D" w14:textId="77777777" w:rsidR="00351BB9" w:rsidRPr="002B3438" w:rsidRDefault="00351BB9" w:rsidP="00CE5BCD">
      <w:pPr>
        <w:autoSpaceDE w:val="0"/>
        <w:autoSpaceDN w:val="0"/>
        <w:adjustRightInd w:val="0"/>
        <w:rPr>
          <w:sz w:val="22"/>
          <w:szCs w:val="22"/>
        </w:rPr>
      </w:pPr>
      <w:r w:rsidRPr="002B3438">
        <w:rPr>
          <w:sz w:val="22"/>
          <w:szCs w:val="22"/>
        </w:rPr>
        <w:t>Yoganandan N, Pintar FA. 1998. Biomechanics of human thoracic ribs. J Biomech Eng 120:100–</w:t>
      </w:r>
    </w:p>
    <w:p w14:paraId="252B78C4" w14:textId="77777777" w:rsidR="006F36B3" w:rsidRPr="002B3438" w:rsidRDefault="006A3BEE" w:rsidP="00351BB9">
      <w:pPr>
        <w:autoSpaceDE w:val="0"/>
        <w:autoSpaceDN w:val="0"/>
        <w:adjustRightInd w:val="0"/>
        <w:rPr>
          <w:sz w:val="22"/>
          <w:szCs w:val="22"/>
        </w:rPr>
      </w:pPr>
      <w:r>
        <w:rPr>
          <w:sz w:val="22"/>
          <w:szCs w:val="22"/>
        </w:rPr>
        <w:lastRenderedPageBreak/>
        <w:t xml:space="preserve">  </w:t>
      </w:r>
      <w:r w:rsidR="00351BB9" w:rsidRPr="002B3438">
        <w:rPr>
          <w:sz w:val="22"/>
          <w:szCs w:val="22"/>
        </w:rPr>
        <w:t>104.</w:t>
      </w:r>
    </w:p>
    <w:p w14:paraId="0FC4ABCE" w14:textId="77777777" w:rsidR="00167FB1" w:rsidRPr="002B3438" w:rsidRDefault="00167FB1" w:rsidP="00167FB1">
      <w:pPr>
        <w:autoSpaceDE w:val="0"/>
        <w:autoSpaceDN w:val="0"/>
        <w:adjustRightInd w:val="0"/>
        <w:rPr>
          <w:sz w:val="22"/>
          <w:szCs w:val="22"/>
        </w:rPr>
      </w:pPr>
    </w:p>
    <w:p w14:paraId="06FFC4F2" w14:textId="77777777" w:rsidR="00167FB1" w:rsidRPr="002B3438" w:rsidRDefault="00167FB1" w:rsidP="00167FB1">
      <w:pPr>
        <w:autoSpaceDE w:val="0"/>
        <w:autoSpaceDN w:val="0"/>
        <w:adjustRightInd w:val="0"/>
        <w:rPr>
          <w:rFonts w:eastAsia="Calibri"/>
          <w:sz w:val="22"/>
          <w:szCs w:val="22"/>
        </w:rPr>
      </w:pPr>
      <w:r w:rsidRPr="002B3438">
        <w:rPr>
          <w:rFonts w:eastAsia="Calibri"/>
          <w:sz w:val="22"/>
          <w:szCs w:val="22"/>
        </w:rPr>
        <w:t xml:space="preserve">Young N, Formica C, Szmukler G, Seeman E. 1994. Bone density at weight-bearing and non </w:t>
      </w:r>
    </w:p>
    <w:p w14:paraId="1D3339DA" w14:textId="77777777" w:rsidR="00167FB1" w:rsidRPr="002B3438" w:rsidRDefault="00167FB1" w:rsidP="00167FB1">
      <w:pPr>
        <w:autoSpaceDE w:val="0"/>
        <w:autoSpaceDN w:val="0"/>
        <w:adjustRightInd w:val="0"/>
        <w:ind w:left="375"/>
        <w:rPr>
          <w:rFonts w:eastAsia="Calibri"/>
          <w:sz w:val="22"/>
          <w:szCs w:val="22"/>
        </w:rPr>
      </w:pPr>
      <w:r w:rsidRPr="002B3438">
        <w:rPr>
          <w:rFonts w:eastAsia="Calibri"/>
          <w:sz w:val="22"/>
          <w:szCs w:val="22"/>
        </w:rPr>
        <w:t>weightbearing sites in ballet dancers: the effects of exercise, hypogonadism, and body weight. J Clin Endocrinol Metab 78:449-454</w:t>
      </w:r>
      <w:r w:rsidR="002B3438" w:rsidRPr="002B3438">
        <w:rPr>
          <w:rFonts w:eastAsia="Calibri"/>
          <w:sz w:val="22"/>
          <w:szCs w:val="22"/>
        </w:rPr>
        <w:t>.</w:t>
      </w:r>
    </w:p>
    <w:p w14:paraId="513F340A" w14:textId="77777777" w:rsidR="0060407E" w:rsidRPr="002B3438" w:rsidRDefault="0060407E" w:rsidP="00351BB9">
      <w:pPr>
        <w:autoSpaceDE w:val="0"/>
        <w:autoSpaceDN w:val="0"/>
        <w:adjustRightInd w:val="0"/>
        <w:rPr>
          <w:sz w:val="22"/>
          <w:szCs w:val="22"/>
        </w:rPr>
      </w:pPr>
    </w:p>
    <w:p w14:paraId="00BC474B" w14:textId="77777777" w:rsidR="00CB0C91" w:rsidRPr="002B3438" w:rsidRDefault="006F36B3" w:rsidP="00351BB9">
      <w:pPr>
        <w:autoSpaceDE w:val="0"/>
        <w:autoSpaceDN w:val="0"/>
        <w:adjustRightInd w:val="0"/>
        <w:rPr>
          <w:sz w:val="22"/>
          <w:szCs w:val="22"/>
        </w:rPr>
      </w:pPr>
      <w:r w:rsidRPr="002B3438">
        <w:rPr>
          <w:sz w:val="22"/>
          <w:szCs w:val="22"/>
        </w:rPr>
        <w:t xml:space="preserve">Zebaze R, Ghasem-Zadeh A, Mbala A, Seeman E. 2013. </w:t>
      </w:r>
      <w:r w:rsidR="00CB0C91" w:rsidRPr="002B3438">
        <w:rPr>
          <w:sz w:val="22"/>
          <w:szCs w:val="22"/>
        </w:rPr>
        <w:t xml:space="preserve">A new method of segmentation of </w:t>
      </w:r>
    </w:p>
    <w:p w14:paraId="5207ABB0" w14:textId="77777777" w:rsidR="00D31096" w:rsidRPr="002B3438" w:rsidRDefault="00CB0C91" w:rsidP="00CB0C91">
      <w:pPr>
        <w:autoSpaceDE w:val="0"/>
        <w:autoSpaceDN w:val="0"/>
        <w:adjustRightInd w:val="0"/>
        <w:ind w:left="375"/>
        <w:rPr>
          <w:sz w:val="22"/>
          <w:szCs w:val="22"/>
        </w:rPr>
      </w:pPr>
      <w:r w:rsidRPr="002B3438">
        <w:rPr>
          <w:sz w:val="22"/>
          <w:szCs w:val="22"/>
        </w:rPr>
        <w:t>compact-appearing, transitional and trabecular compartments and quantification of cortical porosity from high resolution peripheral quantitative computed topographic images. Bone 54:8-20.</w:t>
      </w:r>
    </w:p>
    <w:p w14:paraId="0B52558F" w14:textId="77777777" w:rsidR="00D31096" w:rsidRPr="002B3438" w:rsidRDefault="00D31096" w:rsidP="00D31096">
      <w:pPr>
        <w:autoSpaceDE w:val="0"/>
        <w:autoSpaceDN w:val="0"/>
        <w:adjustRightInd w:val="0"/>
        <w:rPr>
          <w:sz w:val="22"/>
          <w:szCs w:val="22"/>
        </w:rPr>
      </w:pPr>
    </w:p>
    <w:p w14:paraId="70A90CFD" w14:textId="77777777" w:rsidR="002D30BE" w:rsidRPr="002B3438" w:rsidRDefault="002D30BE" w:rsidP="002D30BE">
      <w:pPr>
        <w:pStyle w:val="ListParagraph"/>
        <w:autoSpaceDE w:val="0"/>
        <w:autoSpaceDN w:val="0"/>
        <w:adjustRightInd w:val="0"/>
        <w:ind w:left="0"/>
        <w:jc w:val="both"/>
        <w:rPr>
          <w:i/>
          <w:sz w:val="22"/>
          <w:szCs w:val="22"/>
          <w:lang w:val="lt-LT" w:eastAsia="lt-LT"/>
        </w:rPr>
      </w:pPr>
      <w:r w:rsidRPr="002B3438">
        <w:rPr>
          <w:sz w:val="22"/>
          <w:szCs w:val="22"/>
          <w:lang w:val="lt-LT" w:eastAsia="lt-LT"/>
        </w:rPr>
        <w:t>Žepkaitė R. 2001. Prisiminkime Alytaus praeitį. In Jakuns</w:t>
      </w:r>
      <w:r w:rsidR="00F50D1A" w:rsidRPr="002B3438">
        <w:rPr>
          <w:sz w:val="22"/>
          <w:szCs w:val="22"/>
          <w:lang w:val="lt-LT" w:eastAsia="lt-LT"/>
        </w:rPr>
        <w:t>kienė, A</w:t>
      </w:r>
      <w:r w:rsidRPr="002B3438">
        <w:rPr>
          <w:sz w:val="22"/>
          <w:szCs w:val="22"/>
          <w:lang w:val="lt-LT" w:eastAsia="lt-LT"/>
        </w:rPr>
        <w:t xml:space="preserve">, editor. </w:t>
      </w:r>
      <w:r w:rsidRPr="002B3438">
        <w:rPr>
          <w:i/>
          <w:sz w:val="22"/>
          <w:szCs w:val="22"/>
          <w:lang w:val="lt-LT" w:eastAsia="lt-LT"/>
        </w:rPr>
        <w:t xml:space="preserve">Alytaus miesto </w:t>
      </w:r>
    </w:p>
    <w:p w14:paraId="20642F09" w14:textId="77777777" w:rsidR="002D30BE" w:rsidRPr="002B3438" w:rsidRDefault="006A3BEE" w:rsidP="002D30BE">
      <w:pPr>
        <w:pStyle w:val="ListParagraph"/>
        <w:autoSpaceDE w:val="0"/>
        <w:autoSpaceDN w:val="0"/>
        <w:adjustRightInd w:val="0"/>
        <w:ind w:left="0"/>
        <w:jc w:val="both"/>
        <w:rPr>
          <w:sz w:val="22"/>
          <w:szCs w:val="22"/>
          <w:lang w:val="lt-LT" w:eastAsia="lt-LT"/>
        </w:rPr>
      </w:pPr>
      <w:r>
        <w:rPr>
          <w:i/>
          <w:sz w:val="22"/>
          <w:szCs w:val="22"/>
          <w:lang w:val="lt-LT" w:eastAsia="lt-LT"/>
        </w:rPr>
        <w:t xml:space="preserve">  </w:t>
      </w:r>
      <w:r w:rsidR="002D30BE" w:rsidRPr="002B3438">
        <w:rPr>
          <w:i/>
          <w:sz w:val="22"/>
          <w:szCs w:val="22"/>
          <w:lang w:val="lt-LT" w:eastAsia="lt-LT"/>
        </w:rPr>
        <w:t>istorijos fragmentai</w:t>
      </w:r>
      <w:r w:rsidR="002D30BE" w:rsidRPr="002B3438">
        <w:rPr>
          <w:sz w:val="22"/>
          <w:szCs w:val="22"/>
          <w:lang w:val="lt-LT" w:eastAsia="lt-LT"/>
        </w:rPr>
        <w:t>. Alytaus Kraštotyros muziejus, Alytus</w:t>
      </w:r>
      <w:r w:rsidR="002B3438" w:rsidRPr="002B3438">
        <w:rPr>
          <w:sz w:val="22"/>
          <w:szCs w:val="22"/>
          <w:lang w:val="lt-LT" w:eastAsia="lt-LT"/>
        </w:rPr>
        <w:t>.</w:t>
      </w:r>
    </w:p>
    <w:p w14:paraId="3E6D401D" w14:textId="77777777" w:rsidR="002D30BE" w:rsidRPr="002B3438" w:rsidRDefault="002D30BE" w:rsidP="00D31096">
      <w:pPr>
        <w:autoSpaceDE w:val="0"/>
        <w:autoSpaceDN w:val="0"/>
        <w:adjustRightInd w:val="0"/>
        <w:rPr>
          <w:sz w:val="22"/>
          <w:szCs w:val="22"/>
        </w:rPr>
      </w:pPr>
    </w:p>
    <w:p w14:paraId="00417C32" w14:textId="77777777" w:rsidR="00CC260D" w:rsidRPr="002B3438" w:rsidRDefault="00D31096" w:rsidP="00CC260D">
      <w:pPr>
        <w:autoSpaceDE w:val="0"/>
        <w:autoSpaceDN w:val="0"/>
        <w:adjustRightInd w:val="0"/>
        <w:rPr>
          <w:sz w:val="22"/>
          <w:szCs w:val="22"/>
        </w:rPr>
      </w:pPr>
      <w:r w:rsidRPr="002B3438">
        <w:rPr>
          <w:sz w:val="22"/>
          <w:szCs w:val="22"/>
        </w:rPr>
        <w:t>Zink AR, Panzer S, Fesq-Martin M, Burger-Heinrich E, Wahl J, and Nerlich AG. 2005.</w:t>
      </w:r>
      <w:r w:rsidR="00CC260D" w:rsidRPr="002B3438">
        <w:rPr>
          <w:sz w:val="22"/>
          <w:szCs w:val="22"/>
        </w:rPr>
        <w:t xml:space="preserve"> Evidence</w:t>
      </w:r>
    </w:p>
    <w:p w14:paraId="6B462D9A" w14:textId="77777777" w:rsidR="00CC260D" w:rsidRPr="002B3438" w:rsidRDefault="006A3BEE" w:rsidP="00CC260D">
      <w:pPr>
        <w:autoSpaceDE w:val="0"/>
        <w:autoSpaceDN w:val="0"/>
        <w:adjustRightInd w:val="0"/>
        <w:rPr>
          <w:sz w:val="22"/>
          <w:szCs w:val="22"/>
        </w:rPr>
      </w:pPr>
      <w:r>
        <w:rPr>
          <w:sz w:val="22"/>
          <w:szCs w:val="22"/>
        </w:rPr>
        <w:t xml:space="preserve">  </w:t>
      </w:r>
      <w:r w:rsidR="00D31096" w:rsidRPr="002B3438">
        <w:rPr>
          <w:sz w:val="22"/>
          <w:szCs w:val="22"/>
        </w:rPr>
        <w:t xml:space="preserve">for </w:t>
      </w:r>
      <w:r w:rsidR="00CC260D" w:rsidRPr="002B3438">
        <w:rPr>
          <w:sz w:val="22"/>
          <w:szCs w:val="22"/>
        </w:rPr>
        <w:t xml:space="preserve">a 7000-year-old case of primary hyperparathyroidism. JAMA </w:t>
      </w:r>
      <w:r w:rsidR="00D31096" w:rsidRPr="002B3438">
        <w:rPr>
          <w:sz w:val="22"/>
          <w:szCs w:val="22"/>
        </w:rPr>
        <w:t>293:40-42</w:t>
      </w:r>
      <w:r w:rsidR="00CC260D" w:rsidRPr="002B3438">
        <w:rPr>
          <w:sz w:val="22"/>
          <w:szCs w:val="22"/>
        </w:rPr>
        <w:t>.</w:t>
      </w:r>
    </w:p>
    <w:p w14:paraId="2539A98D" w14:textId="56DE8C15" w:rsidR="003D63DF" w:rsidRPr="00B61308" w:rsidRDefault="003D63DF" w:rsidP="00F25FA6">
      <w:pPr>
        <w:autoSpaceDE w:val="0"/>
        <w:autoSpaceDN w:val="0"/>
        <w:adjustRightInd w:val="0"/>
      </w:pPr>
      <w:bookmarkStart w:id="89" w:name="_GoBack"/>
      <w:bookmarkEnd w:id="89"/>
    </w:p>
    <w:sectPr w:rsidR="003D63DF" w:rsidRPr="00B61308" w:rsidSect="00437FA5">
      <w:pgSz w:w="12240" w:h="15840" w:code="1"/>
      <w:pgMar w:top="1440" w:right="1440" w:bottom="1872"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04C66" w14:textId="77777777" w:rsidR="002C3E2C" w:rsidRDefault="002C3E2C">
      <w:r>
        <w:separator/>
      </w:r>
    </w:p>
    <w:p w14:paraId="749FC842" w14:textId="77777777" w:rsidR="002C3E2C" w:rsidRDefault="002C3E2C"/>
  </w:endnote>
  <w:endnote w:type="continuationSeparator" w:id="0">
    <w:p w14:paraId="156D3416" w14:textId="77777777" w:rsidR="002C3E2C" w:rsidRDefault="002C3E2C">
      <w:r>
        <w:continuationSeparator/>
      </w:r>
    </w:p>
    <w:p w14:paraId="1973E74B" w14:textId="77777777" w:rsidR="002C3E2C" w:rsidRDefault="002C3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inionProItalic">
    <w:altName w:val="Times New Roman"/>
    <w:charset w:val="00"/>
    <w:family w:val="auto"/>
    <w:pitch w:val="default"/>
  </w:font>
  <w:font w:name="Tahoma">
    <w:panose1 w:val="020B0604030504040204"/>
    <w:charset w:val="00"/>
    <w:family w:val="auto"/>
    <w:pitch w:val="variable"/>
    <w:sig w:usb0="00000003" w:usb1="00000000" w:usb2="00000000" w:usb3="00000000" w:csb0="00000001" w:csb1="00000000"/>
  </w:font>
  <w:font w:name="Code">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NewCenturySchlbk-Roman">
    <w:altName w:val="Arial Unicode MS"/>
    <w:panose1 w:val="00000000000000000000"/>
    <w:charset w:val="88"/>
    <w:family w:val="auto"/>
    <w:notTrueType/>
    <w:pitch w:val="default"/>
    <w:sig w:usb0="00000003" w:usb1="080F0000" w:usb2="00000010" w:usb3="00000000" w:csb0="00120001" w:csb1="00000000"/>
  </w:font>
  <w:font w:name="AdvP66FA">
    <w:altName w:val="Cambria"/>
    <w:panose1 w:val="00000000000000000000"/>
    <w:charset w:val="00"/>
    <w:family w:val="auto"/>
    <w:notTrueType/>
    <w:pitch w:val="default"/>
    <w:sig w:usb0="00000003" w:usb1="00000000" w:usb2="00000000" w:usb3="00000000" w:csb0="00000001" w:csb1="00000000"/>
  </w:font>
  <w:font w:name="AdvTT5235d5a9">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UB-Times">
    <w:altName w:val="ＭＳ 明朝"/>
    <w:panose1 w:val="00000000000000000000"/>
    <w:charset w:val="80"/>
    <w:family w:val="auto"/>
    <w:notTrueType/>
    <w:pitch w:val="default"/>
    <w:sig w:usb0="00000000" w:usb1="08070000" w:usb2="00000010" w:usb3="00000000" w:csb0="00020000" w:csb1="00000000"/>
  </w:font>
  <w:font w:name="JansonText-Roman">
    <w:altName w:val="ＭＳ 明朝"/>
    <w:panose1 w:val="00000000000000000000"/>
    <w:charset w:val="80"/>
    <w:family w:val="auto"/>
    <w:notTrueType/>
    <w:pitch w:val="default"/>
    <w:sig w:usb0="00000001" w:usb1="08070000" w:usb2="00000010" w:usb3="00000000" w:csb0="00020000" w:csb1="00000000"/>
  </w:font>
  <w:font w:name="AdvTimes">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006D8" w14:textId="77777777" w:rsidR="00241365" w:rsidRPr="0094378F" w:rsidRDefault="00241365">
    <w:pPr>
      <w:framePr w:wrap="notBeside" w:hAnchor="text" w:xAlign="center"/>
      <w:rPr>
        <w:noProof/>
      </w:rPr>
    </w:pPr>
    <w:r w:rsidRPr="0094378F">
      <w:rPr>
        <w:noProof/>
      </w:rPr>
      <w:fldChar w:fldCharType="begin"/>
    </w:r>
    <w:r w:rsidRPr="0094378F">
      <w:rPr>
        <w:noProof/>
      </w:rPr>
      <w:instrText xml:space="preserve"> PAGE  </w:instrText>
    </w:r>
    <w:r w:rsidRPr="0094378F">
      <w:rPr>
        <w:noProof/>
      </w:rPr>
      <w:fldChar w:fldCharType="separate"/>
    </w:r>
    <w:r w:rsidR="00F25FA6">
      <w:rPr>
        <w:noProof/>
      </w:rPr>
      <w:t>1</w:t>
    </w:r>
    <w:r w:rsidRPr="0094378F">
      <w:rPr>
        <w:noProof/>
      </w:rPr>
      <w:fldChar w:fldCharType="end"/>
    </w:r>
  </w:p>
  <w:p w14:paraId="1BC35155" w14:textId="77777777" w:rsidR="00241365" w:rsidRDefault="0024136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CEEDB" w14:textId="77777777" w:rsidR="002C3E2C" w:rsidRDefault="002C3E2C">
      <w:r>
        <w:separator/>
      </w:r>
    </w:p>
    <w:p w14:paraId="5E9422E5" w14:textId="77777777" w:rsidR="002C3E2C" w:rsidRDefault="002C3E2C"/>
  </w:footnote>
  <w:footnote w:type="continuationSeparator" w:id="0">
    <w:p w14:paraId="7B6559C5" w14:textId="77777777" w:rsidR="002C3E2C" w:rsidRDefault="002C3E2C">
      <w:r>
        <w:continuationSeparator/>
      </w:r>
    </w:p>
    <w:p w14:paraId="7A31D6B8" w14:textId="77777777" w:rsidR="002C3E2C" w:rsidRDefault="002C3E2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0D684" w14:textId="77777777" w:rsidR="00241365" w:rsidRDefault="00241365">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1337C" w14:textId="77777777" w:rsidR="00241365" w:rsidRDefault="00241365">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24AE0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81701C"/>
    <w:multiLevelType w:val="multilevel"/>
    <w:tmpl w:val="58AE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C06388"/>
    <w:multiLevelType w:val="hybridMultilevel"/>
    <w:tmpl w:val="96DE3216"/>
    <w:lvl w:ilvl="0" w:tplc="EE26C6BC">
      <w:start w:val="200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792EEA"/>
    <w:multiLevelType w:val="multilevel"/>
    <w:tmpl w:val="01AED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4D7676"/>
    <w:multiLevelType w:val="hybridMultilevel"/>
    <w:tmpl w:val="232CD194"/>
    <w:lvl w:ilvl="0" w:tplc="C436E54A">
      <w:start w:val="1"/>
      <w:numFmt w:val="lowerRoman"/>
      <w:lvlText w:val="(%1)"/>
      <w:lvlJc w:val="left"/>
      <w:pPr>
        <w:ind w:left="2018" w:hanging="720"/>
      </w:pPr>
      <w:rPr>
        <w:rFonts w:cs="Times New Roman" w:hint="default"/>
        <w:vertAlign w:val="baseline"/>
      </w:rPr>
    </w:lvl>
    <w:lvl w:ilvl="1" w:tplc="04270019" w:tentative="1">
      <w:start w:val="1"/>
      <w:numFmt w:val="lowerLetter"/>
      <w:lvlText w:val="%2."/>
      <w:lvlJc w:val="left"/>
      <w:pPr>
        <w:ind w:left="2378" w:hanging="360"/>
      </w:pPr>
      <w:rPr>
        <w:rFonts w:cs="Times New Roman"/>
      </w:rPr>
    </w:lvl>
    <w:lvl w:ilvl="2" w:tplc="0427001B" w:tentative="1">
      <w:start w:val="1"/>
      <w:numFmt w:val="lowerRoman"/>
      <w:lvlText w:val="%3."/>
      <w:lvlJc w:val="right"/>
      <w:pPr>
        <w:ind w:left="3098" w:hanging="180"/>
      </w:pPr>
      <w:rPr>
        <w:rFonts w:cs="Times New Roman"/>
      </w:rPr>
    </w:lvl>
    <w:lvl w:ilvl="3" w:tplc="0427000F" w:tentative="1">
      <w:start w:val="1"/>
      <w:numFmt w:val="decimal"/>
      <w:lvlText w:val="%4."/>
      <w:lvlJc w:val="left"/>
      <w:pPr>
        <w:ind w:left="3818" w:hanging="360"/>
      </w:pPr>
      <w:rPr>
        <w:rFonts w:cs="Times New Roman"/>
      </w:rPr>
    </w:lvl>
    <w:lvl w:ilvl="4" w:tplc="04270019" w:tentative="1">
      <w:start w:val="1"/>
      <w:numFmt w:val="lowerLetter"/>
      <w:lvlText w:val="%5."/>
      <w:lvlJc w:val="left"/>
      <w:pPr>
        <w:ind w:left="4538" w:hanging="360"/>
      </w:pPr>
      <w:rPr>
        <w:rFonts w:cs="Times New Roman"/>
      </w:rPr>
    </w:lvl>
    <w:lvl w:ilvl="5" w:tplc="0427001B" w:tentative="1">
      <w:start w:val="1"/>
      <w:numFmt w:val="lowerRoman"/>
      <w:lvlText w:val="%6."/>
      <w:lvlJc w:val="right"/>
      <w:pPr>
        <w:ind w:left="5258" w:hanging="180"/>
      </w:pPr>
      <w:rPr>
        <w:rFonts w:cs="Times New Roman"/>
      </w:rPr>
    </w:lvl>
    <w:lvl w:ilvl="6" w:tplc="0427000F" w:tentative="1">
      <w:start w:val="1"/>
      <w:numFmt w:val="decimal"/>
      <w:lvlText w:val="%7."/>
      <w:lvlJc w:val="left"/>
      <w:pPr>
        <w:ind w:left="5978" w:hanging="360"/>
      </w:pPr>
      <w:rPr>
        <w:rFonts w:cs="Times New Roman"/>
      </w:rPr>
    </w:lvl>
    <w:lvl w:ilvl="7" w:tplc="04270019" w:tentative="1">
      <w:start w:val="1"/>
      <w:numFmt w:val="lowerLetter"/>
      <w:lvlText w:val="%8."/>
      <w:lvlJc w:val="left"/>
      <w:pPr>
        <w:ind w:left="6698" w:hanging="360"/>
      </w:pPr>
      <w:rPr>
        <w:rFonts w:cs="Times New Roman"/>
      </w:rPr>
    </w:lvl>
    <w:lvl w:ilvl="8" w:tplc="0427001B" w:tentative="1">
      <w:start w:val="1"/>
      <w:numFmt w:val="lowerRoman"/>
      <w:lvlText w:val="%9."/>
      <w:lvlJc w:val="right"/>
      <w:pPr>
        <w:ind w:left="7418" w:hanging="180"/>
      </w:pPr>
      <w:rPr>
        <w:rFonts w:cs="Times New Roman"/>
      </w:rPr>
    </w:lvl>
  </w:abstractNum>
  <w:abstractNum w:abstractNumId="6">
    <w:nsid w:val="03C07A6F"/>
    <w:multiLevelType w:val="hybridMultilevel"/>
    <w:tmpl w:val="1C58E64C"/>
    <w:lvl w:ilvl="0" w:tplc="591E6878">
      <w:start w:val="1"/>
      <w:numFmt w:val="low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nsid w:val="0A0A577B"/>
    <w:multiLevelType w:val="multilevel"/>
    <w:tmpl w:val="AB3E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846667"/>
    <w:multiLevelType w:val="hybridMultilevel"/>
    <w:tmpl w:val="C0BC5EE6"/>
    <w:lvl w:ilvl="0" w:tplc="0AE8E070">
      <w:start w:val="1"/>
      <w:numFmt w:val="decimal"/>
      <w:lvlText w:val="%1."/>
      <w:lvlJc w:val="left"/>
      <w:pPr>
        <w:tabs>
          <w:tab w:val="num" w:pos="720"/>
        </w:tabs>
        <w:ind w:left="72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2CC3559"/>
    <w:multiLevelType w:val="hybridMultilevel"/>
    <w:tmpl w:val="03F40494"/>
    <w:lvl w:ilvl="0" w:tplc="EEA4BB68">
      <w:start w:val="2009"/>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nsid w:val="249B762E"/>
    <w:multiLevelType w:val="hybridMultilevel"/>
    <w:tmpl w:val="300EF1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BB1D66"/>
    <w:multiLevelType w:val="multilevel"/>
    <w:tmpl w:val="226A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36AB1"/>
    <w:multiLevelType w:val="multilevel"/>
    <w:tmpl w:val="8E98E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392FEE"/>
    <w:multiLevelType w:val="multilevel"/>
    <w:tmpl w:val="F282E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6D13AE"/>
    <w:multiLevelType w:val="hybridMultilevel"/>
    <w:tmpl w:val="76147236"/>
    <w:lvl w:ilvl="0" w:tplc="FD16EC48">
      <w:start w:val="1"/>
      <w:numFmt w:val="lowerLetter"/>
      <w:lvlText w:val="1%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64F49"/>
    <w:multiLevelType w:val="multilevel"/>
    <w:tmpl w:val="D3C24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A94CCB"/>
    <w:multiLevelType w:val="multilevel"/>
    <w:tmpl w:val="B82C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200FF8"/>
    <w:multiLevelType w:val="multilevel"/>
    <w:tmpl w:val="C26E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1A0348"/>
    <w:multiLevelType w:val="hybridMultilevel"/>
    <w:tmpl w:val="D770A0A6"/>
    <w:lvl w:ilvl="0" w:tplc="03F882D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639C9"/>
    <w:multiLevelType w:val="hybridMultilevel"/>
    <w:tmpl w:val="AE56C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E84BEA"/>
    <w:multiLevelType w:val="hybridMultilevel"/>
    <w:tmpl w:val="B12A0EAC"/>
    <w:lvl w:ilvl="0" w:tplc="4A4A52C2">
      <w:start w:val="1"/>
      <w:numFmt w:val="lowerLetter"/>
      <w:lvlText w:val="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B6402B"/>
    <w:multiLevelType w:val="hybridMultilevel"/>
    <w:tmpl w:val="05DC3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333C89"/>
    <w:multiLevelType w:val="multilevel"/>
    <w:tmpl w:val="4DAE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0812C9"/>
    <w:multiLevelType w:val="multilevel"/>
    <w:tmpl w:val="9368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4330F"/>
    <w:multiLevelType w:val="multilevel"/>
    <w:tmpl w:val="0CF4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79652F"/>
    <w:multiLevelType w:val="hybridMultilevel"/>
    <w:tmpl w:val="35EAB568"/>
    <w:lvl w:ilvl="0" w:tplc="4A4A52C2">
      <w:start w:val="1"/>
      <w:numFmt w:val="lowerLetter"/>
      <w:lvlText w:val="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B50AD0"/>
    <w:multiLevelType w:val="multilevel"/>
    <w:tmpl w:val="E8CC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0D2D78"/>
    <w:multiLevelType w:val="multilevel"/>
    <w:tmpl w:val="4424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B6057C"/>
    <w:multiLevelType w:val="multilevel"/>
    <w:tmpl w:val="4A9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3D220C"/>
    <w:multiLevelType w:val="multilevel"/>
    <w:tmpl w:val="D6227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3C4131"/>
    <w:multiLevelType w:val="multilevel"/>
    <w:tmpl w:val="92FC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3D7A0A"/>
    <w:multiLevelType w:val="multilevel"/>
    <w:tmpl w:val="665C3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E925F5"/>
    <w:multiLevelType w:val="multilevel"/>
    <w:tmpl w:val="E616A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716F67"/>
    <w:multiLevelType w:val="multilevel"/>
    <w:tmpl w:val="0DC0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6139C3"/>
    <w:multiLevelType w:val="hybridMultilevel"/>
    <w:tmpl w:val="5184A98C"/>
    <w:lvl w:ilvl="0" w:tplc="FD16EC48">
      <w:start w:val="1"/>
      <w:numFmt w:val="lowerLetter"/>
      <w:lvlText w:val="1%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BA1679"/>
    <w:multiLevelType w:val="multilevel"/>
    <w:tmpl w:val="8B7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EA442E"/>
    <w:multiLevelType w:val="multilevel"/>
    <w:tmpl w:val="AF9E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067EDE"/>
    <w:multiLevelType w:val="multilevel"/>
    <w:tmpl w:val="A976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4"/>
  </w:num>
  <w:num w:numId="3">
    <w:abstractNumId w:val="25"/>
  </w:num>
  <w:num w:numId="4">
    <w:abstractNumId w:val="28"/>
  </w:num>
  <w:num w:numId="5">
    <w:abstractNumId w:val="8"/>
  </w:num>
  <w:num w:numId="6">
    <w:abstractNumId w:val="4"/>
  </w:num>
  <w:num w:numId="7">
    <w:abstractNumId w:val="0"/>
  </w:num>
  <w:num w:numId="8">
    <w:abstractNumId w:val="14"/>
  </w:num>
  <w:num w:numId="9">
    <w:abstractNumId w:val="20"/>
  </w:num>
  <w:num w:numId="10">
    <w:abstractNumId w:val="6"/>
  </w:num>
  <w:num w:numId="11">
    <w:abstractNumId w:val="5"/>
  </w:num>
  <w:num w:numId="12">
    <w:abstractNumId w:val="18"/>
  </w:num>
  <w:num w:numId="13">
    <w:abstractNumId w:val="29"/>
  </w:num>
  <w:num w:numId="14">
    <w:abstractNumId w:val="30"/>
  </w:num>
  <w:num w:numId="15">
    <w:abstractNumId w:val="13"/>
  </w:num>
  <w:num w:numId="16">
    <w:abstractNumId w:val="3"/>
  </w:num>
  <w:num w:numId="17">
    <w:abstractNumId w:val="9"/>
  </w:num>
  <w:num w:numId="18">
    <w:abstractNumId w:val="16"/>
  </w:num>
  <w:num w:numId="19">
    <w:abstractNumId w:val="24"/>
  </w:num>
  <w:num w:numId="20">
    <w:abstractNumId w:val="23"/>
  </w:num>
  <w:num w:numId="21">
    <w:abstractNumId w:val="2"/>
  </w:num>
  <w:num w:numId="22">
    <w:abstractNumId w:val="22"/>
  </w:num>
  <w:num w:numId="23">
    <w:abstractNumId w:val="26"/>
  </w:num>
  <w:num w:numId="24">
    <w:abstractNumId w:val="27"/>
  </w:num>
  <w:num w:numId="25">
    <w:abstractNumId w:val="33"/>
  </w:num>
  <w:num w:numId="26">
    <w:abstractNumId w:val="17"/>
  </w:num>
  <w:num w:numId="27">
    <w:abstractNumId w:val="11"/>
  </w:num>
  <w:num w:numId="28">
    <w:abstractNumId w:val="36"/>
  </w:num>
  <w:num w:numId="29">
    <w:abstractNumId w:val="31"/>
  </w:num>
  <w:num w:numId="30">
    <w:abstractNumId w:val="7"/>
  </w:num>
  <w:num w:numId="31">
    <w:abstractNumId w:val="32"/>
  </w:num>
  <w:num w:numId="32">
    <w:abstractNumId w:val="35"/>
  </w:num>
  <w:num w:numId="33">
    <w:abstractNumId w:val="37"/>
  </w:num>
  <w:num w:numId="34">
    <w:abstractNumId w:val="15"/>
  </w:num>
  <w:num w:numId="35">
    <w:abstractNumId w:val="12"/>
  </w:num>
  <w:num w:numId="36">
    <w:abstractNumId w:val="21"/>
  </w:num>
  <w:num w:numId="37">
    <w:abstractNumId w:val="19"/>
  </w:num>
  <w:num w:numId="3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290F"/>
    <w:rsid w:val="0000580B"/>
    <w:rsid w:val="0000652E"/>
    <w:rsid w:val="000075C8"/>
    <w:rsid w:val="00014A3E"/>
    <w:rsid w:val="000166A9"/>
    <w:rsid w:val="000178F5"/>
    <w:rsid w:val="0002257E"/>
    <w:rsid w:val="00022B7E"/>
    <w:rsid w:val="00025AC3"/>
    <w:rsid w:val="0004239A"/>
    <w:rsid w:val="00045BB6"/>
    <w:rsid w:val="000479B3"/>
    <w:rsid w:val="00053BF6"/>
    <w:rsid w:val="00054A3E"/>
    <w:rsid w:val="00057004"/>
    <w:rsid w:val="00057716"/>
    <w:rsid w:val="00057B71"/>
    <w:rsid w:val="00057DEB"/>
    <w:rsid w:val="0006305D"/>
    <w:rsid w:val="0006582C"/>
    <w:rsid w:val="00065BB5"/>
    <w:rsid w:val="00070298"/>
    <w:rsid w:val="00071FB8"/>
    <w:rsid w:val="00076A95"/>
    <w:rsid w:val="00095BFA"/>
    <w:rsid w:val="000A2FC1"/>
    <w:rsid w:val="000A3225"/>
    <w:rsid w:val="000A3782"/>
    <w:rsid w:val="000B228B"/>
    <w:rsid w:val="000B3CC2"/>
    <w:rsid w:val="000B5C42"/>
    <w:rsid w:val="000B7A35"/>
    <w:rsid w:val="000C51E1"/>
    <w:rsid w:val="000D36E0"/>
    <w:rsid w:val="000E0F94"/>
    <w:rsid w:val="000E141A"/>
    <w:rsid w:val="000E2F0F"/>
    <w:rsid w:val="000E3CEF"/>
    <w:rsid w:val="000F3EE7"/>
    <w:rsid w:val="000F4AF0"/>
    <w:rsid w:val="000F5253"/>
    <w:rsid w:val="000F621E"/>
    <w:rsid w:val="000F68E5"/>
    <w:rsid w:val="0010217F"/>
    <w:rsid w:val="00106AE9"/>
    <w:rsid w:val="001119A3"/>
    <w:rsid w:val="0012412D"/>
    <w:rsid w:val="00126BEC"/>
    <w:rsid w:val="00131506"/>
    <w:rsid w:val="001345DD"/>
    <w:rsid w:val="001442BB"/>
    <w:rsid w:val="001536A4"/>
    <w:rsid w:val="00160114"/>
    <w:rsid w:val="00166434"/>
    <w:rsid w:val="00167FB1"/>
    <w:rsid w:val="00184673"/>
    <w:rsid w:val="001854FB"/>
    <w:rsid w:val="00187D9F"/>
    <w:rsid w:val="001902DD"/>
    <w:rsid w:val="00192BED"/>
    <w:rsid w:val="00193642"/>
    <w:rsid w:val="001937A7"/>
    <w:rsid w:val="00194D5B"/>
    <w:rsid w:val="001969CC"/>
    <w:rsid w:val="00196BC1"/>
    <w:rsid w:val="001A3FD8"/>
    <w:rsid w:val="001B1034"/>
    <w:rsid w:val="001B27F1"/>
    <w:rsid w:val="001C39F6"/>
    <w:rsid w:val="001C587B"/>
    <w:rsid w:val="001C63C7"/>
    <w:rsid w:val="001C66FE"/>
    <w:rsid w:val="001D48B2"/>
    <w:rsid w:val="001D4908"/>
    <w:rsid w:val="001D6904"/>
    <w:rsid w:val="001D6BCE"/>
    <w:rsid w:val="001E1E06"/>
    <w:rsid w:val="001E2F8A"/>
    <w:rsid w:val="001E671B"/>
    <w:rsid w:val="001F522F"/>
    <w:rsid w:val="001F5B75"/>
    <w:rsid w:val="001F6F1F"/>
    <w:rsid w:val="001F7538"/>
    <w:rsid w:val="00202862"/>
    <w:rsid w:val="002139D5"/>
    <w:rsid w:val="00215C3F"/>
    <w:rsid w:val="002174D8"/>
    <w:rsid w:val="00221D8D"/>
    <w:rsid w:val="00230122"/>
    <w:rsid w:val="00231581"/>
    <w:rsid w:val="00236E6D"/>
    <w:rsid w:val="00237273"/>
    <w:rsid w:val="00241365"/>
    <w:rsid w:val="002429E5"/>
    <w:rsid w:val="00244090"/>
    <w:rsid w:val="00245770"/>
    <w:rsid w:val="00246BC3"/>
    <w:rsid w:val="002609C1"/>
    <w:rsid w:val="00260FD2"/>
    <w:rsid w:val="00262018"/>
    <w:rsid w:val="00264090"/>
    <w:rsid w:val="0027768B"/>
    <w:rsid w:val="00280CEF"/>
    <w:rsid w:val="0028757A"/>
    <w:rsid w:val="002876BE"/>
    <w:rsid w:val="00291ACE"/>
    <w:rsid w:val="002A2A0F"/>
    <w:rsid w:val="002A4B41"/>
    <w:rsid w:val="002A4D61"/>
    <w:rsid w:val="002B3438"/>
    <w:rsid w:val="002C1035"/>
    <w:rsid w:val="002C3E2C"/>
    <w:rsid w:val="002C5F80"/>
    <w:rsid w:val="002D03DC"/>
    <w:rsid w:val="002D0BD7"/>
    <w:rsid w:val="002D30BE"/>
    <w:rsid w:val="002D6C9D"/>
    <w:rsid w:val="002E1390"/>
    <w:rsid w:val="002E2492"/>
    <w:rsid w:val="002F0E0A"/>
    <w:rsid w:val="002F0EEE"/>
    <w:rsid w:val="002F1B87"/>
    <w:rsid w:val="002F624D"/>
    <w:rsid w:val="002F6F74"/>
    <w:rsid w:val="00304BD0"/>
    <w:rsid w:val="00305E34"/>
    <w:rsid w:val="00307D77"/>
    <w:rsid w:val="00313E9E"/>
    <w:rsid w:val="003150D5"/>
    <w:rsid w:val="00317419"/>
    <w:rsid w:val="00317B3C"/>
    <w:rsid w:val="003206F1"/>
    <w:rsid w:val="00320F78"/>
    <w:rsid w:val="003229AC"/>
    <w:rsid w:val="0032557E"/>
    <w:rsid w:val="00343B29"/>
    <w:rsid w:val="00347803"/>
    <w:rsid w:val="00351BB9"/>
    <w:rsid w:val="00352891"/>
    <w:rsid w:val="00355AF5"/>
    <w:rsid w:val="00356928"/>
    <w:rsid w:val="0035768F"/>
    <w:rsid w:val="0036251E"/>
    <w:rsid w:val="00365FB4"/>
    <w:rsid w:val="00372CB3"/>
    <w:rsid w:val="00377FBC"/>
    <w:rsid w:val="0038177C"/>
    <w:rsid w:val="003836EB"/>
    <w:rsid w:val="00383E0C"/>
    <w:rsid w:val="00385A12"/>
    <w:rsid w:val="003862C3"/>
    <w:rsid w:val="003863A7"/>
    <w:rsid w:val="00387024"/>
    <w:rsid w:val="0039769F"/>
    <w:rsid w:val="00397C8B"/>
    <w:rsid w:val="003A19BC"/>
    <w:rsid w:val="003A3F6B"/>
    <w:rsid w:val="003A64C9"/>
    <w:rsid w:val="003A6FFC"/>
    <w:rsid w:val="003B2948"/>
    <w:rsid w:val="003B32D9"/>
    <w:rsid w:val="003B35F5"/>
    <w:rsid w:val="003B443C"/>
    <w:rsid w:val="003B4AD2"/>
    <w:rsid w:val="003C1575"/>
    <w:rsid w:val="003C4E3D"/>
    <w:rsid w:val="003C7C7B"/>
    <w:rsid w:val="003D07F7"/>
    <w:rsid w:val="003D5275"/>
    <w:rsid w:val="003D63DF"/>
    <w:rsid w:val="003D737F"/>
    <w:rsid w:val="003E7B8D"/>
    <w:rsid w:val="003F3501"/>
    <w:rsid w:val="003F3830"/>
    <w:rsid w:val="003F6EC3"/>
    <w:rsid w:val="003F7474"/>
    <w:rsid w:val="00402350"/>
    <w:rsid w:val="00404616"/>
    <w:rsid w:val="00404C9E"/>
    <w:rsid w:val="00407B6A"/>
    <w:rsid w:val="00414400"/>
    <w:rsid w:val="00421CD4"/>
    <w:rsid w:val="00422932"/>
    <w:rsid w:val="0042542E"/>
    <w:rsid w:val="00427833"/>
    <w:rsid w:val="00432265"/>
    <w:rsid w:val="00432880"/>
    <w:rsid w:val="004362F5"/>
    <w:rsid w:val="00437FA5"/>
    <w:rsid w:val="004415C7"/>
    <w:rsid w:val="0044196E"/>
    <w:rsid w:val="004469F2"/>
    <w:rsid w:val="00454CDE"/>
    <w:rsid w:val="0045547A"/>
    <w:rsid w:val="00456D88"/>
    <w:rsid w:val="00465B96"/>
    <w:rsid w:val="004709B9"/>
    <w:rsid w:val="00472909"/>
    <w:rsid w:val="00474210"/>
    <w:rsid w:val="00477D23"/>
    <w:rsid w:val="00480B96"/>
    <w:rsid w:val="0048303E"/>
    <w:rsid w:val="004920F6"/>
    <w:rsid w:val="004A06EE"/>
    <w:rsid w:val="004A1B30"/>
    <w:rsid w:val="004A2259"/>
    <w:rsid w:val="004A67E8"/>
    <w:rsid w:val="004B0657"/>
    <w:rsid w:val="004C1C75"/>
    <w:rsid w:val="004C3D65"/>
    <w:rsid w:val="004C5D96"/>
    <w:rsid w:val="004C7C5B"/>
    <w:rsid w:val="004D6472"/>
    <w:rsid w:val="004D673D"/>
    <w:rsid w:val="004E00E3"/>
    <w:rsid w:val="004E4E2F"/>
    <w:rsid w:val="004F008F"/>
    <w:rsid w:val="005023EB"/>
    <w:rsid w:val="00506C6E"/>
    <w:rsid w:val="0051526C"/>
    <w:rsid w:val="0052393E"/>
    <w:rsid w:val="005251D0"/>
    <w:rsid w:val="00530E17"/>
    <w:rsid w:val="005417E7"/>
    <w:rsid w:val="00553464"/>
    <w:rsid w:val="00556A7A"/>
    <w:rsid w:val="00584B83"/>
    <w:rsid w:val="005875C9"/>
    <w:rsid w:val="005879AA"/>
    <w:rsid w:val="005946AB"/>
    <w:rsid w:val="00597D3F"/>
    <w:rsid w:val="005A6C0E"/>
    <w:rsid w:val="005B0D63"/>
    <w:rsid w:val="005B113F"/>
    <w:rsid w:val="005B79E9"/>
    <w:rsid w:val="005C0599"/>
    <w:rsid w:val="005C0C2E"/>
    <w:rsid w:val="005C30FD"/>
    <w:rsid w:val="005C58AA"/>
    <w:rsid w:val="005C6C4A"/>
    <w:rsid w:val="005D3AF4"/>
    <w:rsid w:val="005E1DFB"/>
    <w:rsid w:val="005E393A"/>
    <w:rsid w:val="005E40E9"/>
    <w:rsid w:val="005E4912"/>
    <w:rsid w:val="005E6F1F"/>
    <w:rsid w:val="005F438C"/>
    <w:rsid w:val="005F44D1"/>
    <w:rsid w:val="00601625"/>
    <w:rsid w:val="00601B09"/>
    <w:rsid w:val="0060407E"/>
    <w:rsid w:val="00606C5A"/>
    <w:rsid w:val="0061427F"/>
    <w:rsid w:val="00615143"/>
    <w:rsid w:val="006205E7"/>
    <w:rsid w:val="00621129"/>
    <w:rsid w:val="00625DB5"/>
    <w:rsid w:val="006269F7"/>
    <w:rsid w:val="00631DEC"/>
    <w:rsid w:val="00633916"/>
    <w:rsid w:val="006360A2"/>
    <w:rsid w:val="00637CB2"/>
    <w:rsid w:val="00641D2B"/>
    <w:rsid w:val="00652687"/>
    <w:rsid w:val="006544E9"/>
    <w:rsid w:val="00657E55"/>
    <w:rsid w:val="00662D3E"/>
    <w:rsid w:val="00665C7E"/>
    <w:rsid w:val="00667438"/>
    <w:rsid w:val="00672D1F"/>
    <w:rsid w:val="00672DDD"/>
    <w:rsid w:val="00675CE6"/>
    <w:rsid w:val="00676C91"/>
    <w:rsid w:val="006814A3"/>
    <w:rsid w:val="0068348B"/>
    <w:rsid w:val="00683974"/>
    <w:rsid w:val="0068508E"/>
    <w:rsid w:val="00687DD6"/>
    <w:rsid w:val="00690B77"/>
    <w:rsid w:val="006939E0"/>
    <w:rsid w:val="0069794C"/>
    <w:rsid w:val="006A0BA5"/>
    <w:rsid w:val="006A1996"/>
    <w:rsid w:val="006A218E"/>
    <w:rsid w:val="006A3BEE"/>
    <w:rsid w:val="006A448F"/>
    <w:rsid w:val="006A4CB0"/>
    <w:rsid w:val="006B3E6C"/>
    <w:rsid w:val="006C3134"/>
    <w:rsid w:val="006C4000"/>
    <w:rsid w:val="006E0306"/>
    <w:rsid w:val="006E093F"/>
    <w:rsid w:val="006E23CC"/>
    <w:rsid w:val="006E55E1"/>
    <w:rsid w:val="006E56E8"/>
    <w:rsid w:val="006E5B01"/>
    <w:rsid w:val="006F36B3"/>
    <w:rsid w:val="006F5AA4"/>
    <w:rsid w:val="0070252E"/>
    <w:rsid w:val="00703223"/>
    <w:rsid w:val="00703338"/>
    <w:rsid w:val="00711200"/>
    <w:rsid w:val="00711E8C"/>
    <w:rsid w:val="007154E1"/>
    <w:rsid w:val="007204EA"/>
    <w:rsid w:val="0072397F"/>
    <w:rsid w:val="007248B1"/>
    <w:rsid w:val="00726D36"/>
    <w:rsid w:val="00731922"/>
    <w:rsid w:val="00731ACB"/>
    <w:rsid w:val="007368AD"/>
    <w:rsid w:val="0074133D"/>
    <w:rsid w:val="00744762"/>
    <w:rsid w:val="0075196D"/>
    <w:rsid w:val="0075558C"/>
    <w:rsid w:val="00761EFA"/>
    <w:rsid w:val="00764873"/>
    <w:rsid w:val="00772C78"/>
    <w:rsid w:val="007778DD"/>
    <w:rsid w:val="00777F78"/>
    <w:rsid w:val="00787617"/>
    <w:rsid w:val="00794F68"/>
    <w:rsid w:val="00796693"/>
    <w:rsid w:val="007A5995"/>
    <w:rsid w:val="007B0B14"/>
    <w:rsid w:val="007B300A"/>
    <w:rsid w:val="007B6E1F"/>
    <w:rsid w:val="007C03B5"/>
    <w:rsid w:val="007C1D9B"/>
    <w:rsid w:val="007C2C97"/>
    <w:rsid w:val="007C7591"/>
    <w:rsid w:val="007D082C"/>
    <w:rsid w:val="007D5CD5"/>
    <w:rsid w:val="007E08B0"/>
    <w:rsid w:val="007E530D"/>
    <w:rsid w:val="007F25C6"/>
    <w:rsid w:val="007F5F97"/>
    <w:rsid w:val="007F6706"/>
    <w:rsid w:val="007F6AE9"/>
    <w:rsid w:val="008114F5"/>
    <w:rsid w:val="008135B6"/>
    <w:rsid w:val="00821F63"/>
    <w:rsid w:val="00826D54"/>
    <w:rsid w:val="00834CBF"/>
    <w:rsid w:val="00836F89"/>
    <w:rsid w:val="008438D8"/>
    <w:rsid w:val="008463EF"/>
    <w:rsid w:val="00846459"/>
    <w:rsid w:val="00847ED0"/>
    <w:rsid w:val="0085757D"/>
    <w:rsid w:val="00863435"/>
    <w:rsid w:val="008658F1"/>
    <w:rsid w:val="00872827"/>
    <w:rsid w:val="0087349A"/>
    <w:rsid w:val="00873EE9"/>
    <w:rsid w:val="008827BB"/>
    <w:rsid w:val="008834EA"/>
    <w:rsid w:val="008865B6"/>
    <w:rsid w:val="00895DF4"/>
    <w:rsid w:val="008A04B6"/>
    <w:rsid w:val="008A28ED"/>
    <w:rsid w:val="008B04DB"/>
    <w:rsid w:val="008B1A4D"/>
    <w:rsid w:val="008B1A64"/>
    <w:rsid w:val="008B24D8"/>
    <w:rsid w:val="008B2D17"/>
    <w:rsid w:val="008D589C"/>
    <w:rsid w:val="008D5FE8"/>
    <w:rsid w:val="008E7085"/>
    <w:rsid w:val="008F1D58"/>
    <w:rsid w:val="008F1F18"/>
    <w:rsid w:val="008F3FE8"/>
    <w:rsid w:val="008F55BB"/>
    <w:rsid w:val="008F60C3"/>
    <w:rsid w:val="008F7F59"/>
    <w:rsid w:val="009036DD"/>
    <w:rsid w:val="00924EEA"/>
    <w:rsid w:val="009254D6"/>
    <w:rsid w:val="0092669B"/>
    <w:rsid w:val="0093163E"/>
    <w:rsid w:val="0093427E"/>
    <w:rsid w:val="00936436"/>
    <w:rsid w:val="00940E3D"/>
    <w:rsid w:val="0094378F"/>
    <w:rsid w:val="00943CCA"/>
    <w:rsid w:val="00950A9D"/>
    <w:rsid w:val="00951DA3"/>
    <w:rsid w:val="0096202A"/>
    <w:rsid w:val="00962CEC"/>
    <w:rsid w:val="0096596C"/>
    <w:rsid w:val="009667EA"/>
    <w:rsid w:val="00966BAC"/>
    <w:rsid w:val="00974AE2"/>
    <w:rsid w:val="00992BB5"/>
    <w:rsid w:val="00994FE0"/>
    <w:rsid w:val="00995868"/>
    <w:rsid w:val="009A2ABE"/>
    <w:rsid w:val="009A6A2F"/>
    <w:rsid w:val="009B12B6"/>
    <w:rsid w:val="009C1A42"/>
    <w:rsid w:val="009C29C0"/>
    <w:rsid w:val="009C755C"/>
    <w:rsid w:val="009C780F"/>
    <w:rsid w:val="009D34AE"/>
    <w:rsid w:val="009D794C"/>
    <w:rsid w:val="009E2244"/>
    <w:rsid w:val="009E62EB"/>
    <w:rsid w:val="009F0D2A"/>
    <w:rsid w:val="00A05597"/>
    <w:rsid w:val="00A05DA4"/>
    <w:rsid w:val="00A11BF8"/>
    <w:rsid w:val="00A20F0D"/>
    <w:rsid w:val="00A22BE6"/>
    <w:rsid w:val="00A25353"/>
    <w:rsid w:val="00A330FF"/>
    <w:rsid w:val="00A348B5"/>
    <w:rsid w:val="00A34F5F"/>
    <w:rsid w:val="00A40780"/>
    <w:rsid w:val="00A41BBF"/>
    <w:rsid w:val="00A41EB9"/>
    <w:rsid w:val="00A46A68"/>
    <w:rsid w:val="00A47B95"/>
    <w:rsid w:val="00A50EE9"/>
    <w:rsid w:val="00A60149"/>
    <w:rsid w:val="00A62100"/>
    <w:rsid w:val="00A645F9"/>
    <w:rsid w:val="00A6490F"/>
    <w:rsid w:val="00A6559B"/>
    <w:rsid w:val="00A724E7"/>
    <w:rsid w:val="00A752A1"/>
    <w:rsid w:val="00A773D9"/>
    <w:rsid w:val="00A774C8"/>
    <w:rsid w:val="00A847CB"/>
    <w:rsid w:val="00A85CA8"/>
    <w:rsid w:val="00A86F48"/>
    <w:rsid w:val="00AA3015"/>
    <w:rsid w:val="00AA5FE8"/>
    <w:rsid w:val="00AB27DD"/>
    <w:rsid w:val="00AC6527"/>
    <w:rsid w:val="00AC7DA6"/>
    <w:rsid w:val="00AD0A33"/>
    <w:rsid w:val="00AE0982"/>
    <w:rsid w:val="00AE4490"/>
    <w:rsid w:val="00AE48AB"/>
    <w:rsid w:val="00AE7891"/>
    <w:rsid w:val="00AF06A4"/>
    <w:rsid w:val="00AF5A4A"/>
    <w:rsid w:val="00AF75DB"/>
    <w:rsid w:val="00B01361"/>
    <w:rsid w:val="00B07524"/>
    <w:rsid w:val="00B11140"/>
    <w:rsid w:val="00B113E7"/>
    <w:rsid w:val="00B14D52"/>
    <w:rsid w:val="00B15BD2"/>
    <w:rsid w:val="00B248DC"/>
    <w:rsid w:val="00B25FEB"/>
    <w:rsid w:val="00B35B7C"/>
    <w:rsid w:val="00B436A2"/>
    <w:rsid w:val="00B4606A"/>
    <w:rsid w:val="00B5122A"/>
    <w:rsid w:val="00B53C15"/>
    <w:rsid w:val="00B566F0"/>
    <w:rsid w:val="00B605F2"/>
    <w:rsid w:val="00B61308"/>
    <w:rsid w:val="00B63A7A"/>
    <w:rsid w:val="00B754D1"/>
    <w:rsid w:val="00B82408"/>
    <w:rsid w:val="00B85943"/>
    <w:rsid w:val="00B90095"/>
    <w:rsid w:val="00B92502"/>
    <w:rsid w:val="00B97118"/>
    <w:rsid w:val="00BA04AB"/>
    <w:rsid w:val="00BA0B8C"/>
    <w:rsid w:val="00BB7665"/>
    <w:rsid w:val="00BC1BB0"/>
    <w:rsid w:val="00BC3855"/>
    <w:rsid w:val="00BC45C5"/>
    <w:rsid w:val="00BC50EA"/>
    <w:rsid w:val="00BC55E6"/>
    <w:rsid w:val="00BD24E2"/>
    <w:rsid w:val="00BD3522"/>
    <w:rsid w:val="00BD43E6"/>
    <w:rsid w:val="00BD558B"/>
    <w:rsid w:val="00BE6CF6"/>
    <w:rsid w:val="00BF4615"/>
    <w:rsid w:val="00BF4F61"/>
    <w:rsid w:val="00C05913"/>
    <w:rsid w:val="00C05B47"/>
    <w:rsid w:val="00C0799A"/>
    <w:rsid w:val="00C11D0D"/>
    <w:rsid w:val="00C27558"/>
    <w:rsid w:val="00C506D0"/>
    <w:rsid w:val="00C509C3"/>
    <w:rsid w:val="00C50A17"/>
    <w:rsid w:val="00C5586D"/>
    <w:rsid w:val="00C70EAE"/>
    <w:rsid w:val="00C72475"/>
    <w:rsid w:val="00C7410A"/>
    <w:rsid w:val="00C83B65"/>
    <w:rsid w:val="00C94606"/>
    <w:rsid w:val="00C96681"/>
    <w:rsid w:val="00CA722C"/>
    <w:rsid w:val="00CB0C91"/>
    <w:rsid w:val="00CB27E5"/>
    <w:rsid w:val="00CB29F3"/>
    <w:rsid w:val="00CB4014"/>
    <w:rsid w:val="00CC260D"/>
    <w:rsid w:val="00CC2873"/>
    <w:rsid w:val="00CC3669"/>
    <w:rsid w:val="00CD0AF6"/>
    <w:rsid w:val="00CD3679"/>
    <w:rsid w:val="00CD50B5"/>
    <w:rsid w:val="00CD5490"/>
    <w:rsid w:val="00CD5968"/>
    <w:rsid w:val="00CD6D1E"/>
    <w:rsid w:val="00CD73A9"/>
    <w:rsid w:val="00CE509E"/>
    <w:rsid w:val="00CE5BCD"/>
    <w:rsid w:val="00D06F12"/>
    <w:rsid w:val="00D10691"/>
    <w:rsid w:val="00D10BC4"/>
    <w:rsid w:val="00D10DB1"/>
    <w:rsid w:val="00D14009"/>
    <w:rsid w:val="00D21EF3"/>
    <w:rsid w:val="00D24AFE"/>
    <w:rsid w:val="00D31096"/>
    <w:rsid w:val="00D35FED"/>
    <w:rsid w:val="00D36576"/>
    <w:rsid w:val="00D3695A"/>
    <w:rsid w:val="00D404F2"/>
    <w:rsid w:val="00D40D10"/>
    <w:rsid w:val="00D41205"/>
    <w:rsid w:val="00D46790"/>
    <w:rsid w:val="00D526CE"/>
    <w:rsid w:val="00D55CF1"/>
    <w:rsid w:val="00D7391E"/>
    <w:rsid w:val="00D73F4D"/>
    <w:rsid w:val="00D75F5F"/>
    <w:rsid w:val="00D82E57"/>
    <w:rsid w:val="00D87B59"/>
    <w:rsid w:val="00D908FE"/>
    <w:rsid w:val="00D91C27"/>
    <w:rsid w:val="00D91E87"/>
    <w:rsid w:val="00D9279F"/>
    <w:rsid w:val="00D9350B"/>
    <w:rsid w:val="00DA5E05"/>
    <w:rsid w:val="00DA6588"/>
    <w:rsid w:val="00DB5ED3"/>
    <w:rsid w:val="00DC3C48"/>
    <w:rsid w:val="00DC5925"/>
    <w:rsid w:val="00DC60FA"/>
    <w:rsid w:val="00DC68A3"/>
    <w:rsid w:val="00DC7C4C"/>
    <w:rsid w:val="00DD00DE"/>
    <w:rsid w:val="00DD0CB0"/>
    <w:rsid w:val="00DD21E8"/>
    <w:rsid w:val="00DD7751"/>
    <w:rsid w:val="00DE23AF"/>
    <w:rsid w:val="00DF3B9A"/>
    <w:rsid w:val="00DF551F"/>
    <w:rsid w:val="00DF678C"/>
    <w:rsid w:val="00DF698C"/>
    <w:rsid w:val="00E13F24"/>
    <w:rsid w:val="00E16DF1"/>
    <w:rsid w:val="00E17598"/>
    <w:rsid w:val="00E17CB7"/>
    <w:rsid w:val="00E20581"/>
    <w:rsid w:val="00E21B99"/>
    <w:rsid w:val="00E22EA4"/>
    <w:rsid w:val="00E24D5F"/>
    <w:rsid w:val="00E312CA"/>
    <w:rsid w:val="00E37684"/>
    <w:rsid w:val="00E3786B"/>
    <w:rsid w:val="00E459DC"/>
    <w:rsid w:val="00E51E56"/>
    <w:rsid w:val="00E52078"/>
    <w:rsid w:val="00E54129"/>
    <w:rsid w:val="00E579B9"/>
    <w:rsid w:val="00E60A41"/>
    <w:rsid w:val="00E624CF"/>
    <w:rsid w:val="00E63D27"/>
    <w:rsid w:val="00E64563"/>
    <w:rsid w:val="00E652A6"/>
    <w:rsid w:val="00E7175C"/>
    <w:rsid w:val="00E74C49"/>
    <w:rsid w:val="00E74F2B"/>
    <w:rsid w:val="00E7557C"/>
    <w:rsid w:val="00E776AD"/>
    <w:rsid w:val="00E82306"/>
    <w:rsid w:val="00E918E3"/>
    <w:rsid w:val="00E963D2"/>
    <w:rsid w:val="00EA464C"/>
    <w:rsid w:val="00EA4878"/>
    <w:rsid w:val="00EA5199"/>
    <w:rsid w:val="00EA6828"/>
    <w:rsid w:val="00EA6CF2"/>
    <w:rsid w:val="00EB263B"/>
    <w:rsid w:val="00EC40F8"/>
    <w:rsid w:val="00ED1F1B"/>
    <w:rsid w:val="00ED2F2C"/>
    <w:rsid w:val="00ED32B5"/>
    <w:rsid w:val="00ED597F"/>
    <w:rsid w:val="00ED79E3"/>
    <w:rsid w:val="00ED7A05"/>
    <w:rsid w:val="00EE334C"/>
    <w:rsid w:val="00EE639B"/>
    <w:rsid w:val="00EF0363"/>
    <w:rsid w:val="00EF1A98"/>
    <w:rsid w:val="00EF2EDC"/>
    <w:rsid w:val="00EF54D7"/>
    <w:rsid w:val="00F02153"/>
    <w:rsid w:val="00F02A94"/>
    <w:rsid w:val="00F03F94"/>
    <w:rsid w:val="00F058DF"/>
    <w:rsid w:val="00F063AE"/>
    <w:rsid w:val="00F0662A"/>
    <w:rsid w:val="00F15675"/>
    <w:rsid w:val="00F16A95"/>
    <w:rsid w:val="00F20A4E"/>
    <w:rsid w:val="00F21250"/>
    <w:rsid w:val="00F2398D"/>
    <w:rsid w:val="00F25FA6"/>
    <w:rsid w:val="00F27676"/>
    <w:rsid w:val="00F344AC"/>
    <w:rsid w:val="00F422CE"/>
    <w:rsid w:val="00F43FA3"/>
    <w:rsid w:val="00F4440E"/>
    <w:rsid w:val="00F50D1A"/>
    <w:rsid w:val="00F52E06"/>
    <w:rsid w:val="00F622C7"/>
    <w:rsid w:val="00F634A3"/>
    <w:rsid w:val="00F6778C"/>
    <w:rsid w:val="00F710F9"/>
    <w:rsid w:val="00F7620F"/>
    <w:rsid w:val="00F83658"/>
    <w:rsid w:val="00F86FBA"/>
    <w:rsid w:val="00F873A9"/>
    <w:rsid w:val="00F87F40"/>
    <w:rsid w:val="00F932FA"/>
    <w:rsid w:val="00F937D6"/>
    <w:rsid w:val="00F96E07"/>
    <w:rsid w:val="00FA0AE4"/>
    <w:rsid w:val="00FA39FE"/>
    <w:rsid w:val="00FA75FD"/>
    <w:rsid w:val="00FB4751"/>
    <w:rsid w:val="00FB4DBA"/>
    <w:rsid w:val="00FB667E"/>
    <w:rsid w:val="00FC3AB2"/>
    <w:rsid w:val="00FC6113"/>
    <w:rsid w:val="00FD0090"/>
    <w:rsid w:val="00FD0C4C"/>
    <w:rsid w:val="00FD5204"/>
    <w:rsid w:val="00FE1511"/>
    <w:rsid w:val="00FE4711"/>
    <w:rsid w:val="00FE552D"/>
    <w:rsid w:val="00FE6AB3"/>
    <w:rsid w:val="00FF195C"/>
    <w:rsid w:val="00FF1AEA"/>
    <w:rsid w:val="00FF2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C1A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70252E"/>
    <w:pPr>
      <w:autoSpaceDE w:val="0"/>
      <w:autoSpaceDN w:val="0"/>
      <w:adjustRightInd w:val="0"/>
      <w:jc w:val="center"/>
      <w:outlineLvl w:val="0"/>
    </w:pPr>
    <w:rPr>
      <w:bCs/>
      <w:caps/>
      <w:sz w:val="28"/>
      <w:lang w:val="x-none" w:eastAsia="x-none"/>
    </w:rPr>
  </w:style>
  <w:style w:type="paragraph" w:styleId="Heading2">
    <w:name w:val="heading 2"/>
    <w:basedOn w:val="Normal"/>
    <w:next w:val="Normal"/>
    <w:link w:val="Heading2Char"/>
    <w:uiPriority w:val="9"/>
    <w:qFormat/>
    <w:rsid w:val="003F3501"/>
    <w:pPr>
      <w:keepNext/>
      <w:spacing w:before="240" w:after="60"/>
      <w:jc w:val="center"/>
      <w:outlineLvl w:val="1"/>
    </w:pPr>
    <w:rPr>
      <w:rFonts w:cs="Arial"/>
      <w:b/>
      <w:bCs/>
      <w:iCs/>
      <w:szCs w:val="28"/>
    </w:rPr>
  </w:style>
  <w:style w:type="paragraph" w:styleId="Heading3">
    <w:name w:val="heading 3"/>
    <w:basedOn w:val="Normal"/>
    <w:next w:val="Normal"/>
    <w:link w:val="Heading3Char"/>
    <w:uiPriority w:val="9"/>
    <w:qFormat/>
    <w:rsid w:val="003F3501"/>
    <w:pPr>
      <w:keepNext/>
      <w:spacing w:before="240" w:after="60"/>
      <w:outlineLvl w:val="2"/>
    </w:pPr>
    <w:rPr>
      <w:rFonts w:cs="Arial"/>
      <w:b/>
      <w:bCs/>
      <w:i/>
      <w:szCs w:val="26"/>
    </w:rPr>
  </w:style>
  <w:style w:type="paragraph" w:styleId="Heading4">
    <w:name w:val="heading 4"/>
    <w:basedOn w:val="Normal"/>
    <w:next w:val="Normal"/>
    <w:link w:val="Heading4Char"/>
    <w:semiHidden/>
    <w:unhideWhenUsed/>
    <w:qFormat/>
    <w:rsid w:val="00E21B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qFormat/>
    <w:rsid w:val="003F3501"/>
    <w:pPr>
      <w:autoSpaceDE w:val="0"/>
      <w:autoSpaceDN w:val="0"/>
      <w:adjustRightInd w:val="0"/>
    </w:pPr>
    <w:rPr>
      <w:i/>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C7410A"/>
    <w:pPr>
      <w:spacing w:before="120" w:after="120"/>
    </w:pPr>
    <w:rPr>
      <w:b/>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264090"/>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lang w:val="en-US" w:eastAsia="en-US"/>
    </w:rPr>
  </w:style>
  <w:style w:type="character" w:customStyle="1" w:styleId="Heading1Char">
    <w:name w:val="Heading 1 Char"/>
    <w:link w:val="Heading1"/>
    <w:uiPriority w:val="9"/>
    <w:rsid w:val="0070252E"/>
    <w:rPr>
      <w:bCs/>
      <w:caps/>
      <w:sz w:val="28"/>
      <w:szCs w:val="24"/>
      <w:lang w:val="x-none" w:eastAsia="x-none"/>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CommentText">
    <w:name w:val="annotation text"/>
    <w:basedOn w:val="Normal"/>
    <w:link w:val="CommentTextChar"/>
    <w:uiPriority w:val="99"/>
    <w:unhideWhenUsed/>
    <w:rsid w:val="00CE5BCD"/>
    <w:rPr>
      <w:sz w:val="20"/>
      <w:szCs w:val="20"/>
    </w:rPr>
  </w:style>
  <w:style w:type="character" w:customStyle="1" w:styleId="CommentTextChar">
    <w:name w:val="Comment Text Char"/>
    <w:basedOn w:val="DefaultParagraphFont"/>
    <w:link w:val="CommentText"/>
    <w:uiPriority w:val="99"/>
    <w:rsid w:val="00CE5BCD"/>
  </w:style>
  <w:style w:type="character" w:customStyle="1" w:styleId="maintitle">
    <w:name w:val="maintitle"/>
    <w:basedOn w:val="DefaultParagraphFont"/>
    <w:rsid w:val="006B3E6C"/>
  </w:style>
  <w:style w:type="paragraph" w:styleId="NormalWeb">
    <w:name w:val="Normal (Web)"/>
    <w:basedOn w:val="Normal"/>
    <w:uiPriority w:val="99"/>
    <w:unhideWhenUsed/>
    <w:rsid w:val="006B3E6C"/>
    <w:pPr>
      <w:spacing w:before="100" w:beforeAutospacing="1" w:after="100" w:afterAutospacing="1"/>
    </w:pPr>
  </w:style>
  <w:style w:type="paragraph" w:customStyle="1" w:styleId="copyright">
    <w:name w:val="copyright"/>
    <w:basedOn w:val="Normal"/>
    <w:rsid w:val="006B3E6C"/>
    <w:pPr>
      <w:spacing w:before="100" w:beforeAutospacing="1" w:after="100" w:afterAutospacing="1"/>
    </w:pPr>
  </w:style>
  <w:style w:type="character" w:customStyle="1" w:styleId="apple-converted-space">
    <w:name w:val="apple-converted-space"/>
    <w:basedOn w:val="DefaultParagraphFont"/>
    <w:rsid w:val="00772C78"/>
  </w:style>
  <w:style w:type="character" w:styleId="Emphasis">
    <w:name w:val="Emphasis"/>
    <w:basedOn w:val="DefaultParagraphFont"/>
    <w:uiPriority w:val="20"/>
    <w:qFormat/>
    <w:rsid w:val="00772C78"/>
    <w:rPr>
      <w:i/>
      <w:iCs/>
    </w:rPr>
  </w:style>
  <w:style w:type="character" w:styleId="Strong">
    <w:name w:val="Strong"/>
    <w:basedOn w:val="DefaultParagraphFont"/>
    <w:uiPriority w:val="22"/>
    <w:qFormat/>
    <w:rsid w:val="00F873A9"/>
    <w:rPr>
      <w:b/>
      <w:bCs/>
    </w:rPr>
  </w:style>
  <w:style w:type="character" w:styleId="HTMLCite">
    <w:name w:val="HTML Cite"/>
    <w:basedOn w:val="DefaultParagraphFont"/>
    <w:uiPriority w:val="99"/>
    <w:unhideWhenUsed/>
    <w:rsid w:val="009D34AE"/>
    <w:rPr>
      <w:i/>
      <w:iCs/>
    </w:rPr>
  </w:style>
  <w:style w:type="character" w:customStyle="1" w:styleId="author">
    <w:name w:val="author"/>
    <w:basedOn w:val="DefaultParagraphFont"/>
    <w:rsid w:val="009D34AE"/>
  </w:style>
  <w:style w:type="character" w:customStyle="1" w:styleId="pubyear">
    <w:name w:val="pubyear"/>
    <w:basedOn w:val="DefaultParagraphFont"/>
    <w:rsid w:val="009D34AE"/>
  </w:style>
  <w:style w:type="character" w:customStyle="1" w:styleId="articletitle">
    <w:name w:val="articletitle"/>
    <w:basedOn w:val="DefaultParagraphFont"/>
    <w:rsid w:val="009D34AE"/>
  </w:style>
  <w:style w:type="character" w:customStyle="1" w:styleId="journaltitle3">
    <w:name w:val="journaltitle3"/>
    <w:basedOn w:val="DefaultParagraphFont"/>
    <w:rsid w:val="009D34AE"/>
    <w:rPr>
      <w:i/>
      <w:iCs/>
    </w:rPr>
  </w:style>
  <w:style w:type="character" w:customStyle="1" w:styleId="vol3">
    <w:name w:val="vol3"/>
    <w:basedOn w:val="DefaultParagraphFont"/>
    <w:rsid w:val="009D34AE"/>
    <w:rPr>
      <w:b/>
      <w:bCs/>
    </w:rPr>
  </w:style>
  <w:style w:type="character" w:customStyle="1" w:styleId="pagefirst">
    <w:name w:val="pagefirst"/>
    <w:basedOn w:val="DefaultParagraphFont"/>
    <w:rsid w:val="009D34AE"/>
  </w:style>
  <w:style w:type="character" w:customStyle="1" w:styleId="pagelast">
    <w:name w:val="pagelast"/>
    <w:basedOn w:val="DefaultParagraphFont"/>
    <w:rsid w:val="009D34AE"/>
  </w:style>
  <w:style w:type="paragraph" w:customStyle="1" w:styleId="articlecategory">
    <w:name w:val="articlecategory"/>
    <w:basedOn w:val="Normal"/>
    <w:rsid w:val="00CB0C91"/>
    <w:pPr>
      <w:spacing w:before="100" w:beforeAutospacing="1" w:after="100" w:afterAutospacing="1"/>
    </w:pPr>
  </w:style>
  <w:style w:type="character" w:customStyle="1" w:styleId="st">
    <w:name w:val="st"/>
    <w:basedOn w:val="DefaultParagraphFont"/>
    <w:rsid w:val="00ED2F2C"/>
  </w:style>
  <w:style w:type="character" w:styleId="CommentReference">
    <w:name w:val="annotation reference"/>
    <w:basedOn w:val="DefaultParagraphFont"/>
    <w:uiPriority w:val="99"/>
    <w:unhideWhenUsed/>
    <w:rsid w:val="00B248DC"/>
    <w:rPr>
      <w:sz w:val="16"/>
      <w:szCs w:val="16"/>
    </w:rPr>
  </w:style>
  <w:style w:type="character" w:customStyle="1" w:styleId="a1">
    <w:name w:val="a1"/>
    <w:basedOn w:val="DefaultParagraphFont"/>
    <w:rsid w:val="00F422CE"/>
    <w:rPr>
      <w:rFonts w:ascii="Arial" w:hAnsi="Arial" w:cs="Arial" w:hint="default"/>
      <w:b w:val="0"/>
      <w:bCs w:val="0"/>
      <w:i w:val="0"/>
      <w:iCs w:val="0"/>
      <w:bdr w:val="none" w:sz="0" w:space="0" w:color="auto" w:frame="1"/>
    </w:rPr>
  </w:style>
  <w:style w:type="character" w:customStyle="1" w:styleId="l72">
    <w:name w:val="l7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15">
    <w:name w:val="l15"/>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92">
    <w:name w:val="l9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122">
    <w:name w:val="l12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62">
    <w:name w:val="l6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citation">
    <w:name w:val="citation"/>
    <w:basedOn w:val="DefaultParagraphFont"/>
    <w:uiPriority w:val="99"/>
    <w:rsid w:val="00D31096"/>
  </w:style>
  <w:style w:type="character" w:customStyle="1" w:styleId="chaptertitle">
    <w:name w:val="chaptertitle"/>
    <w:basedOn w:val="DefaultParagraphFont"/>
    <w:rsid w:val="00E63D27"/>
  </w:style>
  <w:style w:type="character" w:customStyle="1" w:styleId="editor">
    <w:name w:val="editor"/>
    <w:basedOn w:val="DefaultParagraphFont"/>
    <w:rsid w:val="00E63D27"/>
  </w:style>
  <w:style w:type="character" w:customStyle="1" w:styleId="booktitle">
    <w:name w:val="booktitle"/>
    <w:basedOn w:val="DefaultParagraphFont"/>
    <w:rsid w:val="00E63D27"/>
  </w:style>
  <w:style w:type="character" w:customStyle="1" w:styleId="publisherlocation">
    <w:name w:val="publisherlocation"/>
    <w:basedOn w:val="DefaultParagraphFont"/>
    <w:rsid w:val="00E63D27"/>
  </w:style>
  <w:style w:type="character" w:customStyle="1" w:styleId="sb-contribution">
    <w:name w:val="sb-contribution"/>
    <w:basedOn w:val="DefaultParagraphFont"/>
    <w:rsid w:val="003B35F5"/>
  </w:style>
  <w:style w:type="character" w:customStyle="1" w:styleId="sb-authors">
    <w:name w:val="sb-authors"/>
    <w:basedOn w:val="DefaultParagraphFont"/>
    <w:rsid w:val="003B35F5"/>
  </w:style>
  <w:style w:type="character" w:customStyle="1" w:styleId="sb-issue">
    <w:name w:val="sb-issue"/>
    <w:basedOn w:val="DefaultParagraphFont"/>
    <w:rsid w:val="003B35F5"/>
  </w:style>
  <w:style w:type="character" w:customStyle="1" w:styleId="sb-date">
    <w:name w:val="sb-date"/>
    <w:basedOn w:val="DefaultParagraphFont"/>
    <w:rsid w:val="003B35F5"/>
  </w:style>
  <w:style w:type="character" w:customStyle="1" w:styleId="sb-volume-nr">
    <w:name w:val="sb-volume-nr"/>
    <w:basedOn w:val="DefaultParagraphFont"/>
    <w:rsid w:val="003B35F5"/>
  </w:style>
  <w:style w:type="character" w:customStyle="1" w:styleId="sb-pages">
    <w:name w:val="sb-pages"/>
    <w:basedOn w:val="DefaultParagraphFont"/>
    <w:rsid w:val="003B35F5"/>
  </w:style>
  <w:style w:type="paragraph" w:customStyle="1" w:styleId="title0">
    <w:name w:val="title"/>
    <w:basedOn w:val="Normal"/>
    <w:rsid w:val="00AA5FE8"/>
    <w:pPr>
      <w:spacing w:before="100" w:beforeAutospacing="1" w:after="100" w:afterAutospacing="1"/>
    </w:pPr>
  </w:style>
  <w:style w:type="paragraph" w:customStyle="1" w:styleId="desc">
    <w:name w:val="desc"/>
    <w:basedOn w:val="Normal"/>
    <w:rsid w:val="00AA5FE8"/>
    <w:pPr>
      <w:spacing w:before="100" w:beforeAutospacing="1" w:after="100" w:afterAutospacing="1"/>
    </w:pPr>
  </w:style>
  <w:style w:type="paragraph" w:customStyle="1" w:styleId="details">
    <w:name w:val="details"/>
    <w:basedOn w:val="Normal"/>
    <w:rsid w:val="00AA5FE8"/>
    <w:pPr>
      <w:spacing w:before="100" w:beforeAutospacing="1" w:after="100" w:afterAutospacing="1"/>
    </w:pPr>
  </w:style>
  <w:style w:type="character" w:customStyle="1" w:styleId="jrnl">
    <w:name w:val="jrnl"/>
    <w:basedOn w:val="DefaultParagraphFont"/>
    <w:rsid w:val="00AA5FE8"/>
  </w:style>
  <w:style w:type="character" w:customStyle="1" w:styleId="hps">
    <w:name w:val="hps"/>
    <w:basedOn w:val="DefaultParagraphFont"/>
    <w:rsid w:val="005875C9"/>
  </w:style>
  <w:style w:type="character" w:customStyle="1" w:styleId="atn">
    <w:name w:val="atn"/>
    <w:basedOn w:val="DefaultParagraphFont"/>
    <w:rsid w:val="005875C9"/>
  </w:style>
  <w:style w:type="paragraph" w:styleId="ListParagraph">
    <w:name w:val="List Paragraph"/>
    <w:basedOn w:val="Normal"/>
    <w:uiPriority w:val="99"/>
    <w:qFormat/>
    <w:rsid w:val="00A22BE6"/>
    <w:pPr>
      <w:ind w:left="1296"/>
    </w:pPr>
    <w:rPr>
      <w:rFonts w:eastAsia="Calibri"/>
    </w:rPr>
  </w:style>
  <w:style w:type="character" w:customStyle="1" w:styleId="literature2">
    <w:name w:val="literature2"/>
    <w:basedOn w:val="DefaultParagraphFont"/>
    <w:rsid w:val="00A05597"/>
    <w:rPr>
      <w:rFonts w:ascii="MinionProItalic" w:hAnsi="MinionProItalic" w:cs="Arial" w:hint="default"/>
      <w:i w:val="0"/>
      <w:iCs w:val="0"/>
      <w:smallCaps w:val="0"/>
      <w:vanish w:val="0"/>
      <w:webHidden w:val="0"/>
      <w:color w:val="747371"/>
      <w:sz w:val="21"/>
      <w:szCs w:val="21"/>
      <w:bdr w:val="single" w:sz="6" w:space="15" w:color="8D8B88" w:frame="1"/>
      <w:specVanish w:val="0"/>
    </w:rPr>
  </w:style>
  <w:style w:type="paragraph" w:styleId="BalloonText">
    <w:name w:val="Balloon Text"/>
    <w:basedOn w:val="Normal"/>
    <w:link w:val="BalloonTextChar"/>
    <w:uiPriority w:val="99"/>
    <w:rsid w:val="00A05597"/>
    <w:rPr>
      <w:rFonts w:ascii="Tahoma" w:hAnsi="Tahoma" w:cs="Tahoma"/>
      <w:sz w:val="16"/>
      <w:szCs w:val="16"/>
    </w:rPr>
  </w:style>
  <w:style w:type="character" w:customStyle="1" w:styleId="BalloonTextChar">
    <w:name w:val="Balloon Text Char"/>
    <w:basedOn w:val="DefaultParagraphFont"/>
    <w:link w:val="BalloonText"/>
    <w:uiPriority w:val="99"/>
    <w:rsid w:val="00A05597"/>
    <w:rPr>
      <w:rFonts w:ascii="Tahoma" w:hAnsi="Tahoma" w:cs="Tahoma"/>
      <w:sz w:val="16"/>
      <w:szCs w:val="16"/>
    </w:rPr>
  </w:style>
  <w:style w:type="paragraph" w:customStyle="1" w:styleId="ColorfulList-Accent11">
    <w:name w:val="Colorful List - Accent 11"/>
    <w:basedOn w:val="Normal"/>
    <w:uiPriority w:val="34"/>
    <w:qFormat/>
    <w:rsid w:val="00F20A4E"/>
    <w:pPr>
      <w:spacing w:after="200" w:line="276" w:lineRule="auto"/>
      <w:ind w:left="720"/>
      <w:contextualSpacing/>
    </w:pPr>
    <w:rPr>
      <w:rFonts w:ascii="Calibri" w:eastAsia="Calibri" w:hAnsi="Calibri"/>
      <w:sz w:val="22"/>
      <w:szCs w:val="22"/>
      <w:lang w:bidi="en-US"/>
    </w:rPr>
  </w:style>
  <w:style w:type="character" w:customStyle="1" w:styleId="searchword1">
    <w:name w:val="searchword1"/>
    <w:basedOn w:val="DefaultParagraphFont"/>
    <w:rsid w:val="00246BC3"/>
    <w:rPr>
      <w:shd w:val="clear" w:color="auto" w:fill="FFFBC3"/>
    </w:rPr>
  </w:style>
  <w:style w:type="paragraph" w:styleId="CommentSubject">
    <w:name w:val="annotation subject"/>
    <w:basedOn w:val="CommentText"/>
    <w:next w:val="CommentText"/>
    <w:link w:val="CommentSubjectChar"/>
    <w:uiPriority w:val="99"/>
    <w:unhideWhenUsed/>
    <w:rsid w:val="00246BC3"/>
    <w:pPr>
      <w:spacing w:line="480" w:lineRule="auto"/>
      <w:ind w:left="720" w:hanging="720"/>
    </w:pPr>
    <w:rPr>
      <w:b/>
      <w:bCs/>
    </w:rPr>
  </w:style>
  <w:style w:type="character" w:customStyle="1" w:styleId="CommentSubjectChar">
    <w:name w:val="Comment Subject Char"/>
    <w:basedOn w:val="CommentTextChar"/>
    <w:link w:val="CommentSubject"/>
    <w:uiPriority w:val="99"/>
    <w:rsid w:val="00246BC3"/>
    <w:rPr>
      <w:b/>
      <w:bCs/>
    </w:rPr>
  </w:style>
  <w:style w:type="character" w:customStyle="1" w:styleId="Heading2Char">
    <w:name w:val="Heading 2 Char"/>
    <w:basedOn w:val="DefaultParagraphFont"/>
    <w:link w:val="Heading2"/>
    <w:uiPriority w:val="9"/>
    <w:rsid w:val="003F3501"/>
    <w:rPr>
      <w:rFonts w:cs="Arial"/>
      <w:b/>
      <w:bCs/>
      <w:iCs/>
      <w:sz w:val="24"/>
      <w:szCs w:val="28"/>
    </w:rPr>
  </w:style>
  <w:style w:type="paragraph" w:customStyle="1" w:styleId="articledetails">
    <w:name w:val="articledetails"/>
    <w:basedOn w:val="Normal"/>
    <w:rsid w:val="00246BC3"/>
    <w:pPr>
      <w:spacing w:before="100" w:beforeAutospacing="1" w:after="100" w:afterAutospacing="1"/>
    </w:pPr>
  </w:style>
  <w:style w:type="paragraph" w:customStyle="1" w:styleId="Subheading1">
    <w:name w:val="Subheading 1"/>
    <w:basedOn w:val="Title"/>
    <w:link w:val="Subheading1Char"/>
    <w:autoRedefine/>
    <w:qFormat/>
    <w:rsid w:val="001C587B"/>
    <w:pPr>
      <w:spacing w:line="480" w:lineRule="auto"/>
    </w:pPr>
  </w:style>
  <w:style w:type="paragraph" w:customStyle="1" w:styleId="Style1">
    <w:name w:val="Style1"/>
    <w:basedOn w:val="Heading4"/>
    <w:qFormat/>
    <w:rsid w:val="001C587B"/>
    <w:pPr>
      <w:spacing w:line="480" w:lineRule="auto"/>
    </w:pPr>
    <w:rPr>
      <w:rFonts w:ascii="Times New Roman" w:hAnsi="Times New Roman"/>
      <w:b w:val="0"/>
      <w:i/>
      <w:sz w:val="24"/>
    </w:rPr>
  </w:style>
  <w:style w:type="character" w:customStyle="1" w:styleId="TitleChar">
    <w:name w:val="Title Char"/>
    <w:basedOn w:val="DefaultParagraphFont"/>
    <w:link w:val="Title"/>
    <w:rsid w:val="003F3501"/>
    <w:rPr>
      <w:i/>
      <w:sz w:val="24"/>
      <w:szCs w:val="28"/>
    </w:rPr>
  </w:style>
  <w:style w:type="character" w:customStyle="1" w:styleId="Subheading1Char">
    <w:name w:val="Subheading 1 Char"/>
    <w:basedOn w:val="TitleChar"/>
    <w:link w:val="Subheading1"/>
    <w:rsid w:val="003F3501"/>
    <w:rPr>
      <w:i/>
      <w:sz w:val="24"/>
      <w:szCs w:val="28"/>
    </w:rPr>
  </w:style>
  <w:style w:type="character" w:customStyle="1" w:styleId="Heading3Char">
    <w:name w:val="Heading 3 Char"/>
    <w:link w:val="Heading3"/>
    <w:uiPriority w:val="9"/>
    <w:rsid w:val="001E671B"/>
    <w:rPr>
      <w:rFonts w:cs="Arial"/>
      <w:b/>
      <w:bCs/>
      <w:i/>
      <w:sz w:val="24"/>
      <w:szCs w:val="26"/>
    </w:rPr>
  </w:style>
  <w:style w:type="character" w:customStyle="1" w:styleId="Heading4Char">
    <w:name w:val="Heading 4 Char"/>
    <w:basedOn w:val="DefaultParagraphFont"/>
    <w:link w:val="Heading4"/>
    <w:semiHidden/>
    <w:rsid w:val="00E21B99"/>
    <w:rPr>
      <w:rFonts w:ascii="Calibri" w:eastAsia="Times New Roman" w:hAnsi="Calibri" w:cs="Times New Roman"/>
      <w:b/>
      <w:bCs/>
      <w:sz w:val="28"/>
      <w:szCs w:val="28"/>
    </w:rPr>
  </w:style>
  <w:style w:type="paragraph" w:styleId="Revision">
    <w:name w:val="Revision"/>
    <w:hidden/>
    <w:uiPriority w:val="99"/>
    <w:rsid w:val="001E671B"/>
    <w:rPr>
      <w:sz w:val="24"/>
      <w:szCs w:val="24"/>
    </w:rPr>
  </w:style>
  <w:style w:type="paragraph" w:styleId="HTMLPreformatted">
    <w:name w:val="HTML Preformatted"/>
    <w:basedOn w:val="Normal"/>
    <w:link w:val="HTMLPreformattedChar"/>
    <w:uiPriority w:val="99"/>
    <w:unhideWhenUsed/>
    <w:rsid w:val="001E6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E671B"/>
    <w:rPr>
      <w:rFonts w:ascii="Courier New" w:hAnsi="Courier New" w:cs="Courier New"/>
    </w:rPr>
  </w:style>
  <w:style w:type="character" w:customStyle="1" w:styleId="name">
    <w:name w:val="name"/>
    <w:rsid w:val="001E671B"/>
  </w:style>
  <w:style w:type="character" w:customStyle="1" w:styleId="contrib-on-behalf-of">
    <w:name w:val="contrib-on-behalf-of"/>
    <w:rsid w:val="001E671B"/>
  </w:style>
  <w:style w:type="character" w:customStyle="1" w:styleId="slug-vol">
    <w:name w:val="slug-vol"/>
    <w:rsid w:val="001E671B"/>
  </w:style>
  <w:style w:type="character" w:customStyle="1" w:styleId="slug-issue">
    <w:name w:val="slug-issue"/>
    <w:rsid w:val="001E671B"/>
  </w:style>
  <w:style w:type="character" w:customStyle="1" w:styleId="citation-abbreviation">
    <w:name w:val="citation-abbreviation"/>
    <w:rsid w:val="001E671B"/>
  </w:style>
  <w:style w:type="character" w:customStyle="1" w:styleId="citation-publication-date">
    <w:name w:val="citation-publication-date"/>
    <w:rsid w:val="001E671B"/>
  </w:style>
  <w:style w:type="character" w:customStyle="1" w:styleId="citation-volume">
    <w:name w:val="citation-volume"/>
    <w:rsid w:val="001E671B"/>
  </w:style>
  <w:style w:type="character" w:customStyle="1" w:styleId="citation-issue">
    <w:name w:val="citation-issue"/>
    <w:rsid w:val="001E671B"/>
  </w:style>
  <w:style w:type="character" w:customStyle="1" w:styleId="citation-flpages">
    <w:name w:val="citation-flpages"/>
    <w:rsid w:val="001E671B"/>
  </w:style>
  <w:style w:type="character" w:customStyle="1" w:styleId="fm-vol-iss-date">
    <w:name w:val="fm-vol-iss-date"/>
    <w:rsid w:val="001E671B"/>
  </w:style>
  <w:style w:type="character" w:customStyle="1" w:styleId="doi1">
    <w:name w:val="doi1"/>
    <w:rsid w:val="001E671B"/>
  </w:style>
  <w:style w:type="character" w:customStyle="1" w:styleId="fm-citation-ids-label">
    <w:name w:val="fm-citation-ids-label"/>
    <w:rsid w:val="001E671B"/>
  </w:style>
  <w:style w:type="character" w:customStyle="1" w:styleId="freeaccess">
    <w:name w:val="freeaccess"/>
    <w:rsid w:val="001E671B"/>
  </w:style>
  <w:style w:type="paragraph" w:customStyle="1" w:styleId="specialissue">
    <w:name w:val="specialissue"/>
    <w:basedOn w:val="Normal"/>
    <w:rsid w:val="001E671B"/>
    <w:pPr>
      <w:spacing w:before="100" w:beforeAutospacing="1" w:after="100" w:afterAutospacing="1"/>
    </w:pPr>
  </w:style>
  <w:style w:type="character" w:customStyle="1" w:styleId="slug-pub-date5">
    <w:name w:val="slug-pub-date5"/>
    <w:rsid w:val="001E671B"/>
    <w:rPr>
      <w:b w:val="0"/>
      <w:bCs w:val="0"/>
    </w:rPr>
  </w:style>
  <w:style w:type="character" w:customStyle="1" w:styleId="slug-pages5">
    <w:name w:val="slug-pages5"/>
    <w:rsid w:val="001E671B"/>
    <w:rPr>
      <w:b w:val="0"/>
      <w:bCs w:val="0"/>
    </w:rPr>
  </w:style>
  <w:style w:type="character" w:customStyle="1" w:styleId="authordegrees">
    <w:name w:val="authordegrees"/>
    <w:rsid w:val="001E671B"/>
    <w:rPr>
      <w:sz w:val="24"/>
      <w:szCs w:val="24"/>
      <w:bdr w:val="none" w:sz="0" w:space="0" w:color="auto" w:frame="1"/>
      <w:vertAlign w:val="baseline"/>
    </w:rPr>
  </w:style>
  <w:style w:type="paragraph" w:customStyle="1" w:styleId="Default">
    <w:name w:val="Default"/>
    <w:rsid w:val="002A2A0F"/>
    <w:pPr>
      <w:autoSpaceDE w:val="0"/>
      <w:autoSpaceDN w:val="0"/>
      <w:adjustRightInd w:val="0"/>
    </w:pPr>
    <w:rPr>
      <w:rFonts w:ascii="Code" w:eastAsia="Calibri" w:hAnsi="Code" w:cs="Code"/>
      <w:color w:val="000000"/>
      <w:sz w:val="24"/>
      <w:szCs w:val="24"/>
    </w:rPr>
  </w:style>
  <w:style w:type="character" w:customStyle="1" w:styleId="nlmsource">
    <w:name w:val="nlm_source"/>
    <w:basedOn w:val="DefaultParagraphFont"/>
    <w:rsid w:val="0031741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70252E"/>
    <w:pPr>
      <w:autoSpaceDE w:val="0"/>
      <w:autoSpaceDN w:val="0"/>
      <w:adjustRightInd w:val="0"/>
      <w:jc w:val="center"/>
      <w:outlineLvl w:val="0"/>
    </w:pPr>
    <w:rPr>
      <w:bCs/>
      <w:caps/>
      <w:sz w:val="28"/>
      <w:lang w:val="x-none" w:eastAsia="x-none"/>
    </w:rPr>
  </w:style>
  <w:style w:type="paragraph" w:styleId="Heading2">
    <w:name w:val="heading 2"/>
    <w:basedOn w:val="Normal"/>
    <w:next w:val="Normal"/>
    <w:link w:val="Heading2Char"/>
    <w:uiPriority w:val="9"/>
    <w:qFormat/>
    <w:rsid w:val="003F3501"/>
    <w:pPr>
      <w:keepNext/>
      <w:spacing w:before="240" w:after="60"/>
      <w:jc w:val="center"/>
      <w:outlineLvl w:val="1"/>
    </w:pPr>
    <w:rPr>
      <w:rFonts w:cs="Arial"/>
      <w:b/>
      <w:bCs/>
      <w:iCs/>
      <w:szCs w:val="28"/>
    </w:rPr>
  </w:style>
  <w:style w:type="paragraph" w:styleId="Heading3">
    <w:name w:val="heading 3"/>
    <w:basedOn w:val="Normal"/>
    <w:next w:val="Normal"/>
    <w:link w:val="Heading3Char"/>
    <w:uiPriority w:val="9"/>
    <w:qFormat/>
    <w:rsid w:val="003F3501"/>
    <w:pPr>
      <w:keepNext/>
      <w:spacing w:before="240" w:after="60"/>
      <w:outlineLvl w:val="2"/>
    </w:pPr>
    <w:rPr>
      <w:rFonts w:cs="Arial"/>
      <w:b/>
      <w:bCs/>
      <w:i/>
      <w:szCs w:val="26"/>
    </w:rPr>
  </w:style>
  <w:style w:type="paragraph" w:styleId="Heading4">
    <w:name w:val="heading 4"/>
    <w:basedOn w:val="Normal"/>
    <w:next w:val="Normal"/>
    <w:link w:val="Heading4Char"/>
    <w:semiHidden/>
    <w:unhideWhenUsed/>
    <w:qFormat/>
    <w:rsid w:val="00E21B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qFormat/>
    <w:rsid w:val="003F3501"/>
    <w:pPr>
      <w:autoSpaceDE w:val="0"/>
      <w:autoSpaceDN w:val="0"/>
      <w:adjustRightInd w:val="0"/>
    </w:pPr>
    <w:rPr>
      <w:i/>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C7410A"/>
    <w:pPr>
      <w:spacing w:before="120" w:after="120"/>
    </w:pPr>
    <w:rPr>
      <w:b/>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264090"/>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lang w:val="en-US" w:eastAsia="en-US"/>
    </w:rPr>
  </w:style>
  <w:style w:type="character" w:customStyle="1" w:styleId="Heading1Char">
    <w:name w:val="Heading 1 Char"/>
    <w:link w:val="Heading1"/>
    <w:uiPriority w:val="9"/>
    <w:rsid w:val="0070252E"/>
    <w:rPr>
      <w:bCs/>
      <w:caps/>
      <w:sz w:val="28"/>
      <w:szCs w:val="24"/>
      <w:lang w:val="x-none" w:eastAsia="x-none"/>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CommentText">
    <w:name w:val="annotation text"/>
    <w:basedOn w:val="Normal"/>
    <w:link w:val="CommentTextChar"/>
    <w:uiPriority w:val="99"/>
    <w:unhideWhenUsed/>
    <w:rsid w:val="00CE5BCD"/>
    <w:rPr>
      <w:sz w:val="20"/>
      <w:szCs w:val="20"/>
    </w:rPr>
  </w:style>
  <w:style w:type="character" w:customStyle="1" w:styleId="CommentTextChar">
    <w:name w:val="Comment Text Char"/>
    <w:basedOn w:val="DefaultParagraphFont"/>
    <w:link w:val="CommentText"/>
    <w:uiPriority w:val="99"/>
    <w:rsid w:val="00CE5BCD"/>
  </w:style>
  <w:style w:type="character" w:customStyle="1" w:styleId="maintitle">
    <w:name w:val="maintitle"/>
    <w:basedOn w:val="DefaultParagraphFont"/>
    <w:rsid w:val="006B3E6C"/>
  </w:style>
  <w:style w:type="paragraph" w:styleId="NormalWeb">
    <w:name w:val="Normal (Web)"/>
    <w:basedOn w:val="Normal"/>
    <w:uiPriority w:val="99"/>
    <w:unhideWhenUsed/>
    <w:rsid w:val="006B3E6C"/>
    <w:pPr>
      <w:spacing w:before="100" w:beforeAutospacing="1" w:after="100" w:afterAutospacing="1"/>
    </w:pPr>
  </w:style>
  <w:style w:type="paragraph" w:customStyle="1" w:styleId="copyright">
    <w:name w:val="copyright"/>
    <w:basedOn w:val="Normal"/>
    <w:rsid w:val="006B3E6C"/>
    <w:pPr>
      <w:spacing w:before="100" w:beforeAutospacing="1" w:after="100" w:afterAutospacing="1"/>
    </w:pPr>
  </w:style>
  <w:style w:type="character" w:customStyle="1" w:styleId="apple-converted-space">
    <w:name w:val="apple-converted-space"/>
    <w:basedOn w:val="DefaultParagraphFont"/>
    <w:rsid w:val="00772C78"/>
  </w:style>
  <w:style w:type="character" w:styleId="Emphasis">
    <w:name w:val="Emphasis"/>
    <w:basedOn w:val="DefaultParagraphFont"/>
    <w:uiPriority w:val="20"/>
    <w:qFormat/>
    <w:rsid w:val="00772C78"/>
    <w:rPr>
      <w:i/>
      <w:iCs/>
    </w:rPr>
  </w:style>
  <w:style w:type="character" w:styleId="Strong">
    <w:name w:val="Strong"/>
    <w:basedOn w:val="DefaultParagraphFont"/>
    <w:uiPriority w:val="22"/>
    <w:qFormat/>
    <w:rsid w:val="00F873A9"/>
    <w:rPr>
      <w:b/>
      <w:bCs/>
    </w:rPr>
  </w:style>
  <w:style w:type="character" w:styleId="HTMLCite">
    <w:name w:val="HTML Cite"/>
    <w:basedOn w:val="DefaultParagraphFont"/>
    <w:uiPriority w:val="99"/>
    <w:unhideWhenUsed/>
    <w:rsid w:val="009D34AE"/>
    <w:rPr>
      <w:i/>
      <w:iCs/>
    </w:rPr>
  </w:style>
  <w:style w:type="character" w:customStyle="1" w:styleId="author">
    <w:name w:val="author"/>
    <w:basedOn w:val="DefaultParagraphFont"/>
    <w:rsid w:val="009D34AE"/>
  </w:style>
  <w:style w:type="character" w:customStyle="1" w:styleId="pubyear">
    <w:name w:val="pubyear"/>
    <w:basedOn w:val="DefaultParagraphFont"/>
    <w:rsid w:val="009D34AE"/>
  </w:style>
  <w:style w:type="character" w:customStyle="1" w:styleId="articletitle">
    <w:name w:val="articletitle"/>
    <w:basedOn w:val="DefaultParagraphFont"/>
    <w:rsid w:val="009D34AE"/>
  </w:style>
  <w:style w:type="character" w:customStyle="1" w:styleId="journaltitle3">
    <w:name w:val="journaltitle3"/>
    <w:basedOn w:val="DefaultParagraphFont"/>
    <w:rsid w:val="009D34AE"/>
    <w:rPr>
      <w:i/>
      <w:iCs/>
    </w:rPr>
  </w:style>
  <w:style w:type="character" w:customStyle="1" w:styleId="vol3">
    <w:name w:val="vol3"/>
    <w:basedOn w:val="DefaultParagraphFont"/>
    <w:rsid w:val="009D34AE"/>
    <w:rPr>
      <w:b/>
      <w:bCs/>
    </w:rPr>
  </w:style>
  <w:style w:type="character" w:customStyle="1" w:styleId="pagefirst">
    <w:name w:val="pagefirst"/>
    <w:basedOn w:val="DefaultParagraphFont"/>
    <w:rsid w:val="009D34AE"/>
  </w:style>
  <w:style w:type="character" w:customStyle="1" w:styleId="pagelast">
    <w:name w:val="pagelast"/>
    <w:basedOn w:val="DefaultParagraphFont"/>
    <w:rsid w:val="009D34AE"/>
  </w:style>
  <w:style w:type="paragraph" w:customStyle="1" w:styleId="articlecategory">
    <w:name w:val="articlecategory"/>
    <w:basedOn w:val="Normal"/>
    <w:rsid w:val="00CB0C91"/>
    <w:pPr>
      <w:spacing w:before="100" w:beforeAutospacing="1" w:after="100" w:afterAutospacing="1"/>
    </w:pPr>
  </w:style>
  <w:style w:type="character" w:customStyle="1" w:styleId="st">
    <w:name w:val="st"/>
    <w:basedOn w:val="DefaultParagraphFont"/>
    <w:rsid w:val="00ED2F2C"/>
  </w:style>
  <w:style w:type="character" w:styleId="CommentReference">
    <w:name w:val="annotation reference"/>
    <w:basedOn w:val="DefaultParagraphFont"/>
    <w:uiPriority w:val="99"/>
    <w:unhideWhenUsed/>
    <w:rsid w:val="00B248DC"/>
    <w:rPr>
      <w:sz w:val="16"/>
      <w:szCs w:val="16"/>
    </w:rPr>
  </w:style>
  <w:style w:type="character" w:customStyle="1" w:styleId="a1">
    <w:name w:val="a1"/>
    <w:basedOn w:val="DefaultParagraphFont"/>
    <w:rsid w:val="00F422CE"/>
    <w:rPr>
      <w:rFonts w:ascii="Arial" w:hAnsi="Arial" w:cs="Arial" w:hint="default"/>
      <w:b w:val="0"/>
      <w:bCs w:val="0"/>
      <w:i w:val="0"/>
      <w:iCs w:val="0"/>
      <w:bdr w:val="none" w:sz="0" w:space="0" w:color="auto" w:frame="1"/>
    </w:rPr>
  </w:style>
  <w:style w:type="character" w:customStyle="1" w:styleId="l72">
    <w:name w:val="l7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15">
    <w:name w:val="l15"/>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92">
    <w:name w:val="l9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122">
    <w:name w:val="l12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l62">
    <w:name w:val="l62"/>
    <w:basedOn w:val="DefaultParagraphFont"/>
    <w:rsid w:val="00F422CE"/>
    <w:rPr>
      <w:rFonts w:ascii="Arial" w:hAnsi="Arial" w:cs="Arial" w:hint="default"/>
      <w:b w:val="0"/>
      <w:bCs w:val="0"/>
      <w:i w:val="0"/>
      <w:iCs w:val="0"/>
      <w:vanish w:val="0"/>
      <w:webHidden w:val="0"/>
      <w:bdr w:val="none" w:sz="0" w:space="0" w:color="auto" w:frame="1"/>
      <w:specVanish w:val="0"/>
    </w:rPr>
  </w:style>
  <w:style w:type="character" w:customStyle="1" w:styleId="citation">
    <w:name w:val="citation"/>
    <w:basedOn w:val="DefaultParagraphFont"/>
    <w:uiPriority w:val="99"/>
    <w:rsid w:val="00D31096"/>
  </w:style>
  <w:style w:type="character" w:customStyle="1" w:styleId="chaptertitle">
    <w:name w:val="chaptertitle"/>
    <w:basedOn w:val="DefaultParagraphFont"/>
    <w:rsid w:val="00E63D27"/>
  </w:style>
  <w:style w:type="character" w:customStyle="1" w:styleId="editor">
    <w:name w:val="editor"/>
    <w:basedOn w:val="DefaultParagraphFont"/>
    <w:rsid w:val="00E63D27"/>
  </w:style>
  <w:style w:type="character" w:customStyle="1" w:styleId="booktitle">
    <w:name w:val="booktitle"/>
    <w:basedOn w:val="DefaultParagraphFont"/>
    <w:rsid w:val="00E63D27"/>
  </w:style>
  <w:style w:type="character" w:customStyle="1" w:styleId="publisherlocation">
    <w:name w:val="publisherlocation"/>
    <w:basedOn w:val="DefaultParagraphFont"/>
    <w:rsid w:val="00E63D27"/>
  </w:style>
  <w:style w:type="character" w:customStyle="1" w:styleId="sb-contribution">
    <w:name w:val="sb-contribution"/>
    <w:basedOn w:val="DefaultParagraphFont"/>
    <w:rsid w:val="003B35F5"/>
  </w:style>
  <w:style w:type="character" w:customStyle="1" w:styleId="sb-authors">
    <w:name w:val="sb-authors"/>
    <w:basedOn w:val="DefaultParagraphFont"/>
    <w:rsid w:val="003B35F5"/>
  </w:style>
  <w:style w:type="character" w:customStyle="1" w:styleId="sb-issue">
    <w:name w:val="sb-issue"/>
    <w:basedOn w:val="DefaultParagraphFont"/>
    <w:rsid w:val="003B35F5"/>
  </w:style>
  <w:style w:type="character" w:customStyle="1" w:styleId="sb-date">
    <w:name w:val="sb-date"/>
    <w:basedOn w:val="DefaultParagraphFont"/>
    <w:rsid w:val="003B35F5"/>
  </w:style>
  <w:style w:type="character" w:customStyle="1" w:styleId="sb-volume-nr">
    <w:name w:val="sb-volume-nr"/>
    <w:basedOn w:val="DefaultParagraphFont"/>
    <w:rsid w:val="003B35F5"/>
  </w:style>
  <w:style w:type="character" w:customStyle="1" w:styleId="sb-pages">
    <w:name w:val="sb-pages"/>
    <w:basedOn w:val="DefaultParagraphFont"/>
    <w:rsid w:val="003B35F5"/>
  </w:style>
  <w:style w:type="paragraph" w:customStyle="1" w:styleId="title0">
    <w:name w:val="title"/>
    <w:basedOn w:val="Normal"/>
    <w:rsid w:val="00AA5FE8"/>
    <w:pPr>
      <w:spacing w:before="100" w:beforeAutospacing="1" w:after="100" w:afterAutospacing="1"/>
    </w:pPr>
  </w:style>
  <w:style w:type="paragraph" w:customStyle="1" w:styleId="desc">
    <w:name w:val="desc"/>
    <w:basedOn w:val="Normal"/>
    <w:rsid w:val="00AA5FE8"/>
    <w:pPr>
      <w:spacing w:before="100" w:beforeAutospacing="1" w:after="100" w:afterAutospacing="1"/>
    </w:pPr>
  </w:style>
  <w:style w:type="paragraph" w:customStyle="1" w:styleId="details">
    <w:name w:val="details"/>
    <w:basedOn w:val="Normal"/>
    <w:rsid w:val="00AA5FE8"/>
    <w:pPr>
      <w:spacing w:before="100" w:beforeAutospacing="1" w:after="100" w:afterAutospacing="1"/>
    </w:pPr>
  </w:style>
  <w:style w:type="character" w:customStyle="1" w:styleId="jrnl">
    <w:name w:val="jrnl"/>
    <w:basedOn w:val="DefaultParagraphFont"/>
    <w:rsid w:val="00AA5FE8"/>
  </w:style>
  <w:style w:type="character" w:customStyle="1" w:styleId="hps">
    <w:name w:val="hps"/>
    <w:basedOn w:val="DefaultParagraphFont"/>
    <w:rsid w:val="005875C9"/>
  </w:style>
  <w:style w:type="character" w:customStyle="1" w:styleId="atn">
    <w:name w:val="atn"/>
    <w:basedOn w:val="DefaultParagraphFont"/>
    <w:rsid w:val="005875C9"/>
  </w:style>
  <w:style w:type="paragraph" w:styleId="ListParagraph">
    <w:name w:val="List Paragraph"/>
    <w:basedOn w:val="Normal"/>
    <w:uiPriority w:val="99"/>
    <w:qFormat/>
    <w:rsid w:val="00A22BE6"/>
    <w:pPr>
      <w:ind w:left="1296"/>
    </w:pPr>
    <w:rPr>
      <w:rFonts w:eastAsia="Calibri"/>
    </w:rPr>
  </w:style>
  <w:style w:type="character" w:customStyle="1" w:styleId="literature2">
    <w:name w:val="literature2"/>
    <w:basedOn w:val="DefaultParagraphFont"/>
    <w:rsid w:val="00A05597"/>
    <w:rPr>
      <w:rFonts w:ascii="MinionProItalic" w:hAnsi="MinionProItalic" w:cs="Arial" w:hint="default"/>
      <w:i w:val="0"/>
      <w:iCs w:val="0"/>
      <w:smallCaps w:val="0"/>
      <w:vanish w:val="0"/>
      <w:webHidden w:val="0"/>
      <w:color w:val="747371"/>
      <w:sz w:val="21"/>
      <w:szCs w:val="21"/>
      <w:bdr w:val="single" w:sz="6" w:space="15" w:color="8D8B88" w:frame="1"/>
      <w:specVanish w:val="0"/>
    </w:rPr>
  </w:style>
  <w:style w:type="paragraph" w:styleId="BalloonText">
    <w:name w:val="Balloon Text"/>
    <w:basedOn w:val="Normal"/>
    <w:link w:val="BalloonTextChar"/>
    <w:uiPriority w:val="99"/>
    <w:rsid w:val="00A05597"/>
    <w:rPr>
      <w:rFonts w:ascii="Tahoma" w:hAnsi="Tahoma" w:cs="Tahoma"/>
      <w:sz w:val="16"/>
      <w:szCs w:val="16"/>
    </w:rPr>
  </w:style>
  <w:style w:type="character" w:customStyle="1" w:styleId="BalloonTextChar">
    <w:name w:val="Balloon Text Char"/>
    <w:basedOn w:val="DefaultParagraphFont"/>
    <w:link w:val="BalloonText"/>
    <w:uiPriority w:val="99"/>
    <w:rsid w:val="00A05597"/>
    <w:rPr>
      <w:rFonts w:ascii="Tahoma" w:hAnsi="Tahoma" w:cs="Tahoma"/>
      <w:sz w:val="16"/>
      <w:szCs w:val="16"/>
    </w:rPr>
  </w:style>
  <w:style w:type="paragraph" w:customStyle="1" w:styleId="ColorfulList-Accent11">
    <w:name w:val="Colorful List - Accent 11"/>
    <w:basedOn w:val="Normal"/>
    <w:uiPriority w:val="34"/>
    <w:qFormat/>
    <w:rsid w:val="00F20A4E"/>
    <w:pPr>
      <w:spacing w:after="200" w:line="276" w:lineRule="auto"/>
      <w:ind w:left="720"/>
      <w:contextualSpacing/>
    </w:pPr>
    <w:rPr>
      <w:rFonts w:ascii="Calibri" w:eastAsia="Calibri" w:hAnsi="Calibri"/>
      <w:sz w:val="22"/>
      <w:szCs w:val="22"/>
      <w:lang w:bidi="en-US"/>
    </w:rPr>
  </w:style>
  <w:style w:type="character" w:customStyle="1" w:styleId="searchword1">
    <w:name w:val="searchword1"/>
    <w:basedOn w:val="DefaultParagraphFont"/>
    <w:rsid w:val="00246BC3"/>
    <w:rPr>
      <w:shd w:val="clear" w:color="auto" w:fill="FFFBC3"/>
    </w:rPr>
  </w:style>
  <w:style w:type="paragraph" w:styleId="CommentSubject">
    <w:name w:val="annotation subject"/>
    <w:basedOn w:val="CommentText"/>
    <w:next w:val="CommentText"/>
    <w:link w:val="CommentSubjectChar"/>
    <w:uiPriority w:val="99"/>
    <w:unhideWhenUsed/>
    <w:rsid w:val="00246BC3"/>
    <w:pPr>
      <w:spacing w:line="480" w:lineRule="auto"/>
      <w:ind w:left="720" w:hanging="720"/>
    </w:pPr>
    <w:rPr>
      <w:b/>
      <w:bCs/>
    </w:rPr>
  </w:style>
  <w:style w:type="character" w:customStyle="1" w:styleId="CommentSubjectChar">
    <w:name w:val="Comment Subject Char"/>
    <w:basedOn w:val="CommentTextChar"/>
    <w:link w:val="CommentSubject"/>
    <w:uiPriority w:val="99"/>
    <w:rsid w:val="00246BC3"/>
    <w:rPr>
      <w:b/>
      <w:bCs/>
    </w:rPr>
  </w:style>
  <w:style w:type="character" w:customStyle="1" w:styleId="Heading2Char">
    <w:name w:val="Heading 2 Char"/>
    <w:basedOn w:val="DefaultParagraphFont"/>
    <w:link w:val="Heading2"/>
    <w:uiPriority w:val="9"/>
    <w:rsid w:val="003F3501"/>
    <w:rPr>
      <w:rFonts w:cs="Arial"/>
      <w:b/>
      <w:bCs/>
      <w:iCs/>
      <w:sz w:val="24"/>
      <w:szCs w:val="28"/>
    </w:rPr>
  </w:style>
  <w:style w:type="paragraph" w:customStyle="1" w:styleId="articledetails">
    <w:name w:val="articledetails"/>
    <w:basedOn w:val="Normal"/>
    <w:rsid w:val="00246BC3"/>
    <w:pPr>
      <w:spacing w:before="100" w:beforeAutospacing="1" w:after="100" w:afterAutospacing="1"/>
    </w:pPr>
  </w:style>
  <w:style w:type="paragraph" w:customStyle="1" w:styleId="Subheading1">
    <w:name w:val="Subheading 1"/>
    <w:basedOn w:val="Title"/>
    <w:link w:val="Subheading1Char"/>
    <w:autoRedefine/>
    <w:qFormat/>
    <w:rsid w:val="001C587B"/>
    <w:pPr>
      <w:spacing w:line="480" w:lineRule="auto"/>
    </w:pPr>
  </w:style>
  <w:style w:type="paragraph" w:customStyle="1" w:styleId="Style1">
    <w:name w:val="Style1"/>
    <w:basedOn w:val="Heading4"/>
    <w:qFormat/>
    <w:rsid w:val="001C587B"/>
    <w:pPr>
      <w:spacing w:line="480" w:lineRule="auto"/>
    </w:pPr>
    <w:rPr>
      <w:rFonts w:ascii="Times New Roman" w:hAnsi="Times New Roman"/>
      <w:b w:val="0"/>
      <w:i/>
      <w:sz w:val="24"/>
    </w:rPr>
  </w:style>
  <w:style w:type="character" w:customStyle="1" w:styleId="TitleChar">
    <w:name w:val="Title Char"/>
    <w:basedOn w:val="DefaultParagraphFont"/>
    <w:link w:val="Title"/>
    <w:rsid w:val="003F3501"/>
    <w:rPr>
      <w:i/>
      <w:sz w:val="24"/>
      <w:szCs w:val="28"/>
    </w:rPr>
  </w:style>
  <w:style w:type="character" w:customStyle="1" w:styleId="Subheading1Char">
    <w:name w:val="Subheading 1 Char"/>
    <w:basedOn w:val="TitleChar"/>
    <w:link w:val="Subheading1"/>
    <w:rsid w:val="003F3501"/>
    <w:rPr>
      <w:i/>
      <w:sz w:val="24"/>
      <w:szCs w:val="28"/>
    </w:rPr>
  </w:style>
  <w:style w:type="character" w:customStyle="1" w:styleId="Heading3Char">
    <w:name w:val="Heading 3 Char"/>
    <w:link w:val="Heading3"/>
    <w:uiPriority w:val="9"/>
    <w:rsid w:val="001E671B"/>
    <w:rPr>
      <w:rFonts w:cs="Arial"/>
      <w:b/>
      <w:bCs/>
      <w:i/>
      <w:sz w:val="24"/>
      <w:szCs w:val="26"/>
    </w:rPr>
  </w:style>
  <w:style w:type="character" w:customStyle="1" w:styleId="Heading4Char">
    <w:name w:val="Heading 4 Char"/>
    <w:basedOn w:val="DefaultParagraphFont"/>
    <w:link w:val="Heading4"/>
    <w:semiHidden/>
    <w:rsid w:val="00E21B99"/>
    <w:rPr>
      <w:rFonts w:ascii="Calibri" w:eastAsia="Times New Roman" w:hAnsi="Calibri" w:cs="Times New Roman"/>
      <w:b/>
      <w:bCs/>
      <w:sz w:val="28"/>
      <w:szCs w:val="28"/>
    </w:rPr>
  </w:style>
  <w:style w:type="paragraph" w:styleId="Revision">
    <w:name w:val="Revision"/>
    <w:hidden/>
    <w:uiPriority w:val="99"/>
    <w:rsid w:val="001E671B"/>
    <w:rPr>
      <w:sz w:val="24"/>
      <w:szCs w:val="24"/>
    </w:rPr>
  </w:style>
  <w:style w:type="paragraph" w:styleId="HTMLPreformatted">
    <w:name w:val="HTML Preformatted"/>
    <w:basedOn w:val="Normal"/>
    <w:link w:val="HTMLPreformattedChar"/>
    <w:uiPriority w:val="99"/>
    <w:unhideWhenUsed/>
    <w:rsid w:val="001E6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E671B"/>
    <w:rPr>
      <w:rFonts w:ascii="Courier New" w:hAnsi="Courier New" w:cs="Courier New"/>
    </w:rPr>
  </w:style>
  <w:style w:type="character" w:customStyle="1" w:styleId="name">
    <w:name w:val="name"/>
    <w:rsid w:val="001E671B"/>
  </w:style>
  <w:style w:type="character" w:customStyle="1" w:styleId="contrib-on-behalf-of">
    <w:name w:val="contrib-on-behalf-of"/>
    <w:rsid w:val="001E671B"/>
  </w:style>
  <w:style w:type="character" w:customStyle="1" w:styleId="slug-vol">
    <w:name w:val="slug-vol"/>
    <w:rsid w:val="001E671B"/>
  </w:style>
  <w:style w:type="character" w:customStyle="1" w:styleId="slug-issue">
    <w:name w:val="slug-issue"/>
    <w:rsid w:val="001E671B"/>
  </w:style>
  <w:style w:type="character" w:customStyle="1" w:styleId="citation-abbreviation">
    <w:name w:val="citation-abbreviation"/>
    <w:rsid w:val="001E671B"/>
  </w:style>
  <w:style w:type="character" w:customStyle="1" w:styleId="citation-publication-date">
    <w:name w:val="citation-publication-date"/>
    <w:rsid w:val="001E671B"/>
  </w:style>
  <w:style w:type="character" w:customStyle="1" w:styleId="citation-volume">
    <w:name w:val="citation-volume"/>
    <w:rsid w:val="001E671B"/>
  </w:style>
  <w:style w:type="character" w:customStyle="1" w:styleId="citation-issue">
    <w:name w:val="citation-issue"/>
    <w:rsid w:val="001E671B"/>
  </w:style>
  <w:style w:type="character" w:customStyle="1" w:styleId="citation-flpages">
    <w:name w:val="citation-flpages"/>
    <w:rsid w:val="001E671B"/>
  </w:style>
  <w:style w:type="character" w:customStyle="1" w:styleId="fm-vol-iss-date">
    <w:name w:val="fm-vol-iss-date"/>
    <w:rsid w:val="001E671B"/>
  </w:style>
  <w:style w:type="character" w:customStyle="1" w:styleId="doi1">
    <w:name w:val="doi1"/>
    <w:rsid w:val="001E671B"/>
  </w:style>
  <w:style w:type="character" w:customStyle="1" w:styleId="fm-citation-ids-label">
    <w:name w:val="fm-citation-ids-label"/>
    <w:rsid w:val="001E671B"/>
  </w:style>
  <w:style w:type="character" w:customStyle="1" w:styleId="freeaccess">
    <w:name w:val="freeaccess"/>
    <w:rsid w:val="001E671B"/>
  </w:style>
  <w:style w:type="paragraph" w:customStyle="1" w:styleId="specialissue">
    <w:name w:val="specialissue"/>
    <w:basedOn w:val="Normal"/>
    <w:rsid w:val="001E671B"/>
    <w:pPr>
      <w:spacing w:before="100" w:beforeAutospacing="1" w:after="100" w:afterAutospacing="1"/>
    </w:pPr>
  </w:style>
  <w:style w:type="character" w:customStyle="1" w:styleId="slug-pub-date5">
    <w:name w:val="slug-pub-date5"/>
    <w:rsid w:val="001E671B"/>
    <w:rPr>
      <w:b w:val="0"/>
      <w:bCs w:val="0"/>
    </w:rPr>
  </w:style>
  <w:style w:type="character" w:customStyle="1" w:styleId="slug-pages5">
    <w:name w:val="slug-pages5"/>
    <w:rsid w:val="001E671B"/>
    <w:rPr>
      <w:b w:val="0"/>
      <w:bCs w:val="0"/>
    </w:rPr>
  </w:style>
  <w:style w:type="character" w:customStyle="1" w:styleId="authordegrees">
    <w:name w:val="authordegrees"/>
    <w:rsid w:val="001E671B"/>
    <w:rPr>
      <w:sz w:val="24"/>
      <w:szCs w:val="24"/>
      <w:bdr w:val="none" w:sz="0" w:space="0" w:color="auto" w:frame="1"/>
      <w:vertAlign w:val="baseline"/>
    </w:rPr>
  </w:style>
  <w:style w:type="paragraph" w:customStyle="1" w:styleId="Default">
    <w:name w:val="Default"/>
    <w:rsid w:val="002A2A0F"/>
    <w:pPr>
      <w:autoSpaceDE w:val="0"/>
      <w:autoSpaceDN w:val="0"/>
      <w:adjustRightInd w:val="0"/>
    </w:pPr>
    <w:rPr>
      <w:rFonts w:ascii="Code" w:eastAsia="Calibri" w:hAnsi="Code" w:cs="Code"/>
      <w:color w:val="000000"/>
      <w:sz w:val="24"/>
      <w:szCs w:val="24"/>
    </w:rPr>
  </w:style>
  <w:style w:type="character" w:customStyle="1" w:styleId="nlmsource">
    <w:name w:val="nlm_source"/>
    <w:basedOn w:val="DefaultParagraphFont"/>
    <w:rsid w:val="0031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4022">
      <w:bodyDiv w:val="1"/>
      <w:marLeft w:val="0"/>
      <w:marRight w:val="0"/>
      <w:marTop w:val="0"/>
      <w:marBottom w:val="0"/>
      <w:divBdr>
        <w:top w:val="none" w:sz="0" w:space="0" w:color="auto"/>
        <w:left w:val="none" w:sz="0" w:space="0" w:color="auto"/>
        <w:bottom w:val="none" w:sz="0" w:space="0" w:color="auto"/>
        <w:right w:val="none" w:sz="0" w:space="0" w:color="auto"/>
      </w:divBdr>
    </w:div>
    <w:div w:id="53938012">
      <w:bodyDiv w:val="1"/>
      <w:marLeft w:val="0"/>
      <w:marRight w:val="0"/>
      <w:marTop w:val="0"/>
      <w:marBottom w:val="0"/>
      <w:divBdr>
        <w:top w:val="none" w:sz="0" w:space="0" w:color="auto"/>
        <w:left w:val="none" w:sz="0" w:space="0" w:color="auto"/>
        <w:bottom w:val="none" w:sz="0" w:space="0" w:color="auto"/>
        <w:right w:val="none" w:sz="0" w:space="0" w:color="auto"/>
      </w:divBdr>
    </w:div>
    <w:div w:id="87233082">
      <w:bodyDiv w:val="1"/>
      <w:marLeft w:val="0"/>
      <w:marRight w:val="0"/>
      <w:marTop w:val="0"/>
      <w:marBottom w:val="0"/>
      <w:divBdr>
        <w:top w:val="none" w:sz="0" w:space="0" w:color="auto"/>
        <w:left w:val="none" w:sz="0" w:space="0" w:color="auto"/>
        <w:bottom w:val="none" w:sz="0" w:space="0" w:color="auto"/>
        <w:right w:val="none" w:sz="0" w:space="0" w:color="auto"/>
      </w:divBdr>
    </w:div>
    <w:div w:id="114105580">
      <w:bodyDiv w:val="1"/>
      <w:marLeft w:val="0"/>
      <w:marRight w:val="0"/>
      <w:marTop w:val="0"/>
      <w:marBottom w:val="0"/>
      <w:divBdr>
        <w:top w:val="none" w:sz="0" w:space="0" w:color="auto"/>
        <w:left w:val="none" w:sz="0" w:space="0" w:color="auto"/>
        <w:bottom w:val="none" w:sz="0" w:space="0" w:color="auto"/>
        <w:right w:val="none" w:sz="0" w:space="0" w:color="auto"/>
      </w:divBdr>
    </w:div>
    <w:div w:id="120997075">
      <w:bodyDiv w:val="1"/>
      <w:marLeft w:val="0"/>
      <w:marRight w:val="0"/>
      <w:marTop w:val="0"/>
      <w:marBottom w:val="0"/>
      <w:divBdr>
        <w:top w:val="none" w:sz="0" w:space="0" w:color="auto"/>
        <w:left w:val="none" w:sz="0" w:space="0" w:color="auto"/>
        <w:bottom w:val="none" w:sz="0" w:space="0" w:color="auto"/>
        <w:right w:val="none" w:sz="0" w:space="0" w:color="auto"/>
      </w:divBdr>
    </w:div>
    <w:div w:id="128518815">
      <w:bodyDiv w:val="1"/>
      <w:marLeft w:val="0"/>
      <w:marRight w:val="0"/>
      <w:marTop w:val="0"/>
      <w:marBottom w:val="0"/>
      <w:divBdr>
        <w:top w:val="none" w:sz="0" w:space="0" w:color="auto"/>
        <w:left w:val="none" w:sz="0" w:space="0" w:color="auto"/>
        <w:bottom w:val="none" w:sz="0" w:space="0" w:color="auto"/>
        <w:right w:val="none" w:sz="0" w:space="0" w:color="auto"/>
      </w:divBdr>
    </w:div>
    <w:div w:id="181751859">
      <w:bodyDiv w:val="1"/>
      <w:marLeft w:val="0"/>
      <w:marRight w:val="0"/>
      <w:marTop w:val="0"/>
      <w:marBottom w:val="0"/>
      <w:divBdr>
        <w:top w:val="none" w:sz="0" w:space="0" w:color="auto"/>
        <w:left w:val="none" w:sz="0" w:space="0" w:color="auto"/>
        <w:bottom w:val="none" w:sz="0" w:space="0" w:color="auto"/>
        <w:right w:val="none" w:sz="0" w:space="0" w:color="auto"/>
      </w:divBdr>
    </w:div>
    <w:div w:id="520630964">
      <w:bodyDiv w:val="1"/>
      <w:marLeft w:val="0"/>
      <w:marRight w:val="0"/>
      <w:marTop w:val="0"/>
      <w:marBottom w:val="0"/>
      <w:divBdr>
        <w:top w:val="none" w:sz="0" w:space="0" w:color="auto"/>
        <w:left w:val="none" w:sz="0" w:space="0" w:color="auto"/>
        <w:bottom w:val="none" w:sz="0" w:space="0" w:color="auto"/>
        <w:right w:val="none" w:sz="0" w:space="0" w:color="auto"/>
      </w:divBdr>
    </w:div>
    <w:div w:id="59710023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0768647">
      <w:bodyDiv w:val="1"/>
      <w:marLeft w:val="0"/>
      <w:marRight w:val="0"/>
      <w:marTop w:val="0"/>
      <w:marBottom w:val="0"/>
      <w:divBdr>
        <w:top w:val="none" w:sz="0" w:space="0" w:color="auto"/>
        <w:left w:val="none" w:sz="0" w:space="0" w:color="auto"/>
        <w:bottom w:val="none" w:sz="0" w:space="0" w:color="auto"/>
        <w:right w:val="none" w:sz="0" w:space="0" w:color="auto"/>
      </w:divBdr>
    </w:div>
    <w:div w:id="769741467">
      <w:bodyDiv w:val="1"/>
      <w:marLeft w:val="0"/>
      <w:marRight w:val="0"/>
      <w:marTop w:val="0"/>
      <w:marBottom w:val="0"/>
      <w:divBdr>
        <w:top w:val="none" w:sz="0" w:space="0" w:color="auto"/>
        <w:left w:val="none" w:sz="0" w:space="0" w:color="auto"/>
        <w:bottom w:val="none" w:sz="0" w:space="0" w:color="auto"/>
        <w:right w:val="none" w:sz="0" w:space="0" w:color="auto"/>
      </w:divBdr>
    </w:div>
    <w:div w:id="776873379">
      <w:bodyDiv w:val="1"/>
      <w:marLeft w:val="0"/>
      <w:marRight w:val="0"/>
      <w:marTop w:val="0"/>
      <w:marBottom w:val="0"/>
      <w:divBdr>
        <w:top w:val="none" w:sz="0" w:space="0" w:color="auto"/>
        <w:left w:val="none" w:sz="0" w:space="0" w:color="auto"/>
        <w:bottom w:val="none" w:sz="0" w:space="0" w:color="auto"/>
        <w:right w:val="none" w:sz="0" w:space="0" w:color="auto"/>
      </w:divBdr>
    </w:div>
    <w:div w:id="788814208">
      <w:bodyDiv w:val="1"/>
      <w:marLeft w:val="0"/>
      <w:marRight w:val="0"/>
      <w:marTop w:val="0"/>
      <w:marBottom w:val="0"/>
      <w:divBdr>
        <w:top w:val="none" w:sz="0" w:space="0" w:color="auto"/>
        <w:left w:val="none" w:sz="0" w:space="0" w:color="auto"/>
        <w:bottom w:val="none" w:sz="0" w:space="0" w:color="auto"/>
        <w:right w:val="none" w:sz="0" w:space="0" w:color="auto"/>
      </w:divBdr>
    </w:div>
    <w:div w:id="871041093">
      <w:bodyDiv w:val="1"/>
      <w:marLeft w:val="0"/>
      <w:marRight w:val="0"/>
      <w:marTop w:val="0"/>
      <w:marBottom w:val="0"/>
      <w:divBdr>
        <w:top w:val="none" w:sz="0" w:space="0" w:color="auto"/>
        <w:left w:val="none" w:sz="0" w:space="0" w:color="auto"/>
        <w:bottom w:val="none" w:sz="0" w:space="0" w:color="auto"/>
        <w:right w:val="none" w:sz="0" w:space="0" w:color="auto"/>
      </w:divBdr>
    </w:div>
    <w:div w:id="871848345">
      <w:bodyDiv w:val="1"/>
      <w:marLeft w:val="0"/>
      <w:marRight w:val="0"/>
      <w:marTop w:val="0"/>
      <w:marBottom w:val="0"/>
      <w:divBdr>
        <w:top w:val="none" w:sz="0" w:space="0" w:color="auto"/>
        <w:left w:val="none" w:sz="0" w:space="0" w:color="auto"/>
        <w:bottom w:val="none" w:sz="0" w:space="0" w:color="auto"/>
        <w:right w:val="none" w:sz="0" w:space="0" w:color="auto"/>
      </w:divBdr>
    </w:div>
    <w:div w:id="926421538">
      <w:bodyDiv w:val="1"/>
      <w:marLeft w:val="0"/>
      <w:marRight w:val="0"/>
      <w:marTop w:val="0"/>
      <w:marBottom w:val="0"/>
      <w:divBdr>
        <w:top w:val="none" w:sz="0" w:space="0" w:color="auto"/>
        <w:left w:val="none" w:sz="0" w:space="0" w:color="auto"/>
        <w:bottom w:val="none" w:sz="0" w:space="0" w:color="auto"/>
        <w:right w:val="none" w:sz="0" w:space="0" w:color="auto"/>
      </w:divBdr>
    </w:div>
    <w:div w:id="1012340965">
      <w:bodyDiv w:val="1"/>
      <w:marLeft w:val="0"/>
      <w:marRight w:val="0"/>
      <w:marTop w:val="0"/>
      <w:marBottom w:val="0"/>
      <w:divBdr>
        <w:top w:val="none" w:sz="0" w:space="0" w:color="auto"/>
        <w:left w:val="none" w:sz="0" w:space="0" w:color="auto"/>
        <w:bottom w:val="none" w:sz="0" w:space="0" w:color="auto"/>
        <w:right w:val="none" w:sz="0" w:space="0" w:color="auto"/>
      </w:divBdr>
    </w:div>
    <w:div w:id="1039625086">
      <w:bodyDiv w:val="1"/>
      <w:marLeft w:val="0"/>
      <w:marRight w:val="0"/>
      <w:marTop w:val="0"/>
      <w:marBottom w:val="0"/>
      <w:divBdr>
        <w:top w:val="none" w:sz="0" w:space="0" w:color="auto"/>
        <w:left w:val="none" w:sz="0" w:space="0" w:color="auto"/>
        <w:bottom w:val="none" w:sz="0" w:space="0" w:color="auto"/>
        <w:right w:val="none" w:sz="0" w:space="0" w:color="auto"/>
      </w:divBdr>
    </w:div>
    <w:div w:id="1194659331">
      <w:bodyDiv w:val="1"/>
      <w:marLeft w:val="0"/>
      <w:marRight w:val="0"/>
      <w:marTop w:val="0"/>
      <w:marBottom w:val="0"/>
      <w:divBdr>
        <w:top w:val="none" w:sz="0" w:space="0" w:color="auto"/>
        <w:left w:val="none" w:sz="0" w:space="0" w:color="auto"/>
        <w:bottom w:val="none" w:sz="0" w:space="0" w:color="auto"/>
        <w:right w:val="none" w:sz="0" w:space="0" w:color="auto"/>
      </w:divBdr>
    </w:div>
    <w:div w:id="1224176167">
      <w:bodyDiv w:val="1"/>
      <w:marLeft w:val="0"/>
      <w:marRight w:val="0"/>
      <w:marTop w:val="0"/>
      <w:marBottom w:val="0"/>
      <w:divBdr>
        <w:top w:val="none" w:sz="0" w:space="0" w:color="auto"/>
        <w:left w:val="none" w:sz="0" w:space="0" w:color="auto"/>
        <w:bottom w:val="none" w:sz="0" w:space="0" w:color="auto"/>
        <w:right w:val="none" w:sz="0" w:space="0" w:color="auto"/>
      </w:divBdr>
    </w:div>
    <w:div w:id="1304506736">
      <w:bodyDiv w:val="1"/>
      <w:marLeft w:val="0"/>
      <w:marRight w:val="0"/>
      <w:marTop w:val="0"/>
      <w:marBottom w:val="0"/>
      <w:divBdr>
        <w:top w:val="none" w:sz="0" w:space="0" w:color="auto"/>
        <w:left w:val="none" w:sz="0" w:space="0" w:color="auto"/>
        <w:bottom w:val="none" w:sz="0" w:space="0" w:color="auto"/>
        <w:right w:val="none" w:sz="0" w:space="0" w:color="auto"/>
      </w:divBdr>
    </w:div>
    <w:div w:id="1465731378">
      <w:bodyDiv w:val="1"/>
      <w:marLeft w:val="0"/>
      <w:marRight w:val="0"/>
      <w:marTop w:val="0"/>
      <w:marBottom w:val="0"/>
      <w:divBdr>
        <w:top w:val="none" w:sz="0" w:space="0" w:color="auto"/>
        <w:left w:val="none" w:sz="0" w:space="0" w:color="auto"/>
        <w:bottom w:val="none" w:sz="0" w:space="0" w:color="auto"/>
        <w:right w:val="none" w:sz="0" w:space="0" w:color="auto"/>
      </w:divBdr>
      <w:divsChild>
        <w:div w:id="1211527915">
          <w:marLeft w:val="0"/>
          <w:marRight w:val="0"/>
          <w:marTop w:val="34"/>
          <w:marBottom w:val="34"/>
          <w:divBdr>
            <w:top w:val="none" w:sz="0" w:space="0" w:color="auto"/>
            <w:left w:val="none" w:sz="0" w:space="0" w:color="auto"/>
            <w:bottom w:val="none" w:sz="0" w:space="0" w:color="auto"/>
            <w:right w:val="none" w:sz="0" w:space="0" w:color="auto"/>
          </w:divBdr>
        </w:div>
      </w:divsChild>
    </w:div>
    <w:div w:id="1505558780">
      <w:bodyDiv w:val="1"/>
      <w:marLeft w:val="0"/>
      <w:marRight w:val="0"/>
      <w:marTop w:val="0"/>
      <w:marBottom w:val="0"/>
      <w:divBdr>
        <w:top w:val="none" w:sz="0" w:space="0" w:color="auto"/>
        <w:left w:val="none" w:sz="0" w:space="0" w:color="auto"/>
        <w:bottom w:val="none" w:sz="0" w:space="0" w:color="auto"/>
        <w:right w:val="none" w:sz="0" w:space="0" w:color="auto"/>
      </w:divBdr>
    </w:div>
    <w:div w:id="1568102265">
      <w:bodyDiv w:val="1"/>
      <w:marLeft w:val="0"/>
      <w:marRight w:val="0"/>
      <w:marTop w:val="0"/>
      <w:marBottom w:val="0"/>
      <w:divBdr>
        <w:top w:val="none" w:sz="0" w:space="0" w:color="auto"/>
        <w:left w:val="none" w:sz="0" w:space="0" w:color="auto"/>
        <w:bottom w:val="none" w:sz="0" w:space="0" w:color="auto"/>
        <w:right w:val="none" w:sz="0" w:space="0" w:color="auto"/>
      </w:divBdr>
    </w:div>
    <w:div w:id="1648314443">
      <w:bodyDiv w:val="1"/>
      <w:marLeft w:val="0"/>
      <w:marRight w:val="0"/>
      <w:marTop w:val="0"/>
      <w:marBottom w:val="0"/>
      <w:divBdr>
        <w:top w:val="none" w:sz="0" w:space="0" w:color="auto"/>
        <w:left w:val="none" w:sz="0" w:space="0" w:color="auto"/>
        <w:bottom w:val="none" w:sz="0" w:space="0" w:color="auto"/>
        <w:right w:val="none" w:sz="0" w:space="0" w:color="auto"/>
      </w:divBdr>
    </w:div>
    <w:div w:id="1651864308">
      <w:bodyDiv w:val="1"/>
      <w:marLeft w:val="0"/>
      <w:marRight w:val="0"/>
      <w:marTop w:val="0"/>
      <w:marBottom w:val="0"/>
      <w:divBdr>
        <w:top w:val="none" w:sz="0" w:space="0" w:color="auto"/>
        <w:left w:val="none" w:sz="0" w:space="0" w:color="auto"/>
        <w:bottom w:val="none" w:sz="0" w:space="0" w:color="auto"/>
        <w:right w:val="none" w:sz="0" w:space="0" w:color="auto"/>
      </w:divBdr>
    </w:div>
    <w:div w:id="1783960804">
      <w:bodyDiv w:val="1"/>
      <w:marLeft w:val="0"/>
      <w:marRight w:val="0"/>
      <w:marTop w:val="0"/>
      <w:marBottom w:val="0"/>
      <w:divBdr>
        <w:top w:val="none" w:sz="0" w:space="0" w:color="auto"/>
        <w:left w:val="none" w:sz="0" w:space="0" w:color="auto"/>
        <w:bottom w:val="none" w:sz="0" w:space="0" w:color="auto"/>
        <w:right w:val="none" w:sz="0" w:space="0" w:color="auto"/>
      </w:divBdr>
    </w:div>
    <w:div w:id="1885674701">
      <w:bodyDiv w:val="1"/>
      <w:marLeft w:val="0"/>
      <w:marRight w:val="0"/>
      <w:marTop w:val="0"/>
      <w:marBottom w:val="0"/>
      <w:divBdr>
        <w:top w:val="none" w:sz="0" w:space="0" w:color="auto"/>
        <w:left w:val="none" w:sz="0" w:space="0" w:color="auto"/>
        <w:bottom w:val="none" w:sz="0" w:space="0" w:color="auto"/>
        <w:right w:val="none" w:sz="0" w:space="0" w:color="auto"/>
      </w:divBdr>
    </w:div>
    <w:div w:id="2015068110">
      <w:bodyDiv w:val="1"/>
      <w:marLeft w:val="0"/>
      <w:marRight w:val="0"/>
      <w:marTop w:val="0"/>
      <w:marBottom w:val="0"/>
      <w:divBdr>
        <w:top w:val="none" w:sz="0" w:space="0" w:color="auto"/>
        <w:left w:val="none" w:sz="0" w:space="0" w:color="auto"/>
        <w:bottom w:val="none" w:sz="0" w:space="0" w:color="auto"/>
        <w:right w:val="none" w:sz="0" w:space="0" w:color="auto"/>
      </w:divBdr>
    </w:div>
    <w:div w:id="211127117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jpeg"/><Relationship Id="rId21" Type="http://schemas.openxmlformats.org/officeDocument/2006/relationships/image" Target="media/image8.pn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hyperlink" Target="http://www.ncbi.nlm.nih.gov/pubmed?term=Wolter%20K%5BAuthor%5D&amp;cauthor=true&amp;cauthor_uid=17185205" TargetMode="External"/><Relationship Id="rId26" Type="http://schemas.openxmlformats.org/officeDocument/2006/relationships/hyperlink" Target="http://www.ncbi.nlm.nih.gov/pubmed?term=Reid%20C%5BAuthor%5D&amp;cauthor=true&amp;cauthor_uid=17185205" TargetMode="External"/><Relationship Id="rId27" Type="http://schemas.openxmlformats.org/officeDocument/2006/relationships/hyperlink" Target="http://www.ncbi.nlm.nih.gov/pubmed?term=Hertweck%20P%5BAuthor%5D&amp;cauthor=true&amp;cauthor_uid=17185205" TargetMode="External"/><Relationship Id="rId28" Type="http://schemas.openxmlformats.org/officeDocument/2006/relationships/hyperlink" Target="http://www.ncbi.nlm.nih.gov/pubmed?term=Nelson%20A%5BAuthor%5D&amp;cauthor=true&amp;cauthor_uid=17185205" TargetMode="External"/><Relationship Id="rId29" Type="http://schemas.openxmlformats.org/officeDocument/2006/relationships/hyperlink" Target="http://www.ncbi.nlm.nih.gov/pubmed?term=Nelson%20D%5BAuthor%5D&amp;cauthor=true&amp;cauthor_uid=1718520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ncbi.nlm.nih.gov/pubmed?term=Coupey%20S%5BAuthor%5D&amp;cauthor=true&amp;cauthor_uid=17185205" TargetMode="External"/><Relationship Id="rId31" Type="http://schemas.openxmlformats.org/officeDocument/2006/relationships/hyperlink" Target="http://www.ncbi.nlm.nih.gov/pubmed?term=Johnson%20C%5BAuthor%5D&amp;cauthor=true&amp;cauthor_uid=17185205" TargetMode="External"/><Relationship Id="rId32" Type="http://schemas.openxmlformats.org/officeDocument/2006/relationships/hyperlink" Target="http://www.ncbi.nlm.nih.gov/pubmed?term=Burkman%20R%5BAuthor%5D&amp;cauthor=true&amp;cauthor_uid=17185205" TargetMode="External"/><Relationship Id="rId33" Type="http://schemas.openxmlformats.org/officeDocument/2006/relationships/hyperlink" Target="http://www.ncbi.nlm.nih.gov/pubmed/23633395"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jpeg"/><Relationship Id="rId13" Type="http://schemas.openxmlformats.org/officeDocument/2006/relationships/image" Target="media/image2.emf"/><Relationship Id="rId14" Type="http://schemas.openxmlformats.org/officeDocument/2006/relationships/image" Target="media/image3.png"/><Relationship Id="rId16" Type="http://schemas.openxmlformats.org/officeDocument/2006/relationships/image" Target="media/image30.png"/><Relationship Id="rId17" Type="http://schemas.openxmlformats.org/officeDocument/2006/relationships/image" Target="media/image4.emf"/><Relationship Id="rId18" Type="http://schemas.openxmlformats.org/officeDocument/2006/relationships/image" Target="media/image5.emf"/><Relationship Id="rId1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AA09C-0794-6C48-B2EC-5DE3B613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54262</Words>
  <Characters>309300</Characters>
  <Application>Microsoft Macintosh Word</Application>
  <DocSecurity>0</DocSecurity>
  <Lines>2577</Lines>
  <Paragraphs>725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362837</CharactersWithSpaces>
  <SharedDoc>false</SharedDoc>
  <HLinks>
    <vt:vector size="480" baseType="variant">
      <vt:variant>
        <vt:i4>4063269</vt:i4>
      </vt:variant>
      <vt:variant>
        <vt:i4>489</vt:i4>
      </vt:variant>
      <vt:variant>
        <vt:i4>0</vt:i4>
      </vt:variant>
      <vt:variant>
        <vt:i4>5</vt:i4>
      </vt:variant>
      <vt:variant>
        <vt:lpwstr>http://www.ncbi.nlm.nih.gov/pubmed/23633395</vt:lpwstr>
      </vt:variant>
      <vt:variant>
        <vt:lpwstr/>
      </vt:variant>
      <vt:variant>
        <vt:i4>1179700</vt:i4>
      </vt:variant>
      <vt:variant>
        <vt:i4>486</vt:i4>
      </vt:variant>
      <vt:variant>
        <vt:i4>0</vt:i4>
      </vt:variant>
      <vt:variant>
        <vt:i4>5</vt:i4>
      </vt:variant>
      <vt:variant>
        <vt:lpwstr>http://www.ncbi.nlm.nih.gov/pubmed?term=Burkman%20R%5BAuthor%5D&amp;cauthor=true&amp;cauthor_uid=17185205</vt:lpwstr>
      </vt:variant>
      <vt:variant>
        <vt:lpwstr/>
      </vt:variant>
      <vt:variant>
        <vt:i4>196649</vt:i4>
      </vt:variant>
      <vt:variant>
        <vt:i4>483</vt:i4>
      </vt:variant>
      <vt:variant>
        <vt:i4>0</vt:i4>
      </vt:variant>
      <vt:variant>
        <vt:i4>5</vt:i4>
      </vt:variant>
      <vt:variant>
        <vt:lpwstr>http://www.ncbi.nlm.nih.gov/pubmed?term=Johnson%20C%5BAuthor%5D&amp;cauthor=true&amp;cauthor_uid=17185205</vt:lpwstr>
      </vt:variant>
      <vt:variant>
        <vt:lpwstr/>
      </vt:variant>
      <vt:variant>
        <vt:i4>7340059</vt:i4>
      </vt:variant>
      <vt:variant>
        <vt:i4>480</vt:i4>
      </vt:variant>
      <vt:variant>
        <vt:i4>0</vt:i4>
      </vt:variant>
      <vt:variant>
        <vt:i4>5</vt:i4>
      </vt:variant>
      <vt:variant>
        <vt:lpwstr>http://www.ncbi.nlm.nih.gov/pubmed?term=Coupey%20S%5BAuthor%5D&amp;cauthor=true&amp;cauthor_uid=17185205</vt:lpwstr>
      </vt:variant>
      <vt:variant>
        <vt:lpwstr/>
      </vt:variant>
      <vt:variant>
        <vt:i4>7929861</vt:i4>
      </vt:variant>
      <vt:variant>
        <vt:i4>477</vt:i4>
      </vt:variant>
      <vt:variant>
        <vt:i4>0</vt:i4>
      </vt:variant>
      <vt:variant>
        <vt:i4>5</vt:i4>
      </vt:variant>
      <vt:variant>
        <vt:lpwstr>http://www.ncbi.nlm.nih.gov/pubmed?term=Nelson%20D%5BAuthor%5D&amp;cauthor=true&amp;cauthor_uid=17185205</vt:lpwstr>
      </vt:variant>
      <vt:variant>
        <vt:lpwstr/>
      </vt:variant>
      <vt:variant>
        <vt:i4>8126469</vt:i4>
      </vt:variant>
      <vt:variant>
        <vt:i4>474</vt:i4>
      </vt:variant>
      <vt:variant>
        <vt:i4>0</vt:i4>
      </vt:variant>
      <vt:variant>
        <vt:i4>5</vt:i4>
      </vt:variant>
      <vt:variant>
        <vt:lpwstr>http://www.ncbi.nlm.nih.gov/pubmed?term=Nelson%20A%5BAuthor%5D&amp;cauthor=true&amp;cauthor_uid=17185205</vt:lpwstr>
      </vt:variant>
      <vt:variant>
        <vt:lpwstr/>
      </vt:variant>
      <vt:variant>
        <vt:i4>655462</vt:i4>
      </vt:variant>
      <vt:variant>
        <vt:i4>471</vt:i4>
      </vt:variant>
      <vt:variant>
        <vt:i4>0</vt:i4>
      </vt:variant>
      <vt:variant>
        <vt:i4>5</vt:i4>
      </vt:variant>
      <vt:variant>
        <vt:lpwstr>http://www.ncbi.nlm.nih.gov/pubmed?term=Hertweck%20P%5BAuthor%5D&amp;cauthor=true&amp;cauthor_uid=17185205</vt:lpwstr>
      </vt:variant>
      <vt:variant>
        <vt:lpwstr/>
      </vt:variant>
      <vt:variant>
        <vt:i4>458867</vt:i4>
      </vt:variant>
      <vt:variant>
        <vt:i4>468</vt:i4>
      </vt:variant>
      <vt:variant>
        <vt:i4>0</vt:i4>
      </vt:variant>
      <vt:variant>
        <vt:i4>5</vt:i4>
      </vt:variant>
      <vt:variant>
        <vt:lpwstr>http://www.ncbi.nlm.nih.gov/pubmed?term=Reid%20C%5BAuthor%5D&amp;cauthor=true&amp;cauthor_uid=17185205</vt:lpwstr>
      </vt:variant>
      <vt:variant>
        <vt:lpwstr/>
      </vt:variant>
      <vt:variant>
        <vt:i4>6750230</vt:i4>
      </vt:variant>
      <vt:variant>
        <vt:i4>465</vt:i4>
      </vt:variant>
      <vt:variant>
        <vt:i4>0</vt:i4>
      </vt:variant>
      <vt:variant>
        <vt:i4>5</vt:i4>
      </vt:variant>
      <vt:variant>
        <vt:lpwstr>http://www.ncbi.nlm.nih.gov/pubmed?term=Wolter%20K%5BAuthor%5D&amp;cauthor=true&amp;cauthor_uid=17185205</vt:lpwstr>
      </vt:variant>
      <vt:variant>
        <vt:lpwstr/>
      </vt:variant>
      <vt:variant>
        <vt:i4>8257582</vt:i4>
      </vt:variant>
      <vt:variant>
        <vt:i4>426</vt:i4>
      </vt:variant>
      <vt:variant>
        <vt:i4>0</vt:i4>
      </vt:variant>
      <vt:variant>
        <vt:i4>5</vt:i4>
      </vt:variant>
      <vt:variant>
        <vt:lpwstr>http://en.wikipedia.org/wiki/Micro-</vt:lpwstr>
      </vt:variant>
      <vt:variant>
        <vt:lpwstr/>
      </vt:variant>
      <vt:variant>
        <vt:i4>8257582</vt:i4>
      </vt:variant>
      <vt:variant>
        <vt:i4>423</vt:i4>
      </vt:variant>
      <vt:variant>
        <vt:i4>0</vt:i4>
      </vt:variant>
      <vt:variant>
        <vt:i4>5</vt:i4>
      </vt:variant>
      <vt:variant>
        <vt:lpwstr>http://en.wikipedia.org/wiki/Micro-</vt:lpwstr>
      </vt:variant>
      <vt:variant>
        <vt:lpwstr/>
      </vt:variant>
      <vt:variant>
        <vt:i4>8257582</vt:i4>
      </vt:variant>
      <vt:variant>
        <vt:i4>420</vt:i4>
      </vt:variant>
      <vt:variant>
        <vt:i4>0</vt:i4>
      </vt:variant>
      <vt:variant>
        <vt:i4>5</vt:i4>
      </vt:variant>
      <vt:variant>
        <vt:lpwstr>http://en.wikipedia.org/wiki/Micro-</vt:lpwstr>
      </vt:variant>
      <vt:variant>
        <vt:lpwstr/>
      </vt:variant>
      <vt:variant>
        <vt:i4>8257582</vt:i4>
      </vt:variant>
      <vt:variant>
        <vt:i4>417</vt:i4>
      </vt:variant>
      <vt:variant>
        <vt:i4>0</vt:i4>
      </vt:variant>
      <vt:variant>
        <vt:i4>5</vt:i4>
      </vt:variant>
      <vt:variant>
        <vt:lpwstr>http://en.wikipedia.org/wiki/Micro-</vt:lpwstr>
      </vt:variant>
      <vt:variant>
        <vt:lpwstr/>
      </vt:variant>
      <vt:variant>
        <vt:i4>2031677</vt:i4>
      </vt:variant>
      <vt:variant>
        <vt:i4>362</vt:i4>
      </vt:variant>
      <vt:variant>
        <vt:i4>0</vt:i4>
      </vt:variant>
      <vt:variant>
        <vt:i4>5</vt:i4>
      </vt:variant>
      <vt:variant>
        <vt:lpwstr/>
      </vt:variant>
      <vt:variant>
        <vt:lpwstr>_Toc359148346</vt:lpwstr>
      </vt:variant>
      <vt:variant>
        <vt:i4>2031677</vt:i4>
      </vt:variant>
      <vt:variant>
        <vt:i4>356</vt:i4>
      </vt:variant>
      <vt:variant>
        <vt:i4>0</vt:i4>
      </vt:variant>
      <vt:variant>
        <vt:i4>5</vt:i4>
      </vt:variant>
      <vt:variant>
        <vt:lpwstr/>
      </vt:variant>
      <vt:variant>
        <vt:lpwstr>_Toc359148345</vt:lpwstr>
      </vt:variant>
      <vt:variant>
        <vt:i4>2031677</vt:i4>
      </vt:variant>
      <vt:variant>
        <vt:i4>350</vt:i4>
      </vt:variant>
      <vt:variant>
        <vt:i4>0</vt:i4>
      </vt:variant>
      <vt:variant>
        <vt:i4>5</vt:i4>
      </vt:variant>
      <vt:variant>
        <vt:lpwstr/>
      </vt:variant>
      <vt:variant>
        <vt:lpwstr>_Toc359148344</vt:lpwstr>
      </vt:variant>
      <vt:variant>
        <vt:i4>2031677</vt:i4>
      </vt:variant>
      <vt:variant>
        <vt:i4>344</vt:i4>
      </vt:variant>
      <vt:variant>
        <vt:i4>0</vt:i4>
      </vt:variant>
      <vt:variant>
        <vt:i4>5</vt:i4>
      </vt:variant>
      <vt:variant>
        <vt:lpwstr/>
      </vt:variant>
      <vt:variant>
        <vt:lpwstr>_Toc359148343</vt:lpwstr>
      </vt:variant>
      <vt:variant>
        <vt:i4>2031677</vt:i4>
      </vt:variant>
      <vt:variant>
        <vt:i4>338</vt:i4>
      </vt:variant>
      <vt:variant>
        <vt:i4>0</vt:i4>
      </vt:variant>
      <vt:variant>
        <vt:i4>5</vt:i4>
      </vt:variant>
      <vt:variant>
        <vt:lpwstr/>
      </vt:variant>
      <vt:variant>
        <vt:lpwstr>_Toc359148342</vt:lpwstr>
      </vt:variant>
      <vt:variant>
        <vt:i4>2031677</vt:i4>
      </vt:variant>
      <vt:variant>
        <vt:i4>332</vt:i4>
      </vt:variant>
      <vt:variant>
        <vt:i4>0</vt:i4>
      </vt:variant>
      <vt:variant>
        <vt:i4>5</vt:i4>
      </vt:variant>
      <vt:variant>
        <vt:lpwstr/>
      </vt:variant>
      <vt:variant>
        <vt:lpwstr>_Toc359148341</vt:lpwstr>
      </vt:variant>
      <vt:variant>
        <vt:i4>2031677</vt:i4>
      </vt:variant>
      <vt:variant>
        <vt:i4>326</vt:i4>
      </vt:variant>
      <vt:variant>
        <vt:i4>0</vt:i4>
      </vt:variant>
      <vt:variant>
        <vt:i4>5</vt:i4>
      </vt:variant>
      <vt:variant>
        <vt:lpwstr/>
      </vt:variant>
      <vt:variant>
        <vt:lpwstr>_Toc359148340</vt:lpwstr>
      </vt:variant>
      <vt:variant>
        <vt:i4>1572925</vt:i4>
      </vt:variant>
      <vt:variant>
        <vt:i4>320</vt:i4>
      </vt:variant>
      <vt:variant>
        <vt:i4>0</vt:i4>
      </vt:variant>
      <vt:variant>
        <vt:i4>5</vt:i4>
      </vt:variant>
      <vt:variant>
        <vt:lpwstr/>
      </vt:variant>
      <vt:variant>
        <vt:lpwstr>_Toc359148339</vt:lpwstr>
      </vt:variant>
      <vt:variant>
        <vt:i4>1572925</vt:i4>
      </vt:variant>
      <vt:variant>
        <vt:i4>314</vt:i4>
      </vt:variant>
      <vt:variant>
        <vt:i4>0</vt:i4>
      </vt:variant>
      <vt:variant>
        <vt:i4>5</vt:i4>
      </vt:variant>
      <vt:variant>
        <vt:lpwstr/>
      </vt:variant>
      <vt:variant>
        <vt:lpwstr>_Toc359148338</vt:lpwstr>
      </vt:variant>
      <vt:variant>
        <vt:i4>1572925</vt:i4>
      </vt:variant>
      <vt:variant>
        <vt:i4>308</vt:i4>
      </vt:variant>
      <vt:variant>
        <vt:i4>0</vt:i4>
      </vt:variant>
      <vt:variant>
        <vt:i4>5</vt:i4>
      </vt:variant>
      <vt:variant>
        <vt:lpwstr/>
      </vt:variant>
      <vt:variant>
        <vt:lpwstr>_Toc359148337</vt:lpwstr>
      </vt:variant>
      <vt:variant>
        <vt:i4>1572925</vt:i4>
      </vt:variant>
      <vt:variant>
        <vt:i4>302</vt:i4>
      </vt:variant>
      <vt:variant>
        <vt:i4>0</vt:i4>
      </vt:variant>
      <vt:variant>
        <vt:i4>5</vt:i4>
      </vt:variant>
      <vt:variant>
        <vt:lpwstr/>
      </vt:variant>
      <vt:variant>
        <vt:lpwstr>_Toc359148336</vt:lpwstr>
      </vt:variant>
      <vt:variant>
        <vt:i4>1572925</vt:i4>
      </vt:variant>
      <vt:variant>
        <vt:i4>296</vt:i4>
      </vt:variant>
      <vt:variant>
        <vt:i4>0</vt:i4>
      </vt:variant>
      <vt:variant>
        <vt:i4>5</vt:i4>
      </vt:variant>
      <vt:variant>
        <vt:lpwstr/>
      </vt:variant>
      <vt:variant>
        <vt:lpwstr>_Toc359148335</vt:lpwstr>
      </vt:variant>
      <vt:variant>
        <vt:i4>1572925</vt:i4>
      </vt:variant>
      <vt:variant>
        <vt:i4>287</vt:i4>
      </vt:variant>
      <vt:variant>
        <vt:i4>0</vt:i4>
      </vt:variant>
      <vt:variant>
        <vt:i4>5</vt:i4>
      </vt:variant>
      <vt:variant>
        <vt:lpwstr/>
      </vt:variant>
      <vt:variant>
        <vt:lpwstr>_Toc359148334</vt:lpwstr>
      </vt:variant>
      <vt:variant>
        <vt:i4>1572925</vt:i4>
      </vt:variant>
      <vt:variant>
        <vt:i4>281</vt:i4>
      </vt:variant>
      <vt:variant>
        <vt:i4>0</vt:i4>
      </vt:variant>
      <vt:variant>
        <vt:i4>5</vt:i4>
      </vt:variant>
      <vt:variant>
        <vt:lpwstr/>
      </vt:variant>
      <vt:variant>
        <vt:lpwstr>_Toc359148333</vt:lpwstr>
      </vt:variant>
      <vt:variant>
        <vt:i4>1572925</vt:i4>
      </vt:variant>
      <vt:variant>
        <vt:i4>275</vt:i4>
      </vt:variant>
      <vt:variant>
        <vt:i4>0</vt:i4>
      </vt:variant>
      <vt:variant>
        <vt:i4>5</vt:i4>
      </vt:variant>
      <vt:variant>
        <vt:lpwstr/>
      </vt:variant>
      <vt:variant>
        <vt:lpwstr>_Toc359148332</vt:lpwstr>
      </vt:variant>
      <vt:variant>
        <vt:i4>1572925</vt:i4>
      </vt:variant>
      <vt:variant>
        <vt:i4>269</vt:i4>
      </vt:variant>
      <vt:variant>
        <vt:i4>0</vt:i4>
      </vt:variant>
      <vt:variant>
        <vt:i4>5</vt:i4>
      </vt:variant>
      <vt:variant>
        <vt:lpwstr/>
      </vt:variant>
      <vt:variant>
        <vt:lpwstr>_Toc359148331</vt:lpwstr>
      </vt:variant>
      <vt:variant>
        <vt:i4>1572925</vt:i4>
      </vt:variant>
      <vt:variant>
        <vt:i4>263</vt:i4>
      </vt:variant>
      <vt:variant>
        <vt:i4>0</vt:i4>
      </vt:variant>
      <vt:variant>
        <vt:i4>5</vt:i4>
      </vt:variant>
      <vt:variant>
        <vt:lpwstr/>
      </vt:variant>
      <vt:variant>
        <vt:lpwstr>_Toc359148330</vt:lpwstr>
      </vt:variant>
      <vt:variant>
        <vt:i4>1638461</vt:i4>
      </vt:variant>
      <vt:variant>
        <vt:i4>257</vt:i4>
      </vt:variant>
      <vt:variant>
        <vt:i4>0</vt:i4>
      </vt:variant>
      <vt:variant>
        <vt:i4>5</vt:i4>
      </vt:variant>
      <vt:variant>
        <vt:lpwstr/>
      </vt:variant>
      <vt:variant>
        <vt:lpwstr>_Toc359148329</vt:lpwstr>
      </vt:variant>
      <vt:variant>
        <vt:i4>1638461</vt:i4>
      </vt:variant>
      <vt:variant>
        <vt:i4>251</vt:i4>
      </vt:variant>
      <vt:variant>
        <vt:i4>0</vt:i4>
      </vt:variant>
      <vt:variant>
        <vt:i4>5</vt:i4>
      </vt:variant>
      <vt:variant>
        <vt:lpwstr/>
      </vt:variant>
      <vt:variant>
        <vt:lpwstr>_Toc359148328</vt:lpwstr>
      </vt:variant>
      <vt:variant>
        <vt:i4>1638461</vt:i4>
      </vt:variant>
      <vt:variant>
        <vt:i4>245</vt:i4>
      </vt:variant>
      <vt:variant>
        <vt:i4>0</vt:i4>
      </vt:variant>
      <vt:variant>
        <vt:i4>5</vt:i4>
      </vt:variant>
      <vt:variant>
        <vt:lpwstr/>
      </vt:variant>
      <vt:variant>
        <vt:lpwstr>_Toc359148327</vt:lpwstr>
      </vt:variant>
      <vt:variant>
        <vt:i4>1638461</vt:i4>
      </vt:variant>
      <vt:variant>
        <vt:i4>239</vt:i4>
      </vt:variant>
      <vt:variant>
        <vt:i4>0</vt:i4>
      </vt:variant>
      <vt:variant>
        <vt:i4>5</vt:i4>
      </vt:variant>
      <vt:variant>
        <vt:lpwstr/>
      </vt:variant>
      <vt:variant>
        <vt:lpwstr>_Toc359148326</vt:lpwstr>
      </vt:variant>
      <vt:variant>
        <vt:i4>1638461</vt:i4>
      </vt:variant>
      <vt:variant>
        <vt:i4>233</vt:i4>
      </vt:variant>
      <vt:variant>
        <vt:i4>0</vt:i4>
      </vt:variant>
      <vt:variant>
        <vt:i4>5</vt:i4>
      </vt:variant>
      <vt:variant>
        <vt:lpwstr/>
      </vt:variant>
      <vt:variant>
        <vt:lpwstr>_Toc359148325</vt:lpwstr>
      </vt:variant>
      <vt:variant>
        <vt:i4>1638461</vt:i4>
      </vt:variant>
      <vt:variant>
        <vt:i4>227</vt:i4>
      </vt:variant>
      <vt:variant>
        <vt:i4>0</vt:i4>
      </vt:variant>
      <vt:variant>
        <vt:i4>5</vt:i4>
      </vt:variant>
      <vt:variant>
        <vt:lpwstr/>
      </vt:variant>
      <vt:variant>
        <vt:lpwstr>_Toc359148324</vt:lpwstr>
      </vt:variant>
      <vt:variant>
        <vt:i4>1638461</vt:i4>
      </vt:variant>
      <vt:variant>
        <vt:i4>221</vt:i4>
      </vt:variant>
      <vt:variant>
        <vt:i4>0</vt:i4>
      </vt:variant>
      <vt:variant>
        <vt:i4>5</vt:i4>
      </vt:variant>
      <vt:variant>
        <vt:lpwstr/>
      </vt:variant>
      <vt:variant>
        <vt:lpwstr>_Toc359148323</vt:lpwstr>
      </vt:variant>
      <vt:variant>
        <vt:i4>1638461</vt:i4>
      </vt:variant>
      <vt:variant>
        <vt:i4>215</vt:i4>
      </vt:variant>
      <vt:variant>
        <vt:i4>0</vt:i4>
      </vt:variant>
      <vt:variant>
        <vt:i4>5</vt:i4>
      </vt:variant>
      <vt:variant>
        <vt:lpwstr/>
      </vt:variant>
      <vt:variant>
        <vt:lpwstr>_Toc359148322</vt:lpwstr>
      </vt:variant>
      <vt:variant>
        <vt:i4>1638461</vt:i4>
      </vt:variant>
      <vt:variant>
        <vt:i4>209</vt:i4>
      </vt:variant>
      <vt:variant>
        <vt:i4>0</vt:i4>
      </vt:variant>
      <vt:variant>
        <vt:i4>5</vt:i4>
      </vt:variant>
      <vt:variant>
        <vt:lpwstr/>
      </vt:variant>
      <vt:variant>
        <vt:lpwstr>_Toc359148321</vt:lpwstr>
      </vt:variant>
      <vt:variant>
        <vt:i4>1638461</vt:i4>
      </vt:variant>
      <vt:variant>
        <vt:i4>203</vt:i4>
      </vt:variant>
      <vt:variant>
        <vt:i4>0</vt:i4>
      </vt:variant>
      <vt:variant>
        <vt:i4>5</vt:i4>
      </vt:variant>
      <vt:variant>
        <vt:lpwstr/>
      </vt:variant>
      <vt:variant>
        <vt:lpwstr>_Toc359148320</vt:lpwstr>
      </vt:variant>
      <vt:variant>
        <vt:i4>1703997</vt:i4>
      </vt:variant>
      <vt:variant>
        <vt:i4>197</vt:i4>
      </vt:variant>
      <vt:variant>
        <vt:i4>0</vt:i4>
      </vt:variant>
      <vt:variant>
        <vt:i4>5</vt:i4>
      </vt:variant>
      <vt:variant>
        <vt:lpwstr/>
      </vt:variant>
      <vt:variant>
        <vt:lpwstr>_Toc359148319</vt:lpwstr>
      </vt:variant>
      <vt:variant>
        <vt:i4>1703997</vt:i4>
      </vt:variant>
      <vt:variant>
        <vt:i4>188</vt:i4>
      </vt:variant>
      <vt:variant>
        <vt:i4>0</vt:i4>
      </vt:variant>
      <vt:variant>
        <vt:i4>5</vt:i4>
      </vt:variant>
      <vt:variant>
        <vt:lpwstr/>
      </vt:variant>
      <vt:variant>
        <vt:lpwstr>_Toc359148318</vt:lpwstr>
      </vt:variant>
      <vt:variant>
        <vt:i4>1703997</vt:i4>
      </vt:variant>
      <vt:variant>
        <vt:i4>182</vt:i4>
      </vt:variant>
      <vt:variant>
        <vt:i4>0</vt:i4>
      </vt:variant>
      <vt:variant>
        <vt:i4>5</vt:i4>
      </vt:variant>
      <vt:variant>
        <vt:lpwstr/>
      </vt:variant>
      <vt:variant>
        <vt:lpwstr>_Toc359148317</vt:lpwstr>
      </vt:variant>
      <vt:variant>
        <vt:i4>1703997</vt:i4>
      </vt:variant>
      <vt:variant>
        <vt:i4>176</vt:i4>
      </vt:variant>
      <vt:variant>
        <vt:i4>0</vt:i4>
      </vt:variant>
      <vt:variant>
        <vt:i4>5</vt:i4>
      </vt:variant>
      <vt:variant>
        <vt:lpwstr/>
      </vt:variant>
      <vt:variant>
        <vt:lpwstr>_Toc359148316</vt:lpwstr>
      </vt:variant>
      <vt:variant>
        <vt:i4>1703997</vt:i4>
      </vt:variant>
      <vt:variant>
        <vt:i4>170</vt:i4>
      </vt:variant>
      <vt:variant>
        <vt:i4>0</vt:i4>
      </vt:variant>
      <vt:variant>
        <vt:i4>5</vt:i4>
      </vt:variant>
      <vt:variant>
        <vt:lpwstr/>
      </vt:variant>
      <vt:variant>
        <vt:lpwstr>_Toc359148315</vt:lpwstr>
      </vt:variant>
      <vt:variant>
        <vt:i4>1703997</vt:i4>
      </vt:variant>
      <vt:variant>
        <vt:i4>164</vt:i4>
      </vt:variant>
      <vt:variant>
        <vt:i4>0</vt:i4>
      </vt:variant>
      <vt:variant>
        <vt:i4>5</vt:i4>
      </vt:variant>
      <vt:variant>
        <vt:lpwstr/>
      </vt:variant>
      <vt:variant>
        <vt:lpwstr>_Toc359148314</vt:lpwstr>
      </vt:variant>
      <vt:variant>
        <vt:i4>1703997</vt:i4>
      </vt:variant>
      <vt:variant>
        <vt:i4>158</vt:i4>
      </vt:variant>
      <vt:variant>
        <vt:i4>0</vt:i4>
      </vt:variant>
      <vt:variant>
        <vt:i4>5</vt:i4>
      </vt:variant>
      <vt:variant>
        <vt:lpwstr/>
      </vt:variant>
      <vt:variant>
        <vt:lpwstr>_Toc359148313</vt:lpwstr>
      </vt:variant>
      <vt:variant>
        <vt:i4>1703997</vt:i4>
      </vt:variant>
      <vt:variant>
        <vt:i4>152</vt:i4>
      </vt:variant>
      <vt:variant>
        <vt:i4>0</vt:i4>
      </vt:variant>
      <vt:variant>
        <vt:i4>5</vt:i4>
      </vt:variant>
      <vt:variant>
        <vt:lpwstr/>
      </vt:variant>
      <vt:variant>
        <vt:lpwstr>_Toc359148312</vt:lpwstr>
      </vt:variant>
      <vt:variant>
        <vt:i4>1703997</vt:i4>
      </vt:variant>
      <vt:variant>
        <vt:i4>146</vt:i4>
      </vt:variant>
      <vt:variant>
        <vt:i4>0</vt:i4>
      </vt:variant>
      <vt:variant>
        <vt:i4>5</vt:i4>
      </vt:variant>
      <vt:variant>
        <vt:lpwstr/>
      </vt:variant>
      <vt:variant>
        <vt:lpwstr>_Toc359148311</vt:lpwstr>
      </vt:variant>
      <vt:variant>
        <vt:i4>1703997</vt:i4>
      </vt:variant>
      <vt:variant>
        <vt:i4>140</vt:i4>
      </vt:variant>
      <vt:variant>
        <vt:i4>0</vt:i4>
      </vt:variant>
      <vt:variant>
        <vt:i4>5</vt:i4>
      </vt:variant>
      <vt:variant>
        <vt:lpwstr/>
      </vt:variant>
      <vt:variant>
        <vt:lpwstr>_Toc359148310</vt:lpwstr>
      </vt:variant>
      <vt:variant>
        <vt:i4>1769533</vt:i4>
      </vt:variant>
      <vt:variant>
        <vt:i4>134</vt:i4>
      </vt:variant>
      <vt:variant>
        <vt:i4>0</vt:i4>
      </vt:variant>
      <vt:variant>
        <vt:i4>5</vt:i4>
      </vt:variant>
      <vt:variant>
        <vt:lpwstr/>
      </vt:variant>
      <vt:variant>
        <vt:lpwstr>_Toc359148309</vt:lpwstr>
      </vt:variant>
      <vt:variant>
        <vt:i4>1769533</vt:i4>
      </vt:variant>
      <vt:variant>
        <vt:i4>128</vt:i4>
      </vt:variant>
      <vt:variant>
        <vt:i4>0</vt:i4>
      </vt:variant>
      <vt:variant>
        <vt:i4>5</vt:i4>
      </vt:variant>
      <vt:variant>
        <vt:lpwstr/>
      </vt:variant>
      <vt:variant>
        <vt:lpwstr>_Toc359148308</vt:lpwstr>
      </vt:variant>
      <vt:variant>
        <vt:i4>1769533</vt:i4>
      </vt:variant>
      <vt:variant>
        <vt:i4>122</vt:i4>
      </vt:variant>
      <vt:variant>
        <vt:i4>0</vt:i4>
      </vt:variant>
      <vt:variant>
        <vt:i4>5</vt:i4>
      </vt:variant>
      <vt:variant>
        <vt:lpwstr/>
      </vt:variant>
      <vt:variant>
        <vt:lpwstr>_Toc359148307</vt:lpwstr>
      </vt:variant>
      <vt:variant>
        <vt:i4>1769533</vt:i4>
      </vt:variant>
      <vt:variant>
        <vt:i4>116</vt:i4>
      </vt:variant>
      <vt:variant>
        <vt:i4>0</vt:i4>
      </vt:variant>
      <vt:variant>
        <vt:i4>5</vt:i4>
      </vt:variant>
      <vt:variant>
        <vt:lpwstr/>
      </vt:variant>
      <vt:variant>
        <vt:lpwstr>_Toc359148306</vt:lpwstr>
      </vt:variant>
      <vt:variant>
        <vt:i4>1769533</vt:i4>
      </vt:variant>
      <vt:variant>
        <vt:i4>110</vt:i4>
      </vt:variant>
      <vt:variant>
        <vt:i4>0</vt:i4>
      </vt:variant>
      <vt:variant>
        <vt:i4>5</vt:i4>
      </vt:variant>
      <vt:variant>
        <vt:lpwstr/>
      </vt:variant>
      <vt:variant>
        <vt:lpwstr>_Toc359148305</vt:lpwstr>
      </vt:variant>
      <vt:variant>
        <vt:i4>1769533</vt:i4>
      </vt:variant>
      <vt:variant>
        <vt:i4>104</vt:i4>
      </vt:variant>
      <vt:variant>
        <vt:i4>0</vt:i4>
      </vt:variant>
      <vt:variant>
        <vt:i4>5</vt:i4>
      </vt:variant>
      <vt:variant>
        <vt:lpwstr/>
      </vt:variant>
      <vt:variant>
        <vt:lpwstr>_Toc359148304</vt:lpwstr>
      </vt:variant>
      <vt:variant>
        <vt:i4>1769533</vt:i4>
      </vt:variant>
      <vt:variant>
        <vt:i4>98</vt:i4>
      </vt:variant>
      <vt:variant>
        <vt:i4>0</vt:i4>
      </vt:variant>
      <vt:variant>
        <vt:i4>5</vt:i4>
      </vt:variant>
      <vt:variant>
        <vt:lpwstr/>
      </vt:variant>
      <vt:variant>
        <vt:lpwstr>_Toc359148303</vt:lpwstr>
      </vt:variant>
      <vt:variant>
        <vt:i4>1769533</vt:i4>
      </vt:variant>
      <vt:variant>
        <vt:i4>92</vt:i4>
      </vt:variant>
      <vt:variant>
        <vt:i4>0</vt:i4>
      </vt:variant>
      <vt:variant>
        <vt:i4>5</vt:i4>
      </vt:variant>
      <vt:variant>
        <vt:lpwstr/>
      </vt:variant>
      <vt:variant>
        <vt:lpwstr>_Toc359148302</vt:lpwstr>
      </vt:variant>
      <vt:variant>
        <vt:i4>1769533</vt:i4>
      </vt:variant>
      <vt:variant>
        <vt:i4>86</vt:i4>
      </vt:variant>
      <vt:variant>
        <vt:i4>0</vt:i4>
      </vt:variant>
      <vt:variant>
        <vt:i4>5</vt:i4>
      </vt:variant>
      <vt:variant>
        <vt:lpwstr/>
      </vt:variant>
      <vt:variant>
        <vt:lpwstr>_Toc359148301</vt:lpwstr>
      </vt:variant>
      <vt:variant>
        <vt:i4>1769533</vt:i4>
      </vt:variant>
      <vt:variant>
        <vt:i4>80</vt:i4>
      </vt:variant>
      <vt:variant>
        <vt:i4>0</vt:i4>
      </vt:variant>
      <vt:variant>
        <vt:i4>5</vt:i4>
      </vt:variant>
      <vt:variant>
        <vt:lpwstr/>
      </vt:variant>
      <vt:variant>
        <vt:lpwstr>_Toc359148300</vt:lpwstr>
      </vt:variant>
      <vt:variant>
        <vt:i4>1179708</vt:i4>
      </vt:variant>
      <vt:variant>
        <vt:i4>74</vt:i4>
      </vt:variant>
      <vt:variant>
        <vt:i4>0</vt:i4>
      </vt:variant>
      <vt:variant>
        <vt:i4>5</vt:i4>
      </vt:variant>
      <vt:variant>
        <vt:lpwstr/>
      </vt:variant>
      <vt:variant>
        <vt:lpwstr>_Toc359148299</vt:lpwstr>
      </vt:variant>
      <vt:variant>
        <vt:i4>1179708</vt:i4>
      </vt:variant>
      <vt:variant>
        <vt:i4>68</vt:i4>
      </vt:variant>
      <vt:variant>
        <vt:i4>0</vt:i4>
      </vt:variant>
      <vt:variant>
        <vt:i4>5</vt:i4>
      </vt:variant>
      <vt:variant>
        <vt:lpwstr/>
      </vt:variant>
      <vt:variant>
        <vt:lpwstr>_Toc359148298</vt:lpwstr>
      </vt:variant>
      <vt:variant>
        <vt:i4>1179708</vt:i4>
      </vt:variant>
      <vt:variant>
        <vt:i4>62</vt:i4>
      </vt:variant>
      <vt:variant>
        <vt:i4>0</vt:i4>
      </vt:variant>
      <vt:variant>
        <vt:i4>5</vt:i4>
      </vt:variant>
      <vt:variant>
        <vt:lpwstr/>
      </vt:variant>
      <vt:variant>
        <vt:lpwstr>_Toc359148297</vt:lpwstr>
      </vt:variant>
      <vt:variant>
        <vt:i4>1179708</vt:i4>
      </vt:variant>
      <vt:variant>
        <vt:i4>56</vt:i4>
      </vt:variant>
      <vt:variant>
        <vt:i4>0</vt:i4>
      </vt:variant>
      <vt:variant>
        <vt:i4>5</vt:i4>
      </vt:variant>
      <vt:variant>
        <vt:lpwstr/>
      </vt:variant>
      <vt:variant>
        <vt:lpwstr>_Toc359148296</vt:lpwstr>
      </vt:variant>
      <vt:variant>
        <vt:i4>1179708</vt:i4>
      </vt:variant>
      <vt:variant>
        <vt:i4>50</vt:i4>
      </vt:variant>
      <vt:variant>
        <vt:i4>0</vt:i4>
      </vt:variant>
      <vt:variant>
        <vt:i4>5</vt:i4>
      </vt:variant>
      <vt:variant>
        <vt:lpwstr/>
      </vt:variant>
      <vt:variant>
        <vt:lpwstr>_Toc359148295</vt:lpwstr>
      </vt:variant>
      <vt:variant>
        <vt:i4>1179708</vt:i4>
      </vt:variant>
      <vt:variant>
        <vt:i4>44</vt:i4>
      </vt:variant>
      <vt:variant>
        <vt:i4>0</vt:i4>
      </vt:variant>
      <vt:variant>
        <vt:i4>5</vt:i4>
      </vt:variant>
      <vt:variant>
        <vt:lpwstr/>
      </vt:variant>
      <vt:variant>
        <vt:lpwstr>_Toc359148294</vt:lpwstr>
      </vt:variant>
      <vt:variant>
        <vt:i4>1179708</vt:i4>
      </vt:variant>
      <vt:variant>
        <vt:i4>38</vt:i4>
      </vt:variant>
      <vt:variant>
        <vt:i4>0</vt:i4>
      </vt:variant>
      <vt:variant>
        <vt:i4>5</vt:i4>
      </vt:variant>
      <vt:variant>
        <vt:lpwstr/>
      </vt:variant>
      <vt:variant>
        <vt:lpwstr>_Toc359148293</vt:lpwstr>
      </vt:variant>
      <vt:variant>
        <vt:i4>1179708</vt:i4>
      </vt:variant>
      <vt:variant>
        <vt:i4>32</vt:i4>
      </vt:variant>
      <vt:variant>
        <vt:i4>0</vt:i4>
      </vt:variant>
      <vt:variant>
        <vt:i4>5</vt:i4>
      </vt:variant>
      <vt:variant>
        <vt:lpwstr/>
      </vt:variant>
      <vt:variant>
        <vt:lpwstr>_Toc359148292</vt:lpwstr>
      </vt:variant>
      <vt:variant>
        <vt:i4>1179708</vt:i4>
      </vt:variant>
      <vt:variant>
        <vt:i4>26</vt:i4>
      </vt:variant>
      <vt:variant>
        <vt:i4>0</vt:i4>
      </vt:variant>
      <vt:variant>
        <vt:i4>5</vt:i4>
      </vt:variant>
      <vt:variant>
        <vt:lpwstr/>
      </vt:variant>
      <vt:variant>
        <vt:lpwstr>_Toc359148291</vt:lpwstr>
      </vt:variant>
      <vt:variant>
        <vt:i4>1179708</vt:i4>
      </vt:variant>
      <vt:variant>
        <vt:i4>20</vt:i4>
      </vt:variant>
      <vt:variant>
        <vt:i4>0</vt:i4>
      </vt:variant>
      <vt:variant>
        <vt:i4>5</vt:i4>
      </vt:variant>
      <vt:variant>
        <vt:lpwstr/>
      </vt:variant>
      <vt:variant>
        <vt:lpwstr>_Toc359148290</vt:lpwstr>
      </vt:variant>
      <vt:variant>
        <vt:i4>1245244</vt:i4>
      </vt:variant>
      <vt:variant>
        <vt:i4>14</vt:i4>
      </vt:variant>
      <vt:variant>
        <vt:i4>0</vt:i4>
      </vt:variant>
      <vt:variant>
        <vt:i4>5</vt:i4>
      </vt:variant>
      <vt:variant>
        <vt:lpwstr/>
      </vt:variant>
      <vt:variant>
        <vt:lpwstr>_Toc359148289</vt:lpwstr>
      </vt:variant>
      <vt:variant>
        <vt:i4>1245244</vt:i4>
      </vt:variant>
      <vt:variant>
        <vt:i4>8</vt:i4>
      </vt:variant>
      <vt:variant>
        <vt:i4>0</vt:i4>
      </vt:variant>
      <vt:variant>
        <vt:i4>5</vt:i4>
      </vt:variant>
      <vt:variant>
        <vt:lpwstr/>
      </vt:variant>
      <vt:variant>
        <vt:lpwstr>_Toc359148288</vt:lpwstr>
      </vt:variant>
      <vt:variant>
        <vt:i4>1245244</vt:i4>
      </vt:variant>
      <vt:variant>
        <vt:i4>2</vt:i4>
      </vt:variant>
      <vt:variant>
        <vt:i4>0</vt:i4>
      </vt:variant>
      <vt:variant>
        <vt:i4>5</vt:i4>
      </vt:variant>
      <vt:variant>
        <vt:lpwstr/>
      </vt:variant>
      <vt:variant>
        <vt:lpwstr>_Toc359148287</vt:lpwstr>
      </vt:variant>
      <vt:variant>
        <vt:i4>3276847</vt:i4>
      </vt:variant>
      <vt:variant>
        <vt:i4>18</vt:i4>
      </vt:variant>
      <vt:variant>
        <vt:i4>0</vt:i4>
      </vt:variant>
      <vt:variant>
        <vt:i4>5</vt:i4>
      </vt:variant>
      <vt:variant>
        <vt:lpwstr>http://www.springer.com/series/7651</vt:lpwstr>
      </vt:variant>
      <vt:variant>
        <vt:lpwstr/>
      </vt:variant>
      <vt:variant>
        <vt:i4>3407919</vt:i4>
      </vt:variant>
      <vt:variant>
        <vt:i4>15</vt:i4>
      </vt:variant>
      <vt:variant>
        <vt:i4>0</vt:i4>
      </vt:variant>
      <vt:variant>
        <vt:i4>5</vt:i4>
      </vt:variant>
      <vt:variant>
        <vt:lpwstr>http://www.ncbi.nlm.nih.gov/pubmed/1404194</vt:lpwstr>
      </vt:variant>
      <vt:variant>
        <vt:lpwstr/>
      </vt:variant>
      <vt:variant>
        <vt:i4>7536724</vt:i4>
      </vt:variant>
      <vt:variant>
        <vt:i4>12</vt:i4>
      </vt:variant>
      <vt:variant>
        <vt:i4>0</vt:i4>
      </vt:variant>
      <vt:variant>
        <vt:i4>5</vt:i4>
      </vt:variant>
      <vt:variant>
        <vt:lpwstr>https://www.researchgate.net/journal/0141-0768_Journal_of_the_Royal_Society_of_Medicine</vt:lpwstr>
      </vt:variant>
      <vt:variant>
        <vt:lpwstr/>
      </vt:variant>
      <vt:variant>
        <vt:i4>1310828</vt:i4>
      </vt:variant>
      <vt:variant>
        <vt:i4>9</vt:i4>
      </vt:variant>
      <vt:variant>
        <vt:i4>0</vt:i4>
      </vt:variant>
      <vt:variant>
        <vt:i4>5</vt:i4>
      </vt:variant>
      <vt:variant>
        <vt:lpwstr>https://www.researchgate.net/researcher/58502672_S_W_Hillson/</vt:lpwstr>
      </vt:variant>
      <vt:variant>
        <vt:lpwstr/>
      </vt:variant>
      <vt:variant>
        <vt:i4>3342398</vt:i4>
      </vt:variant>
      <vt:variant>
        <vt:i4>6</vt:i4>
      </vt:variant>
      <vt:variant>
        <vt:i4>0</vt:i4>
      </vt:variant>
      <vt:variant>
        <vt:i4>5</vt:i4>
      </vt:variant>
      <vt:variant>
        <vt:lpwstr>http://onlinelibrary.wiley.com/doi/10.1002/ajpa.v140:1/issuetoc</vt:lpwstr>
      </vt:variant>
      <vt:variant>
        <vt:lpwstr/>
      </vt:variant>
      <vt:variant>
        <vt:i4>458806</vt:i4>
      </vt:variant>
      <vt:variant>
        <vt:i4>3</vt:i4>
      </vt:variant>
      <vt:variant>
        <vt:i4>0</vt:i4>
      </vt:variant>
      <vt:variant>
        <vt:i4>5</vt:i4>
      </vt:variant>
      <vt:variant>
        <vt:lpwstr>http://portico.lib.utk.edu/primo_library/libweb/action/search.do?vl(freeText0)=%20Medicine%20%2c+%20Medieval%20&amp;vl(2509121UI0)=sub&amp;vl(48277845UI1)=all_items&amp;vl(1UI0)=exact&amp;fn=search&amp;tab=default_tab&amp;mode=Basic&amp;vid=UTK&amp;scp.scps=scope%3a(UTK)</vt:lpwstr>
      </vt:variant>
      <vt:variant>
        <vt:lpwstr/>
      </vt:variant>
      <vt:variant>
        <vt:i4>524329</vt:i4>
      </vt:variant>
      <vt:variant>
        <vt:i4>0</vt:i4>
      </vt:variant>
      <vt:variant>
        <vt:i4>0</vt:i4>
      </vt:variant>
      <vt:variant>
        <vt:i4>5</vt:i4>
      </vt:variant>
      <vt:variant>
        <vt:lpwstr>http://portico.lib.utk.edu/primo_library/libweb/action/search.do?vl(freeText0)=Nancy+G.+Siraisi&amp;vl(2509121UI0)=creator&amp;vl(48277845UI1)=all_items&amp;vl(1UI0)=exact&amp;fn=search&amp;tab=default_tab&amp;mode=Basic&amp;vid=UTK&amp;scp.scps=scope%3a(UTK)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2013-06-19T15:16:00Z</dcterms:created>
  <dcterms:modified xsi:type="dcterms:W3CDTF">2013-06-19T15:16:00Z</dcterms:modified>
</cp:coreProperties>
</file>