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DB51A" w14:textId="77777777" w:rsidR="00CF4D2D" w:rsidRDefault="004A102E" w:rsidP="003D069F">
      <w:pPr>
        <w:spacing w:after="0" w:line="360" w:lineRule="auto"/>
        <w:jc w:val="center"/>
        <w:rPr>
          <w:rFonts w:ascii="Times New Roman" w:hAnsi="Times New Roman" w:cs="Times New Roman"/>
          <w:b/>
          <w:bCs/>
          <w:sz w:val="36"/>
          <w:szCs w:val="36"/>
        </w:rPr>
      </w:pPr>
      <w:r w:rsidRPr="00DC6A47">
        <w:rPr>
          <w:rFonts w:ascii="Times New Roman" w:hAnsi="Times New Roman" w:cs="Times New Roman"/>
          <w:b/>
          <w:bCs/>
          <w:sz w:val="36"/>
          <w:szCs w:val="36"/>
        </w:rPr>
        <w:t>Hydrogen peroxide impacts on marine phytoplankton community structure:</w:t>
      </w:r>
      <w:r w:rsidR="00CF4D2D">
        <w:rPr>
          <w:rFonts w:ascii="Times New Roman" w:hAnsi="Times New Roman" w:cs="Times New Roman"/>
          <w:b/>
          <w:bCs/>
          <w:sz w:val="36"/>
          <w:szCs w:val="36"/>
        </w:rPr>
        <w:t xml:space="preserve"> </w:t>
      </w:r>
    </w:p>
    <w:p w14:paraId="44655655" w14:textId="080879DA" w:rsidR="00CF4D2D" w:rsidRDefault="004A102E" w:rsidP="003D069F">
      <w:pPr>
        <w:spacing w:after="0" w:line="360" w:lineRule="auto"/>
        <w:jc w:val="center"/>
        <w:rPr>
          <w:rFonts w:ascii="Times New Roman" w:hAnsi="Times New Roman" w:cs="Times New Roman"/>
          <w:b/>
          <w:bCs/>
          <w:sz w:val="36"/>
          <w:szCs w:val="36"/>
        </w:rPr>
      </w:pPr>
      <w:r w:rsidRPr="00DC6A47">
        <w:rPr>
          <w:rFonts w:ascii="Times New Roman" w:hAnsi="Times New Roman" w:cs="Times New Roman"/>
          <w:b/>
          <w:bCs/>
          <w:sz w:val="36"/>
          <w:szCs w:val="36"/>
        </w:rPr>
        <w:t>A modeling story</w:t>
      </w:r>
    </w:p>
    <w:p w14:paraId="1043A01F" w14:textId="77777777" w:rsidR="00CF4D2D" w:rsidRDefault="00CF4D2D" w:rsidP="00CF4D2D">
      <w:pPr>
        <w:spacing w:line="360" w:lineRule="auto"/>
        <w:jc w:val="center"/>
        <w:rPr>
          <w:rFonts w:ascii="Times New Roman" w:hAnsi="Times New Roman" w:cs="Times New Roman"/>
          <w:b/>
          <w:bCs/>
          <w:sz w:val="36"/>
          <w:szCs w:val="36"/>
        </w:rPr>
      </w:pPr>
    </w:p>
    <w:p w14:paraId="16EF6EA0" w14:textId="77777777" w:rsidR="00CF4D2D" w:rsidRDefault="00CF4D2D" w:rsidP="00CF4D2D">
      <w:pPr>
        <w:spacing w:line="360" w:lineRule="auto"/>
        <w:jc w:val="center"/>
        <w:rPr>
          <w:rFonts w:ascii="Times New Roman" w:hAnsi="Times New Roman" w:cs="Times New Roman"/>
          <w:b/>
          <w:bCs/>
          <w:sz w:val="36"/>
          <w:szCs w:val="36"/>
        </w:rPr>
      </w:pPr>
    </w:p>
    <w:p w14:paraId="44CD74C9" w14:textId="77777777" w:rsidR="00CF4D2D" w:rsidRDefault="00CF4D2D" w:rsidP="00CF4D2D">
      <w:pPr>
        <w:spacing w:line="360" w:lineRule="auto"/>
        <w:jc w:val="center"/>
        <w:rPr>
          <w:rFonts w:ascii="Times New Roman" w:hAnsi="Times New Roman" w:cs="Times New Roman"/>
          <w:b/>
          <w:bCs/>
          <w:sz w:val="36"/>
          <w:szCs w:val="36"/>
        </w:rPr>
      </w:pPr>
    </w:p>
    <w:p w14:paraId="532213BB" w14:textId="77777777" w:rsidR="00CF4D2D" w:rsidRPr="00CF4D2D" w:rsidRDefault="00CF4D2D" w:rsidP="00CF4D2D">
      <w:pPr>
        <w:spacing w:line="360" w:lineRule="auto"/>
        <w:jc w:val="center"/>
        <w:rPr>
          <w:rFonts w:ascii="Times New Roman" w:hAnsi="Times New Roman" w:cs="Times New Roman"/>
          <w:b/>
          <w:bCs/>
          <w:sz w:val="36"/>
          <w:szCs w:val="36"/>
        </w:rPr>
      </w:pPr>
    </w:p>
    <w:p w14:paraId="047D27AE" w14:textId="641CEAB7" w:rsidR="005F3F91" w:rsidRPr="003609FB" w:rsidRDefault="005B2603" w:rsidP="00CF4D2D">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A Dissertation Presented for the</w:t>
      </w:r>
    </w:p>
    <w:p w14:paraId="4E45F617" w14:textId="1946E486" w:rsidR="005F3F91" w:rsidRPr="003609FB" w:rsidRDefault="005B2603" w:rsidP="00CF4D2D">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Doctor of Philosophy</w:t>
      </w:r>
    </w:p>
    <w:p w14:paraId="1A181E98" w14:textId="658C10EE" w:rsidR="00515DFD" w:rsidRPr="003609FB" w:rsidRDefault="005B2603" w:rsidP="00CF4D2D">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Degree</w:t>
      </w:r>
    </w:p>
    <w:p w14:paraId="78D31E98" w14:textId="25DFC6DC" w:rsidR="00CF4D2D" w:rsidRDefault="005B2603" w:rsidP="00CF4D2D">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The University of Tennessee, Knoxville</w:t>
      </w:r>
    </w:p>
    <w:p w14:paraId="6F460098" w14:textId="77777777" w:rsidR="00CF4D2D" w:rsidRDefault="00CF4D2D" w:rsidP="00CF4D2D">
      <w:pPr>
        <w:spacing w:line="360" w:lineRule="auto"/>
        <w:jc w:val="center"/>
        <w:rPr>
          <w:rFonts w:ascii="Times New Roman" w:hAnsi="Times New Roman" w:cs="Times New Roman"/>
          <w:sz w:val="24"/>
          <w:szCs w:val="24"/>
        </w:rPr>
      </w:pPr>
    </w:p>
    <w:p w14:paraId="4F469277" w14:textId="77777777" w:rsidR="00CF4D2D" w:rsidRDefault="00CF4D2D" w:rsidP="00CF4D2D">
      <w:pPr>
        <w:spacing w:line="360" w:lineRule="auto"/>
        <w:jc w:val="center"/>
        <w:rPr>
          <w:rFonts w:ascii="Times New Roman" w:hAnsi="Times New Roman" w:cs="Times New Roman"/>
          <w:sz w:val="24"/>
          <w:szCs w:val="24"/>
        </w:rPr>
      </w:pPr>
    </w:p>
    <w:p w14:paraId="4ADD2824" w14:textId="77777777" w:rsidR="00CF4D2D" w:rsidRDefault="00CF4D2D" w:rsidP="00CF4D2D">
      <w:pPr>
        <w:spacing w:line="360" w:lineRule="auto"/>
        <w:jc w:val="center"/>
        <w:rPr>
          <w:rFonts w:ascii="Times New Roman" w:hAnsi="Times New Roman" w:cs="Times New Roman"/>
          <w:sz w:val="24"/>
          <w:szCs w:val="24"/>
        </w:rPr>
      </w:pPr>
    </w:p>
    <w:p w14:paraId="54D00251" w14:textId="77777777" w:rsidR="00CF4D2D" w:rsidRDefault="00CF4D2D" w:rsidP="00CF4D2D">
      <w:pPr>
        <w:spacing w:line="360" w:lineRule="auto"/>
        <w:jc w:val="center"/>
        <w:rPr>
          <w:rFonts w:ascii="Times New Roman" w:hAnsi="Times New Roman" w:cs="Times New Roman"/>
          <w:sz w:val="24"/>
          <w:szCs w:val="24"/>
        </w:rPr>
      </w:pPr>
    </w:p>
    <w:p w14:paraId="0B1743B8" w14:textId="77777777" w:rsidR="00CF4D2D" w:rsidRDefault="00CF4D2D" w:rsidP="00CF4D2D">
      <w:pPr>
        <w:spacing w:line="360" w:lineRule="auto"/>
        <w:jc w:val="center"/>
        <w:rPr>
          <w:rFonts w:ascii="Times New Roman" w:hAnsi="Times New Roman" w:cs="Times New Roman"/>
          <w:sz w:val="24"/>
          <w:szCs w:val="24"/>
        </w:rPr>
      </w:pPr>
    </w:p>
    <w:p w14:paraId="4F14559E" w14:textId="6B163207" w:rsidR="00C72F34" w:rsidRPr="003609FB" w:rsidRDefault="005B2603"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Donna Kathleen “Katie” McCullough</w:t>
      </w:r>
    </w:p>
    <w:p w14:paraId="452301E3" w14:textId="77777777" w:rsidR="003D069F" w:rsidRDefault="00DE4EFC" w:rsidP="00AB2160">
      <w:pPr>
        <w:spacing w:line="360" w:lineRule="auto"/>
        <w:jc w:val="center"/>
        <w:rPr>
          <w:rFonts w:ascii="Times New Roman" w:hAnsi="Times New Roman" w:cs="Times New Roman"/>
          <w:sz w:val="24"/>
          <w:szCs w:val="24"/>
        </w:rPr>
        <w:sectPr w:rsidR="003D069F" w:rsidSect="00B726B5">
          <w:footerReference w:type="default" r:id="rId11"/>
          <w:footerReference w:type="first" r:id="rId12"/>
          <w:type w:val="continuous"/>
          <w:pgSz w:w="12240" w:h="15840"/>
          <w:pgMar w:top="1440" w:right="1440" w:bottom="1440" w:left="1440" w:header="720" w:footer="720" w:gutter="0"/>
          <w:pgNumType w:start="1"/>
          <w:cols w:space="720"/>
          <w:titlePg/>
          <w:docGrid w:linePitch="360"/>
        </w:sectPr>
      </w:pPr>
      <w:r w:rsidRPr="003609FB">
        <w:rPr>
          <w:rFonts w:ascii="Times New Roman" w:hAnsi="Times New Roman" w:cs="Times New Roman"/>
          <w:sz w:val="24"/>
          <w:szCs w:val="24"/>
        </w:rPr>
        <w:t>August</w:t>
      </w:r>
      <w:r w:rsidR="00031CB0" w:rsidRPr="003609FB">
        <w:rPr>
          <w:rFonts w:ascii="Times New Roman" w:hAnsi="Times New Roman" w:cs="Times New Roman"/>
          <w:sz w:val="24"/>
          <w:szCs w:val="24"/>
        </w:rPr>
        <w:t xml:space="preserve"> 2024</w:t>
      </w:r>
    </w:p>
    <w:p w14:paraId="3C6D0CE3" w14:textId="63839F4D" w:rsidR="006343DE" w:rsidRPr="003609FB" w:rsidRDefault="006343DE"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lastRenderedPageBreak/>
        <w:t>Copyright © Donna K</w:t>
      </w:r>
      <w:r w:rsidR="00263092">
        <w:rPr>
          <w:rFonts w:ascii="Times New Roman" w:hAnsi="Times New Roman" w:cs="Times New Roman"/>
          <w:sz w:val="24"/>
          <w:szCs w:val="24"/>
        </w:rPr>
        <w:t>athleen</w:t>
      </w:r>
      <w:r w:rsidRPr="003609FB">
        <w:rPr>
          <w:rFonts w:ascii="Times New Roman" w:hAnsi="Times New Roman" w:cs="Times New Roman"/>
          <w:sz w:val="24"/>
          <w:szCs w:val="24"/>
        </w:rPr>
        <w:t xml:space="preserve"> McCullough</w:t>
      </w:r>
    </w:p>
    <w:p w14:paraId="3E942F71" w14:textId="77777777" w:rsidR="006343DE" w:rsidRPr="003609FB" w:rsidRDefault="006343DE"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All Rights Reserved</w:t>
      </w:r>
    </w:p>
    <w:p w14:paraId="2E955B22" w14:textId="32D5ECD0" w:rsidR="00A93211" w:rsidRPr="003609FB" w:rsidRDefault="00A93211" w:rsidP="00AB2160">
      <w:pPr>
        <w:spacing w:line="360" w:lineRule="auto"/>
        <w:rPr>
          <w:rFonts w:ascii="Times New Roman" w:hAnsi="Times New Roman" w:cs="Times New Roman"/>
          <w:sz w:val="24"/>
          <w:szCs w:val="24"/>
        </w:rPr>
      </w:pPr>
    </w:p>
    <w:p w14:paraId="53EAA9A6" w14:textId="6C7B2715" w:rsidR="00A93211" w:rsidRPr="003609FB" w:rsidRDefault="00A93211" w:rsidP="00AB2160">
      <w:pPr>
        <w:spacing w:line="360" w:lineRule="auto"/>
        <w:rPr>
          <w:rFonts w:ascii="Times New Roman" w:hAnsi="Times New Roman" w:cs="Times New Roman"/>
          <w:sz w:val="24"/>
          <w:szCs w:val="24"/>
        </w:rPr>
      </w:pPr>
    </w:p>
    <w:p w14:paraId="4B975268" w14:textId="07412A57" w:rsidR="00A93211" w:rsidRPr="003609FB" w:rsidRDefault="00A93211" w:rsidP="00AB2160">
      <w:pPr>
        <w:spacing w:line="360" w:lineRule="auto"/>
        <w:rPr>
          <w:rFonts w:ascii="Times New Roman" w:hAnsi="Times New Roman" w:cs="Times New Roman"/>
          <w:sz w:val="24"/>
          <w:szCs w:val="24"/>
        </w:rPr>
      </w:pPr>
    </w:p>
    <w:p w14:paraId="6A01F4D0" w14:textId="6819CC04" w:rsidR="00A93211" w:rsidRPr="003609FB" w:rsidRDefault="00A93211" w:rsidP="00AB2160">
      <w:pPr>
        <w:spacing w:line="360" w:lineRule="auto"/>
        <w:rPr>
          <w:rFonts w:ascii="Times New Roman" w:hAnsi="Times New Roman" w:cs="Times New Roman"/>
          <w:sz w:val="24"/>
          <w:szCs w:val="24"/>
        </w:rPr>
      </w:pPr>
    </w:p>
    <w:p w14:paraId="40B4AA57" w14:textId="6DF7B33B" w:rsidR="00A93211" w:rsidRPr="003609FB" w:rsidRDefault="00A93211" w:rsidP="00AB2160">
      <w:pPr>
        <w:spacing w:line="360" w:lineRule="auto"/>
        <w:rPr>
          <w:rFonts w:ascii="Times New Roman" w:hAnsi="Times New Roman" w:cs="Times New Roman"/>
          <w:sz w:val="24"/>
          <w:szCs w:val="24"/>
        </w:rPr>
      </w:pPr>
    </w:p>
    <w:p w14:paraId="52A3C04A" w14:textId="6F14B969" w:rsidR="00A93211" w:rsidRPr="003609FB" w:rsidRDefault="00A93211" w:rsidP="00AB2160">
      <w:pPr>
        <w:spacing w:line="360" w:lineRule="auto"/>
        <w:rPr>
          <w:rFonts w:ascii="Times New Roman" w:hAnsi="Times New Roman" w:cs="Times New Roman"/>
          <w:sz w:val="24"/>
          <w:szCs w:val="24"/>
        </w:rPr>
      </w:pPr>
    </w:p>
    <w:p w14:paraId="0919EBE1" w14:textId="427ADE98" w:rsidR="00A93211" w:rsidRPr="003609FB" w:rsidRDefault="00A93211" w:rsidP="00AB2160">
      <w:pPr>
        <w:spacing w:line="360" w:lineRule="auto"/>
        <w:rPr>
          <w:rFonts w:ascii="Times New Roman" w:hAnsi="Times New Roman" w:cs="Times New Roman"/>
          <w:sz w:val="24"/>
          <w:szCs w:val="24"/>
        </w:rPr>
      </w:pPr>
    </w:p>
    <w:p w14:paraId="7EBA4E79" w14:textId="4C616F51" w:rsidR="00A93211" w:rsidRPr="003609FB" w:rsidRDefault="00A93211" w:rsidP="00AB2160">
      <w:pPr>
        <w:spacing w:line="360" w:lineRule="auto"/>
        <w:rPr>
          <w:rFonts w:ascii="Times New Roman" w:hAnsi="Times New Roman" w:cs="Times New Roman"/>
          <w:sz w:val="24"/>
          <w:szCs w:val="24"/>
        </w:rPr>
      </w:pPr>
    </w:p>
    <w:p w14:paraId="60295728" w14:textId="14B553C1" w:rsidR="00932BF8" w:rsidRPr="003609FB" w:rsidRDefault="00932BF8" w:rsidP="00AB2160">
      <w:pPr>
        <w:spacing w:line="360" w:lineRule="auto"/>
        <w:rPr>
          <w:rFonts w:ascii="Times New Roman" w:hAnsi="Times New Roman" w:cs="Times New Roman"/>
          <w:sz w:val="24"/>
          <w:szCs w:val="24"/>
        </w:rPr>
      </w:pPr>
    </w:p>
    <w:p w14:paraId="0B5AC671" w14:textId="347BA0C9" w:rsidR="00284C5A" w:rsidRPr="003609FB" w:rsidRDefault="00284C5A" w:rsidP="00AB2160">
      <w:pPr>
        <w:spacing w:line="360" w:lineRule="auto"/>
        <w:rPr>
          <w:rFonts w:ascii="Times New Roman" w:hAnsi="Times New Roman" w:cs="Times New Roman"/>
          <w:sz w:val="24"/>
          <w:szCs w:val="24"/>
        </w:rPr>
      </w:pPr>
    </w:p>
    <w:p w14:paraId="05D420A8" w14:textId="58BAE885" w:rsidR="00284C5A" w:rsidRPr="003609FB" w:rsidRDefault="00284C5A" w:rsidP="00AB2160">
      <w:pPr>
        <w:spacing w:line="360" w:lineRule="auto"/>
        <w:rPr>
          <w:rFonts w:ascii="Times New Roman" w:hAnsi="Times New Roman" w:cs="Times New Roman"/>
          <w:sz w:val="24"/>
          <w:szCs w:val="24"/>
        </w:rPr>
      </w:pPr>
    </w:p>
    <w:p w14:paraId="15770931" w14:textId="77777777" w:rsidR="00E64DCC" w:rsidRPr="003609FB" w:rsidRDefault="00E64DCC" w:rsidP="00AB2160">
      <w:pPr>
        <w:spacing w:line="360" w:lineRule="auto"/>
        <w:rPr>
          <w:rFonts w:ascii="Times New Roman" w:hAnsi="Times New Roman" w:cs="Times New Roman"/>
          <w:sz w:val="24"/>
          <w:szCs w:val="24"/>
        </w:rPr>
      </w:pPr>
    </w:p>
    <w:p w14:paraId="4BA8777A" w14:textId="77777777" w:rsidR="0024172C" w:rsidRPr="003609FB" w:rsidRDefault="0024172C" w:rsidP="00AB2160">
      <w:pPr>
        <w:spacing w:line="360" w:lineRule="auto"/>
        <w:rPr>
          <w:rFonts w:ascii="Times New Roman" w:hAnsi="Times New Roman" w:cs="Times New Roman"/>
          <w:sz w:val="24"/>
          <w:szCs w:val="24"/>
        </w:rPr>
      </w:pPr>
    </w:p>
    <w:p w14:paraId="232A4F9B" w14:textId="42B9F370" w:rsidR="0024172C" w:rsidRPr="003609FB" w:rsidRDefault="0024172C" w:rsidP="00AB2160">
      <w:pPr>
        <w:spacing w:line="360" w:lineRule="auto"/>
        <w:rPr>
          <w:rFonts w:ascii="Times New Roman" w:hAnsi="Times New Roman" w:cs="Times New Roman"/>
          <w:sz w:val="24"/>
          <w:szCs w:val="24"/>
        </w:rPr>
      </w:pPr>
    </w:p>
    <w:p w14:paraId="72BCED1F" w14:textId="54E1AB82" w:rsidR="00596C0F" w:rsidRPr="003609FB" w:rsidRDefault="00596C0F" w:rsidP="00AB2160">
      <w:pPr>
        <w:spacing w:line="360" w:lineRule="auto"/>
        <w:rPr>
          <w:rFonts w:ascii="Times New Roman" w:hAnsi="Times New Roman" w:cs="Times New Roman"/>
          <w:sz w:val="24"/>
          <w:szCs w:val="24"/>
        </w:rPr>
      </w:pPr>
    </w:p>
    <w:p w14:paraId="707D6DC5" w14:textId="16E90CB7" w:rsidR="00596C0F" w:rsidRPr="003609FB" w:rsidRDefault="00596C0F" w:rsidP="00AB2160">
      <w:pPr>
        <w:spacing w:line="360" w:lineRule="auto"/>
        <w:rPr>
          <w:rFonts w:ascii="Times New Roman" w:hAnsi="Times New Roman" w:cs="Times New Roman"/>
          <w:sz w:val="24"/>
          <w:szCs w:val="24"/>
        </w:rPr>
      </w:pPr>
    </w:p>
    <w:p w14:paraId="05997C8F" w14:textId="6C4C36A4" w:rsidR="00596C0F" w:rsidRPr="003609FB" w:rsidRDefault="00596C0F" w:rsidP="00AB2160">
      <w:pPr>
        <w:spacing w:line="360" w:lineRule="auto"/>
        <w:rPr>
          <w:rFonts w:ascii="Times New Roman" w:hAnsi="Times New Roman" w:cs="Times New Roman"/>
          <w:sz w:val="24"/>
          <w:szCs w:val="24"/>
        </w:rPr>
      </w:pPr>
    </w:p>
    <w:p w14:paraId="1461780C" w14:textId="50987729" w:rsidR="008C5D6D" w:rsidRDefault="008C5D6D" w:rsidP="00AB2160">
      <w:pPr>
        <w:spacing w:line="360" w:lineRule="auto"/>
        <w:rPr>
          <w:rFonts w:ascii="Times New Roman" w:hAnsi="Times New Roman" w:cs="Times New Roman"/>
          <w:sz w:val="24"/>
          <w:szCs w:val="24"/>
        </w:rPr>
      </w:pPr>
    </w:p>
    <w:p w14:paraId="04203145" w14:textId="77777777" w:rsidR="005313D7" w:rsidRPr="003609FB" w:rsidRDefault="005313D7" w:rsidP="00797D57">
      <w:pPr>
        <w:spacing w:line="360" w:lineRule="auto"/>
        <w:jc w:val="right"/>
        <w:rPr>
          <w:rFonts w:ascii="Times New Roman" w:hAnsi="Times New Roman" w:cs="Times New Roman"/>
          <w:sz w:val="24"/>
          <w:szCs w:val="24"/>
        </w:rPr>
      </w:pPr>
    </w:p>
    <w:p w14:paraId="2AF4D425" w14:textId="0704507D" w:rsidR="00D46B1F" w:rsidRPr="00A109EA" w:rsidRDefault="00DE3CC5" w:rsidP="00AB2160">
      <w:pPr>
        <w:pStyle w:val="ListParagraph"/>
        <w:spacing w:line="360" w:lineRule="auto"/>
        <w:ind w:left="0"/>
        <w:jc w:val="center"/>
        <w:rPr>
          <w:rFonts w:ascii="Times New Roman" w:hAnsi="Times New Roman" w:cs="Times New Roman"/>
          <w:b/>
          <w:bCs/>
          <w:sz w:val="28"/>
          <w:szCs w:val="28"/>
        </w:rPr>
      </w:pPr>
      <w:r w:rsidRPr="00762FB0">
        <w:rPr>
          <w:rFonts w:ascii="Times New Roman" w:hAnsi="Times New Roman" w:cs="Times New Roman"/>
          <w:b/>
          <w:bCs/>
          <w:sz w:val="28"/>
          <w:szCs w:val="28"/>
        </w:rPr>
        <w:lastRenderedPageBreak/>
        <w:t>Dedication</w:t>
      </w:r>
    </w:p>
    <w:p w14:paraId="2D104FC5" w14:textId="4DD4315C" w:rsidR="00932BF8" w:rsidRPr="003609FB" w:rsidRDefault="002F1D37"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 xml:space="preserve">To </w:t>
      </w:r>
      <w:r w:rsidR="00932BF8" w:rsidRPr="003609FB">
        <w:rPr>
          <w:rFonts w:ascii="Times New Roman" w:hAnsi="Times New Roman" w:cs="Times New Roman"/>
          <w:sz w:val="24"/>
          <w:szCs w:val="24"/>
        </w:rPr>
        <w:t>the</w:t>
      </w:r>
      <w:r w:rsidRPr="003609FB">
        <w:rPr>
          <w:rFonts w:ascii="Times New Roman" w:hAnsi="Times New Roman" w:cs="Times New Roman"/>
          <w:sz w:val="24"/>
          <w:szCs w:val="24"/>
        </w:rPr>
        <w:t xml:space="preserve"> past iterations </w:t>
      </w:r>
      <w:r w:rsidR="00932BF8" w:rsidRPr="003609FB">
        <w:rPr>
          <w:rFonts w:ascii="Times New Roman" w:hAnsi="Times New Roman" w:cs="Times New Roman"/>
          <w:sz w:val="24"/>
          <w:szCs w:val="24"/>
        </w:rPr>
        <w:t xml:space="preserve">of myself </w:t>
      </w:r>
      <w:r w:rsidRPr="003609FB">
        <w:rPr>
          <w:rFonts w:ascii="Times New Roman" w:hAnsi="Times New Roman" w:cs="Times New Roman"/>
          <w:sz w:val="24"/>
          <w:szCs w:val="24"/>
        </w:rPr>
        <w:t>for w</w:t>
      </w:r>
      <w:r w:rsidR="00FA7A0B" w:rsidRPr="003609FB">
        <w:rPr>
          <w:rFonts w:ascii="Times New Roman" w:hAnsi="Times New Roman" w:cs="Times New Roman"/>
          <w:sz w:val="24"/>
          <w:szCs w:val="24"/>
        </w:rPr>
        <w:t>hom</w:t>
      </w:r>
      <w:r w:rsidRPr="003609FB">
        <w:rPr>
          <w:rFonts w:ascii="Times New Roman" w:hAnsi="Times New Roman" w:cs="Times New Roman"/>
          <w:sz w:val="24"/>
          <w:szCs w:val="24"/>
        </w:rPr>
        <w:t xml:space="preserve"> this dissertation </w:t>
      </w:r>
      <w:r w:rsidR="007C1F28" w:rsidRPr="003609FB">
        <w:rPr>
          <w:rFonts w:ascii="Times New Roman" w:hAnsi="Times New Roman" w:cs="Times New Roman"/>
          <w:sz w:val="24"/>
          <w:szCs w:val="24"/>
        </w:rPr>
        <w:t>seemed</w:t>
      </w:r>
      <w:r w:rsidRPr="003609FB">
        <w:rPr>
          <w:rFonts w:ascii="Times New Roman" w:hAnsi="Times New Roman" w:cs="Times New Roman"/>
          <w:sz w:val="24"/>
          <w:szCs w:val="24"/>
        </w:rPr>
        <w:t xml:space="preserve"> unattainable</w:t>
      </w:r>
      <w:r w:rsidR="00D74591" w:rsidRPr="005313D7">
        <w:rPr>
          <w:rFonts w:ascii="Times New Roman" w:hAnsi="Times New Roman" w:cs="Times New Roman"/>
          <w:b/>
          <w:bCs/>
          <w:sz w:val="24"/>
          <w:szCs w:val="24"/>
        </w:rPr>
        <w:t>;</w:t>
      </w:r>
    </w:p>
    <w:p w14:paraId="30302113" w14:textId="67B21D3A" w:rsidR="000B77BC" w:rsidRPr="003609FB" w:rsidRDefault="000A3F17"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thank you for</w:t>
      </w:r>
      <w:r w:rsidR="00932BF8" w:rsidRPr="003609FB">
        <w:rPr>
          <w:rFonts w:ascii="Times New Roman" w:hAnsi="Times New Roman" w:cs="Times New Roman"/>
          <w:sz w:val="24"/>
          <w:szCs w:val="24"/>
        </w:rPr>
        <w:t xml:space="preserve"> </w:t>
      </w:r>
      <w:r w:rsidR="001345DD" w:rsidRPr="003609FB">
        <w:rPr>
          <w:rFonts w:ascii="Times New Roman" w:hAnsi="Times New Roman" w:cs="Times New Roman"/>
          <w:sz w:val="24"/>
          <w:szCs w:val="24"/>
        </w:rPr>
        <w:t>persevering</w:t>
      </w:r>
      <w:r w:rsidRPr="003609FB">
        <w:rPr>
          <w:rFonts w:ascii="Times New Roman" w:hAnsi="Times New Roman" w:cs="Times New Roman"/>
          <w:sz w:val="24"/>
          <w:szCs w:val="24"/>
        </w:rPr>
        <w:t>.</w:t>
      </w:r>
    </w:p>
    <w:p w14:paraId="3DC9A7BA" w14:textId="7C346096" w:rsidR="000B77BC" w:rsidRPr="003609FB" w:rsidRDefault="000B77BC" w:rsidP="00AB2160">
      <w:pPr>
        <w:spacing w:line="360" w:lineRule="auto"/>
        <w:rPr>
          <w:rFonts w:ascii="Times New Roman" w:hAnsi="Times New Roman" w:cs="Times New Roman"/>
          <w:sz w:val="24"/>
          <w:szCs w:val="24"/>
        </w:rPr>
      </w:pPr>
    </w:p>
    <w:p w14:paraId="006A486B" w14:textId="0868CFF8" w:rsidR="000B77BC" w:rsidRPr="003609FB" w:rsidRDefault="000B77BC" w:rsidP="00AB2160">
      <w:pPr>
        <w:spacing w:line="360" w:lineRule="auto"/>
        <w:rPr>
          <w:rFonts w:ascii="Times New Roman" w:hAnsi="Times New Roman" w:cs="Times New Roman"/>
          <w:sz w:val="24"/>
          <w:szCs w:val="24"/>
        </w:rPr>
      </w:pPr>
    </w:p>
    <w:p w14:paraId="37FF1F2F" w14:textId="515C14FE" w:rsidR="000B77BC" w:rsidRPr="003609FB" w:rsidRDefault="000B77BC" w:rsidP="00AB2160">
      <w:pPr>
        <w:spacing w:line="360" w:lineRule="auto"/>
        <w:rPr>
          <w:rFonts w:ascii="Times New Roman" w:hAnsi="Times New Roman" w:cs="Times New Roman"/>
          <w:sz w:val="24"/>
          <w:szCs w:val="24"/>
        </w:rPr>
      </w:pPr>
    </w:p>
    <w:p w14:paraId="549E3E5F" w14:textId="55CBA424" w:rsidR="000B77BC" w:rsidRPr="003609FB" w:rsidRDefault="000B77BC" w:rsidP="00AB2160">
      <w:pPr>
        <w:spacing w:line="360" w:lineRule="auto"/>
        <w:rPr>
          <w:rFonts w:ascii="Times New Roman" w:hAnsi="Times New Roman" w:cs="Times New Roman"/>
          <w:sz w:val="24"/>
          <w:szCs w:val="24"/>
        </w:rPr>
      </w:pPr>
    </w:p>
    <w:p w14:paraId="0064ECEC" w14:textId="3AE1C62B" w:rsidR="000B77BC" w:rsidRPr="003609FB" w:rsidRDefault="000B77BC" w:rsidP="00AB2160">
      <w:pPr>
        <w:spacing w:line="360" w:lineRule="auto"/>
        <w:rPr>
          <w:rFonts w:ascii="Times New Roman" w:hAnsi="Times New Roman" w:cs="Times New Roman"/>
          <w:sz w:val="24"/>
          <w:szCs w:val="24"/>
        </w:rPr>
      </w:pPr>
    </w:p>
    <w:p w14:paraId="027C2E74" w14:textId="710EB6EF" w:rsidR="000B77BC" w:rsidRPr="003609FB" w:rsidRDefault="000B77BC" w:rsidP="00AB2160">
      <w:pPr>
        <w:spacing w:line="360" w:lineRule="auto"/>
        <w:rPr>
          <w:rFonts w:ascii="Times New Roman" w:hAnsi="Times New Roman" w:cs="Times New Roman"/>
          <w:sz w:val="24"/>
          <w:szCs w:val="24"/>
        </w:rPr>
      </w:pPr>
    </w:p>
    <w:p w14:paraId="5C8CE1C4" w14:textId="23BDFF2F" w:rsidR="000B77BC" w:rsidRPr="003609FB" w:rsidRDefault="000B77BC" w:rsidP="00AB2160">
      <w:pPr>
        <w:spacing w:line="360" w:lineRule="auto"/>
        <w:rPr>
          <w:rFonts w:ascii="Times New Roman" w:hAnsi="Times New Roman" w:cs="Times New Roman"/>
          <w:sz w:val="24"/>
          <w:szCs w:val="24"/>
        </w:rPr>
      </w:pPr>
    </w:p>
    <w:p w14:paraId="4AF385E4" w14:textId="7B64512B" w:rsidR="000B77BC" w:rsidRPr="003609FB" w:rsidRDefault="000B77BC" w:rsidP="00AB2160">
      <w:pPr>
        <w:spacing w:line="360" w:lineRule="auto"/>
        <w:rPr>
          <w:rFonts w:ascii="Times New Roman" w:hAnsi="Times New Roman" w:cs="Times New Roman"/>
          <w:sz w:val="24"/>
          <w:szCs w:val="24"/>
        </w:rPr>
      </w:pPr>
    </w:p>
    <w:p w14:paraId="528ADA8D" w14:textId="33EF3DD9" w:rsidR="000B77BC" w:rsidRPr="003609FB" w:rsidRDefault="000B77BC" w:rsidP="00AB2160">
      <w:pPr>
        <w:spacing w:line="360" w:lineRule="auto"/>
        <w:rPr>
          <w:rFonts w:ascii="Times New Roman" w:hAnsi="Times New Roman" w:cs="Times New Roman"/>
          <w:sz w:val="24"/>
          <w:szCs w:val="24"/>
        </w:rPr>
      </w:pPr>
    </w:p>
    <w:p w14:paraId="7C247383" w14:textId="1D7065F3" w:rsidR="000B77BC" w:rsidRPr="003609FB" w:rsidRDefault="000B77BC" w:rsidP="00AB2160">
      <w:pPr>
        <w:spacing w:line="360" w:lineRule="auto"/>
        <w:rPr>
          <w:rFonts w:ascii="Times New Roman" w:hAnsi="Times New Roman" w:cs="Times New Roman"/>
          <w:sz w:val="24"/>
          <w:szCs w:val="24"/>
        </w:rPr>
      </w:pPr>
    </w:p>
    <w:p w14:paraId="7C03CA67" w14:textId="3878DB49" w:rsidR="000B77BC" w:rsidRPr="003609FB" w:rsidRDefault="000B77BC" w:rsidP="00AB2160">
      <w:pPr>
        <w:spacing w:line="360" w:lineRule="auto"/>
        <w:rPr>
          <w:rFonts w:ascii="Times New Roman" w:hAnsi="Times New Roman" w:cs="Times New Roman"/>
          <w:sz w:val="24"/>
          <w:szCs w:val="24"/>
        </w:rPr>
      </w:pPr>
    </w:p>
    <w:p w14:paraId="0F8161C1" w14:textId="718FE19B" w:rsidR="000B77BC" w:rsidRPr="003609FB" w:rsidRDefault="000B77BC" w:rsidP="00AB2160">
      <w:pPr>
        <w:spacing w:line="360" w:lineRule="auto"/>
        <w:rPr>
          <w:rFonts w:ascii="Times New Roman" w:hAnsi="Times New Roman" w:cs="Times New Roman"/>
          <w:sz w:val="24"/>
          <w:szCs w:val="24"/>
        </w:rPr>
      </w:pPr>
    </w:p>
    <w:p w14:paraId="37CEF5DD" w14:textId="19BAF12F" w:rsidR="000B77BC" w:rsidRPr="003609FB" w:rsidRDefault="000B77BC" w:rsidP="00AB2160">
      <w:pPr>
        <w:spacing w:line="360" w:lineRule="auto"/>
        <w:rPr>
          <w:rFonts w:ascii="Times New Roman" w:hAnsi="Times New Roman" w:cs="Times New Roman"/>
          <w:sz w:val="24"/>
          <w:szCs w:val="24"/>
        </w:rPr>
      </w:pPr>
    </w:p>
    <w:p w14:paraId="33C36002" w14:textId="6946EE96" w:rsidR="000B77BC" w:rsidRPr="003609FB" w:rsidRDefault="000B77BC" w:rsidP="00AB2160">
      <w:pPr>
        <w:spacing w:line="360" w:lineRule="auto"/>
        <w:rPr>
          <w:rFonts w:ascii="Times New Roman" w:hAnsi="Times New Roman" w:cs="Times New Roman"/>
          <w:sz w:val="24"/>
          <w:szCs w:val="24"/>
        </w:rPr>
      </w:pPr>
    </w:p>
    <w:p w14:paraId="613BE3BB" w14:textId="519C64B5" w:rsidR="000B77BC" w:rsidRPr="003609FB" w:rsidRDefault="000B77BC" w:rsidP="00AB2160">
      <w:pPr>
        <w:spacing w:line="360" w:lineRule="auto"/>
        <w:rPr>
          <w:rFonts w:ascii="Times New Roman" w:hAnsi="Times New Roman" w:cs="Times New Roman"/>
          <w:sz w:val="24"/>
          <w:szCs w:val="24"/>
        </w:rPr>
      </w:pPr>
    </w:p>
    <w:p w14:paraId="77D0638B" w14:textId="1087CC00" w:rsidR="000B77BC" w:rsidRPr="003609FB" w:rsidRDefault="000B77BC" w:rsidP="00AB2160">
      <w:pPr>
        <w:spacing w:line="360" w:lineRule="auto"/>
        <w:rPr>
          <w:rFonts w:ascii="Times New Roman" w:hAnsi="Times New Roman" w:cs="Times New Roman"/>
          <w:sz w:val="24"/>
          <w:szCs w:val="24"/>
        </w:rPr>
      </w:pPr>
    </w:p>
    <w:p w14:paraId="44A9E342" w14:textId="7A4722C5" w:rsidR="000B77BC" w:rsidRDefault="000B77BC" w:rsidP="00AB2160">
      <w:pPr>
        <w:spacing w:line="360" w:lineRule="auto"/>
        <w:rPr>
          <w:rFonts w:ascii="Times New Roman" w:hAnsi="Times New Roman" w:cs="Times New Roman"/>
          <w:sz w:val="24"/>
          <w:szCs w:val="24"/>
        </w:rPr>
      </w:pPr>
    </w:p>
    <w:p w14:paraId="5BB35BBB" w14:textId="77777777" w:rsidR="00121DB0" w:rsidRPr="003609FB" w:rsidRDefault="00121DB0" w:rsidP="00AB2160">
      <w:pPr>
        <w:spacing w:line="360" w:lineRule="auto"/>
        <w:rPr>
          <w:rFonts w:ascii="Times New Roman" w:hAnsi="Times New Roman" w:cs="Times New Roman"/>
          <w:sz w:val="24"/>
          <w:szCs w:val="24"/>
        </w:rPr>
      </w:pPr>
    </w:p>
    <w:p w14:paraId="3FDBE56D" w14:textId="04C35C54" w:rsidR="00A551B3" w:rsidRPr="00762FB0" w:rsidRDefault="000B77BC" w:rsidP="00AB2160">
      <w:pPr>
        <w:spacing w:line="360" w:lineRule="auto"/>
        <w:jc w:val="center"/>
        <w:rPr>
          <w:rFonts w:asciiTheme="majorBidi" w:hAnsiTheme="majorBidi"/>
          <w:b/>
          <w:bCs/>
          <w:sz w:val="28"/>
          <w:szCs w:val="28"/>
        </w:rPr>
      </w:pPr>
      <w:r w:rsidRPr="00EE6969">
        <w:rPr>
          <w:rFonts w:asciiTheme="majorBidi" w:hAnsiTheme="majorBidi"/>
          <w:b/>
          <w:bCs/>
          <w:sz w:val="28"/>
          <w:szCs w:val="28"/>
        </w:rPr>
        <w:lastRenderedPageBreak/>
        <w:t>Acknowledgements</w:t>
      </w:r>
    </w:p>
    <w:p w14:paraId="73917082" w14:textId="581F2576" w:rsidR="006D0CEA" w:rsidRPr="003609FB" w:rsidRDefault="00FF2FFA"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Microbial survival in the surface ocean depends on continual community intervention to </w:t>
      </w:r>
      <w:r w:rsidR="00911DC8" w:rsidRPr="003609FB">
        <w:rPr>
          <w:rFonts w:ascii="Times New Roman" w:hAnsi="Times New Roman" w:cs="Times New Roman"/>
          <w:sz w:val="24"/>
          <w:szCs w:val="24"/>
        </w:rPr>
        <w:t>combat the</w:t>
      </w:r>
      <w:r w:rsidRPr="003609FB">
        <w:rPr>
          <w:rFonts w:ascii="Times New Roman" w:hAnsi="Times New Roman" w:cs="Times New Roman"/>
          <w:sz w:val="24"/>
          <w:szCs w:val="24"/>
        </w:rPr>
        <w:t xml:space="preserve"> innumerable pressures</w:t>
      </w:r>
      <w:r w:rsidR="00911DC8" w:rsidRPr="003609FB">
        <w:rPr>
          <w:rFonts w:ascii="Times New Roman" w:hAnsi="Times New Roman" w:cs="Times New Roman"/>
          <w:sz w:val="24"/>
          <w:szCs w:val="24"/>
        </w:rPr>
        <w:t xml:space="preserve"> of the open sea</w:t>
      </w:r>
      <w:r w:rsidRPr="003609FB">
        <w:rPr>
          <w:rFonts w:ascii="Times New Roman" w:hAnsi="Times New Roman" w:cs="Times New Roman"/>
          <w:sz w:val="24"/>
          <w:szCs w:val="24"/>
        </w:rPr>
        <w:t xml:space="preserve">; individual success in graduate school is no different. </w:t>
      </w:r>
      <w:r w:rsidR="00911DC8" w:rsidRPr="003609FB">
        <w:rPr>
          <w:rFonts w:ascii="Times New Roman" w:hAnsi="Times New Roman" w:cs="Times New Roman"/>
          <w:sz w:val="24"/>
          <w:szCs w:val="24"/>
        </w:rPr>
        <w:t>First</w:t>
      </w:r>
      <w:r w:rsidR="00872213" w:rsidRPr="003609FB">
        <w:rPr>
          <w:rFonts w:ascii="Times New Roman" w:hAnsi="Times New Roman" w:cs="Times New Roman"/>
          <w:sz w:val="24"/>
          <w:szCs w:val="24"/>
        </w:rPr>
        <w:t>,</w:t>
      </w:r>
      <w:r w:rsidR="00911DC8" w:rsidRPr="003609FB">
        <w:rPr>
          <w:rFonts w:ascii="Times New Roman" w:hAnsi="Times New Roman" w:cs="Times New Roman"/>
          <w:sz w:val="24"/>
          <w:szCs w:val="24"/>
        </w:rPr>
        <w:t xml:space="preserve"> to Dr. David </w:t>
      </w:r>
      <w:proofErr w:type="spellStart"/>
      <w:r w:rsidR="00911DC8" w:rsidRPr="003609FB">
        <w:rPr>
          <w:rFonts w:ascii="Times New Roman" w:hAnsi="Times New Roman" w:cs="Times New Roman"/>
          <w:sz w:val="24"/>
          <w:szCs w:val="24"/>
        </w:rPr>
        <w:t>Talmy</w:t>
      </w:r>
      <w:proofErr w:type="spellEnd"/>
      <w:r w:rsidR="00911DC8" w:rsidRPr="003609FB">
        <w:rPr>
          <w:rFonts w:ascii="Times New Roman" w:hAnsi="Times New Roman" w:cs="Times New Roman"/>
          <w:sz w:val="24"/>
          <w:szCs w:val="24"/>
        </w:rPr>
        <w:t>, taking</w:t>
      </w:r>
      <w:r w:rsidR="00C91610" w:rsidRPr="003609FB">
        <w:rPr>
          <w:rFonts w:ascii="Times New Roman" w:hAnsi="Times New Roman" w:cs="Times New Roman"/>
          <w:sz w:val="24"/>
          <w:szCs w:val="24"/>
        </w:rPr>
        <w:t xml:space="preserve"> </w:t>
      </w:r>
      <w:r w:rsidR="00BD08ED" w:rsidRPr="003609FB">
        <w:rPr>
          <w:rFonts w:ascii="Times New Roman" w:hAnsi="Times New Roman" w:cs="Times New Roman"/>
          <w:sz w:val="24"/>
          <w:szCs w:val="24"/>
        </w:rPr>
        <w:t xml:space="preserve">on a microbiology </w:t>
      </w:r>
      <w:r w:rsidR="00C91610" w:rsidRPr="003609FB">
        <w:rPr>
          <w:rFonts w:ascii="Times New Roman" w:hAnsi="Times New Roman" w:cs="Times New Roman"/>
          <w:sz w:val="24"/>
          <w:szCs w:val="24"/>
        </w:rPr>
        <w:t xml:space="preserve">student </w:t>
      </w:r>
      <w:r w:rsidR="00911DC8" w:rsidRPr="003609FB">
        <w:rPr>
          <w:rFonts w:ascii="Times New Roman" w:hAnsi="Times New Roman" w:cs="Times New Roman"/>
          <w:sz w:val="24"/>
          <w:szCs w:val="24"/>
        </w:rPr>
        <w:t xml:space="preserve">with no </w:t>
      </w:r>
      <w:r w:rsidR="00BD08ED" w:rsidRPr="003609FB">
        <w:rPr>
          <w:rFonts w:ascii="Times New Roman" w:hAnsi="Times New Roman" w:cs="Times New Roman"/>
          <w:sz w:val="24"/>
          <w:szCs w:val="24"/>
        </w:rPr>
        <w:t xml:space="preserve">prior </w:t>
      </w:r>
      <w:r w:rsidR="00911DC8" w:rsidRPr="003609FB">
        <w:rPr>
          <w:rFonts w:ascii="Times New Roman" w:hAnsi="Times New Roman" w:cs="Times New Roman"/>
          <w:sz w:val="24"/>
          <w:szCs w:val="24"/>
        </w:rPr>
        <w:t>computer science or math modeling training into your global ecology modeling group was a choice. Thank you for making it. The frequent frolics into the weeds and base understanding of mental health (Thank goodness you are British!) have been highlights of this experience.</w:t>
      </w:r>
      <w:r w:rsidR="003F47EB" w:rsidRPr="003609FB">
        <w:rPr>
          <w:rFonts w:ascii="Times New Roman" w:hAnsi="Times New Roman" w:cs="Times New Roman"/>
          <w:sz w:val="24"/>
          <w:szCs w:val="24"/>
        </w:rPr>
        <w:t xml:space="preserve"> </w:t>
      </w:r>
      <w:r w:rsidR="00911DC8" w:rsidRPr="003609FB">
        <w:rPr>
          <w:rFonts w:ascii="Times New Roman" w:hAnsi="Times New Roman" w:cs="Times New Roman"/>
          <w:sz w:val="24"/>
          <w:szCs w:val="24"/>
        </w:rPr>
        <w:t xml:space="preserve">To my </w:t>
      </w:r>
      <w:r w:rsidR="00085BE3" w:rsidRPr="003609FB">
        <w:rPr>
          <w:rFonts w:ascii="Times New Roman" w:hAnsi="Times New Roman" w:cs="Times New Roman"/>
          <w:sz w:val="24"/>
          <w:szCs w:val="24"/>
        </w:rPr>
        <w:t>committee</w:t>
      </w:r>
      <w:r w:rsidR="00070B97" w:rsidRPr="003609FB">
        <w:rPr>
          <w:rFonts w:ascii="Times New Roman" w:hAnsi="Times New Roman" w:cs="Times New Roman"/>
          <w:sz w:val="24"/>
          <w:szCs w:val="24"/>
        </w:rPr>
        <w:t xml:space="preserve"> </w:t>
      </w:r>
      <w:r w:rsidR="00911DC8" w:rsidRPr="003609FB">
        <w:rPr>
          <w:rFonts w:ascii="Times New Roman" w:hAnsi="Times New Roman" w:cs="Times New Roman"/>
          <w:sz w:val="24"/>
          <w:szCs w:val="24"/>
        </w:rPr>
        <w:t xml:space="preserve">members </w:t>
      </w:r>
      <w:r w:rsidR="00070B97" w:rsidRPr="003609FB">
        <w:rPr>
          <w:rFonts w:ascii="Times New Roman" w:hAnsi="Times New Roman" w:cs="Times New Roman"/>
          <w:sz w:val="24"/>
          <w:szCs w:val="24"/>
        </w:rPr>
        <w:t>(</w:t>
      </w:r>
      <w:r w:rsidR="00BD5C91" w:rsidRPr="003609FB">
        <w:rPr>
          <w:rFonts w:ascii="Times New Roman" w:hAnsi="Times New Roman" w:cs="Times New Roman"/>
          <w:sz w:val="24"/>
          <w:szCs w:val="24"/>
        </w:rPr>
        <w:t>Dr</w:t>
      </w:r>
      <w:r w:rsidR="004A102E" w:rsidRPr="003609FB">
        <w:rPr>
          <w:rFonts w:ascii="Times New Roman" w:hAnsi="Times New Roman" w:cs="Times New Roman"/>
          <w:sz w:val="24"/>
          <w:szCs w:val="24"/>
        </w:rPr>
        <w:t>s</w:t>
      </w:r>
      <w:r w:rsidR="00BD5C91" w:rsidRPr="003609FB">
        <w:rPr>
          <w:rFonts w:ascii="Times New Roman" w:hAnsi="Times New Roman" w:cs="Times New Roman"/>
          <w:sz w:val="24"/>
          <w:szCs w:val="24"/>
        </w:rPr>
        <w:t>.</w:t>
      </w:r>
      <w:r w:rsidR="004A102E" w:rsidRPr="003609FB">
        <w:rPr>
          <w:rFonts w:ascii="Times New Roman" w:hAnsi="Times New Roman" w:cs="Times New Roman"/>
          <w:sz w:val="24"/>
          <w:szCs w:val="24"/>
        </w:rPr>
        <w:t xml:space="preserve"> </w:t>
      </w:r>
      <w:r w:rsidR="00911DC8" w:rsidRPr="003609FB">
        <w:rPr>
          <w:rFonts w:ascii="Times New Roman" w:hAnsi="Times New Roman" w:cs="Times New Roman"/>
          <w:sz w:val="24"/>
          <w:szCs w:val="24"/>
        </w:rPr>
        <w:t xml:space="preserve">Andrew </w:t>
      </w:r>
      <w:r w:rsidR="00070B97" w:rsidRPr="003609FB">
        <w:rPr>
          <w:rFonts w:ascii="Times New Roman" w:hAnsi="Times New Roman" w:cs="Times New Roman"/>
          <w:sz w:val="24"/>
          <w:szCs w:val="24"/>
        </w:rPr>
        <w:t xml:space="preserve">Steen, </w:t>
      </w:r>
      <w:r w:rsidR="00911DC8" w:rsidRPr="003609FB">
        <w:rPr>
          <w:rFonts w:ascii="Times New Roman" w:hAnsi="Times New Roman" w:cs="Times New Roman"/>
          <w:sz w:val="24"/>
          <w:szCs w:val="24"/>
        </w:rPr>
        <w:t xml:space="preserve">Mike </w:t>
      </w:r>
      <w:r w:rsidR="00070B97" w:rsidRPr="003609FB">
        <w:rPr>
          <w:rFonts w:ascii="Times New Roman" w:hAnsi="Times New Roman" w:cs="Times New Roman"/>
          <w:sz w:val="24"/>
          <w:szCs w:val="24"/>
        </w:rPr>
        <w:t xml:space="preserve">Gilchrist, </w:t>
      </w:r>
      <w:r w:rsidR="00911DC8" w:rsidRPr="003609FB">
        <w:rPr>
          <w:rFonts w:ascii="Times New Roman" w:hAnsi="Times New Roman" w:cs="Times New Roman"/>
          <w:sz w:val="24"/>
          <w:szCs w:val="24"/>
        </w:rPr>
        <w:t xml:space="preserve">and Erik </w:t>
      </w:r>
      <w:r w:rsidR="00070B97" w:rsidRPr="003609FB">
        <w:rPr>
          <w:rFonts w:ascii="Times New Roman" w:hAnsi="Times New Roman" w:cs="Times New Roman"/>
          <w:sz w:val="24"/>
          <w:szCs w:val="24"/>
        </w:rPr>
        <w:t>Zinser</w:t>
      </w:r>
      <w:r w:rsidR="00911DC8" w:rsidRPr="003609FB">
        <w:rPr>
          <w:rFonts w:ascii="Times New Roman" w:hAnsi="Times New Roman" w:cs="Times New Roman"/>
          <w:sz w:val="24"/>
          <w:szCs w:val="24"/>
        </w:rPr>
        <w:t>), thank you</w:t>
      </w:r>
      <w:r w:rsidR="00C91610" w:rsidRPr="003609FB">
        <w:rPr>
          <w:rFonts w:ascii="Times New Roman" w:hAnsi="Times New Roman" w:cs="Times New Roman"/>
          <w:sz w:val="24"/>
          <w:szCs w:val="24"/>
        </w:rPr>
        <w:t xml:space="preserve"> for guiding </w:t>
      </w:r>
      <w:r w:rsidR="00480E03" w:rsidRPr="003609FB">
        <w:rPr>
          <w:rFonts w:ascii="Times New Roman" w:hAnsi="Times New Roman" w:cs="Times New Roman"/>
          <w:sz w:val="24"/>
          <w:szCs w:val="24"/>
        </w:rPr>
        <w:t>and raising issue</w:t>
      </w:r>
      <w:r w:rsidR="00BD5C91" w:rsidRPr="003609FB">
        <w:rPr>
          <w:rFonts w:ascii="Times New Roman" w:hAnsi="Times New Roman" w:cs="Times New Roman"/>
          <w:sz w:val="24"/>
          <w:szCs w:val="24"/>
        </w:rPr>
        <w:t>(s)</w:t>
      </w:r>
      <w:r w:rsidR="00480E03" w:rsidRPr="003609FB">
        <w:rPr>
          <w:rFonts w:ascii="Times New Roman" w:hAnsi="Times New Roman" w:cs="Times New Roman"/>
          <w:sz w:val="24"/>
          <w:szCs w:val="24"/>
        </w:rPr>
        <w:t xml:space="preserve"> with my project for </w:t>
      </w:r>
      <w:r w:rsidR="00BD5C91" w:rsidRPr="003609FB">
        <w:rPr>
          <w:rFonts w:ascii="Times New Roman" w:hAnsi="Times New Roman" w:cs="Times New Roman"/>
          <w:sz w:val="24"/>
          <w:szCs w:val="24"/>
        </w:rPr>
        <w:t xml:space="preserve">the betterment of the </w:t>
      </w:r>
      <w:r w:rsidR="00911DC8" w:rsidRPr="003609FB">
        <w:rPr>
          <w:rFonts w:ascii="Times New Roman" w:hAnsi="Times New Roman" w:cs="Times New Roman"/>
          <w:sz w:val="24"/>
          <w:szCs w:val="24"/>
        </w:rPr>
        <w:t>science</w:t>
      </w:r>
      <w:r w:rsidR="00BD5C91" w:rsidRPr="003609FB">
        <w:rPr>
          <w:rFonts w:ascii="Times New Roman" w:hAnsi="Times New Roman" w:cs="Times New Roman"/>
          <w:sz w:val="24"/>
          <w:szCs w:val="24"/>
        </w:rPr>
        <w:t xml:space="preserve"> and of me as a scientist. </w:t>
      </w:r>
      <w:r w:rsidR="00911DC8" w:rsidRPr="003609FB">
        <w:rPr>
          <w:rFonts w:ascii="Times New Roman" w:hAnsi="Times New Roman" w:cs="Times New Roman"/>
          <w:sz w:val="24"/>
          <w:szCs w:val="24"/>
        </w:rPr>
        <w:t xml:space="preserve">To </w:t>
      </w:r>
      <w:proofErr w:type="spellStart"/>
      <w:r w:rsidR="008A6CAB" w:rsidRPr="003609FB">
        <w:rPr>
          <w:rFonts w:ascii="Times New Roman" w:hAnsi="Times New Roman" w:cs="Times New Roman"/>
          <w:sz w:val="24"/>
          <w:szCs w:val="24"/>
        </w:rPr>
        <w:t>Talmy</w:t>
      </w:r>
      <w:proofErr w:type="spellEnd"/>
      <w:r w:rsidR="008A6CAB" w:rsidRPr="003609FB">
        <w:rPr>
          <w:rFonts w:ascii="Times New Roman" w:hAnsi="Times New Roman" w:cs="Times New Roman"/>
          <w:sz w:val="24"/>
          <w:szCs w:val="24"/>
        </w:rPr>
        <w:t xml:space="preserve"> Lab members </w:t>
      </w:r>
      <w:r w:rsidR="007968C7" w:rsidRPr="003609FB">
        <w:rPr>
          <w:rFonts w:ascii="Times New Roman" w:hAnsi="Times New Roman" w:cs="Times New Roman"/>
          <w:sz w:val="24"/>
          <w:szCs w:val="24"/>
        </w:rPr>
        <w:t>of the</w:t>
      </w:r>
      <w:r w:rsidR="00AD751C" w:rsidRPr="003609FB">
        <w:rPr>
          <w:rFonts w:ascii="Times New Roman" w:hAnsi="Times New Roman" w:cs="Times New Roman"/>
          <w:sz w:val="24"/>
          <w:szCs w:val="24"/>
        </w:rPr>
        <w:t xml:space="preserve"> </w:t>
      </w:r>
      <w:r w:rsidR="008A6CAB" w:rsidRPr="003609FB">
        <w:rPr>
          <w:rFonts w:ascii="Times New Roman" w:hAnsi="Times New Roman" w:cs="Times New Roman"/>
          <w:sz w:val="24"/>
          <w:szCs w:val="24"/>
        </w:rPr>
        <w:t>past and presen</w:t>
      </w:r>
      <w:r w:rsidR="00730126" w:rsidRPr="003609FB">
        <w:rPr>
          <w:rFonts w:ascii="Times New Roman" w:hAnsi="Times New Roman" w:cs="Times New Roman"/>
          <w:sz w:val="24"/>
          <w:szCs w:val="24"/>
        </w:rPr>
        <w:t>t</w:t>
      </w:r>
      <w:r w:rsidR="006121D7" w:rsidRPr="003609FB">
        <w:rPr>
          <w:rFonts w:ascii="Times New Roman" w:hAnsi="Times New Roman" w:cs="Times New Roman"/>
          <w:sz w:val="24"/>
          <w:szCs w:val="24"/>
        </w:rPr>
        <w:t>,</w:t>
      </w:r>
      <w:r w:rsidR="007968C7" w:rsidRPr="003609FB">
        <w:rPr>
          <w:rFonts w:ascii="Times New Roman" w:hAnsi="Times New Roman" w:cs="Times New Roman"/>
          <w:sz w:val="24"/>
          <w:szCs w:val="24"/>
        </w:rPr>
        <w:t xml:space="preserve"> E</w:t>
      </w:r>
      <w:r w:rsidR="00AD751C" w:rsidRPr="003609FB">
        <w:rPr>
          <w:rFonts w:ascii="Times New Roman" w:hAnsi="Times New Roman" w:cs="Times New Roman"/>
          <w:sz w:val="24"/>
          <w:szCs w:val="24"/>
        </w:rPr>
        <w:t>r</w:t>
      </w:r>
      <w:r w:rsidR="007968C7" w:rsidRPr="003609FB">
        <w:rPr>
          <w:rFonts w:ascii="Times New Roman" w:hAnsi="Times New Roman" w:cs="Times New Roman"/>
          <w:sz w:val="24"/>
          <w:szCs w:val="24"/>
        </w:rPr>
        <w:t>ic Carr, Harshana Rajakaruna</w:t>
      </w:r>
      <w:r w:rsidR="00911DC8" w:rsidRPr="003609FB">
        <w:rPr>
          <w:rFonts w:ascii="Times New Roman" w:hAnsi="Times New Roman" w:cs="Times New Roman"/>
          <w:sz w:val="24"/>
          <w:szCs w:val="24"/>
        </w:rPr>
        <w:t>,</w:t>
      </w:r>
      <w:r w:rsidR="00D92E3B" w:rsidRPr="003609FB">
        <w:rPr>
          <w:rFonts w:ascii="Times New Roman" w:hAnsi="Times New Roman" w:cs="Times New Roman"/>
          <w:sz w:val="24"/>
          <w:szCs w:val="24"/>
        </w:rPr>
        <w:t xml:space="preserve"> </w:t>
      </w:r>
      <w:r w:rsidR="007968C7" w:rsidRPr="003609FB">
        <w:rPr>
          <w:rFonts w:ascii="Times New Roman" w:hAnsi="Times New Roman" w:cs="Times New Roman"/>
          <w:sz w:val="24"/>
          <w:szCs w:val="24"/>
        </w:rPr>
        <w:t xml:space="preserve">Dr. K.C. </w:t>
      </w:r>
      <w:proofErr w:type="spellStart"/>
      <w:r w:rsidR="007968C7" w:rsidRPr="003609FB">
        <w:rPr>
          <w:rFonts w:ascii="Times New Roman" w:hAnsi="Times New Roman" w:cs="Times New Roman"/>
          <w:sz w:val="24"/>
          <w:szCs w:val="24"/>
        </w:rPr>
        <w:t>Pramir</w:t>
      </w:r>
      <w:proofErr w:type="spellEnd"/>
      <w:r w:rsidR="007968C7" w:rsidRPr="003609FB">
        <w:rPr>
          <w:rFonts w:ascii="Times New Roman" w:hAnsi="Times New Roman" w:cs="Times New Roman"/>
          <w:sz w:val="24"/>
          <w:szCs w:val="24"/>
        </w:rPr>
        <w:t>, Dr. Audra Hinson,</w:t>
      </w:r>
      <w:r w:rsidR="00911DC8" w:rsidRPr="003609FB">
        <w:rPr>
          <w:rFonts w:ascii="Times New Roman" w:hAnsi="Times New Roman" w:cs="Times New Roman"/>
          <w:sz w:val="24"/>
          <w:szCs w:val="24"/>
        </w:rPr>
        <w:t xml:space="preserve"> </w:t>
      </w:r>
      <w:r w:rsidR="007968C7" w:rsidRPr="003609FB">
        <w:rPr>
          <w:rFonts w:ascii="Times New Roman" w:hAnsi="Times New Roman" w:cs="Times New Roman"/>
          <w:sz w:val="24"/>
          <w:szCs w:val="24"/>
        </w:rPr>
        <w:t xml:space="preserve">Kyla Linn, M.S., and </w:t>
      </w:r>
      <w:r w:rsidR="00815AE2" w:rsidRPr="003609FB">
        <w:rPr>
          <w:rFonts w:ascii="Times New Roman" w:hAnsi="Times New Roman" w:cs="Times New Roman"/>
          <w:sz w:val="24"/>
          <w:szCs w:val="24"/>
        </w:rPr>
        <w:t xml:space="preserve">Dr. </w:t>
      </w:r>
      <w:r w:rsidR="007968C7" w:rsidRPr="003609FB">
        <w:rPr>
          <w:rFonts w:ascii="Times New Roman" w:hAnsi="Times New Roman" w:cs="Times New Roman"/>
          <w:sz w:val="24"/>
          <w:szCs w:val="24"/>
        </w:rPr>
        <w:t xml:space="preserve">Spiro Papoulis, </w:t>
      </w:r>
      <w:r w:rsidR="00911DC8" w:rsidRPr="003609FB">
        <w:rPr>
          <w:rFonts w:ascii="Times New Roman" w:hAnsi="Times New Roman" w:cs="Times New Roman"/>
          <w:sz w:val="24"/>
          <w:szCs w:val="24"/>
        </w:rPr>
        <w:t>thank you for being my sounding boards</w:t>
      </w:r>
      <w:r w:rsidR="006121D7" w:rsidRPr="003609FB">
        <w:rPr>
          <w:rFonts w:ascii="Times New Roman" w:hAnsi="Times New Roman" w:cs="Times New Roman"/>
          <w:sz w:val="24"/>
          <w:szCs w:val="24"/>
        </w:rPr>
        <w:t xml:space="preserve"> and non-judgmental tutors</w:t>
      </w:r>
      <w:r w:rsidR="00911DC8" w:rsidRPr="003609FB">
        <w:rPr>
          <w:rFonts w:ascii="Times New Roman" w:hAnsi="Times New Roman" w:cs="Times New Roman"/>
          <w:sz w:val="24"/>
          <w:szCs w:val="24"/>
        </w:rPr>
        <w:t>.</w:t>
      </w:r>
      <w:r w:rsidR="008A6CAB" w:rsidRPr="003609FB">
        <w:rPr>
          <w:rFonts w:ascii="Times New Roman" w:hAnsi="Times New Roman" w:cs="Times New Roman"/>
          <w:sz w:val="24"/>
          <w:szCs w:val="24"/>
        </w:rPr>
        <w:t xml:space="preserve"> </w:t>
      </w:r>
      <w:r w:rsidR="00730126" w:rsidRPr="003609FB">
        <w:rPr>
          <w:rFonts w:ascii="Times New Roman" w:hAnsi="Times New Roman" w:cs="Times New Roman"/>
          <w:sz w:val="24"/>
          <w:szCs w:val="24"/>
        </w:rPr>
        <w:t>To Eric Carr specifically, thank you for being all lab members in one for my final year</w:t>
      </w:r>
      <w:r w:rsidR="007968C7" w:rsidRPr="003609FB">
        <w:rPr>
          <w:rFonts w:ascii="Times New Roman" w:hAnsi="Times New Roman" w:cs="Times New Roman"/>
          <w:sz w:val="24"/>
          <w:szCs w:val="24"/>
        </w:rPr>
        <w:t xml:space="preserve">s. </w:t>
      </w:r>
      <w:r w:rsidR="00B306CC" w:rsidRPr="003609FB">
        <w:rPr>
          <w:rFonts w:ascii="Times New Roman" w:hAnsi="Times New Roman" w:cs="Times New Roman"/>
          <w:sz w:val="24"/>
          <w:szCs w:val="24"/>
        </w:rPr>
        <w:t xml:space="preserve">To </w:t>
      </w:r>
      <w:r w:rsidR="00032C5F" w:rsidRPr="003609FB">
        <w:rPr>
          <w:rFonts w:ascii="Times New Roman" w:hAnsi="Times New Roman" w:cs="Times New Roman"/>
          <w:sz w:val="24"/>
          <w:szCs w:val="24"/>
        </w:rPr>
        <w:t>Dr. Audra Hinson</w:t>
      </w:r>
      <w:r w:rsidR="00B306CC" w:rsidRPr="003609FB">
        <w:rPr>
          <w:rFonts w:ascii="Times New Roman" w:hAnsi="Times New Roman" w:cs="Times New Roman"/>
          <w:sz w:val="24"/>
          <w:szCs w:val="24"/>
        </w:rPr>
        <w:t>, thank you for being</w:t>
      </w:r>
      <w:r w:rsidR="008A6CAB" w:rsidRPr="003609FB">
        <w:rPr>
          <w:rFonts w:ascii="Times New Roman" w:hAnsi="Times New Roman" w:cs="Times New Roman"/>
          <w:sz w:val="24"/>
          <w:szCs w:val="24"/>
        </w:rPr>
        <w:t xml:space="preserve"> my first guide into Data science </w:t>
      </w:r>
      <w:r w:rsidR="00B306CC" w:rsidRPr="003609FB">
        <w:rPr>
          <w:rFonts w:ascii="Times New Roman" w:hAnsi="Times New Roman" w:cs="Times New Roman"/>
          <w:sz w:val="24"/>
          <w:szCs w:val="24"/>
        </w:rPr>
        <w:t xml:space="preserve">and thus </w:t>
      </w:r>
      <w:r w:rsidR="008A6CAB" w:rsidRPr="003609FB">
        <w:rPr>
          <w:rFonts w:ascii="Times New Roman" w:hAnsi="Times New Roman" w:cs="Times New Roman"/>
          <w:sz w:val="24"/>
          <w:szCs w:val="24"/>
        </w:rPr>
        <w:t>instrumental in my progress</w:t>
      </w:r>
      <w:r w:rsidR="00722886" w:rsidRPr="003609FB">
        <w:rPr>
          <w:rFonts w:ascii="Times New Roman" w:hAnsi="Times New Roman" w:cs="Times New Roman"/>
          <w:sz w:val="24"/>
          <w:szCs w:val="24"/>
        </w:rPr>
        <w:t>.</w:t>
      </w:r>
      <w:r w:rsidR="00B306CC" w:rsidRPr="003609FB">
        <w:rPr>
          <w:rFonts w:ascii="Times New Roman" w:hAnsi="Times New Roman" w:cs="Times New Roman"/>
          <w:sz w:val="24"/>
          <w:szCs w:val="24"/>
        </w:rPr>
        <w:t xml:space="preserve"> To the upper </w:t>
      </w:r>
      <w:proofErr w:type="spellStart"/>
      <w:r w:rsidR="00B306CC" w:rsidRPr="003609FB">
        <w:rPr>
          <w:rFonts w:ascii="Times New Roman" w:hAnsi="Times New Roman" w:cs="Times New Roman"/>
          <w:sz w:val="24"/>
          <w:szCs w:val="24"/>
        </w:rPr>
        <w:t>classesmen</w:t>
      </w:r>
      <w:proofErr w:type="spellEnd"/>
      <w:r w:rsidR="00B306CC" w:rsidRPr="003609FB">
        <w:rPr>
          <w:rFonts w:ascii="Times New Roman" w:hAnsi="Times New Roman" w:cs="Times New Roman"/>
          <w:sz w:val="24"/>
          <w:szCs w:val="24"/>
        </w:rPr>
        <w:t xml:space="preserve"> of graduate students who helped mold my graduate schooling with preliminary exam practices, insightful </w:t>
      </w:r>
      <w:r w:rsidR="00AD751C" w:rsidRPr="003609FB">
        <w:rPr>
          <w:rFonts w:ascii="Times New Roman" w:hAnsi="Times New Roman" w:cs="Times New Roman"/>
          <w:sz w:val="24"/>
          <w:szCs w:val="24"/>
        </w:rPr>
        <w:t>paper</w:t>
      </w:r>
      <w:r w:rsidR="00B306CC" w:rsidRPr="003609FB">
        <w:rPr>
          <w:rFonts w:ascii="Times New Roman" w:hAnsi="Times New Roman" w:cs="Times New Roman"/>
          <w:sz w:val="24"/>
          <w:szCs w:val="24"/>
        </w:rPr>
        <w:t xml:space="preserve"> discussions, and productive</w:t>
      </w:r>
      <w:r w:rsidR="00062486" w:rsidRPr="003609FB">
        <w:rPr>
          <w:rFonts w:ascii="Times New Roman" w:hAnsi="Times New Roman" w:cs="Times New Roman"/>
          <w:sz w:val="24"/>
          <w:szCs w:val="24"/>
        </w:rPr>
        <w:t xml:space="preserve"> comments from </w:t>
      </w:r>
      <w:r w:rsidR="00E04050" w:rsidRPr="003609FB">
        <w:rPr>
          <w:rFonts w:ascii="Times New Roman" w:hAnsi="Times New Roman" w:cs="Times New Roman"/>
          <w:sz w:val="24"/>
          <w:szCs w:val="24"/>
        </w:rPr>
        <w:t>colloquia</w:t>
      </w:r>
      <w:r w:rsidR="00062486" w:rsidRPr="003609FB">
        <w:rPr>
          <w:rFonts w:ascii="Times New Roman" w:hAnsi="Times New Roman" w:cs="Times New Roman"/>
          <w:sz w:val="24"/>
          <w:szCs w:val="24"/>
        </w:rPr>
        <w:t xml:space="preserve">, thank you for making graduate classes a helpful experience. </w:t>
      </w:r>
      <w:r w:rsidR="00F7675A" w:rsidRPr="003609FB">
        <w:rPr>
          <w:rFonts w:ascii="Times New Roman" w:hAnsi="Times New Roman" w:cs="Times New Roman"/>
          <w:sz w:val="24"/>
          <w:szCs w:val="24"/>
        </w:rPr>
        <w:t xml:space="preserve">To Zinser lab members </w:t>
      </w:r>
      <w:r w:rsidR="00815AE2" w:rsidRPr="003609FB">
        <w:rPr>
          <w:rFonts w:ascii="Times New Roman" w:hAnsi="Times New Roman" w:cs="Times New Roman"/>
          <w:sz w:val="24"/>
          <w:szCs w:val="24"/>
        </w:rPr>
        <w:t>Dr.</w:t>
      </w:r>
      <w:r w:rsidR="00F50188" w:rsidRPr="003609FB">
        <w:rPr>
          <w:rFonts w:ascii="Times New Roman" w:hAnsi="Times New Roman" w:cs="Times New Roman"/>
          <w:sz w:val="24"/>
          <w:szCs w:val="24"/>
        </w:rPr>
        <w:t xml:space="preserve"> </w:t>
      </w:r>
      <w:r w:rsidR="00F7675A" w:rsidRPr="003609FB">
        <w:rPr>
          <w:rFonts w:ascii="Times New Roman" w:hAnsi="Times New Roman" w:cs="Times New Roman"/>
          <w:sz w:val="24"/>
          <w:szCs w:val="24"/>
        </w:rPr>
        <w:t>Liz Glasgo,</w:t>
      </w:r>
      <w:r w:rsidR="00B51157" w:rsidRPr="003609FB">
        <w:rPr>
          <w:rFonts w:ascii="Times New Roman" w:hAnsi="Times New Roman" w:cs="Times New Roman"/>
          <w:sz w:val="24"/>
          <w:szCs w:val="24"/>
        </w:rPr>
        <w:t xml:space="preserve"> </w:t>
      </w:r>
      <w:r w:rsidR="00815AE2" w:rsidRPr="003609FB">
        <w:rPr>
          <w:rFonts w:ascii="Times New Roman" w:hAnsi="Times New Roman" w:cs="Times New Roman"/>
          <w:sz w:val="24"/>
          <w:szCs w:val="24"/>
        </w:rPr>
        <w:t xml:space="preserve">Dr. </w:t>
      </w:r>
      <w:r w:rsidR="008A6CAB" w:rsidRPr="003609FB">
        <w:rPr>
          <w:rFonts w:ascii="Times New Roman" w:hAnsi="Times New Roman" w:cs="Times New Roman"/>
          <w:sz w:val="24"/>
          <w:szCs w:val="24"/>
        </w:rPr>
        <w:t>Ben Calfee</w:t>
      </w:r>
      <w:r w:rsidR="00F7675A" w:rsidRPr="003609FB">
        <w:rPr>
          <w:rFonts w:ascii="Times New Roman" w:hAnsi="Times New Roman" w:cs="Times New Roman"/>
          <w:sz w:val="24"/>
          <w:szCs w:val="24"/>
        </w:rPr>
        <w:t>,</w:t>
      </w:r>
      <w:r w:rsidR="008A6CAB" w:rsidRPr="003609FB">
        <w:rPr>
          <w:rFonts w:ascii="Times New Roman" w:hAnsi="Times New Roman" w:cs="Times New Roman"/>
          <w:sz w:val="24"/>
          <w:szCs w:val="24"/>
        </w:rPr>
        <w:t xml:space="preserve"> and Emily Bowden</w:t>
      </w:r>
      <w:r w:rsidR="00B51157" w:rsidRPr="003609FB">
        <w:rPr>
          <w:rFonts w:ascii="Times New Roman" w:hAnsi="Times New Roman" w:cs="Times New Roman"/>
          <w:sz w:val="24"/>
          <w:szCs w:val="24"/>
        </w:rPr>
        <w:t xml:space="preserve"> specifically</w:t>
      </w:r>
      <w:r w:rsidR="00F7675A" w:rsidRPr="003609FB">
        <w:rPr>
          <w:rFonts w:ascii="Times New Roman" w:hAnsi="Times New Roman" w:cs="Times New Roman"/>
          <w:sz w:val="24"/>
          <w:szCs w:val="24"/>
        </w:rPr>
        <w:t>, thank you</w:t>
      </w:r>
      <w:r w:rsidR="00B51157" w:rsidRPr="003609FB">
        <w:rPr>
          <w:rFonts w:ascii="Times New Roman" w:hAnsi="Times New Roman" w:cs="Times New Roman"/>
          <w:sz w:val="24"/>
          <w:szCs w:val="24"/>
        </w:rPr>
        <w:t xml:space="preserve"> for</w:t>
      </w:r>
      <w:r w:rsidR="008A6CAB" w:rsidRPr="003609FB">
        <w:rPr>
          <w:rFonts w:ascii="Times New Roman" w:hAnsi="Times New Roman" w:cs="Times New Roman"/>
          <w:sz w:val="24"/>
          <w:szCs w:val="24"/>
        </w:rPr>
        <w:t>-dealing with annoying</w:t>
      </w:r>
      <w:r w:rsidR="00830584" w:rsidRPr="003609FB">
        <w:rPr>
          <w:rFonts w:ascii="Times New Roman" w:hAnsi="Times New Roman" w:cs="Times New Roman"/>
          <w:sz w:val="24"/>
          <w:szCs w:val="24"/>
        </w:rPr>
        <w:t>ly</w:t>
      </w:r>
      <w:r w:rsidR="008A6CAB" w:rsidRPr="003609FB">
        <w:rPr>
          <w:rFonts w:ascii="Times New Roman" w:hAnsi="Times New Roman" w:cs="Times New Roman"/>
          <w:sz w:val="24"/>
          <w:szCs w:val="24"/>
        </w:rPr>
        <w:t xml:space="preserve"> endless </w:t>
      </w:r>
      <w:r w:rsidR="00830584" w:rsidRPr="003609FB">
        <w:rPr>
          <w:rFonts w:ascii="Times New Roman" w:hAnsi="Times New Roman" w:cs="Times New Roman"/>
          <w:sz w:val="24"/>
          <w:szCs w:val="24"/>
        </w:rPr>
        <w:t>lab</w:t>
      </w:r>
      <w:r w:rsidR="00B51157" w:rsidRPr="003609FB">
        <w:rPr>
          <w:rFonts w:ascii="Times New Roman" w:hAnsi="Times New Roman" w:cs="Times New Roman"/>
          <w:sz w:val="24"/>
          <w:szCs w:val="24"/>
        </w:rPr>
        <w:t xml:space="preserve"> </w:t>
      </w:r>
      <w:r w:rsidR="00CA6602" w:rsidRPr="003609FB">
        <w:rPr>
          <w:rFonts w:ascii="Times New Roman" w:hAnsi="Times New Roman" w:cs="Times New Roman"/>
          <w:sz w:val="24"/>
          <w:szCs w:val="24"/>
        </w:rPr>
        <w:t>questions</w:t>
      </w:r>
      <w:r w:rsidR="00B51157" w:rsidRPr="003609FB">
        <w:rPr>
          <w:rFonts w:ascii="Times New Roman" w:hAnsi="Times New Roman" w:cs="Times New Roman"/>
          <w:sz w:val="24"/>
          <w:szCs w:val="24"/>
        </w:rPr>
        <w:t xml:space="preserve">. </w:t>
      </w:r>
      <w:r w:rsidR="00F7675A" w:rsidRPr="003609FB">
        <w:rPr>
          <w:rFonts w:ascii="Times New Roman" w:hAnsi="Times New Roman" w:cs="Times New Roman"/>
          <w:sz w:val="24"/>
          <w:szCs w:val="24"/>
        </w:rPr>
        <w:t xml:space="preserve">To my graduate school </w:t>
      </w:r>
      <w:r w:rsidR="006D0CEA" w:rsidRPr="003609FB">
        <w:rPr>
          <w:rFonts w:ascii="Times New Roman" w:hAnsi="Times New Roman" w:cs="Times New Roman"/>
          <w:sz w:val="24"/>
          <w:szCs w:val="24"/>
        </w:rPr>
        <w:t>Cohort</w:t>
      </w:r>
      <w:r w:rsidR="00F7675A" w:rsidRPr="003609FB">
        <w:rPr>
          <w:rFonts w:ascii="Times New Roman" w:hAnsi="Times New Roman" w:cs="Times New Roman"/>
          <w:sz w:val="24"/>
          <w:szCs w:val="24"/>
        </w:rPr>
        <w:t xml:space="preserve"> (</w:t>
      </w:r>
      <w:proofErr w:type="spellStart"/>
      <w:r w:rsidR="006121D7" w:rsidRPr="003609FB">
        <w:rPr>
          <w:rFonts w:ascii="Times New Roman" w:hAnsi="Times New Roman" w:cs="Times New Roman"/>
          <w:sz w:val="24"/>
          <w:szCs w:val="24"/>
        </w:rPr>
        <w:t>Dr.s</w:t>
      </w:r>
      <w:proofErr w:type="spellEnd"/>
      <w:r w:rsidR="006121D7" w:rsidRPr="003609FB">
        <w:rPr>
          <w:rFonts w:ascii="Times New Roman" w:hAnsi="Times New Roman" w:cs="Times New Roman"/>
          <w:sz w:val="24"/>
          <w:szCs w:val="24"/>
        </w:rPr>
        <w:t xml:space="preserve"> </w:t>
      </w:r>
      <w:proofErr w:type="spellStart"/>
      <w:r w:rsidR="00F7675A" w:rsidRPr="003609FB">
        <w:rPr>
          <w:rFonts w:ascii="Times New Roman" w:hAnsi="Times New Roman" w:cs="Times New Roman"/>
          <w:sz w:val="24"/>
          <w:szCs w:val="24"/>
        </w:rPr>
        <w:t>Pramir</w:t>
      </w:r>
      <w:proofErr w:type="spellEnd"/>
      <w:r w:rsidR="00F7675A" w:rsidRPr="003609FB">
        <w:rPr>
          <w:rFonts w:ascii="Times New Roman" w:hAnsi="Times New Roman" w:cs="Times New Roman"/>
          <w:sz w:val="24"/>
          <w:szCs w:val="24"/>
        </w:rPr>
        <w:t xml:space="preserve">, Selene, Aeric, TJ, Elise, Alexandra, Brit, Liz, Haley, and Sean) </w:t>
      </w:r>
      <w:r w:rsidR="003F47EB" w:rsidRPr="003609FB">
        <w:rPr>
          <w:rFonts w:ascii="Times New Roman" w:hAnsi="Times New Roman" w:cs="Times New Roman"/>
          <w:sz w:val="24"/>
          <w:szCs w:val="24"/>
        </w:rPr>
        <w:t>thank you for</w:t>
      </w:r>
      <w:r w:rsidR="00C91610" w:rsidRPr="003609FB">
        <w:rPr>
          <w:rFonts w:ascii="Times New Roman" w:hAnsi="Times New Roman" w:cs="Times New Roman"/>
          <w:sz w:val="24"/>
          <w:szCs w:val="24"/>
        </w:rPr>
        <w:t xml:space="preserve"> the scientific and </w:t>
      </w:r>
      <w:r w:rsidR="00480E03" w:rsidRPr="003609FB">
        <w:rPr>
          <w:rFonts w:ascii="Times New Roman" w:hAnsi="Times New Roman" w:cs="Times New Roman"/>
          <w:sz w:val="24"/>
          <w:szCs w:val="24"/>
        </w:rPr>
        <w:t>mental support that only can come from comrades</w:t>
      </w:r>
      <w:r w:rsidR="00233998" w:rsidRPr="003609FB">
        <w:rPr>
          <w:rFonts w:ascii="Times New Roman" w:hAnsi="Times New Roman" w:cs="Times New Roman"/>
          <w:sz w:val="24"/>
          <w:szCs w:val="24"/>
        </w:rPr>
        <w:t xml:space="preserve"> in the trenches</w:t>
      </w:r>
      <w:r w:rsidR="00480E03" w:rsidRPr="003609FB">
        <w:rPr>
          <w:rFonts w:ascii="Times New Roman" w:hAnsi="Times New Roman" w:cs="Times New Roman"/>
          <w:sz w:val="24"/>
          <w:szCs w:val="24"/>
        </w:rPr>
        <w:t>. Thank you for lending me your sanity and hope when I had none myself. I wish every grad student a grad family as incredible as these.</w:t>
      </w:r>
      <w:r w:rsidRPr="003609FB">
        <w:rPr>
          <w:rFonts w:ascii="Times New Roman" w:hAnsi="Times New Roman" w:cs="Times New Roman"/>
          <w:sz w:val="24"/>
          <w:szCs w:val="24"/>
        </w:rPr>
        <w:t xml:space="preserve"> </w:t>
      </w:r>
    </w:p>
    <w:p w14:paraId="3DD36EA0" w14:textId="58D1423E" w:rsidR="00DC0F90" w:rsidRPr="003609FB" w:rsidRDefault="00BB6111"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To Elizabeth McPherson, thank you for your </w:t>
      </w:r>
      <w:r w:rsidR="00DC0F90" w:rsidRPr="003609FB">
        <w:rPr>
          <w:rFonts w:ascii="Times New Roman" w:hAnsi="Times New Roman" w:cs="Times New Roman"/>
          <w:sz w:val="24"/>
          <w:szCs w:val="24"/>
        </w:rPr>
        <w:t>pedagogical</w:t>
      </w:r>
      <w:r w:rsidRPr="003609FB">
        <w:rPr>
          <w:rFonts w:ascii="Times New Roman" w:hAnsi="Times New Roman" w:cs="Times New Roman"/>
          <w:sz w:val="24"/>
          <w:szCs w:val="24"/>
        </w:rPr>
        <w:t xml:space="preserve"> mentorship and </w:t>
      </w:r>
      <w:r w:rsidR="00DC0F90" w:rsidRPr="003609FB">
        <w:rPr>
          <w:rFonts w:ascii="Times New Roman" w:hAnsi="Times New Roman" w:cs="Times New Roman"/>
          <w:sz w:val="24"/>
          <w:szCs w:val="24"/>
        </w:rPr>
        <w:t xml:space="preserve">unwavering </w:t>
      </w:r>
      <w:r w:rsidRPr="003609FB">
        <w:rPr>
          <w:rFonts w:ascii="Times New Roman" w:hAnsi="Times New Roman" w:cs="Times New Roman"/>
          <w:sz w:val="24"/>
          <w:szCs w:val="24"/>
        </w:rPr>
        <w:t xml:space="preserve">leadership for </w:t>
      </w:r>
      <w:r w:rsidR="00DC0F90" w:rsidRPr="003609FB">
        <w:rPr>
          <w:rFonts w:ascii="Times New Roman" w:hAnsi="Times New Roman" w:cs="Times New Roman"/>
          <w:sz w:val="24"/>
          <w:szCs w:val="24"/>
        </w:rPr>
        <w:t xml:space="preserve">all laboratory </w:t>
      </w:r>
      <w:r w:rsidRPr="003609FB">
        <w:rPr>
          <w:rFonts w:ascii="Times New Roman" w:hAnsi="Times New Roman" w:cs="Times New Roman"/>
          <w:sz w:val="24"/>
          <w:szCs w:val="24"/>
        </w:rPr>
        <w:t xml:space="preserve">microbiology teaching graduate students. </w:t>
      </w:r>
      <w:r w:rsidR="00DC0F90" w:rsidRPr="003609FB">
        <w:rPr>
          <w:rFonts w:ascii="Times New Roman" w:hAnsi="Times New Roman" w:cs="Times New Roman"/>
          <w:sz w:val="24"/>
          <w:szCs w:val="24"/>
        </w:rPr>
        <w:t xml:space="preserve">Your advice was instrumental to me surviving the first year of grad school. Further, </w:t>
      </w:r>
      <w:r w:rsidR="00233998" w:rsidRPr="003609FB">
        <w:rPr>
          <w:rFonts w:ascii="Times New Roman" w:hAnsi="Times New Roman" w:cs="Times New Roman"/>
          <w:sz w:val="24"/>
          <w:szCs w:val="24"/>
        </w:rPr>
        <w:t xml:space="preserve">Thank you for perpetual excellences from the </w:t>
      </w:r>
      <w:r w:rsidR="006D0CEA" w:rsidRPr="003609FB">
        <w:rPr>
          <w:rFonts w:ascii="Times New Roman" w:hAnsi="Times New Roman" w:cs="Times New Roman"/>
          <w:sz w:val="24"/>
          <w:szCs w:val="24"/>
        </w:rPr>
        <w:t>UTK Micro</w:t>
      </w:r>
      <w:r w:rsidR="00233998" w:rsidRPr="003609FB">
        <w:rPr>
          <w:rFonts w:ascii="Times New Roman" w:hAnsi="Times New Roman" w:cs="Times New Roman"/>
          <w:sz w:val="24"/>
          <w:szCs w:val="24"/>
        </w:rPr>
        <w:t>biology</w:t>
      </w:r>
      <w:r w:rsidR="006D0CEA" w:rsidRPr="003609FB">
        <w:rPr>
          <w:rFonts w:ascii="Times New Roman" w:hAnsi="Times New Roman" w:cs="Times New Roman"/>
          <w:sz w:val="24"/>
          <w:szCs w:val="24"/>
        </w:rPr>
        <w:t xml:space="preserve"> </w:t>
      </w:r>
      <w:r w:rsidR="00562963" w:rsidRPr="003609FB">
        <w:rPr>
          <w:rFonts w:ascii="Times New Roman" w:hAnsi="Times New Roman" w:cs="Times New Roman"/>
          <w:sz w:val="24"/>
          <w:szCs w:val="24"/>
        </w:rPr>
        <w:t xml:space="preserve">Office </w:t>
      </w:r>
      <w:r w:rsidR="006D0CEA" w:rsidRPr="003609FB">
        <w:rPr>
          <w:rFonts w:ascii="Times New Roman" w:hAnsi="Times New Roman" w:cs="Times New Roman"/>
          <w:sz w:val="24"/>
          <w:szCs w:val="24"/>
        </w:rPr>
        <w:t>staff</w:t>
      </w:r>
      <w:r w:rsidR="00562963" w:rsidRPr="003609FB">
        <w:rPr>
          <w:rFonts w:ascii="Times New Roman" w:hAnsi="Times New Roman" w:cs="Times New Roman"/>
          <w:sz w:val="24"/>
          <w:szCs w:val="24"/>
        </w:rPr>
        <w:t xml:space="preserve"> </w:t>
      </w:r>
      <w:r w:rsidR="00233998" w:rsidRPr="003609FB">
        <w:rPr>
          <w:rFonts w:ascii="Times New Roman" w:hAnsi="Times New Roman" w:cs="Times New Roman"/>
          <w:sz w:val="24"/>
          <w:szCs w:val="24"/>
        </w:rPr>
        <w:t xml:space="preserve">of the </w:t>
      </w:r>
      <w:r w:rsidR="00562963" w:rsidRPr="003609FB">
        <w:rPr>
          <w:rFonts w:ascii="Times New Roman" w:hAnsi="Times New Roman" w:cs="Times New Roman"/>
          <w:sz w:val="24"/>
          <w:szCs w:val="24"/>
        </w:rPr>
        <w:t>present and past</w:t>
      </w:r>
      <w:r w:rsidR="006D0CEA" w:rsidRPr="003609FB">
        <w:rPr>
          <w:rFonts w:ascii="Times New Roman" w:hAnsi="Times New Roman" w:cs="Times New Roman"/>
          <w:sz w:val="24"/>
          <w:szCs w:val="24"/>
        </w:rPr>
        <w:t xml:space="preserve"> (</w:t>
      </w:r>
      <w:r w:rsidR="00070B97" w:rsidRPr="003609FB">
        <w:rPr>
          <w:rFonts w:ascii="Times New Roman" w:hAnsi="Times New Roman" w:cs="Times New Roman"/>
          <w:sz w:val="24"/>
          <w:szCs w:val="24"/>
        </w:rPr>
        <w:t>Rachelle</w:t>
      </w:r>
      <w:r w:rsidR="00562963" w:rsidRPr="003609FB">
        <w:rPr>
          <w:rFonts w:ascii="Times New Roman" w:hAnsi="Times New Roman" w:cs="Times New Roman"/>
          <w:sz w:val="24"/>
          <w:szCs w:val="24"/>
        </w:rPr>
        <w:t xml:space="preserve"> Allen</w:t>
      </w:r>
      <w:r w:rsidR="00070B97" w:rsidRPr="003609FB">
        <w:rPr>
          <w:rFonts w:ascii="Times New Roman" w:hAnsi="Times New Roman" w:cs="Times New Roman"/>
          <w:sz w:val="24"/>
          <w:szCs w:val="24"/>
        </w:rPr>
        <w:t>,</w:t>
      </w:r>
      <w:r w:rsidR="006D0CEA" w:rsidRPr="003609FB">
        <w:rPr>
          <w:rFonts w:ascii="Times New Roman" w:hAnsi="Times New Roman" w:cs="Times New Roman"/>
          <w:sz w:val="24"/>
          <w:szCs w:val="24"/>
        </w:rPr>
        <w:t xml:space="preserve"> </w:t>
      </w:r>
      <w:r w:rsidR="00CA6602" w:rsidRPr="003609FB">
        <w:rPr>
          <w:rFonts w:ascii="Times New Roman" w:hAnsi="Times New Roman" w:cs="Times New Roman"/>
          <w:sz w:val="24"/>
          <w:szCs w:val="24"/>
        </w:rPr>
        <w:t>Misty Jones</w:t>
      </w:r>
      <w:r w:rsidR="00562963" w:rsidRPr="003609FB">
        <w:rPr>
          <w:rFonts w:ascii="Times New Roman" w:hAnsi="Times New Roman" w:cs="Times New Roman"/>
          <w:sz w:val="24"/>
          <w:szCs w:val="24"/>
        </w:rPr>
        <w:t>, Erikka Lyn Jennings, Sharon Sexton, Zhane Fanning, Christina Gregory</w:t>
      </w:r>
      <w:r w:rsidR="007309A1" w:rsidRPr="003609FB">
        <w:rPr>
          <w:rFonts w:ascii="Times New Roman" w:hAnsi="Times New Roman" w:cs="Times New Roman"/>
          <w:sz w:val="24"/>
          <w:szCs w:val="24"/>
        </w:rPr>
        <w:t>, Lane Hall</w:t>
      </w:r>
      <w:r w:rsidR="006D0CEA" w:rsidRPr="003609FB">
        <w:rPr>
          <w:rFonts w:ascii="Times New Roman" w:hAnsi="Times New Roman" w:cs="Times New Roman"/>
          <w:sz w:val="24"/>
          <w:szCs w:val="24"/>
        </w:rPr>
        <w:t>)</w:t>
      </w:r>
      <w:r w:rsidR="00DC0F90" w:rsidRPr="003609FB">
        <w:rPr>
          <w:rFonts w:ascii="Times New Roman" w:hAnsi="Times New Roman" w:cs="Times New Roman"/>
          <w:sz w:val="24"/>
          <w:szCs w:val="24"/>
        </w:rPr>
        <w:t xml:space="preserve">. Y’all never balked at the perpetual pleas of help coming from my lab. Thank you for handling the concerns we could not. To James Hodges, thank you for your science material and daily joke delivery. You never failed to have a friendly word and smile. </w:t>
      </w:r>
    </w:p>
    <w:p w14:paraId="04140183" w14:textId="475436B3" w:rsidR="00A0084A" w:rsidRPr="003609FB" w:rsidRDefault="00DC0F9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 </w:t>
      </w:r>
      <w:r w:rsidR="00762FB0">
        <w:rPr>
          <w:rFonts w:ascii="Times New Roman" w:hAnsi="Times New Roman" w:cs="Times New Roman"/>
          <w:sz w:val="24"/>
          <w:szCs w:val="24"/>
        </w:rPr>
        <w:tab/>
      </w:r>
      <w:r w:rsidR="003F47EB" w:rsidRPr="003609FB">
        <w:rPr>
          <w:rFonts w:ascii="Times New Roman" w:hAnsi="Times New Roman" w:cs="Times New Roman"/>
          <w:sz w:val="24"/>
          <w:szCs w:val="24"/>
        </w:rPr>
        <w:t>To t</w:t>
      </w:r>
      <w:r w:rsidR="00480E03" w:rsidRPr="003609FB">
        <w:rPr>
          <w:rFonts w:ascii="Times New Roman" w:hAnsi="Times New Roman" w:cs="Times New Roman"/>
          <w:sz w:val="24"/>
          <w:szCs w:val="24"/>
        </w:rPr>
        <w:t xml:space="preserve">he </w:t>
      </w:r>
      <w:r w:rsidR="004620C5" w:rsidRPr="003609FB">
        <w:rPr>
          <w:rFonts w:ascii="Times New Roman" w:hAnsi="Times New Roman" w:cs="Times New Roman"/>
          <w:sz w:val="24"/>
          <w:szCs w:val="24"/>
        </w:rPr>
        <w:t>3</w:t>
      </w:r>
      <w:r w:rsidR="00480E03" w:rsidRPr="003609FB">
        <w:rPr>
          <w:rFonts w:ascii="Times New Roman" w:hAnsi="Times New Roman" w:cs="Times New Roman"/>
          <w:sz w:val="24"/>
          <w:szCs w:val="24"/>
        </w:rPr>
        <w:t xml:space="preserve"> different Director </w:t>
      </w:r>
      <w:r w:rsidR="00233998" w:rsidRPr="003609FB">
        <w:rPr>
          <w:rFonts w:ascii="Times New Roman" w:hAnsi="Times New Roman" w:cs="Times New Roman"/>
          <w:sz w:val="24"/>
          <w:szCs w:val="24"/>
        </w:rPr>
        <w:t xml:space="preserve">of </w:t>
      </w:r>
      <w:r w:rsidR="00480E03" w:rsidRPr="003609FB">
        <w:rPr>
          <w:rFonts w:ascii="Times New Roman" w:hAnsi="Times New Roman" w:cs="Times New Roman"/>
          <w:sz w:val="24"/>
          <w:szCs w:val="24"/>
        </w:rPr>
        <w:t>Graduate Studies (</w:t>
      </w:r>
      <w:r w:rsidR="004620C5" w:rsidRPr="003609FB">
        <w:rPr>
          <w:rFonts w:ascii="Times New Roman" w:hAnsi="Times New Roman" w:cs="Times New Roman"/>
          <w:sz w:val="24"/>
          <w:szCs w:val="24"/>
        </w:rPr>
        <w:t xml:space="preserve">Steve Wilhelm, </w:t>
      </w:r>
      <w:r w:rsidR="00480E03" w:rsidRPr="003609FB">
        <w:rPr>
          <w:rFonts w:ascii="Times New Roman" w:hAnsi="Times New Roman" w:cs="Times New Roman"/>
          <w:sz w:val="24"/>
          <w:szCs w:val="24"/>
        </w:rPr>
        <w:t>Liz Fozo</w:t>
      </w:r>
      <w:r w:rsidR="004620C5" w:rsidRPr="003609FB">
        <w:rPr>
          <w:rFonts w:ascii="Times New Roman" w:hAnsi="Times New Roman" w:cs="Times New Roman"/>
          <w:sz w:val="24"/>
          <w:szCs w:val="24"/>
        </w:rPr>
        <w:t>,</w:t>
      </w:r>
      <w:r w:rsidR="00480E03" w:rsidRPr="003609FB">
        <w:rPr>
          <w:rFonts w:ascii="Times New Roman" w:hAnsi="Times New Roman" w:cs="Times New Roman"/>
          <w:sz w:val="24"/>
          <w:szCs w:val="24"/>
        </w:rPr>
        <w:t xml:space="preserve"> and Erik Zinser) who </w:t>
      </w:r>
      <w:r w:rsidR="004620C5" w:rsidRPr="003609FB">
        <w:rPr>
          <w:rFonts w:ascii="Times New Roman" w:hAnsi="Times New Roman" w:cs="Times New Roman"/>
          <w:sz w:val="24"/>
          <w:szCs w:val="24"/>
        </w:rPr>
        <w:t xml:space="preserve">all </w:t>
      </w:r>
      <w:r w:rsidR="00480E03" w:rsidRPr="003609FB">
        <w:rPr>
          <w:rFonts w:ascii="Times New Roman" w:hAnsi="Times New Roman" w:cs="Times New Roman"/>
          <w:sz w:val="24"/>
          <w:szCs w:val="24"/>
        </w:rPr>
        <w:t>provided invaluable advice in separate times of acute graduate school distress</w:t>
      </w:r>
      <w:r w:rsidR="00233998" w:rsidRPr="003609FB">
        <w:rPr>
          <w:rFonts w:ascii="Times New Roman" w:hAnsi="Times New Roman" w:cs="Times New Roman"/>
          <w:sz w:val="24"/>
          <w:szCs w:val="24"/>
        </w:rPr>
        <w:t xml:space="preserve">; </w:t>
      </w:r>
      <w:r w:rsidR="005E19D5" w:rsidRPr="003609FB">
        <w:rPr>
          <w:rFonts w:ascii="Times New Roman" w:hAnsi="Times New Roman" w:cs="Times New Roman"/>
          <w:sz w:val="24"/>
          <w:szCs w:val="24"/>
        </w:rPr>
        <w:t>I appreciate your service and care</w:t>
      </w:r>
      <w:r w:rsidR="00480E03"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Thank </w:t>
      </w:r>
      <w:r w:rsidR="00170084" w:rsidRPr="003609FB">
        <w:rPr>
          <w:rFonts w:ascii="Times New Roman" w:hAnsi="Times New Roman" w:cs="Times New Roman"/>
          <w:sz w:val="24"/>
          <w:szCs w:val="24"/>
        </w:rPr>
        <w:t>you</w:t>
      </w:r>
      <w:r w:rsidR="003D1E8D" w:rsidRPr="003609FB">
        <w:rPr>
          <w:rFonts w:ascii="Times New Roman" w:hAnsi="Times New Roman" w:cs="Times New Roman"/>
          <w:sz w:val="24"/>
          <w:szCs w:val="24"/>
        </w:rPr>
        <w:t xml:space="preserve"> to all the UTK</w:t>
      </w:r>
      <w:r w:rsidR="00480E03" w:rsidRPr="003609FB">
        <w:rPr>
          <w:rFonts w:ascii="Times New Roman" w:hAnsi="Times New Roman" w:cs="Times New Roman"/>
          <w:sz w:val="24"/>
          <w:szCs w:val="24"/>
        </w:rPr>
        <w:t xml:space="preserve"> </w:t>
      </w:r>
      <w:r w:rsidR="005E19D5" w:rsidRPr="003609FB">
        <w:rPr>
          <w:rFonts w:ascii="Times New Roman" w:hAnsi="Times New Roman" w:cs="Times New Roman"/>
          <w:sz w:val="24"/>
          <w:szCs w:val="24"/>
        </w:rPr>
        <w:t xml:space="preserve">microbiology </w:t>
      </w:r>
      <w:r w:rsidR="008A6CAB" w:rsidRPr="003609FB">
        <w:rPr>
          <w:rFonts w:ascii="Times New Roman" w:hAnsi="Times New Roman" w:cs="Times New Roman"/>
          <w:sz w:val="24"/>
          <w:szCs w:val="24"/>
        </w:rPr>
        <w:t xml:space="preserve">professors and </w:t>
      </w:r>
      <w:r w:rsidR="005E19D5" w:rsidRPr="003609FB">
        <w:rPr>
          <w:rFonts w:ascii="Times New Roman" w:hAnsi="Times New Roman" w:cs="Times New Roman"/>
          <w:sz w:val="24"/>
          <w:szCs w:val="24"/>
        </w:rPr>
        <w:t>s</w:t>
      </w:r>
      <w:r w:rsidR="008A6CAB" w:rsidRPr="003609FB">
        <w:rPr>
          <w:rFonts w:ascii="Times New Roman" w:hAnsi="Times New Roman" w:cs="Times New Roman"/>
          <w:sz w:val="24"/>
          <w:szCs w:val="24"/>
        </w:rPr>
        <w:t>taff</w:t>
      </w:r>
      <w:r w:rsidR="00480E03"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for sharing their expertise and </w:t>
      </w:r>
      <w:r w:rsidR="005E19D5" w:rsidRPr="003609FB">
        <w:rPr>
          <w:rFonts w:ascii="Times New Roman" w:hAnsi="Times New Roman" w:cs="Times New Roman"/>
          <w:sz w:val="24"/>
          <w:szCs w:val="24"/>
        </w:rPr>
        <w:t>advice</w:t>
      </w:r>
      <w:r w:rsidR="003D1E8D" w:rsidRPr="003609FB">
        <w:rPr>
          <w:rFonts w:ascii="Times New Roman" w:hAnsi="Times New Roman" w:cs="Times New Roman"/>
          <w:sz w:val="24"/>
          <w:szCs w:val="24"/>
        </w:rPr>
        <w:t xml:space="preserve">. </w:t>
      </w:r>
      <w:r w:rsidR="00B8437B" w:rsidRPr="003609FB">
        <w:rPr>
          <w:rFonts w:ascii="Times New Roman" w:hAnsi="Times New Roman" w:cs="Times New Roman"/>
          <w:sz w:val="24"/>
          <w:szCs w:val="24"/>
        </w:rPr>
        <w:t xml:space="preserve">The daily interactions and weekly seminars were useful sources of friendly scientific feedback and banter. </w:t>
      </w:r>
      <w:r w:rsidR="00BE76EC" w:rsidRPr="003609FB">
        <w:rPr>
          <w:rFonts w:ascii="Times New Roman" w:hAnsi="Times New Roman" w:cs="Times New Roman"/>
          <w:sz w:val="24"/>
          <w:szCs w:val="24"/>
        </w:rPr>
        <w:t xml:space="preserve">Thank </w:t>
      </w:r>
      <w:r w:rsidR="008A32C0" w:rsidRPr="003609FB">
        <w:rPr>
          <w:rFonts w:ascii="Times New Roman" w:hAnsi="Times New Roman" w:cs="Times New Roman"/>
          <w:sz w:val="24"/>
          <w:szCs w:val="24"/>
        </w:rPr>
        <w:t xml:space="preserve">you to the United Campus Workers Union </w:t>
      </w:r>
      <w:r w:rsidR="003D1E8D" w:rsidRPr="003609FB">
        <w:rPr>
          <w:rFonts w:ascii="Times New Roman" w:hAnsi="Times New Roman" w:cs="Times New Roman"/>
          <w:sz w:val="24"/>
          <w:szCs w:val="24"/>
        </w:rPr>
        <w:t>for</w:t>
      </w:r>
      <w:r w:rsidR="00480E03" w:rsidRPr="003609FB">
        <w:rPr>
          <w:rFonts w:ascii="Times New Roman" w:hAnsi="Times New Roman" w:cs="Times New Roman"/>
          <w:sz w:val="24"/>
          <w:szCs w:val="24"/>
        </w:rPr>
        <w:t xml:space="preserve"> fighting</w:t>
      </w:r>
      <w:r w:rsidR="00B367D2" w:rsidRPr="003609FB">
        <w:rPr>
          <w:rFonts w:ascii="Times New Roman" w:hAnsi="Times New Roman" w:cs="Times New Roman"/>
          <w:sz w:val="24"/>
          <w:szCs w:val="24"/>
        </w:rPr>
        <w:t xml:space="preserve"> for us all.</w:t>
      </w:r>
      <w:r w:rsidR="00A0084A" w:rsidRPr="003609FB">
        <w:rPr>
          <w:rFonts w:ascii="Times New Roman" w:hAnsi="Times New Roman" w:cs="Times New Roman"/>
          <w:sz w:val="24"/>
          <w:szCs w:val="24"/>
        </w:rPr>
        <w:t xml:space="preserve"> For the UTK Grad Gay Straight Alliance (GSA) and Grad Student Senate (GSS), thank for your organizational and people skills. </w:t>
      </w:r>
    </w:p>
    <w:p w14:paraId="7D797258" w14:textId="11362FEF" w:rsidR="00062486" w:rsidRPr="003609FB" w:rsidRDefault="00A0084A"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762FB0">
        <w:rPr>
          <w:rFonts w:ascii="Times New Roman" w:hAnsi="Times New Roman" w:cs="Times New Roman"/>
          <w:sz w:val="24"/>
          <w:szCs w:val="24"/>
        </w:rPr>
        <w:tab/>
      </w:r>
      <w:r w:rsidR="003D1E8D" w:rsidRPr="003609FB">
        <w:rPr>
          <w:rFonts w:ascii="Times New Roman" w:hAnsi="Times New Roman" w:cs="Times New Roman"/>
          <w:sz w:val="24"/>
          <w:szCs w:val="24"/>
        </w:rPr>
        <w:t xml:space="preserve">Thank you to the </w:t>
      </w:r>
      <w:r w:rsidR="005D370D" w:rsidRPr="003609FB">
        <w:rPr>
          <w:rFonts w:ascii="Times New Roman" w:hAnsi="Times New Roman" w:cs="Times New Roman"/>
          <w:sz w:val="24"/>
          <w:szCs w:val="24"/>
        </w:rPr>
        <w:t xml:space="preserve">HOTs cruise 347 </w:t>
      </w:r>
      <w:r w:rsidR="00B502B9" w:rsidRPr="003609FB">
        <w:rPr>
          <w:rFonts w:ascii="Times New Roman" w:hAnsi="Times New Roman" w:cs="Times New Roman"/>
          <w:sz w:val="24"/>
          <w:szCs w:val="24"/>
        </w:rPr>
        <w:t>Crew of the research vessel R/V Kilo Moana</w:t>
      </w:r>
      <w:r w:rsidR="00D210A8" w:rsidRPr="003609FB">
        <w:rPr>
          <w:rFonts w:ascii="Times New Roman" w:hAnsi="Times New Roman" w:cs="Times New Roman"/>
          <w:sz w:val="24"/>
          <w:szCs w:val="24"/>
        </w:rPr>
        <w:t>,</w:t>
      </w:r>
      <w:r w:rsidR="00BD08ED" w:rsidRPr="003609FB">
        <w:rPr>
          <w:rFonts w:ascii="Times New Roman" w:hAnsi="Times New Roman" w:cs="Times New Roman"/>
          <w:sz w:val="24"/>
          <w:szCs w:val="24"/>
        </w:rPr>
        <w:t xml:space="preserve"> </w:t>
      </w:r>
      <w:r w:rsidR="49C77F99" w:rsidRPr="003609FB">
        <w:rPr>
          <w:rFonts w:ascii="Times New Roman" w:hAnsi="Times New Roman" w:cs="Times New Roman"/>
          <w:sz w:val="24"/>
          <w:szCs w:val="24"/>
        </w:rPr>
        <w:t xml:space="preserve">especially </w:t>
      </w:r>
      <w:r w:rsidR="00CA0D92" w:rsidRPr="003609FB">
        <w:rPr>
          <w:rFonts w:ascii="Times New Roman" w:hAnsi="Times New Roman" w:cs="Times New Roman"/>
          <w:sz w:val="24"/>
          <w:szCs w:val="24"/>
        </w:rPr>
        <w:t xml:space="preserve">to </w:t>
      </w:r>
      <w:r w:rsidR="49C77F99" w:rsidRPr="003609FB">
        <w:rPr>
          <w:rFonts w:ascii="Times New Roman" w:hAnsi="Times New Roman" w:cs="Times New Roman"/>
          <w:sz w:val="24"/>
          <w:szCs w:val="24"/>
        </w:rPr>
        <w:t>Carolina and Annie,</w:t>
      </w:r>
      <w:r w:rsidR="003D1E8D" w:rsidRPr="003609FB">
        <w:rPr>
          <w:rFonts w:ascii="Times New Roman" w:hAnsi="Times New Roman" w:cs="Times New Roman"/>
          <w:sz w:val="24"/>
          <w:szCs w:val="24"/>
        </w:rPr>
        <w:t xml:space="preserve"> for keeping me aliv</w:t>
      </w:r>
      <w:r w:rsidR="19C84EC8" w:rsidRPr="003609FB">
        <w:rPr>
          <w:rFonts w:ascii="Times New Roman" w:hAnsi="Times New Roman" w:cs="Times New Roman"/>
          <w:sz w:val="24"/>
          <w:szCs w:val="24"/>
        </w:rPr>
        <w:t>e</w:t>
      </w:r>
      <w:r w:rsidR="003D1E8D" w:rsidRPr="003609FB">
        <w:rPr>
          <w:rFonts w:ascii="Times New Roman" w:hAnsi="Times New Roman" w:cs="Times New Roman"/>
          <w:sz w:val="24"/>
          <w:szCs w:val="24"/>
        </w:rPr>
        <w:t xml:space="preserve">. </w:t>
      </w:r>
      <w:r w:rsidR="00166524" w:rsidRPr="003609FB">
        <w:rPr>
          <w:rFonts w:ascii="Times New Roman" w:hAnsi="Times New Roman" w:cs="Times New Roman"/>
          <w:sz w:val="24"/>
          <w:szCs w:val="24"/>
        </w:rPr>
        <w:t xml:space="preserve">To my </w:t>
      </w:r>
      <w:r w:rsidR="00C24915" w:rsidRPr="003609FB">
        <w:rPr>
          <w:rFonts w:ascii="Times New Roman" w:hAnsi="Times New Roman" w:cs="Times New Roman"/>
          <w:sz w:val="24"/>
          <w:szCs w:val="24"/>
        </w:rPr>
        <w:t xml:space="preserve">college crew, </w:t>
      </w:r>
      <w:r w:rsidR="00BD08ED" w:rsidRPr="003609FB">
        <w:rPr>
          <w:rFonts w:ascii="Times New Roman" w:hAnsi="Times New Roman" w:cs="Times New Roman"/>
          <w:sz w:val="24"/>
          <w:szCs w:val="24"/>
        </w:rPr>
        <w:t>Polish</w:t>
      </w:r>
      <w:r w:rsidR="00C24915" w:rsidRPr="003609FB">
        <w:rPr>
          <w:rFonts w:ascii="Times New Roman" w:hAnsi="Times New Roman" w:cs="Times New Roman"/>
          <w:sz w:val="24"/>
          <w:szCs w:val="24"/>
        </w:rPr>
        <w:t xml:space="preserve"> </w:t>
      </w:r>
      <w:r w:rsidR="00166524" w:rsidRPr="003609FB">
        <w:rPr>
          <w:rFonts w:ascii="Times New Roman" w:hAnsi="Times New Roman" w:cs="Times New Roman"/>
          <w:sz w:val="24"/>
          <w:szCs w:val="24"/>
        </w:rPr>
        <w:t xml:space="preserve">friends </w:t>
      </w:r>
      <w:r w:rsidR="00BD08ED" w:rsidRPr="003609FB">
        <w:rPr>
          <w:rFonts w:ascii="Times New Roman" w:hAnsi="Times New Roman" w:cs="Times New Roman"/>
          <w:sz w:val="24"/>
          <w:szCs w:val="24"/>
        </w:rPr>
        <w:t xml:space="preserve">near and </w:t>
      </w:r>
      <w:r w:rsidR="00166524" w:rsidRPr="003609FB">
        <w:rPr>
          <w:rFonts w:ascii="Times New Roman" w:hAnsi="Times New Roman" w:cs="Times New Roman"/>
          <w:sz w:val="24"/>
          <w:szCs w:val="24"/>
        </w:rPr>
        <w:t>far</w:t>
      </w:r>
      <w:r w:rsidR="00C24915" w:rsidRPr="003609FB">
        <w:rPr>
          <w:rFonts w:ascii="Times New Roman" w:hAnsi="Times New Roman" w:cs="Times New Roman"/>
          <w:sz w:val="24"/>
          <w:szCs w:val="24"/>
        </w:rPr>
        <w:t>,</w:t>
      </w:r>
      <w:r w:rsidR="003D1E8D" w:rsidRPr="003609FB">
        <w:rPr>
          <w:rFonts w:ascii="Times New Roman" w:hAnsi="Times New Roman" w:cs="Times New Roman"/>
          <w:sz w:val="24"/>
          <w:szCs w:val="24"/>
        </w:rPr>
        <w:t xml:space="preserve"> </w:t>
      </w:r>
      <w:r w:rsidR="007309A1" w:rsidRPr="003609FB">
        <w:rPr>
          <w:rFonts w:ascii="Times New Roman" w:hAnsi="Times New Roman" w:cs="Times New Roman"/>
          <w:sz w:val="24"/>
          <w:szCs w:val="24"/>
        </w:rPr>
        <w:t xml:space="preserve">Knoxville </w:t>
      </w:r>
      <w:r w:rsidR="003D1E8D" w:rsidRPr="003609FB">
        <w:rPr>
          <w:rFonts w:ascii="Times New Roman" w:hAnsi="Times New Roman" w:cs="Times New Roman"/>
          <w:sz w:val="24"/>
          <w:szCs w:val="24"/>
        </w:rPr>
        <w:t>Women’s</w:t>
      </w:r>
      <w:r w:rsidR="007309A1" w:rsidRPr="003609FB">
        <w:rPr>
          <w:rFonts w:ascii="Times New Roman" w:hAnsi="Times New Roman" w:cs="Times New Roman"/>
          <w:sz w:val="24"/>
          <w:szCs w:val="24"/>
        </w:rPr>
        <w:t xml:space="preserve"> Rugby Club </w:t>
      </w:r>
      <w:r w:rsidR="00E106F8" w:rsidRPr="003609FB">
        <w:rPr>
          <w:rFonts w:ascii="Times New Roman" w:hAnsi="Times New Roman" w:cs="Times New Roman"/>
          <w:sz w:val="24"/>
          <w:szCs w:val="24"/>
        </w:rPr>
        <w:t xml:space="preserve">members and Caitlin Corbitt with the </w:t>
      </w:r>
      <w:r w:rsidR="006D0CEA" w:rsidRPr="003609FB">
        <w:rPr>
          <w:rFonts w:ascii="Times New Roman" w:hAnsi="Times New Roman" w:cs="Times New Roman"/>
          <w:sz w:val="24"/>
          <w:szCs w:val="24"/>
        </w:rPr>
        <w:t>Shakespeare</w:t>
      </w:r>
      <w:r w:rsidR="00E106F8" w:rsidRPr="003609FB">
        <w:rPr>
          <w:rFonts w:ascii="Times New Roman" w:hAnsi="Times New Roman" w:cs="Times New Roman"/>
          <w:sz w:val="24"/>
          <w:szCs w:val="24"/>
        </w:rPr>
        <w:t>-</w:t>
      </w:r>
      <w:r w:rsidR="007309A1" w:rsidRPr="003609FB">
        <w:rPr>
          <w:rFonts w:ascii="Times New Roman" w:hAnsi="Times New Roman" w:cs="Times New Roman"/>
          <w:sz w:val="24"/>
          <w:szCs w:val="24"/>
        </w:rPr>
        <w:t>Out</w:t>
      </w:r>
      <w:r w:rsidR="00E106F8" w:rsidRPr="003609FB">
        <w:rPr>
          <w:rFonts w:ascii="Times New Roman" w:hAnsi="Times New Roman" w:cs="Times New Roman"/>
          <w:sz w:val="24"/>
          <w:szCs w:val="24"/>
        </w:rPr>
        <w:t>-</w:t>
      </w:r>
      <w:r w:rsidR="007309A1" w:rsidRPr="003609FB">
        <w:rPr>
          <w:rFonts w:ascii="Times New Roman" w:hAnsi="Times New Roman" w:cs="Times New Roman"/>
          <w:sz w:val="24"/>
          <w:szCs w:val="24"/>
        </w:rPr>
        <w:t>Loud</w:t>
      </w:r>
      <w:r w:rsidR="00E106F8" w:rsidRPr="003609FB">
        <w:rPr>
          <w:rFonts w:ascii="Times New Roman" w:hAnsi="Times New Roman" w:cs="Times New Roman"/>
          <w:sz w:val="24"/>
          <w:szCs w:val="24"/>
        </w:rPr>
        <w:t xml:space="preserve"> troupe, thank you</w:t>
      </w:r>
      <w:r w:rsidR="006D0CEA" w:rsidRPr="003609FB">
        <w:rPr>
          <w:rFonts w:ascii="Times New Roman" w:hAnsi="Times New Roman" w:cs="Times New Roman"/>
          <w:sz w:val="24"/>
          <w:szCs w:val="24"/>
        </w:rPr>
        <w:t xml:space="preserve"> </w:t>
      </w:r>
      <w:r w:rsidR="005220AF" w:rsidRPr="003609FB">
        <w:rPr>
          <w:rFonts w:ascii="Times New Roman" w:hAnsi="Times New Roman" w:cs="Times New Roman"/>
          <w:sz w:val="24"/>
          <w:szCs w:val="24"/>
        </w:rPr>
        <w:t xml:space="preserve">for allowing me to dip in and out of your lives when school allowed. </w:t>
      </w:r>
      <w:r w:rsidR="00BF56EE" w:rsidRPr="003609FB">
        <w:rPr>
          <w:rFonts w:ascii="Times New Roman" w:hAnsi="Times New Roman" w:cs="Times New Roman"/>
          <w:sz w:val="24"/>
          <w:szCs w:val="24"/>
        </w:rPr>
        <w:t xml:space="preserve">Your joy is infectious </w:t>
      </w:r>
      <w:r w:rsidR="002135A5" w:rsidRPr="003609FB">
        <w:rPr>
          <w:rFonts w:ascii="Times New Roman" w:hAnsi="Times New Roman" w:cs="Times New Roman"/>
          <w:sz w:val="24"/>
          <w:szCs w:val="24"/>
        </w:rPr>
        <w:t xml:space="preserve">and lifesaving. </w:t>
      </w:r>
      <w:r w:rsidR="00BF56EE" w:rsidRPr="003609FB">
        <w:rPr>
          <w:rFonts w:ascii="Times New Roman" w:hAnsi="Times New Roman" w:cs="Times New Roman"/>
          <w:sz w:val="24"/>
          <w:szCs w:val="24"/>
        </w:rPr>
        <w:t>To Dr. Neal</w:t>
      </w:r>
      <w:r w:rsidR="00391688" w:rsidRPr="003609FB">
        <w:rPr>
          <w:rFonts w:ascii="Times New Roman" w:hAnsi="Times New Roman" w:cs="Times New Roman"/>
          <w:sz w:val="24"/>
          <w:szCs w:val="24"/>
        </w:rPr>
        <w:t xml:space="preserve">, </w:t>
      </w:r>
      <w:r w:rsidR="00BF56EE" w:rsidRPr="003609FB">
        <w:rPr>
          <w:rFonts w:ascii="Times New Roman" w:hAnsi="Times New Roman" w:cs="Times New Roman"/>
          <w:sz w:val="24"/>
          <w:szCs w:val="24"/>
        </w:rPr>
        <w:t>my</w:t>
      </w:r>
      <w:r w:rsidR="00BD08ED" w:rsidRPr="003609FB">
        <w:rPr>
          <w:rFonts w:ascii="Times New Roman" w:hAnsi="Times New Roman" w:cs="Times New Roman"/>
          <w:sz w:val="24"/>
          <w:szCs w:val="24"/>
        </w:rPr>
        <w:t xml:space="preserve"> </w:t>
      </w:r>
      <w:r w:rsidR="00BF56EE" w:rsidRPr="003609FB">
        <w:rPr>
          <w:rFonts w:ascii="Times New Roman" w:hAnsi="Times New Roman" w:cs="Times New Roman"/>
          <w:sz w:val="24"/>
          <w:szCs w:val="24"/>
        </w:rPr>
        <w:t xml:space="preserve">therapist </w:t>
      </w:r>
      <w:r w:rsidR="00391688" w:rsidRPr="003609FB">
        <w:rPr>
          <w:rFonts w:ascii="Times New Roman" w:hAnsi="Times New Roman" w:cs="Times New Roman"/>
          <w:sz w:val="24"/>
          <w:szCs w:val="24"/>
        </w:rPr>
        <w:t>throughout graduate school,</w:t>
      </w:r>
      <w:r w:rsidR="001C5E61" w:rsidRPr="003609FB">
        <w:rPr>
          <w:rFonts w:ascii="Times New Roman" w:hAnsi="Times New Roman" w:cs="Times New Roman"/>
          <w:sz w:val="24"/>
          <w:szCs w:val="24"/>
        </w:rPr>
        <w:t xml:space="preserve"> </w:t>
      </w:r>
      <w:r w:rsidR="00BF56EE" w:rsidRPr="003609FB">
        <w:rPr>
          <w:rFonts w:ascii="Times New Roman" w:hAnsi="Times New Roman" w:cs="Times New Roman"/>
          <w:sz w:val="24"/>
          <w:szCs w:val="24"/>
        </w:rPr>
        <w:t xml:space="preserve">who kept laughing at my dark jokes during the depths of covid; I wish you a quiet and family-filled </w:t>
      </w:r>
      <w:r w:rsidR="00BD08ED" w:rsidRPr="003609FB">
        <w:rPr>
          <w:rFonts w:ascii="Times New Roman" w:hAnsi="Times New Roman" w:cs="Times New Roman"/>
          <w:sz w:val="24"/>
          <w:szCs w:val="24"/>
        </w:rPr>
        <w:t>retirement. To</w:t>
      </w:r>
      <w:r w:rsidR="003D1E8D" w:rsidRPr="003609FB">
        <w:rPr>
          <w:rFonts w:ascii="Times New Roman" w:hAnsi="Times New Roman" w:cs="Times New Roman"/>
          <w:sz w:val="24"/>
          <w:szCs w:val="24"/>
        </w:rPr>
        <w:t xml:space="preserve"> my </w:t>
      </w:r>
      <w:r w:rsidR="008053C0" w:rsidRPr="003609FB">
        <w:rPr>
          <w:rFonts w:ascii="Times New Roman" w:hAnsi="Times New Roman" w:cs="Times New Roman"/>
          <w:sz w:val="24"/>
          <w:szCs w:val="24"/>
        </w:rPr>
        <w:t>Parents</w:t>
      </w:r>
      <w:r w:rsidR="003D1E8D" w:rsidRPr="003609FB">
        <w:rPr>
          <w:rFonts w:ascii="Times New Roman" w:hAnsi="Times New Roman" w:cs="Times New Roman"/>
          <w:sz w:val="24"/>
          <w:szCs w:val="24"/>
        </w:rPr>
        <w:t>,</w:t>
      </w:r>
      <w:r w:rsidR="008053C0" w:rsidRPr="003609FB">
        <w:rPr>
          <w:rFonts w:ascii="Times New Roman" w:hAnsi="Times New Roman" w:cs="Times New Roman"/>
          <w:sz w:val="24"/>
          <w:szCs w:val="24"/>
        </w:rPr>
        <w:t xml:space="preserve"> </w:t>
      </w:r>
      <w:r w:rsidR="00BD08ED" w:rsidRPr="003609FB">
        <w:rPr>
          <w:rFonts w:ascii="Times New Roman" w:hAnsi="Times New Roman" w:cs="Times New Roman"/>
          <w:sz w:val="24"/>
          <w:szCs w:val="24"/>
        </w:rPr>
        <w:t>t</w:t>
      </w:r>
      <w:r w:rsidR="008053C0" w:rsidRPr="003609FB">
        <w:rPr>
          <w:rFonts w:ascii="Times New Roman" w:hAnsi="Times New Roman" w:cs="Times New Roman"/>
          <w:sz w:val="24"/>
          <w:szCs w:val="24"/>
        </w:rPr>
        <w:t>hank</w:t>
      </w:r>
      <w:r w:rsidR="003D1E8D" w:rsidRPr="003609FB">
        <w:rPr>
          <w:rFonts w:ascii="Times New Roman" w:hAnsi="Times New Roman" w:cs="Times New Roman"/>
          <w:sz w:val="24"/>
          <w:szCs w:val="24"/>
        </w:rPr>
        <w:t xml:space="preserve"> you</w:t>
      </w:r>
      <w:r w:rsidR="008053C0" w:rsidRPr="003609FB">
        <w:rPr>
          <w:rFonts w:ascii="Times New Roman" w:hAnsi="Times New Roman" w:cs="Times New Roman"/>
          <w:sz w:val="24"/>
          <w:szCs w:val="24"/>
        </w:rPr>
        <w:t xml:space="preserve"> for making me what I am. </w:t>
      </w:r>
      <w:r w:rsidR="008A6CAB" w:rsidRPr="003609FB">
        <w:rPr>
          <w:rFonts w:ascii="Times New Roman" w:hAnsi="Times New Roman" w:cs="Times New Roman"/>
          <w:sz w:val="24"/>
          <w:szCs w:val="24"/>
        </w:rPr>
        <w:t>Mum –</w:t>
      </w:r>
      <w:r w:rsidR="003D1E8D" w:rsidRPr="003609FB">
        <w:rPr>
          <w:rFonts w:ascii="Times New Roman" w:hAnsi="Times New Roman" w:cs="Times New Roman"/>
          <w:sz w:val="24"/>
          <w:szCs w:val="24"/>
        </w:rPr>
        <w:t xml:space="preserve"> </w:t>
      </w:r>
      <w:r w:rsidR="008A6CAB" w:rsidRPr="003609FB">
        <w:rPr>
          <w:rFonts w:ascii="Times New Roman" w:hAnsi="Times New Roman" w:cs="Times New Roman"/>
          <w:sz w:val="24"/>
          <w:szCs w:val="24"/>
        </w:rPr>
        <w:t xml:space="preserve">I never needed to look anywhere else to have a strong female (and scientist) role model. Thank you for never backing down from a fight. Tenacity is </w:t>
      </w:r>
      <w:proofErr w:type="gramStart"/>
      <w:r w:rsidR="00BF56EE" w:rsidRPr="003609FB">
        <w:rPr>
          <w:rFonts w:ascii="Times New Roman" w:hAnsi="Times New Roman" w:cs="Times New Roman"/>
          <w:sz w:val="24"/>
          <w:szCs w:val="24"/>
        </w:rPr>
        <w:t>definitely</w:t>
      </w:r>
      <w:r w:rsidR="008A32C0" w:rsidRPr="003609FB">
        <w:rPr>
          <w:rFonts w:ascii="Times New Roman" w:hAnsi="Times New Roman" w:cs="Times New Roman"/>
          <w:sz w:val="24"/>
          <w:szCs w:val="24"/>
        </w:rPr>
        <w:t xml:space="preserve"> a</w:t>
      </w:r>
      <w:proofErr w:type="gramEnd"/>
      <w:r w:rsidR="00BF56EE" w:rsidRPr="003609FB">
        <w:rPr>
          <w:rFonts w:ascii="Times New Roman" w:hAnsi="Times New Roman" w:cs="Times New Roman"/>
          <w:sz w:val="24"/>
          <w:szCs w:val="24"/>
        </w:rPr>
        <w:t xml:space="preserve"> </w:t>
      </w:r>
      <w:r w:rsidR="008A6CAB" w:rsidRPr="003609FB">
        <w:rPr>
          <w:rFonts w:ascii="Times New Roman" w:hAnsi="Times New Roman" w:cs="Times New Roman"/>
          <w:sz w:val="24"/>
          <w:szCs w:val="24"/>
        </w:rPr>
        <w:t>family trait.</w:t>
      </w:r>
      <w:r w:rsidR="003D1E8D" w:rsidRPr="003609FB">
        <w:rPr>
          <w:rFonts w:ascii="Times New Roman" w:hAnsi="Times New Roman" w:cs="Times New Roman"/>
          <w:sz w:val="24"/>
          <w:szCs w:val="24"/>
        </w:rPr>
        <w:t xml:space="preserve"> To Aunt </w:t>
      </w:r>
      <w:r w:rsidR="008A6CAB" w:rsidRPr="003609FB">
        <w:rPr>
          <w:rFonts w:ascii="Times New Roman" w:hAnsi="Times New Roman" w:cs="Times New Roman"/>
          <w:sz w:val="24"/>
          <w:szCs w:val="24"/>
        </w:rPr>
        <w:t>Donna</w:t>
      </w:r>
      <w:r w:rsidR="003D1E8D" w:rsidRPr="003609FB">
        <w:rPr>
          <w:rFonts w:ascii="Times New Roman" w:hAnsi="Times New Roman" w:cs="Times New Roman"/>
          <w:sz w:val="24"/>
          <w:szCs w:val="24"/>
        </w:rPr>
        <w:t>, thank you for being a</w:t>
      </w:r>
      <w:r w:rsidR="008A6CAB" w:rsidRPr="003609FB">
        <w:rPr>
          <w:rFonts w:ascii="Times New Roman" w:hAnsi="Times New Roman" w:cs="Times New Roman"/>
          <w:sz w:val="24"/>
          <w:szCs w:val="24"/>
        </w:rPr>
        <w:t xml:space="preserve"> bad ass</w:t>
      </w:r>
      <w:r w:rsidR="003D1E8D" w:rsidRPr="003609FB">
        <w:rPr>
          <w:rFonts w:ascii="Times New Roman" w:hAnsi="Times New Roman" w:cs="Times New Roman"/>
          <w:sz w:val="24"/>
          <w:szCs w:val="24"/>
        </w:rPr>
        <w:t xml:space="preserve"> role model in breaking glass </w:t>
      </w:r>
      <w:r w:rsidR="00692B3D" w:rsidRPr="003609FB">
        <w:rPr>
          <w:rFonts w:ascii="Times New Roman" w:hAnsi="Times New Roman" w:cs="Times New Roman"/>
          <w:sz w:val="24"/>
          <w:szCs w:val="24"/>
        </w:rPr>
        <w:t xml:space="preserve">(often </w:t>
      </w:r>
      <w:r w:rsidR="00170084" w:rsidRPr="003609FB">
        <w:rPr>
          <w:rFonts w:ascii="Times New Roman" w:hAnsi="Times New Roman" w:cs="Times New Roman"/>
          <w:sz w:val="24"/>
          <w:szCs w:val="24"/>
        </w:rPr>
        <w:t>patriarchal</w:t>
      </w:r>
      <w:r w:rsidR="00692B3D" w:rsidRPr="003609FB">
        <w:rPr>
          <w:rFonts w:ascii="Times New Roman" w:hAnsi="Times New Roman" w:cs="Times New Roman"/>
          <w:sz w:val="24"/>
          <w:szCs w:val="24"/>
        </w:rPr>
        <w:t>)</w:t>
      </w:r>
      <w:r w:rsidR="003D1E8D" w:rsidRPr="003609FB">
        <w:rPr>
          <w:rFonts w:ascii="Times New Roman" w:hAnsi="Times New Roman" w:cs="Times New Roman"/>
          <w:sz w:val="24"/>
          <w:szCs w:val="24"/>
        </w:rPr>
        <w:t xml:space="preserve"> </w:t>
      </w:r>
      <w:r w:rsidR="00E90AF3" w:rsidRPr="003609FB">
        <w:rPr>
          <w:rFonts w:ascii="Times New Roman" w:hAnsi="Times New Roman" w:cs="Times New Roman"/>
          <w:sz w:val="24"/>
          <w:szCs w:val="24"/>
        </w:rPr>
        <w:t xml:space="preserve">ceilings. </w:t>
      </w:r>
      <w:r w:rsidR="008A6951" w:rsidRPr="003609FB">
        <w:rPr>
          <w:rFonts w:ascii="Times New Roman" w:hAnsi="Times New Roman" w:cs="Times New Roman"/>
          <w:sz w:val="24"/>
          <w:szCs w:val="24"/>
        </w:rPr>
        <w:t xml:space="preserve">I see your </w:t>
      </w:r>
      <w:r w:rsidR="00BA5E3E" w:rsidRPr="003609FB">
        <w:rPr>
          <w:rFonts w:ascii="Times New Roman" w:hAnsi="Times New Roman" w:cs="Times New Roman"/>
          <w:sz w:val="24"/>
          <w:szCs w:val="24"/>
        </w:rPr>
        <w:t xml:space="preserve">unwavering </w:t>
      </w:r>
      <w:r w:rsidR="008A6951" w:rsidRPr="003609FB">
        <w:rPr>
          <w:rFonts w:ascii="Times New Roman" w:hAnsi="Times New Roman" w:cs="Times New Roman"/>
          <w:sz w:val="24"/>
          <w:szCs w:val="24"/>
        </w:rPr>
        <w:t xml:space="preserve">devotion to </w:t>
      </w:r>
      <w:r w:rsidR="00BA5E3E" w:rsidRPr="003609FB">
        <w:rPr>
          <w:rFonts w:ascii="Times New Roman" w:hAnsi="Times New Roman" w:cs="Times New Roman"/>
          <w:sz w:val="24"/>
          <w:szCs w:val="24"/>
        </w:rPr>
        <w:t>those in your life</w:t>
      </w:r>
      <w:r w:rsidR="008A6951" w:rsidRPr="003609FB">
        <w:rPr>
          <w:rFonts w:ascii="Times New Roman" w:hAnsi="Times New Roman" w:cs="Times New Roman"/>
          <w:sz w:val="24"/>
          <w:szCs w:val="24"/>
        </w:rPr>
        <w:t xml:space="preserve"> and I </w:t>
      </w:r>
      <w:r w:rsidR="00BA5E3E" w:rsidRPr="003609FB">
        <w:rPr>
          <w:rFonts w:ascii="Times New Roman" w:hAnsi="Times New Roman" w:cs="Times New Roman"/>
          <w:sz w:val="24"/>
          <w:szCs w:val="24"/>
        </w:rPr>
        <w:t>hope to emulate</w:t>
      </w:r>
      <w:r w:rsidR="00B102CB" w:rsidRPr="003609FB">
        <w:rPr>
          <w:rFonts w:ascii="Times New Roman" w:hAnsi="Times New Roman" w:cs="Times New Roman"/>
          <w:sz w:val="24"/>
          <w:szCs w:val="24"/>
        </w:rPr>
        <w:t xml:space="preserve"> that</w:t>
      </w:r>
      <w:r w:rsidR="00BA5E3E" w:rsidRPr="003609FB">
        <w:rPr>
          <w:rFonts w:ascii="Times New Roman" w:hAnsi="Times New Roman" w:cs="Times New Roman"/>
          <w:sz w:val="24"/>
          <w:szCs w:val="24"/>
        </w:rPr>
        <w:t xml:space="preserve">. </w:t>
      </w:r>
      <w:r w:rsidR="00170084" w:rsidRPr="003609FB">
        <w:rPr>
          <w:rFonts w:ascii="Times New Roman" w:hAnsi="Times New Roman" w:cs="Times New Roman"/>
          <w:sz w:val="24"/>
          <w:szCs w:val="24"/>
        </w:rPr>
        <w:t>To my siblings, Charles and Sarah, thank you for providing a variable</w:t>
      </w:r>
      <w:r w:rsidR="008A6CAB" w:rsidRPr="003609FB">
        <w:rPr>
          <w:rFonts w:ascii="Times New Roman" w:hAnsi="Times New Roman" w:cs="Times New Roman"/>
          <w:sz w:val="24"/>
          <w:szCs w:val="24"/>
        </w:rPr>
        <w:t xml:space="preserve"> and tough environment </w:t>
      </w:r>
      <w:proofErr w:type="gramStart"/>
      <w:r w:rsidR="008A6CAB" w:rsidRPr="003609FB">
        <w:rPr>
          <w:rFonts w:ascii="Times New Roman" w:hAnsi="Times New Roman" w:cs="Times New Roman"/>
          <w:sz w:val="24"/>
          <w:szCs w:val="24"/>
        </w:rPr>
        <w:t>so as to</w:t>
      </w:r>
      <w:proofErr w:type="gramEnd"/>
      <w:r w:rsidR="008A6CAB" w:rsidRPr="003609FB">
        <w:rPr>
          <w:rFonts w:ascii="Times New Roman" w:hAnsi="Times New Roman" w:cs="Times New Roman"/>
          <w:sz w:val="24"/>
          <w:szCs w:val="24"/>
        </w:rPr>
        <w:t xml:space="preserve"> aid in my development.</w:t>
      </w:r>
      <w:r w:rsidR="006D2652" w:rsidRPr="003609FB">
        <w:rPr>
          <w:rFonts w:ascii="Times New Roman" w:hAnsi="Times New Roman" w:cs="Times New Roman"/>
          <w:sz w:val="24"/>
          <w:szCs w:val="24"/>
        </w:rPr>
        <w:t xml:space="preserve"> </w:t>
      </w:r>
      <w:r w:rsidR="006D2652" w:rsidRPr="003609FB">
        <w:rPr>
          <w:rFonts w:ascii="Times New Roman" w:hAnsi="Times New Roman" w:cs="Times New Roman"/>
          <w:sz w:val="24"/>
          <w:szCs w:val="24"/>
        </w:rPr>
        <w:sym w:font="Wingdings" w:char="F04A"/>
      </w:r>
      <w:r w:rsidR="008A6CAB" w:rsidRPr="003609FB">
        <w:rPr>
          <w:rFonts w:ascii="Times New Roman" w:hAnsi="Times New Roman" w:cs="Times New Roman"/>
          <w:sz w:val="24"/>
          <w:szCs w:val="24"/>
        </w:rPr>
        <w:t xml:space="preserve"> </w:t>
      </w:r>
      <w:r w:rsidR="00170084" w:rsidRPr="003609FB">
        <w:rPr>
          <w:rFonts w:ascii="Times New Roman" w:hAnsi="Times New Roman" w:cs="Times New Roman"/>
          <w:sz w:val="24"/>
          <w:szCs w:val="24"/>
        </w:rPr>
        <w:t>And</w:t>
      </w:r>
      <w:r w:rsidR="008A6CAB" w:rsidRPr="003609FB">
        <w:rPr>
          <w:rFonts w:ascii="Times New Roman" w:hAnsi="Times New Roman" w:cs="Times New Roman"/>
          <w:sz w:val="24"/>
          <w:szCs w:val="24"/>
        </w:rPr>
        <w:t xml:space="preserve"> to Haley for </w:t>
      </w:r>
      <w:r w:rsidR="00170084" w:rsidRPr="003609FB">
        <w:rPr>
          <w:rFonts w:ascii="Times New Roman" w:hAnsi="Times New Roman" w:cs="Times New Roman"/>
          <w:sz w:val="24"/>
          <w:szCs w:val="24"/>
        </w:rPr>
        <w:t>marrying my brother, that</w:t>
      </w:r>
      <w:r w:rsidR="008A6CAB" w:rsidRPr="003609FB">
        <w:rPr>
          <w:rFonts w:ascii="Times New Roman" w:hAnsi="Times New Roman" w:cs="Times New Roman"/>
          <w:sz w:val="24"/>
          <w:szCs w:val="24"/>
        </w:rPr>
        <w:t xml:space="preserve"> was silly, but welcome. Having two sisters is </w:t>
      </w:r>
      <w:r w:rsidR="00170084" w:rsidRPr="003609FB">
        <w:rPr>
          <w:rFonts w:ascii="Times New Roman" w:hAnsi="Times New Roman" w:cs="Times New Roman"/>
          <w:sz w:val="24"/>
          <w:szCs w:val="24"/>
        </w:rPr>
        <w:t>double the trouble</w:t>
      </w:r>
      <w:r w:rsidR="00B102CB" w:rsidRPr="003609FB">
        <w:rPr>
          <w:rFonts w:ascii="Times New Roman" w:hAnsi="Times New Roman" w:cs="Times New Roman"/>
          <w:sz w:val="24"/>
          <w:szCs w:val="24"/>
        </w:rPr>
        <w:t>/</w:t>
      </w:r>
      <w:r w:rsidR="00BA5E3E" w:rsidRPr="003609FB">
        <w:rPr>
          <w:rFonts w:ascii="Times New Roman" w:hAnsi="Times New Roman" w:cs="Times New Roman"/>
          <w:sz w:val="24"/>
          <w:szCs w:val="24"/>
        </w:rPr>
        <w:t xml:space="preserve"> fun</w:t>
      </w:r>
      <w:r w:rsidR="00170084" w:rsidRPr="003609FB">
        <w:rPr>
          <w:rFonts w:ascii="Times New Roman" w:hAnsi="Times New Roman" w:cs="Times New Roman"/>
          <w:sz w:val="24"/>
          <w:szCs w:val="24"/>
        </w:rPr>
        <w:t xml:space="preserve">. </w:t>
      </w:r>
      <w:r w:rsidR="001A5F85" w:rsidRPr="003609FB">
        <w:rPr>
          <w:rFonts w:ascii="Times New Roman" w:hAnsi="Times New Roman" w:cs="Times New Roman"/>
          <w:sz w:val="24"/>
          <w:szCs w:val="24"/>
        </w:rPr>
        <w:t xml:space="preserve">To Emily and Co., thank you </w:t>
      </w:r>
      <w:r w:rsidR="008A6CAB" w:rsidRPr="003609FB">
        <w:rPr>
          <w:rFonts w:ascii="Times New Roman" w:hAnsi="Times New Roman" w:cs="Times New Roman"/>
          <w:sz w:val="24"/>
          <w:szCs w:val="24"/>
        </w:rPr>
        <w:t xml:space="preserve">for the constant support and reminder that we are more than our work. I enjoy life with </w:t>
      </w:r>
      <w:r w:rsidR="001A5F85" w:rsidRPr="003609FB">
        <w:rPr>
          <w:rFonts w:ascii="Times New Roman" w:hAnsi="Times New Roman" w:cs="Times New Roman"/>
          <w:sz w:val="24"/>
          <w:szCs w:val="24"/>
        </w:rPr>
        <w:t xml:space="preserve">all </w:t>
      </w:r>
      <w:r w:rsidR="008A6CAB" w:rsidRPr="003609FB">
        <w:rPr>
          <w:rFonts w:ascii="Times New Roman" w:hAnsi="Times New Roman" w:cs="Times New Roman"/>
          <w:sz w:val="24"/>
          <w:szCs w:val="24"/>
        </w:rPr>
        <w:t xml:space="preserve">y’all. </w:t>
      </w:r>
      <w:r w:rsidR="001A5F85" w:rsidRPr="003609FB">
        <w:rPr>
          <w:rFonts w:ascii="Times New Roman" w:hAnsi="Times New Roman" w:cs="Times New Roman"/>
          <w:sz w:val="24"/>
          <w:szCs w:val="24"/>
        </w:rPr>
        <w:t xml:space="preserve">Lastly, to the </w:t>
      </w:r>
      <w:r w:rsidR="00FF2FFA" w:rsidRPr="003609FB">
        <w:rPr>
          <w:rFonts w:ascii="Times New Roman" w:hAnsi="Times New Roman" w:cs="Times New Roman"/>
          <w:sz w:val="24"/>
          <w:szCs w:val="24"/>
        </w:rPr>
        <w:t>family</w:t>
      </w:r>
      <w:r w:rsidR="00164182" w:rsidRPr="003609FB">
        <w:rPr>
          <w:rFonts w:ascii="Times New Roman" w:hAnsi="Times New Roman" w:cs="Times New Roman"/>
          <w:sz w:val="24"/>
          <w:szCs w:val="24"/>
        </w:rPr>
        <w:t xml:space="preserve">, church supporters, </w:t>
      </w:r>
      <w:r w:rsidR="00FF2FFA" w:rsidRPr="003609FB">
        <w:rPr>
          <w:rFonts w:ascii="Times New Roman" w:hAnsi="Times New Roman" w:cs="Times New Roman"/>
          <w:sz w:val="24"/>
          <w:szCs w:val="24"/>
        </w:rPr>
        <w:t xml:space="preserve">and friends who did not </w:t>
      </w:r>
      <w:r w:rsidR="001A5F85" w:rsidRPr="003609FB">
        <w:rPr>
          <w:rFonts w:ascii="Times New Roman" w:hAnsi="Times New Roman" w:cs="Times New Roman"/>
          <w:sz w:val="24"/>
          <w:szCs w:val="24"/>
        </w:rPr>
        <w:t xml:space="preserve">live </w:t>
      </w:r>
      <w:r w:rsidR="00FF2FFA" w:rsidRPr="003609FB">
        <w:rPr>
          <w:rFonts w:ascii="Times New Roman" w:hAnsi="Times New Roman" w:cs="Times New Roman"/>
          <w:sz w:val="24"/>
          <w:szCs w:val="24"/>
        </w:rPr>
        <w:t>see the completion of this wor</w:t>
      </w:r>
      <w:r w:rsidR="00E90AF3" w:rsidRPr="003609FB">
        <w:rPr>
          <w:rFonts w:ascii="Times New Roman" w:hAnsi="Times New Roman" w:cs="Times New Roman"/>
          <w:sz w:val="24"/>
          <w:szCs w:val="24"/>
        </w:rPr>
        <w:t xml:space="preserve">k, </w:t>
      </w:r>
      <w:r w:rsidR="001A5F85" w:rsidRPr="003609FB">
        <w:rPr>
          <w:rFonts w:ascii="Times New Roman" w:hAnsi="Times New Roman" w:cs="Times New Roman"/>
          <w:sz w:val="24"/>
          <w:szCs w:val="24"/>
        </w:rPr>
        <w:t xml:space="preserve">as well as every </w:t>
      </w:r>
      <w:r w:rsidR="005C3B0A" w:rsidRPr="003609FB">
        <w:rPr>
          <w:rFonts w:ascii="Times New Roman" w:hAnsi="Times New Roman" w:cs="Times New Roman"/>
          <w:sz w:val="24"/>
          <w:szCs w:val="24"/>
        </w:rPr>
        <w:t xml:space="preserve">student </w:t>
      </w:r>
      <w:r w:rsidR="00BA447E" w:rsidRPr="003609FB">
        <w:rPr>
          <w:rFonts w:ascii="Times New Roman" w:hAnsi="Times New Roman" w:cs="Times New Roman"/>
          <w:sz w:val="24"/>
          <w:szCs w:val="24"/>
        </w:rPr>
        <w:t>whose</w:t>
      </w:r>
      <w:r w:rsidR="001A5F85" w:rsidRPr="003609FB">
        <w:rPr>
          <w:rFonts w:ascii="Times New Roman" w:hAnsi="Times New Roman" w:cs="Times New Roman"/>
          <w:sz w:val="24"/>
          <w:szCs w:val="24"/>
        </w:rPr>
        <w:t xml:space="preserve"> </w:t>
      </w:r>
      <w:r w:rsidR="006343DE" w:rsidRPr="003609FB">
        <w:rPr>
          <w:rFonts w:ascii="Times New Roman" w:hAnsi="Times New Roman" w:cs="Times New Roman"/>
          <w:sz w:val="24"/>
          <w:szCs w:val="24"/>
        </w:rPr>
        <w:t xml:space="preserve">life or </w:t>
      </w:r>
      <w:r w:rsidR="001A5F85" w:rsidRPr="003609FB">
        <w:rPr>
          <w:rFonts w:ascii="Times New Roman" w:hAnsi="Times New Roman" w:cs="Times New Roman"/>
          <w:sz w:val="24"/>
          <w:szCs w:val="24"/>
        </w:rPr>
        <w:t xml:space="preserve">education </w:t>
      </w:r>
      <w:r w:rsidR="006343DE" w:rsidRPr="003609FB">
        <w:rPr>
          <w:rFonts w:ascii="Times New Roman" w:hAnsi="Times New Roman" w:cs="Times New Roman"/>
          <w:sz w:val="24"/>
          <w:szCs w:val="24"/>
        </w:rPr>
        <w:t>ended as</w:t>
      </w:r>
      <w:r w:rsidR="001A5F85" w:rsidRPr="003609FB">
        <w:rPr>
          <w:rFonts w:ascii="Times New Roman" w:hAnsi="Times New Roman" w:cs="Times New Roman"/>
          <w:sz w:val="24"/>
          <w:szCs w:val="24"/>
        </w:rPr>
        <w:t xml:space="preserve"> a casualty of war, I wish</w:t>
      </w:r>
      <w:r w:rsidR="00BA447E" w:rsidRPr="003609FB">
        <w:rPr>
          <w:rFonts w:ascii="Times New Roman" w:hAnsi="Times New Roman" w:cs="Times New Roman"/>
          <w:sz w:val="24"/>
          <w:szCs w:val="24"/>
        </w:rPr>
        <w:t xml:space="preserve"> </w:t>
      </w:r>
      <w:r w:rsidR="001A5F85" w:rsidRPr="003609FB">
        <w:rPr>
          <w:rFonts w:ascii="Times New Roman" w:hAnsi="Times New Roman" w:cs="Times New Roman"/>
          <w:sz w:val="24"/>
          <w:szCs w:val="24"/>
        </w:rPr>
        <w:t>for you peace.</w:t>
      </w:r>
    </w:p>
    <w:p w14:paraId="38C1C39B" w14:textId="2C3298BE" w:rsidR="000B77BC" w:rsidRPr="003609FB" w:rsidRDefault="000B77BC" w:rsidP="00AB2160">
      <w:pPr>
        <w:spacing w:line="360" w:lineRule="auto"/>
        <w:rPr>
          <w:rFonts w:ascii="Times New Roman" w:hAnsi="Times New Roman" w:cs="Times New Roman"/>
          <w:sz w:val="24"/>
          <w:szCs w:val="24"/>
        </w:rPr>
      </w:pPr>
    </w:p>
    <w:p w14:paraId="3A07C4EB" w14:textId="77777777" w:rsidR="00762FB0" w:rsidRDefault="00762FB0" w:rsidP="00AB2160">
      <w:pPr>
        <w:spacing w:line="360" w:lineRule="auto"/>
        <w:rPr>
          <w:rFonts w:ascii="Times New Roman" w:hAnsi="Times New Roman" w:cs="Times New Roman"/>
          <w:sz w:val="24"/>
          <w:szCs w:val="24"/>
        </w:rPr>
      </w:pPr>
    </w:p>
    <w:p w14:paraId="645BE7F1" w14:textId="77777777" w:rsidR="003D069F" w:rsidRDefault="003D069F" w:rsidP="00AB2160">
      <w:pPr>
        <w:spacing w:line="360" w:lineRule="auto"/>
        <w:rPr>
          <w:rFonts w:ascii="Times New Roman" w:hAnsi="Times New Roman" w:cs="Times New Roman"/>
          <w:sz w:val="24"/>
          <w:szCs w:val="24"/>
        </w:rPr>
      </w:pPr>
    </w:p>
    <w:p w14:paraId="431CDBA4" w14:textId="77777777" w:rsidR="003D069F" w:rsidRPr="003609FB" w:rsidRDefault="003D069F" w:rsidP="00AB2160">
      <w:pPr>
        <w:spacing w:line="360" w:lineRule="auto"/>
        <w:rPr>
          <w:rFonts w:ascii="Times New Roman" w:hAnsi="Times New Roman" w:cs="Times New Roman"/>
          <w:sz w:val="24"/>
          <w:szCs w:val="24"/>
        </w:rPr>
      </w:pPr>
    </w:p>
    <w:p w14:paraId="0B477563" w14:textId="35F12D4A" w:rsidR="00261BA6" w:rsidRPr="00583BE3" w:rsidRDefault="000B77BC" w:rsidP="00AB2160">
      <w:pPr>
        <w:spacing w:line="360" w:lineRule="auto"/>
        <w:jc w:val="center"/>
        <w:rPr>
          <w:rFonts w:asciiTheme="majorBidi" w:hAnsiTheme="majorBidi"/>
          <w:b/>
          <w:bCs/>
          <w:sz w:val="28"/>
          <w:szCs w:val="28"/>
        </w:rPr>
      </w:pPr>
      <w:r w:rsidRPr="00D12F43">
        <w:rPr>
          <w:rFonts w:asciiTheme="majorBidi" w:hAnsiTheme="majorBidi"/>
          <w:b/>
          <w:bCs/>
          <w:sz w:val="28"/>
          <w:szCs w:val="28"/>
        </w:rPr>
        <w:lastRenderedPageBreak/>
        <w:t>Abstract</w:t>
      </w:r>
    </w:p>
    <w:p w14:paraId="49C350EF" w14:textId="2F33E9DD" w:rsidR="00762FB0" w:rsidRDefault="008D1221"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Microbial community structure in the oligotrophic ocean has evolved so that organisms unable to survive in monoculture can flourish in this harsh, nutrient deplete environment. The oligotrophic ocean contains high concentrations of hydrogen peroxide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 type of harmful reactive oxygen species, which is produced when light hits pigmented detrital material.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is the most abundant photosynthetic organism in the oligotrophic ocean and is estimated to perform half of the carbon fixation there, yet it cannot live in monoculture at the level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produced in one day of </w:t>
      </w:r>
      <w:r w:rsidR="00017F34" w:rsidRPr="003609FB">
        <w:rPr>
          <w:rFonts w:ascii="Times New Roman" w:hAnsi="Times New Roman" w:cs="Times New Roman"/>
          <w:sz w:val="24"/>
          <w:szCs w:val="24"/>
        </w:rPr>
        <w:t xml:space="preserve">its </w:t>
      </w:r>
      <w:r w:rsidRPr="003609FB">
        <w:rPr>
          <w:rFonts w:ascii="Times New Roman" w:hAnsi="Times New Roman" w:cs="Times New Roman"/>
          <w:sz w:val="24"/>
          <w:szCs w:val="24"/>
        </w:rPr>
        <w:t xml:space="preserve">natural environment. </w:t>
      </w:r>
      <w:r w:rsidR="001B610F" w:rsidRPr="003609FB">
        <w:rPr>
          <w:rFonts w:ascii="Times New Roman" w:hAnsi="Times New Roman" w:cs="Times New Roman"/>
          <w:sz w:val="24"/>
          <w:szCs w:val="24"/>
        </w:rPr>
        <w:t xml:space="preserve">The less streamlined sister of </w:t>
      </w:r>
      <w:r w:rsidR="00691B65" w:rsidRPr="00691B65">
        <w:rPr>
          <w:rFonts w:ascii="Times New Roman" w:hAnsi="Times New Roman" w:cs="Times New Roman"/>
          <w:i/>
          <w:iCs/>
          <w:sz w:val="24"/>
          <w:szCs w:val="24"/>
        </w:rPr>
        <w:t>Prochlorococcus</w:t>
      </w:r>
      <w:r w:rsidR="001B610F"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001B610F" w:rsidRPr="003609FB">
        <w:rPr>
          <w:rFonts w:ascii="Times New Roman" w:hAnsi="Times New Roman" w:cs="Times New Roman"/>
          <w:sz w:val="24"/>
          <w:szCs w:val="24"/>
        </w:rPr>
        <w:t xml:space="preserve">, as well as </w:t>
      </w:r>
      <w:r w:rsidR="00951A00" w:rsidRPr="003609FB">
        <w:rPr>
          <w:rFonts w:ascii="Times New Roman" w:hAnsi="Times New Roman" w:cs="Times New Roman"/>
          <w:sz w:val="24"/>
          <w:szCs w:val="24"/>
        </w:rPr>
        <w:t xml:space="preserve">co-isolated </w:t>
      </w:r>
      <w:r w:rsidR="00924E3B" w:rsidRPr="003609FB">
        <w:rPr>
          <w:rFonts w:ascii="Times New Roman" w:hAnsi="Times New Roman" w:cs="Times New Roman"/>
          <w:sz w:val="24"/>
          <w:szCs w:val="24"/>
        </w:rPr>
        <w:t>heterotrophic</w:t>
      </w:r>
      <w:r w:rsidR="001B610F" w:rsidRPr="003609FB">
        <w:rPr>
          <w:rFonts w:ascii="Times New Roman" w:hAnsi="Times New Roman" w:cs="Times New Roman"/>
          <w:sz w:val="24"/>
          <w:szCs w:val="24"/>
        </w:rPr>
        <w:t xml:space="preserve"> bacteria</w:t>
      </w:r>
      <w:r w:rsidR="00F23832" w:rsidRPr="003609FB">
        <w:rPr>
          <w:rFonts w:ascii="Times New Roman" w:hAnsi="Times New Roman" w:cs="Times New Roman"/>
          <w:sz w:val="24"/>
          <w:szCs w:val="24"/>
        </w:rPr>
        <w:t>,</w:t>
      </w:r>
      <w:r w:rsidR="001B610F" w:rsidRPr="003609FB">
        <w:rPr>
          <w:rFonts w:ascii="Times New Roman" w:hAnsi="Times New Roman" w:cs="Times New Roman"/>
          <w:sz w:val="24"/>
          <w:szCs w:val="24"/>
        </w:rPr>
        <w:t xml:space="preserve"> </w:t>
      </w:r>
      <w:proofErr w:type="gramStart"/>
      <w:r w:rsidR="001B610F" w:rsidRPr="003609FB">
        <w:rPr>
          <w:rFonts w:ascii="Times New Roman" w:hAnsi="Times New Roman" w:cs="Times New Roman"/>
          <w:sz w:val="24"/>
          <w:szCs w:val="24"/>
        </w:rPr>
        <w:t>are able to</w:t>
      </w:r>
      <w:proofErr w:type="gramEnd"/>
      <w:r w:rsidR="001B610F" w:rsidRPr="003609FB">
        <w:rPr>
          <w:rFonts w:ascii="Times New Roman" w:hAnsi="Times New Roman" w:cs="Times New Roman"/>
          <w:sz w:val="24"/>
          <w:szCs w:val="24"/>
        </w:rPr>
        <w:t xml:space="preserve"> survive the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1B610F" w:rsidRPr="003609FB">
        <w:rPr>
          <w:rFonts w:ascii="Times New Roman" w:hAnsi="Times New Roman" w:cs="Times New Roman"/>
          <w:sz w:val="24"/>
          <w:szCs w:val="24"/>
        </w:rPr>
        <w:t xml:space="preserve"> </w:t>
      </w:r>
      <w:r w:rsidR="006F3694" w:rsidRPr="003609FB">
        <w:rPr>
          <w:rFonts w:ascii="Times New Roman" w:hAnsi="Times New Roman" w:cs="Times New Roman"/>
          <w:sz w:val="24"/>
          <w:szCs w:val="24"/>
        </w:rPr>
        <w:t>of this environment</w:t>
      </w:r>
      <w:r w:rsidR="001B610F" w:rsidRPr="003609FB">
        <w:rPr>
          <w:rFonts w:ascii="Times New Roman" w:hAnsi="Times New Roman" w:cs="Times New Roman"/>
          <w:sz w:val="24"/>
          <w:szCs w:val="24"/>
        </w:rPr>
        <w:t xml:space="preserve"> but </w:t>
      </w:r>
      <w:r w:rsidR="00924E3B" w:rsidRPr="003609FB">
        <w:rPr>
          <w:rFonts w:ascii="Times New Roman" w:hAnsi="Times New Roman" w:cs="Times New Roman"/>
          <w:sz w:val="24"/>
          <w:szCs w:val="24"/>
        </w:rPr>
        <w:t>cannot</w:t>
      </w:r>
      <w:r w:rsidR="001B610F" w:rsidRPr="003609FB">
        <w:rPr>
          <w:rFonts w:ascii="Times New Roman" w:hAnsi="Times New Roman" w:cs="Times New Roman"/>
          <w:sz w:val="24"/>
          <w:szCs w:val="24"/>
        </w:rPr>
        <w:t xml:space="preserve"> outcompete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1B610F" w:rsidRPr="003609FB">
        <w:rPr>
          <w:rFonts w:ascii="Times New Roman" w:hAnsi="Times New Roman" w:cs="Times New Roman"/>
          <w:sz w:val="24"/>
          <w:szCs w:val="24"/>
        </w:rPr>
        <w:t xml:space="preserve">for </w:t>
      </w:r>
      <w:r w:rsidR="006F3694" w:rsidRPr="003609FB">
        <w:rPr>
          <w:rFonts w:ascii="Times New Roman" w:hAnsi="Times New Roman" w:cs="Times New Roman"/>
          <w:sz w:val="24"/>
          <w:szCs w:val="24"/>
        </w:rPr>
        <w:t xml:space="preserve">low nutrients concentrations here.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has evolved dependence on other microorganisms, </w:t>
      </w:r>
      <w:r w:rsidR="00B102CB" w:rsidRPr="003609FB">
        <w:rPr>
          <w:rFonts w:ascii="Times New Roman" w:hAnsi="Times New Roman" w:cs="Times New Roman"/>
          <w:sz w:val="24"/>
          <w:szCs w:val="24"/>
        </w:rPr>
        <w:t>requiring</w:t>
      </w:r>
      <w:r w:rsidR="006F3694" w:rsidRPr="003609FB">
        <w:rPr>
          <w:rFonts w:ascii="Times New Roman" w:hAnsi="Times New Roman" w:cs="Times New Roman"/>
          <w:sz w:val="24"/>
          <w:szCs w:val="24"/>
        </w:rPr>
        <w:t xml:space="preserve"> them to </w:t>
      </w:r>
      <w:r w:rsidR="006D06B5" w:rsidRPr="003609FB">
        <w:rPr>
          <w:rFonts w:ascii="Times New Roman" w:hAnsi="Times New Roman" w:cs="Times New Roman"/>
          <w:sz w:val="24"/>
          <w:szCs w:val="24"/>
        </w:rPr>
        <w:t xml:space="preserve">constantly detoxify ambient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6D06B5" w:rsidRPr="003609FB">
        <w:rPr>
          <w:rFonts w:ascii="Times New Roman" w:hAnsi="Times New Roman" w:cs="Times New Roman"/>
          <w:sz w:val="24"/>
          <w:szCs w:val="24"/>
        </w:rPr>
        <w:t xml:space="preserve">. </w:t>
      </w:r>
      <w:r w:rsidR="00A25435" w:rsidRPr="003609FB">
        <w:rPr>
          <w:rFonts w:ascii="Times New Roman" w:hAnsi="Times New Roman" w:cs="Times New Roman"/>
          <w:sz w:val="24"/>
          <w:szCs w:val="24"/>
        </w:rPr>
        <w:t>Thus,</w:t>
      </w:r>
      <w:r w:rsidR="006D06B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allowing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to survive in mixed-culture communities </w:t>
      </w:r>
      <w:r w:rsidR="006D06B5" w:rsidRPr="003609FB">
        <w:rPr>
          <w:rFonts w:ascii="Times New Roman" w:hAnsi="Times New Roman" w:cs="Times New Roman"/>
          <w:sz w:val="24"/>
          <w:szCs w:val="24"/>
        </w:rPr>
        <w:t xml:space="preserve">but not </w:t>
      </w:r>
      <w:r w:rsidR="00BA18AE" w:rsidRPr="003609FB">
        <w:rPr>
          <w:rFonts w:ascii="Times New Roman" w:hAnsi="Times New Roman" w:cs="Times New Roman"/>
          <w:sz w:val="24"/>
          <w:szCs w:val="24"/>
        </w:rPr>
        <w:t xml:space="preserve">to competitively exclude the community members without facing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BA18AE" w:rsidRPr="003609FB">
        <w:rPr>
          <w:rFonts w:ascii="Times New Roman" w:hAnsi="Times New Roman" w:cs="Times New Roman"/>
          <w:sz w:val="24"/>
          <w:szCs w:val="24"/>
        </w:rPr>
        <w:t xml:space="preserve"> </w:t>
      </w:r>
      <w:r w:rsidR="00924E3B" w:rsidRPr="003609FB">
        <w:rPr>
          <w:rFonts w:ascii="Times New Roman" w:hAnsi="Times New Roman" w:cs="Times New Roman"/>
          <w:sz w:val="24"/>
          <w:szCs w:val="24"/>
        </w:rPr>
        <w:t>damage. Mechanisms</w:t>
      </w:r>
      <w:r w:rsidRPr="003609FB">
        <w:rPr>
          <w:rFonts w:ascii="Times New Roman" w:hAnsi="Times New Roman" w:cs="Times New Roman"/>
          <w:sz w:val="24"/>
          <w:szCs w:val="24"/>
        </w:rPr>
        <w:t xml:space="preserve"> that control the oceanic carbon cycle are an essential area of current and future climate change research, yet they are complex and poorly understood. Mathematical models accounting for various biological and physical processes allow for the assessment of factors that exert control on carbon and nutrient cycling. </w:t>
      </w:r>
    </w:p>
    <w:p w14:paraId="4BF39436" w14:textId="28B80850" w:rsidR="00DC6A47" w:rsidRDefault="008D1221" w:rsidP="006A0877">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Current phytoplankton global models attribute 25% of </w:t>
      </w:r>
      <w:r w:rsidR="00F23832" w:rsidRPr="003609FB">
        <w:rPr>
          <w:rFonts w:ascii="Times New Roman" w:hAnsi="Times New Roman" w:cs="Times New Roman"/>
          <w:sz w:val="24"/>
          <w:szCs w:val="24"/>
        </w:rPr>
        <w:t xml:space="preserve">marine primary </w:t>
      </w:r>
      <w:r w:rsidRPr="003609FB">
        <w:rPr>
          <w:rFonts w:ascii="Times New Roman" w:hAnsi="Times New Roman" w:cs="Times New Roman"/>
          <w:sz w:val="24"/>
          <w:szCs w:val="24"/>
        </w:rPr>
        <w:t xml:space="preserve">production to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but exclude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as a source of microbial death</w:t>
      </w:r>
      <w:r w:rsidR="00F23832" w:rsidRPr="003609FB">
        <w:rPr>
          <w:rFonts w:ascii="Times New Roman" w:hAnsi="Times New Roman" w:cs="Times New Roman"/>
          <w:sz w:val="24"/>
          <w:szCs w:val="24"/>
        </w:rPr>
        <w:t xml:space="preserve"> in those calculations</w:t>
      </w:r>
      <w:r w:rsidRPr="003609FB">
        <w:rPr>
          <w:rFonts w:ascii="Times New Roman" w:hAnsi="Times New Roman" w:cs="Times New Roman"/>
          <w:sz w:val="24"/>
          <w:szCs w:val="24"/>
        </w:rPr>
        <w:t xml:space="preserve">. Beginning with a simple Monod-based representation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this thesis </w:t>
      </w:r>
      <w:r w:rsidR="00B102CB" w:rsidRPr="003609FB">
        <w:rPr>
          <w:rFonts w:ascii="Times New Roman" w:hAnsi="Times New Roman" w:cs="Times New Roman"/>
          <w:sz w:val="24"/>
          <w:szCs w:val="24"/>
        </w:rPr>
        <w:t>provides a</w:t>
      </w:r>
      <w:r w:rsidRPr="003609FB">
        <w:rPr>
          <w:rFonts w:ascii="Times New Roman" w:hAnsi="Times New Roman" w:cs="Times New Roman"/>
          <w:sz w:val="24"/>
          <w:szCs w:val="24"/>
        </w:rPr>
        <w:t xml:space="preserve"> basal quantitative groundwork to assess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and damage in globally important plankton ge</w:t>
      </w:r>
      <w:r w:rsidR="00B102CB" w:rsidRPr="003609FB">
        <w:rPr>
          <w:rFonts w:ascii="Times New Roman" w:hAnsi="Times New Roman" w:cs="Times New Roman"/>
          <w:sz w:val="24"/>
          <w:szCs w:val="24"/>
        </w:rPr>
        <w:t>nera</w:t>
      </w:r>
      <w:r w:rsidR="0074665A" w:rsidRPr="003609FB">
        <w:rPr>
          <w:rFonts w:ascii="Times New Roman" w:hAnsi="Times New Roman" w:cs="Times New Roman"/>
          <w:sz w:val="24"/>
          <w:szCs w:val="24"/>
        </w:rPr>
        <w:t xml:space="preserve">. </w:t>
      </w:r>
      <w:r w:rsidR="00924E3B" w:rsidRPr="003609FB">
        <w:rPr>
          <w:rFonts w:ascii="Times New Roman" w:hAnsi="Times New Roman" w:cs="Times New Roman"/>
          <w:sz w:val="24"/>
          <w:szCs w:val="24"/>
        </w:rPr>
        <w:t>The tradeoffs between growth advantage (</w:t>
      </w:r>
      <w:r w:rsidR="00691B65" w:rsidRPr="00691B65">
        <w:rPr>
          <w:rFonts w:ascii="Times New Roman" w:hAnsi="Times New Roman" w:cs="Times New Roman"/>
          <w:i/>
          <w:iCs/>
          <w:sz w:val="24"/>
          <w:szCs w:val="24"/>
        </w:rPr>
        <w:t>Prochlorococcus</w:t>
      </w:r>
      <w:r w:rsidR="00924E3B" w:rsidRPr="003609FB">
        <w:rPr>
          <w:rFonts w:ascii="Times New Roman" w:hAnsi="Times New Roman" w:cs="Times New Roman"/>
          <w:sz w:val="24"/>
          <w:szCs w:val="24"/>
        </w:rPr>
        <w:t xml:space="preserve">)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924E3B" w:rsidRPr="003609FB">
        <w:rPr>
          <w:rFonts w:ascii="Times New Roman" w:hAnsi="Times New Roman" w:cs="Times New Roman"/>
          <w:sz w:val="24"/>
          <w:szCs w:val="24"/>
        </w:rPr>
        <w:t xml:space="preserve"> detoxification (</w:t>
      </w:r>
      <w:proofErr w:type="spellStart"/>
      <w:r w:rsidR="00691B65" w:rsidRPr="00691B65">
        <w:rPr>
          <w:rFonts w:ascii="Times New Roman" w:hAnsi="Times New Roman" w:cs="Times New Roman"/>
          <w:i/>
          <w:iCs/>
          <w:sz w:val="24"/>
          <w:szCs w:val="24"/>
        </w:rPr>
        <w:t>Synechococcus</w:t>
      </w:r>
      <w:proofErr w:type="spellEnd"/>
      <w:r w:rsidR="00924E3B" w:rsidRPr="003609FB">
        <w:rPr>
          <w:rFonts w:ascii="Times New Roman" w:hAnsi="Times New Roman" w:cs="Times New Roman"/>
          <w:sz w:val="24"/>
          <w:szCs w:val="24"/>
        </w:rPr>
        <w:t>) were found to control the toggle between competitive and coexistent behavior</w:t>
      </w:r>
      <w:r w:rsidR="0074665A" w:rsidRPr="003609FB">
        <w:rPr>
          <w:rFonts w:ascii="Times New Roman" w:hAnsi="Times New Roman" w:cs="Times New Roman"/>
          <w:sz w:val="24"/>
          <w:szCs w:val="24"/>
        </w:rPr>
        <w:t xml:space="preserve">. </w:t>
      </w:r>
      <w:r w:rsidR="00924E3B" w:rsidRPr="003609FB">
        <w:rPr>
          <w:rFonts w:ascii="Times New Roman" w:hAnsi="Times New Roman" w:cs="Times New Roman"/>
          <w:sz w:val="24"/>
          <w:szCs w:val="24"/>
        </w:rPr>
        <w:t xml:space="preserve">The leakiness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924E3B" w:rsidRPr="003609FB">
        <w:rPr>
          <w:rFonts w:ascii="Times New Roman" w:hAnsi="Times New Roman" w:cs="Times New Roman"/>
          <w:sz w:val="24"/>
          <w:szCs w:val="24"/>
        </w:rPr>
        <w:t xml:space="preserve"> detoxification was found to be a key driver of coexistence both </w:t>
      </w:r>
      <w:r w:rsidR="00321D92" w:rsidRPr="003609FB">
        <w:rPr>
          <w:rFonts w:ascii="Times New Roman" w:hAnsi="Times New Roman" w:cs="Times New Roman"/>
          <w:sz w:val="24"/>
          <w:szCs w:val="24"/>
        </w:rPr>
        <w:t xml:space="preserve">in </w:t>
      </w:r>
      <w:r w:rsidR="00924E3B" w:rsidRPr="003609FB">
        <w:rPr>
          <w:rFonts w:ascii="Times New Roman" w:hAnsi="Times New Roman" w:cs="Times New Roman"/>
          <w:sz w:val="24"/>
          <w:szCs w:val="24"/>
        </w:rPr>
        <w:t xml:space="preserve">dimensionless </w:t>
      </w:r>
      <w:r w:rsidR="0074665A" w:rsidRPr="003609FB">
        <w:rPr>
          <w:rFonts w:ascii="Times New Roman" w:hAnsi="Times New Roman" w:cs="Times New Roman"/>
          <w:sz w:val="24"/>
          <w:szCs w:val="24"/>
        </w:rPr>
        <w:t>and</w:t>
      </w:r>
      <w:r w:rsidR="00A66DB5" w:rsidRPr="003609FB">
        <w:rPr>
          <w:rFonts w:ascii="Times New Roman" w:hAnsi="Times New Roman" w:cs="Times New Roman"/>
          <w:sz w:val="24"/>
          <w:szCs w:val="24"/>
        </w:rPr>
        <w:t xml:space="preserve"> </w:t>
      </w:r>
      <w:r w:rsidR="0074665A" w:rsidRPr="003609FB">
        <w:rPr>
          <w:rFonts w:ascii="Times New Roman" w:hAnsi="Times New Roman" w:cs="Times New Roman"/>
          <w:sz w:val="24"/>
          <w:szCs w:val="24"/>
        </w:rPr>
        <w:t xml:space="preserve">spatially/ </w:t>
      </w:r>
      <w:r w:rsidR="00924E3B" w:rsidRPr="003609FB">
        <w:rPr>
          <w:rFonts w:ascii="Times New Roman" w:hAnsi="Times New Roman" w:cs="Times New Roman"/>
          <w:sz w:val="24"/>
          <w:szCs w:val="24"/>
        </w:rPr>
        <w:t xml:space="preserve">temporally resolved </w:t>
      </w:r>
      <w:r w:rsidR="0074665A" w:rsidRPr="003609FB">
        <w:rPr>
          <w:rFonts w:ascii="Times New Roman" w:hAnsi="Times New Roman" w:cs="Times New Roman"/>
          <w:sz w:val="24"/>
          <w:szCs w:val="24"/>
        </w:rPr>
        <w:t xml:space="preserve">frameworks. </w:t>
      </w:r>
      <w:r w:rsidRPr="003609FB">
        <w:rPr>
          <w:rFonts w:ascii="Times New Roman" w:hAnsi="Times New Roman" w:cs="Times New Roman"/>
          <w:sz w:val="24"/>
          <w:szCs w:val="24"/>
        </w:rPr>
        <w:t xml:space="preserve">The stepwise </w:t>
      </w:r>
      <w:r w:rsidR="00A66DB5" w:rsidRPr="003609FB">
        <w:rPr>
          <w:rFonts w:ascii="Times New Roman" w:hAnsi="Times New Roman" w:cs="Times New Roman"/>
          <w:sz w:val="24"/>
          <w:szCs w:val="24"/>
        </w:rPr>
        <w:t>build</w:t>
      </w:r>
      <w:r w:rsidRPr="003609FB">
        <w:rPr>
          <w:rFonts w:ascii="Times New Roman" w:hAnsi="Times New Roman" w:cs="Times New Roman"/>
          <w:sz w:val="24"/>
          <w:szCs w:val="24"/>
        </w:rPr>
        <w:t xml:space="preserve"> of this </w:t>
      </w:r>
      <w:r w:rsidR="0074665A" w:rsidRPr="003609FB">
        <w:rPr>
          <w:rFonts w:ascii="Times New Roman" w:hAnsi="Times New Roman" w:cs="Times New Roman"/>
          <w:sz w:val="24"/>
          <w:szCs w:val="24"/>
        </w:rPr>
        <w:t>model</w:t>
      </w:r>
      <w:r w:rsidR="00A66DB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keeps resource competition and coexistence theories rooted in the (micro)biology while allowing for quantitative ecological evaluation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impacts on </w:t>
      </w:r>
      <w:r w:rsidR="00AF4EF2" w:rsidRPr="003609FB">
        <w:rPr>
          <w:rFonts w:ascii="Times New Roman" w:hAnsi="Times New Roman" w:cs="Times New Roman"/>
          <w:sz w:val="24"/>
          <w:szCs w:val="24"/>
        </w:rPr>
        <w:t xml:space="preserve">globally relevant </w:t>
      </w:r>
      <w:r w:rsidRPr="003609FB">
        <w:rPr>
          <w:rFonts w:ascii="Times New Roman" w:hAnsi="Times New Roman" w:cs="Times New Roman"/>
          <w:sz w:val="24"/>
          <w:szCs w:val="24"/>
        </w:rPr>
        <w:t>microb</w:t>
      </w:r>
      <w:r w:rsidR="00301DDE" w:rsidRPr="003609FB">
        <w:rPr>
          <w:rFonts w:ascii="Times New Roman" w:hAnsi="Times New Roman" w:cs="Times New Roman"/>
          <w:sz w:val="24"/>
          <w:szCs w:val="24"/>
        </w:rPr>
        <w:t>ial</w:t>
      </w:r>
      <w:r w:rsidRPr="003609FB">
        <w:rPr>
          <w:rFonts w:ascii="Times New Roman" w:hAnsi="Times New Roman" w:cs="Times New Roman"/>
          <w:sz w:val="24"/>
          <w:szCs w:val="24"/>
        </w:rPr>
        <w:t xml:space="preserve"> dynamics</w:t>
      </w:r>
      <w:r w:rsidR="00301DDE" w:rsidRPr="003609FB">
        <w:rPr>
          <w:rFonts w:ascii="Times New Roman" w:hAnsi="Times New Roman" w:cs="Times New Roman"/>
          <w:sz w:val="24"/>
          <w:szCs w:val="24"/>
        </w:rPr>
        <w:t>.</w:t>
      </w:r>
    </w:p>
    <w:p w14:paraId="3723AF78" w14:textId="77777777" w:rsidR="006A0877" w:rsidRPr="003609FB" w:rsidRDefault="006A0877" w:rsidP="006A0877">
      <w:pPr>
        <w:spacing w:line="360" w:lineRule="auto"/>
        <w:ind w:firstLine="720"/>
        <w:rPr>
          <w:rFonts w:ascii="Times New Roman" w:hAnsi="Times New Roman" w:cs="Times New Roman"/>
          <w:sz w:val="24"/>
          <w:szCs w:val="24"/>
        </w:rPr>
      </w:pPr>
    </w:p>
    <w:sdt>
      <w:sdtPr>
        <w:rPr>
          <w:rFonts w:asciiTheme="majorBidi" w:hAnsiTheme="majorBidi"/>
          <w:b/>
          <w:bCs/>
        </w:rPr>
        <w:id w:val="-526631828"/>
        <w:docPartObj>
          <w:docPartGallery w:val="Table of Contents"/>
          <w:docPartUnique/>
        </w:docPartObj>
      </w:sdtPr>
      <w:sdtEndPr>
        <w:rPr>
          <w:rFonts w:ascii="Times New Roman" w:hAnsi="Times New Roman" w:cs="Times New Roman"/>
          <w:b w:val="0"/>
          <w:bCs w:val="0"/>
          <w:sz w:val="24"/>
          <w:szCs w:val="24"/>
        </w:rPr>
      </w:sdtEndPr>
      <w:sdtContent>
        <w:p w14:paraId="4E3A8503" w14:textId="767B3937" w:rsidR="00640FB6" w:rsidRPr="00121DB0" w:rsidRDefault="00640FB6" w:rsidP="00AB2160">
          <w:pPr>
            <w:spacing w:line="360" w:lineRule="auto"/>
            <w:jc w:val="center"/>
            <w:rPr>
              <w:rFonts w:asciiTheme="majorBidi" w:hAnsiTheme="majorBidi"/>
              <w:b/>
              <w:bCs/>
              <w:sz w:val="28"/>
              <w:szCs w:val="28"/>
            </w:rPr>
          </w:pPr>
          <w:r w:rsidRPr="00121DB0">
            <w:rPr>
              <w:rFonts w:asciiTheme="majorBidi" w:hAnsiTheme="majorBidi"/>
              <w:b/>
              <w:bCs/>
              <w:sz w:val="28"/>
              <w:szCs w:val="28"/>
            </w:rPr>
            <w:t>Table of Contents</w:t>
          </w:r>
        </w:p>
        <w:p w14:paraId="4C0094B4" w14:textId="28BA4F35" w:rsidR="005F4E1A" w:rsidRPr="005F4E1A" w:rsidRDefault="00640FB6">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r w:rsidRPr="005F4E1A">
            <w:rPr>
              <w:rFonts w:ascii="Times New Roman" w:hAnsi="Times New Roman" w:cs="Times New Roman"/>
              <w:b w:val="0"/>
              <w:bCs w:val="0"/>
              <w:i w:val="0"/>
              <w:iCs w:val="0"/>
              <w:sz w:val="24"/>
              <w:szCs w:val="24"/>
            </w:rPr>
            <w:fldChar w:fldCharType="begin"/>
          </w:r>
          <w:r w:rsidRPr="005F4E1A">
            <w:rPr>
              <w:rFonts w:ascii="Times New Roman" w:hAnsi="Times New Roman" w:cs="Times New Roman"/>
              <w:b w:val="0"/>
              <w:bCs w:val="0"/>
              <w:i w:val="0"/>
              <w:iCs w:val="0"/>
              <w:sz w:val="24"/>
              <w:szCs w:val="24"/>
            </w:rPr>
            <w:instrText xml:space="preserve"> TOC \o "1-3" \h \z \u </w:instrText>
          </w:r>
          <w:r w:rsidRPr="005F4E1A">
            <w:rPr>
              <w:rFonts w:ascii="Times New Roman" w:hAnsi="Times New Roman" w:cs="Times New Roman"/>
              <w:b w:val="0"/>
              <w:bCs w:val="0"/>
              <w:i w:val="0"/>
              <w:iCs w:val="0"/>
              <w:sz w:val="24"/>
              <w:szCs w:val="24"/>
            </w:rPr>
            <w:fldChar w:fldCharType="separate"/>
          </w:r>
          <w:hyperlink w:anchor="_Toc173250006" w:history="1">
            <w:r w:rsidR="005F4E1A" w:rsidRPr="005F4E1A">
              <w:rPr>
                <w:rStyle w:val="Hyperlink"/>
                <w:rFonts w:ascii="Times New Roman" w:hAnsi="Times New Roman" w:cs="Times New Roman"/>
                <w:b w:val="0"/>
                <w:bCs w:val="0"/>
                <w:i w:val="0"/>
                <w:iCs w:val="0"/>
                <w:noProof/>
                <w:sz w:val="24"/>
                <w:szCs w:val="24"/>
              </w:rPr>
              <w:t>Chapter 1 Hydrogen peroxide and phytoplankton interactions of the open ocean: A base understanding</w:t>
            </w:r>
            <w:r w:rsidR="005F4E1A" w:rsidRPr="005F4E1A">
              <w:rPr>
                <w:rFonts w:ascii="Times New Roman" w:hAnsi="Times New Roman" w:cs="Times New Roman"/>
                <w:b w:val="0"/>
                <w:bCs w:val="0"/>
                <w:i w:val="0"/>
                <w:iCs w:val="0"/>
                <w:noProof/>
                <w:webHidden/>
                <w:sz w:val="24"/>
                <w:szCs w:val="24"/>
              </w:rPr>
              <w:tab/>
            </w:r>
            <w:r w:rsidR="005F4E1A" w:rsidRPr="005F4E1A">
              <w:rPr>
                <w:rFonts w:ascii="Times New Roman" w:hAnsi="Times New Roman" w:cs="Times New Roman"/>
                <w:b w:val="0"/>
                <w:bCs w:val="0"/>
                <w:i w:val="0"/>
                <w:iCs w:val="0"/>
                <w:noProof/>
                <w:webHidden/>
                <w:sz w:val="24"/>
                <w:szCs w:val="24"/>
              </w:rPr>
              <w:fldChar w:fldCharType="begin"/>
            </w:r>
            <w:r w:rsidR="005F4E1A" w:rsidRPr="005F4E1A">
              <w:rPr>
                <w:rFonts w:ascii="Times New Roman" w:hAnsi="Times New Roman" w:cs="Times New Roman"/>
                <w:b w:val="0"/>
                <w:bCs w:val="0"/>
                <w:i w:val="0"/>
                <w:iCs w:val="0"/>
                <w:noProof/>
                <w:webHidden/>
                <w:sz w:val="24"/>
                <w:szCs w:val="24"/>
              </w:rPr>
              <w:instrText xml:space="preserve"> PAGEREF _Toc173250006 \h </w:instrText>
            </w:r>
            <w:r w:rsidR="005F4E1A" w:rsidRPr="005F4E1A">
              <w:rPr>
                <w:rFonts w:ascii="Times New Roman" w:hAnsi="Times New Roman" w:cs="Times New Roman"/>
                <w:b w:val="0"/>
                <w:bCs w:val="0"/>
                <w:i w:val="0"/>
                <w:iCs w:val="0"/>
                <w:noProof/>
                <w:webHidden/>
                <w:sz w:val="24"/>
                <w:szCs w:val="24"/>
              </w:rPr>
            </w:r>
            <w:r w:rsidR="005F4E1A" w:rsidRPr="005F4E1A">
              <w:rPr>
                <w:rFonts w:ascii="Times New Roman" w:hAnsi="Times New Roman" w:cs="Times New Roman"/>
                <w:b w:val="0"/>
                <w:bCs w:val="0"/>
                <w:i w:val="0"/>
                <w:iCs w:val="0"/>
                <w:noProof/>
                <w:webHidden/>
                <w:sz w:val="24"/>
                <w:szCs w:val="24"/>
              </w:rPr>
              <w:fldChar w:fldCharType="separate"/>
            </w:r>
            <w:r w:rsidR="005F4E1A" w:rsidRPr="005F4E1A">
              <w:rPr>
                <w:rFonts w:ascii="Times New Roman" w:hAnsi="Times New Roman" w:cs="Times New Roman"/>
                <w:b w:val="0"/>
                <w:bCs w:val="0"/>
                <w:i w:val="0"/>
                <w:iCs w:val="0"/>
                <w:noProof/>
                <w:webHidden/>
                <w:sz w:val="24"/>
                <w:szCs w:val="24"/>
              </w:rPr>
              <w:t>1</w:t>
            </w:r>
            <w:r w:rsidR="005F4E1A" w:rsidRPr="005F4E1A">
              <w:rPr>
                <w:rFonts w:ascii="Times New Roman" w:hAnsi="Times New Roman" w:cs="Times New Roman"/>
                <w:b w:val="0"/>
                <w:bCs w:val="0"/>
                <w:i w:val="0"/>
                <w:iCs w:val="0"/>
                <w:noProof/>
                <w:webHidden/>
                <w:sz w:val="24"/>
                <w:szCs w:val="24"/>
              </w:rPr>
              <w:fldChar w:fldCharType="end"/>
            </w:r>
          </w:hyperlink>
        </w:p>
        <w:p w14:paraId="4D558DF0" w14:textId="7A733325"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07" w:history="1">
            <w:r w:rsidRPr="005F4E1A">
              <w:rPr>
                <w:rStyle w:val="Hyperlink"/>
                <w:rFonts w:ascii="Times New Roman" w:hAnsi="Times New Roman" w:cs="Times New Roman"/>
                <w:b w:val="0"/>
                <w:bCs w:val="0"/>
                <w:noProof/>
                <w:sz w:val="24"/>
                <w:szCs w:val="24"/>
              </w:rPr>
              <w:t>Introduction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_Toc173250007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3</w:t>
            </w:r>
            <w:r w:rsidRPr="005F4E1A">
              <w:rPr>
                <w:rFonts w:ascii="Times New Roman" w:hAnsi="Times New Roman" w:cs="Times New Roman"/>
                <w:b w:val="0"/>
                <w:bCs w:val="0"/>
                <w:noProof/>
                <w:webHidden/>
                <w:sz w:val="24"/>
                <w:szCs w:val="24"/>
              </w:rPr>
              <w:fldChar w:fldCharType="end"/>
            </w:r>
          </w:hyperlink>
        </w:p>
        <w:p w14:paraId="66331424" w14:textId="3C716153"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08" w:history="1">
            <w:r w:rsidRPr="005F4E1A">
              <w:rPr>
                <w:rStyle w:val="Hyperlink"/>
                <w:rFonts w:ascii="Times New Roman" w:hAnsi="Times New Roman" w:cs="Times New Roman"/>
                <w:b w:val="0"/>
                <w:bCs w:val="0"/>
                <w:noProof/>
                <w:sz w:val="24"/>
                <w:szCs w:val="24"/>
              </w:rPr>
              <w:t>Review</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_Toc173250008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5</w:t>
            </w:r>
            <w:r w:rsidRPr="005F4E1A">
              <w:rPr>
                <w:rFonts w:ascii="Times New Roman" w:hAnsi="Times New Roman" w:cs="Times New Roman"/>
                <w:b w:val="0"/>
                <w:bCs w:val="0"/>
                <w:noProof/>
                <w:webHidden/>
                <w:sz w:val="24"/>
                <w:szCs w:val="24"/>
              </w:rPr>
              <w:fldChar w:fldCharType="end"/>
            </w:r>
          </w:hyperlink>
        </w:p>
        <w:p w14:paraId="50988EC1" w14:textId="539A7B6B"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09" w:history="1">
            <w:r w:rsidRPr="005F4E1A">
              <w:rPr>
                <w:rStyle w:val="Hyperlink"/>
                <w:rFonts w:ascii="Times New Roman" w:hAnsi="Times New Roman" w:cs="Times New Roman"/>
                <w:noProof/>
                <w:sz w:val="24"/>
                <w:szCs w:val="24"/>
              </w:rPr>
              <w:t>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stress in phytoplankton</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_Toc173250009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w:t>
            </w:r>
            <w:r w:rsidRPr="005F4E1A">
              <w:rPr>
                <w:rFonts w:ascii="Times New Roman" w:hAnsi="Times New Roman" w:cs="Times New Roman"/>
                <w:noProof/>
                <w:webHidden/>
                <w:sz w:val="24"/>
                <w:szCs w:val="24"/>
              </w:rPr>
              <w:fldChar w:fldCharType="end"/>
            </w:r>
          </w:hyperlink>
        </w:p>
        <w:p w14:paraId="07A96E9D" w14:textId="1691A55C"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10" w:history="1">
            <w:r w:rsidRPr="005F4E1A">
              <w:rPr>
                <w:rStyle w:val="Hyperlink"/>
                <w:rFonts w:ascii="Times New Roman" w:hAnsi="Times New Roman" w:cs="Times New Roman"/>
                <w:noProof/>
                <w:sz w:val="24"/>
                <w:szCs w:val="24"/>
              </w:rPr>
              <w:t>Strategies to mitigate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_Toc173250010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11</w:t>
            </w:r>
            <w:r w:rsidRPr="005F4E1A">
              <w:rPr>
                <w:rFonts w:ascii="Times New Roman" w:hAnsi="Times New Roman" w:cs="Times New Roman"/>
                <w:noProof/>
                <w:webHidden/>
                <w:sz w:val="24"/>
                <w:szCs w:val="24"/>
              </w:rPr>
              <w:fldChar w:fldCharType="end"/>
            </w:r>
          </w:hyperlink>
        </w:p>
        <w:p w14:paraId="0A05311D" w14:textId="70A45C4D"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11" w:history="1">
            <w:r w:rsidRPr="005F4E1A">
              <w:rPr>
                <w:rStyle w:val="Hyperlink"/>
                <w:rFonts w:ascii="Times New Roman" w:hAnsi="Times New Roman" w:cs="Times New Roman"/>
                <w:noProof/>
                <w:sz w:val="24"/>
                <w:szCs w:val="24"/>
              </w:rPr>
              <w:t>Modeling surface ocean microbial communities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_Toc173250011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12</w:t>
            </w:r>
            <w:r w:rsidRPr="005F4E1A">
              <w:rPr>
                <w:rFonts w:ascii="Times New Roman" w:hAnsi="Times New Roman" w:cs="Times New Roman"/>
                <w:noProof/>
                <w:webHidden/>
                <w:sz w:val="24"/>
                <w:szCs w:val="24"/>
              </w:rPr>
              <w:fldChar w:fldCharType="end"/>
            </w:r>
          </w:hyperlink>
        </w:p>
        <w:p w14:paraId="0439E23B" w14:textId="356B4932"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12" w:history="1">
            <w:r w:rsidRPr="005F4E1A">
              <w:rPr>
                <w:rStyle w:val="Hyperlink"/>
                <w:rFonts w:ascii="Times New Roman" w:hAnsi="Times New Roman" w:cs="Times New Roman"/>
                <w:b w:val="0"/>
                <w:bCs w:val="0"/>
                <w:noProof/>
                <w:sz w:val="24"/>
                <w:szCs w:val="24"/>
              </w:rPr>
              <w:t>Goals of this dissertation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_Toc173250012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13</w:t>
            </w:r>
            <w:r w:rsidRPr="005F4E1A">
              <w:rPr>
                <w:rFonts w:ascii="Times New Roman" w:hAnsi="Times New Roman" w:cs="Times New Roman"/>
                <w:b w:val="0"/>
                <w:bCs w:val="0"/>
                <w:noProof/>
                <w:webHidden/>
                <w:sz w:val="24"/>
                <w:szCs w:val="24"/>
              </w:rPr>
              <w:fldChar w:fldCharType="end"/>
            </w:r>
          </w:hyperlink>
        </w:p>
        <w:p w14:paraId="3BA8A9DB" w14:textId="1D790D69"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13" w:history="1">
            <w:r w:rsidRPr="005F4E1A">
              <w:rPr>
                <w:rStyle w:val="Hyperlink"/>
                <w:rFonts w:ascii="Times New Roman" w:hAnsi="Times New Roman" w:cs="Times New Roman"/>
                <w:b w:val="0"/>
                <w:bCs w:val="0"/>
                <w:i w:val="0"/>
                <w:iCs w:val="0"/>
                <w:noProof/>
                <w:sz w:val="24"/>
                <w:szCs w:val="24"/>
              </w:rPr>
              <w:t>Chapter 2 Quantification of the coupled dynamics of cell growth and hydrogen peroxide (H</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O</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 in laboratory batch culture experiments</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_Toc173250013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20</w:t>
            </w:r>
            <w:r w:rsidRPr="005F4E1A">
              <w:rPr>
                <w:rFonts w:ascii="Times New Roman" w:hAnsi="Times New Roman" w:cs="Times New Roman"/>
                <w:b w:val="0"/>
                <w:bCs w:val="0"/>
                <w:i w:val="0"/>
                <w:iCs w:val="0"/>
                <w:noProof/>
                <w:webHidden/>
                <w:sz w:val="24"/>
                <w:szCs w:val="24"/>
              </w:rPr>
              <w:fldChar w:fldCharType="end"/>
            </w:r>
          </w:hyperlink>
        </w:p>
        <w:p w14:paraId="508907C8" w14:textId="1DC963DB"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14" w:history="1">
            <w:r w:rsidRPr="005F4E1A">
              <w:rPr>
                <w:rStyle w:val="Hyperlink"/>
                <w:rFonts w:ascii="Times New Roman" w:hAnsi="Times New Roman" w:cs="Times New Roman"/>
                <w:b w:val="0"/>
                <w:bCs w:val="0"/>
                <w:noProof/>
                <w:sz w:val="24"/>
                <w:szCs w:val="24"/>
              </w:rPr>
              <w:t>Abstract</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_Toc173250014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22</w:t>
            </w:r>
            <w:r w:rsidRPr="005F4E1A">
              <w:rPr>
                <w:rFonts w:ascii="Times New Roman" w:hAnsi="Times New Roman" w:cs="Times New Roman"/>
                <w:b w:val="0"/>
                <w:bCs w:val="0"/>
                <w:noProof/>
                <w:webHidden/>
                <w:sz w:val="24"/>
                <w:szCs w:val="24"/>
              </w:rPr>
              <w:fldChar w:fldCharType="end"/>
            </w:r>
          </w:hyperlink>
        </w:p>
        <w:p w14:paraId="33FC599A" w14:textId="47560B9A"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15" w:history="1">
            <w:r w:rsidRPr="005F4E1A">
              <w:rPr>
                <w:rStyle w:val="Hyperlink"/>
                <w:rFonts w:ascii="Times New Roman" w:hAnsi="Times New Roman" w:cs="Times New Roman"/>
                <w:b w:val="0"/>
                <w:bCs w:val="0"/>
                <w:noProof/>
                <w:sz w:val="24"/>
                <w:szCs w:val="24"/>
              </w:rPr>
              <w:t>Introduction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_Toc173250015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22</w:t>
            </w:r>
            <w:r w:rsidRPr="005F4E1A">
              <w:rPr>
                <w:rFonts w:ascii="Times New Roman" w:hAnsi="Times New Roman" w:cs="Times New Roman"/>
                <w:b w:val="0"/>
                <w:bCs w:val="0"/>
                <w:noProof/>
                <w:webHidden/>
                <w:sz w:val="24"/>
                <w:szCs w:val="24"/>
              </w:rPr>
              <w:fldChar w:fldCharType="end"/>
            </w:r>
          </w:hyperlink>
        </w:p>
        <w:p w14:paraId="73062988" w14:textId="222747ED"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16" w:history="1">
            <w:r w:rsidRPr="005F4E1A">
              <w:rPr>
                <w:rStyle w:val="Hyperlink"/>
                <w:rFonts w:ascii="Times New Roman" w:hAnsi="Times New Roman" w:cs="Times New Roman"/>
                <w:b w:val="0"/>
                <w:bCs w:val="0"/>
                <w:noProof/>
                <w:sz w:val="24"/>
                <w:szCs w:val="24"/>
              </w:rPr>
              <w:t>Methods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_Toc173250016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25</w:t>
            </w:r>
            <w:r w:rsidRPr="005F4E1A">
              <w:rPr>
                <w:rFonts w:ascii="Times New Roman" w:hAnsi="Times New Roman" w:cs="Times New Roman"/>
                <w:b w:val="0"/>
                <w:bCs w:val="0"/>
                <w:noProof/>
                <w:webHidden/>
                <w:sz w:val="24"/>
                <w:szCs w:val="24"/>
              </w:rPr>
              <w:fldChar w:fldCharType="end"/>
            </w:r>
          </w:hyperlink>
        </w:p>
        <w:p w14:paraId="4E743646" w14:textId="006EE16C"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17" w:history="1">
            <w:r w:rsidRPr="005F4E1A">
              <w:rPr>
                <w:rStyle w:val="Hyperlink"/>
                <w:rFonts w:ascii="Times New Roman" w:hAnsi="Times New Roman" w:cs="Times New Roman"/>
                <w:noProof/>
                <w:sz w:val="24"/>
                <w:szCs w:val="24"/>
              </w:rPr>
              <w:t>Model equations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_Toc173250017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25</w:t>
            </w:r>
            <w:r w:rsidRPr="005F4E1A">
              <w:rPr>
                <w:rFonts w:ascii="Times New Roman" w:hAnsi="Times New Roman" w:cs="Times New Roman"/>
                <w:noProof/>
                <w:webHidden/>
                <w:sz w:val="24"/>
                <w:szCs w:val="24"/>
              </w:rPr>
              <w:fldChar w:fldCharType="end"/>
            </w:r>
          </w:hyperlink>
        </w:p>
        <w:p w14:paraId="5B52FC9C" w14:textId="784891B6"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18" w:history="1">
            <w:r w:rsidRPr="005F4E1A">
              <w:rPr>
                <w:rStyle w:val="Hyperlink"/>
                <w:rFonts w:ascii="Times New Roman" w:hAnsi="Times New Roman" w:cs="Times New Roman"/>
                <w:noProof/>
                <w:sz w:val="24"/>
                <w:szCs w:val="24"/>
              </w:rPr>
              <w:t>Laboratory data</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_Toc173250018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26</w:t>
            </w:r>
            <w:r w:rsidRPr="005F4E1A">
              <w:rPr>
                <w:rFonts w:ascii="Times New Roman" w:hAnsi="Times New Roman" w:cs="Times New Roman"/>
                <w:noProof/>
                <w:webHidden/>
                <w:sz w:val="24"/>
                <w:szCs w:val="24"/>
              </w:rPr>
              <w:fldChar w:fldCharType="end"/>
            </w:r>
          </w:hyperlink>
        </w:p>
        <w:p w14:paraId="19B1DD11" w14:textId="3CD81E1E"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19" w:history="1">
            <w:r w:rsidRPr="005F4E1A">
              <w:rPr>
                <w:rStyle w:val="Hyperlink"/>
                <w:rFonts w:ascii="Times New Roman" w:hAnsi="Times New Roman" w:cs="Times New Roman"/>
                <w:noProof/>
                <w:sz w:val="24"/>
                <w:szCs w:val="24"/>
              </w:rPr>
              <w:t>Fitting procedure</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_Toc173250019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27</w:t>
            </w:r>
            <w:r w:rsidRPr="005F4E1A">
              <w:rPr>
                <w:rFonts w:ascii="Times New Roman" w:hAnsi="Times New Roman" w:cs="Times New Roman"/>
                <w:noProof/>
                <w:webHidden/>
                <w:sz w:val="24"/>
                <w:szCs w:val="24"/>
              </w:rPr>
              <w:fldChar w:fldCharType="end"/>
            </w:r>
          </w:hyperlink>
        </w:p>
        <w:p w14:paraId="577A9A55" w14:textId="5D495F3D"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0" w:history="1">
            <w:r w:rsidRPr="005F4E1A">
              <w:rPr>
                <w:rStyle w:val="Hyperlink"/>
                <w:rFonts w:ascii="Times New Roman" w:hAnsi="Times New Roman" w:cs="Times New Roman"/>
                <w:noProof/>
                <w:sz w:val="24"/>
                <w:szCs w:val="24"/>
              </w:rPr>
              <w:t>Experimental approach:</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_Toc173250020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30</w:t>
            </w:r>
            <w:r w:rsidRPr="005F4E1A">
              <w:rPr>
                <w:rFonts w:ascii="Times New Roman" w:hAnsi="Times New Roman" w:cs="Times New Roman"/>
                <w:noProof/>
                <w:webHidden/>
                <w:sz w:val="24"/>
                <w:szCs w:val="24"/>
              </w:rPr>
              <w:fldChar w:fldCharType="end"/>
            </w:r>
          </w:hyperlink>
        </w:p>
        <w:p w14:paraId="157FA1D2" w14:textId="18E6DBAD"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21" w:history="1">
            <w:r w:rsidRPr="005F4E1A">
              <w:rPr>
                <w:rStyle w:val="Hyperlink"/>
                <w:rFonts w:ascii="Times New Roman" w:hAnsi="Times New Roman" w:cs="Times New Roman"/>
                <w:b w:val="0"/>
                <w:bCs w:val="0"/>
                <w:noProof/>
                <w:sz w:val="24"/>
                <w:szCs w:val="24"/>
              </w:rPr>
              <w:t>Results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_Toc173250021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30</w:t>
            </w:r>
            <w:r w:rsidRPr="005F4E1A">
              <w:rPr>
                <w:rFonts w:ascii="Times New Roman" w:hAnsi="Times New Roman" w:cs="Times New Roman"/>
                <w:b w:val="0"/>
                <w:bCs w:val="0"/>
                <w:noProof/>
                <w:webHidden/>
                <w:sz w:val="24"/>
                <w:szCs w:val="24"/>
              </w:rPr>
              <w:fldChar w:fldCharType="end"/>
            </w:r>
          </w:hyperlink>
        </w:p>
        <w:p w14:paraId="5C6FC131" w14:textId="0749382D"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2" w:history="1">
            <w:r w:rsidRPr="005F4E1A">
              <w:rPr>
                <w:rStyle w:val="Hyperlink"/>
                <w:rFonts w:ascii="Times New Roman" w:hAnsi="Times New Roman" w:cs="Times New Roman"/>
                <w:noProof/>
                <w:sz w:val="24"/>
                <w:szCs w:val="24"/>
              </w:rPr>
              <w:t>Abiotic media analyses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_Toc173250022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30</w:t>
            </w:r>
            <w:r w:rsidRPr="005F4E1A">
              <w:rPr>
                <w:rFonts w:ascii="Times New Roman" w:hAnsi="Times New Roman" w:cs="Times New Roman"/>
                <w:noProof/>
                <w:webHidden/>
                <w:sz w:val="24"/>
                <w:szCs w:val="24"/>
              </w:rPr>
              <w:fldChar w:fldCharType="end"/>
            </w:r>
          </w:hyperlink>
        </w:p>
        <w:p w14:paraId="46534EB7" w14:textId="23B98381"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3" w:history="1">
            <w:r w:rsidRPr="005F4E1A">
              <w:rPr>
                <w:rStyle w:val="Hyperlink"/>
                <w:rFonts w:ascii="Times New Roman" w:hAnsi="Times New Roman" w:cs="Times New Roman"/>
                <w:noProof/>
                <w:sz w:val="24"/>
                <w:szCs w:val="24"/>
              </w:rPr>
              <w:t>Phytoplankton batch culture dynamics without hydrogen peroxide</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_Toc173250023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31</w:t>
            </w:r>
            <w:r w:rsidRPr="005F4E1A">
              <w:rPr>
                <w:rFonts w:ascii="Times New Roman" w:hAnsi="Times New Roman" w:cs="Times New Roman"/>
                <w:noProof/>
                <w:webHidden/>
                <w:sz w:val="24"/>
                <w:szCs w:val="24"/>
              </w:rPr>
              <w:fldChar w:fldCharType="end"/>
            </w:r>
          </w:hyperlink>
        </w:p>
        <w:p w14:paraId="04FF9B20" w14:textId="357D9AEC"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4" w:history="1">
            <w:r w:rsidRPr="005F4E1A">
              <w:rPr>
                <w:rStyle w:val="Hyperlink"/>
                <w:rFonts w:ascii="Times New Roman" w:hAnsi="Times New Roman" w:cs="Times New Roman"/>
                <w:noProof/>
                <w:sz w:val="24"/>
                <w:szCs w:val="24"/>
              </w:rPr>
              <w:t>Phytoplankton batch culture dynamics with amended hydrogen peroxide</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_Toc173250024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31</w:t>
            </w:r>
            <w:r w:rsidRPr="005F4E1A">
              <w:rPr>
                <w:rFonts w:ascii="Times New Roman" w:hAnsi="Times New Roman" w:cs="Times New Roman"/>
                <w:noProof/>
                <w:webHidden/>
                <w:sz w:val="24"/>
                <w:szCs w:val="24"/>
              </w:rPr>
              <w:fldChar w:fldCharType="end"/>
            </w:r>
          </w:hyperlink>
        </w:p>
        <w:p w14:paraId="5CEEC987" w14:textId="260AB3B8"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5" w:history="1">
            <w:r w:rsidRPr="005F4E1A">
              <w:rPr>
                <w:rStyle w:val="Hyperlink"/>
                <w:rFonts w:ascii="Times New Roman" w:hAnsi="Times New Roman" w:cs="Times New Roman"/>
                <w:noProof/>
                <w:sz w:val="24"/>
                <w:szCs w:val="24"/>
              </w:rPr>
              <w:t>Modeling Synechococcus and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dynamics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_Toc173250025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35</w:t>
            </w:r>
            <w:r w:rsidRPr="005F4E1A">
              <w:rPr>
                <w:rFonts w:ascii="Times New Roman" w:hAnsi="Times New Roman" w:cs="Times New Roman"/>
                <w:noProof/>
                <w:webHidden/>
                <w:sz w:val="24"/>
                <w:szCs w:val="24"/>
              </w:rPr>
              <w:fldChar w:fldCharType="end"/>
            </w:r>
          </w:hyperlink>
        </w:p>
        <w:p w14:paraId="4FB63501" w14:textId="31B0B869"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26" w:history="1">
            <w:r w:rsidRPr="005F4E1A">
              <w:rPr>
                <w:rStyle w:val="Hyperlink"/>
                <w:rFonts w:ascii="Times New Roman" w:hAnsi="Times New Roman" w:cs="Times New Roman"/>
                <w:b w:val="0"/>
                <w:bCs w:val="0"/>
                <w:noProof/>
                <w:sz w:val="24"/>
                <w:szCs w:val="24"/>
              </w:rPr>
              <w:t>Discussion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_Toc173250026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36</w:t>
            </w:r>
            <w:r w:rsidRPr="005F4E1A">
              <w:rPr>
                <w:rFonts w:ascii="Times New Roman" w:hAnsi="Times New Roman" w:cs="Times New Roman"/>
                <w:b w:val="0"/>
                <w:bCs w:val="0"/>
                <w:noProof/>
                <w:webHidden/>
                <w:sz w:val="24"/>
                <w:szCs w:val="24"/>
              </w:rPr>
              <w:fldChar w:fldCharType="end"/>
            </w:r>
          </w:hyperlink>
        </w:p>
        <w:p w14:paraId="1C1C55F6" w14:textId="4F8E1B60"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27" w:history="1">
            <w:r w:rsidRPr="005F4E1A">
              <w:rPr>
                <w:rStyle w:val="Hyperlink"/>
                <w:rFonts w:ascii="Times New Roman" w:hAnsi="Times New Roman" w:cs="Times New Roman"/>
                <w:noProof/>
                <w:sz w:val="24"/>
                <w:szCs w:val="24"/>
              </w:rPr>
              <w:t>Acknowledgements: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_Toc173250027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44</w:t>
            </w:r>
            <w:r w:rsidRPr="005F4E1A">
              <w:rPr>
                <w:rFonts w:ascii="Times New Roman" w:hAnsi="Times New Roman" w:cs="Times New Roman"/>
                <w:noProof/>
                <w:webHidden/>
                <w:sz w:val="24"/>
                <w:szCs w:val="24"/>
              </w:rPr>
              <w:fldChar w:fldCharType="end"/>
            </w:r>
          </w:hyperlink>
        </w:p>
        <w:p w14:paraId="061A75BE" w14:textId="260F0DB2"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28" w:history="1">
            <w:r w:rsidRPr="005F4E1A">
              <w:rPr>
                <w:rStyle w:val="Hyperlink"/>
                <w:rFonts w:ascii="Times New Roman" w:hAnsi="Times New Roman" w:cs="Times New Roman"/>
                <w:b w:val="0"/>
                <w:bCs w:val="0"/>
                <w:i w:val="0"/>
                <w:iCs w:val="0"/>
                <w:noProof/>
                <w:sz w:val="24"/>
                <w:szCs w:val="24"/>
              </w:rPr>
              <w:t>Chapter 3 Evaluation of H</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O</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 xml:space="preserve"> as a community composition moderator within oligotrophic plankton dynamics</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_Toc173250028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45</w:t>
            </w:r>
            <w:r w:rsidRPr="005F4E1A">
              <w:rPr>
                <w:rFonts w:ascii="Times New Roman" w:hAnsi="Times New Roman" w:cs="Times New Roman"/>
                <w:b w:val="0"/>
                <w:bCs w:val="0"/>
                <w:i w:val="0"/>
                <w:iCs w:val="0"/>
                <w:noProof/>
                <w:webHidden/>
                <w:sz w:val="24"/>
                <w:szCs w:val="24"/>
              </w:rPr>
              <w:fldChar w:fldCharType="end"/>
            </w:r>
          </w:hyperlink>
        </w:p>
        <w:p w14:paraId="4023B66A" w14:textId="1CD130BA"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29" w:history="1">
            <w:r w:rsidRPr="005F4E1A">
              <w:rPr>
                <w:rStyle w:val="Hyperlink"/>
                <w:rFonts w:ascii="Times New Roman" w:hAnsi="Times New Roman" w:cs="Times New Roman"/>
                <w:b w:val="0"/>
                <w:bCs w:val="0"/>
                <w:noProof/>
                <w:sz w:val="24"/>
                <w:szCs w:val="24"/>
              </w:rPr>
              <w:t>Abstract</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_Toc173250029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47</w:t>
            </w:r>
            <w:r w:rsidRPr="005F4E1A">
              <w:rPr>
                <w:rFonts w:ascii="Times New Roman" w:hAnsi="Times New Roman" w:cs="Times New Roman"/>
                <w:b w:val="0"/>
                <w:bCs w:val="0"/>
                <w:noProof/>
                <w:webHidden/>
                <w:sz w:val="24"/>
                <w:szCs w:val="24"/>
              </w:rPr>
              <w:fldChar w:fldCharType="end"/>
            </w:r>
          </w:hyperlink>
        </w:p>
        <w:p w14:paraId="3519E9C8" w14:textId="7B3D8523"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30" w:history="1">
            <w:r w:rsidRPr="005F4E1A">
              <w:rPr>
                <w:rStyle w:val="Hyperlink"/>
                <w:rFonts w:ascii="Times New Roman" w:hAnsi="Times New Roman" w:cs="Times New Roman"/>
                <w:b w:val="0"/>
                <w:bCs w:val="0"/>
                <w:noProof/>
                <w:sz w:val="24"/>
                <w:szCs w:val="24"/>
              </w:rPr>
              <w:t>Introduction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_Toc173250030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48</w:t>
            </w:r>
            <w:r w:rsidRPr="005F4E1A">
              <w:rPr>
                <w:rFonts w:ascii="Times New Roman" w:hAnsi="Times New Roman" w:cs="Times New Roman"/>
                <w:b w:val="0"/>
                <w:bCs w:val="0"/>
                <w:noProof/>
                <w:webHidden/>
                <w:sz w:val="24"/>
                <w:szCs w:val="24"/>
              </w:rPr>
              <w:fldChar w:fldCharType="end"/>
            </w:r>
          </w:hyperlink>
        </w:p>
        <w:p w14:paraId="3E2A7F5D" w14:textId="42B2454D"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31" w:history="1">
            <w:r w:rsidRPr="005F4E1A">
              <w:rPr>
                <w:rStyle w:val="Hyperlink"/>
                <w:rFonts w:ascii="Times New Roman" w:hAnsi="Times New Roman" w:cs="Times New Roman"/>
                <w:b w:val="0"/>
                <w:bCs w:val="0"/>
                <w:noProof/>
                <w:sz w:val="24"/>
                <w:szCs w:val="24"/>
              </w:rPr>
              <w:t>Methods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_Toc173250031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53</w:t>
            </w:r>
            <w:r w:rsidRPr="005F4E1A">
              <w:rPr>
                <w:rFonts w:ascii="Times New Roman" w:hAnsi="Times New Roman" w:cs="Times New Roman"/>
                <w:b w:val="0"/>
                <w:bCs w:val="0"/>
                <w:noProof/>
                <w:webHidden/>
                <w:sz w:val="24"/>
                <w:szCs w:val="24"/>
              </w:rPr>
              <w:fldChar w:fldCharType="end"/>
            </w:r>
          </w:hyperlink>
        </w:p>
        <w:p w14:paraId="7F64E73A" w14:textId="11EE9677"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32" w:history="1">
            <w:r w:rsidRPr="005F4E1A">
              <w:rPr>
                <w:rStyle w:val="Hyperlink"/>
                <w:rFonts w:ascii="Times New Roman" w:hAnsi="Times New Roman" w:cs="Times New Roman"/>
                <w:noProof/>
                <w:sz w:val="24"/>
                <w:szCs w:val="24"/>
              </w:rPr>
              <w:t>Model</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_Toc173250032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53</w:t>
            </w:r>
            <w:r w:rsidRPr="005F4E1A">
              <w:rPr>
                <w:rFonts w:ascii="Times New Roman" w:hAnsi="Times New Roman" w:cs="Times New Roman"/>
                <w:noProof/>
                <w:webHidden/>
                <w:sz w:val="24"/>
                <w:szCs w:val="24"/>
              </w:rPr>
              <w:fldChar w:fldCharType="end"/>
            </w:r>
          </w:hyperlink>
        </w:p>
        <w:p w14:paraId="5D07911B" w14:textId="16C49045"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33" w:history="1">
            <w:r w:rsidRPr="005F4E1A">
              <w:rPr>
                <w:rStyle w:val="Hyperlink"/>
                <w:rFonts w:ascii="Times New Roman" w:hAnsi="Times New Roman" w:cs="Times New Roman"/>
                <w:noProof/>
                <w:sz w:val="24"/>
                <w:szCs w:val="24"/>
              </w:rPr>
              <w:t>Experimental Approach</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_Toc173250033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55</w:t>
            </w:r>
            <w:r w:rsidRPr="005F4E1A">
              <w:rPr>
                <w:rFonts w:ascii="Times New Roman" w:hAnsi="Times New Roman" w:cs="Times New Roman"/>
                <w:noProof/>
                <w:webHidden/>
                <w:sz w:val="24"/>
                <w:szCs w:val="24"/>
              </w:rPr>
              <w:fldChar w:fldCharType="end"/>
            </w:r>
          </w:hyperlink>
        </w:p>
        <w:p w14:paraId="0656AE86" w14:textId="37AB855E"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34" w:history="1">
            <w:r w:rsidRPr="005F4E1A">
              <w:rPr>
                <w:rStyle w:val="Hyperlink"/>
                <w:rFonts w:ascii="Times New Roman" w:hAnsi="Times New Roman" w:cs="Times New Roman"/>
                <w:b w:val="0"/>
                <w:bCs w:val="0"/>
                <w:noProof/>
                <w:sz w:val="24"/>
                <w:szCs w:val="24"/>
              </w:rPr>
              <w:t>Results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_Toc173250034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59</w:t>
            </w:r>
            <w:r w:rsidRPr="005F4E1A">
              <w:rPr>
                <w:rFonts w:ascii="Times New Roman" w:hAnsi="Times New Roman" w:cs="Times New Roman"/>
                <w:b w:val="0"/>
                <w:bCs w:val="0"/>
                <w:noProof/>
                <w:webHidden/>
                <w:sz w:val="24"/>
                <w:szCs w:val="24"/>
              </w:rPr>
              <w:fldChar w:fldCharType="end"/>
            </w:r>
          </w:hyperlink>
        </w:p>
        <w:p w14:paraId="46720BDE" w14:textId="1BF75343"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35" w:history="1">
            <w:r w:rsidRPr="005F4E1A">
              <w:rPr>
                <w:rStyle w:val="Hyperlink"/>
                <w:rFonts w:ascii="Times New Roman" w:hAnsi="Times New Roman" w:cs="Times New Roman"/>
                <w:noProof/>
                <w:sz w:val="24"/>
                <w:szCs w:val="24"/>
              </w:rPr>
              <w:t>Non-leaky dynamics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_Toc173250035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60</w:t>
            </w:r>
            <w:r w:rsidRPr="005F4E1A">
              <w:rPr>
                <w:rFonts w:ascii="Times New Roman" w:hAnsi="Times New Roman" w:cs="Times New Roman"/>
                <w:noProof/>
                <w:webHidden/>
                <w:sz w:val="24"/>
                <w:szCs w:val="24"/>
              </w:rPr>
              <w:fldChar w:fldCharType="end"/>
            </w:r>
          </w:hyperlink>
        </w:p>
        <w:p w14:paraId="203E1E8A" w14:textId="2DAC0723"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36" w:history="1">
            <w:r w:rsidRPr="005F4E1A">
              <w:rPr>
                <w:rStyle w:val="Hyperlink"/>
                <w:rFonts w:ascii="Times New Roman" w:hAnsi="Times New Roman" w:cs="Times New Roman"/>
                <w:noProof/>
                <w:sz w:val="24"/>
                <w:szCs w:val="24"/>
              </w:rPr>
              <w:t>Leaky dynamics including Synechococcus detoxification</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_Toc173250036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61</w:t>
            </w:r>
            <w:r w:rsidRPr="005F4E1A">
              <w:rPr>
                <w:rFonts w:ascii="Times New Roman" w:hAnsi="Times New Roman" w:cs="Times New Roman"/>
                <w:noProof/>
                <w:webHidden/>
                <w:sz w:val="24"/>
                <w:szCs w:val="24"/>
              </w:rPr>
              <w:fldChar w:fldCharType="end"/>
            </w:r>
          </w:hyperlink>
        </w:p>
        <w:p w14:paraId="0A265446" w14:textId="71264C46"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37" w:history="1">
            <w:r w:rsidRPr="005F4E1A">
              <w:rPr>
                <w:rStyle w:val="Hyperlink"/>
                <w:rFonts w:ascii="Times New Roman" w:hAnsi="Times New Roman" w:cs="Times New Roman"/>
                <w:noProof/>
                <w:sz w:val="24"/>
                <w:szCs w:val="24"/>
              </w:rPr>
              <w:t>Leaky dynamics including Synechococcus and Bacterial detoxification</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_Toc173250037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71</w:t>
            </w:r>
            <w:r w:rsidRPr="005F4E1A">
              <w:rPr>
                <w:rFonts w:ascii="Times New Roman" w:hAnsi="Times New Roman" w:cs="Times New Roman"/>
                <w:noProof/>
                <w:webHidden/>
                <w:sz w:val="24"/>
                <w:szCs w:val="24"/>
              </w:rPr>
              <w:fldChar w:fldCharType="end"/>
            </w:r>
          </w:hyperlink>
        </w:p>
        <w:p w14:paraId="7B7BC77C" w14:textId="33EBDC80"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38" w:history="1">
            <w:r w:rsidRPr="005F4E1A">
              <w:rPr>
                <w:rStyle w:val="Hyperlink"/>
                <w:rFonts w:ascii="Times New Roman" w:hAnsi="Times New Roman" w:cs="Times New Roman"/>
                <w:b w:val="0"/>
                <w:bCs w:val="0"/>
                <w:noProof/>
                <w:sz w:val="24"/>
                <w:szCs w:val="24"/>
              </w:rPr>
              <w:t>Discussion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_Toc173250038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78</w:t>
            </w:r>
            <w:r w:rsidRPr="005F4E1A">
              <w:rPr>
                <w:rFonts w:ascii="Times New Roman" w:hAnsi="Times New Roman" w:cs="Times New Roman"/>
                <w:b w:val="0"/>
                <w:bCs w:val="0"/>
                <w:noProof/>
                <w:webHidden/>
                <w:sz w:val="24"/>
                <w:szCs w:val="24"/>
              </w:rPr>
              <w:fldChar w:fldCharType="end"/>
            </w:r>
          </w:hyperlink>
        </w:p>
        <w:p w14:paraId="56A0D9E1" w14:textId="541016F3"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39" w:history="1">
            <w:r w:rsidRPr="005F4E1A">
              <w:rPr>
                <w:rStyle w:val="Hyperlink"/>
                <w:rFonts w:ascii="Times New Roman" w:hAnsi="Times New Roman" w:cs="Times New Roman"/>
                <w:b w:val="0"/>
                <w:bCs w:val="0"/>
                <w:noProof/>
                <w:sz w:val="24"/>
                <w:szCs w:val="24"/>
              </w:rPr>
              <w:t>Conclusions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_Toc173250039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80</w:t>
            </w:r>
            <w:r w:rsidRPr="005F4E1A">
              <w:rPr>
                <w:rFonts w:ascii="Times New Roman" w:hAnsi="Times New Roman" w:cs="Times New Roman"/>
                <w:b w:val="0"/>
                <w:bCs w:val="0"/>
                <w:noProof/>
                <w:webHidden/>
                <w:sz w:val="24"/>
                <w:szCs w:val="24"/>
              </w:rPr>
              <w:fldChar w:fldCharType="end"/>
            </w:r>
          </w:hyperlink>
        </w:p>
        <w:p w14:paraId="73D37410" w14:textId="5406F14C"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40" w:history="1">
            <w:r w:rsidRPr="005F4E1A">
              <w:rPr>
                <w:rStyle w:val="Hyperlink"/>
                <w:rFonts w:ascii="Times New Roman" w:hAnsi="Times New Roman" w:cs="Times New Roman"/>
                <w:b w:val="0"/>
                <w:bCs w:val="0"/>
                <w:i w:val="0"/>
                <w:iCs w:val="0"/>
                <w:noProof/>
                <w:sz w:val="24"/>
                <w:szCs w:val="24"/>
              </w:rPr>
              <w:t>Chapter 4 Modeling the impact of H</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O</w:t>
            </w:r>
            <w:r w:rsidRPr="005F4E1A">
              <w:rPr>
                <w:rStyle w:val="Hyperlink"/>
                <w:rFonts w:ascii="Times New Roman" w:hAnsi="Times New Roman" w:cs="Times New Roman"/>
                <w:b w:val="0"/>
                <w:bCs w:val="0"/>
                <w:i w:val="0"/>
                <w:iCs w:val="0"/>
                <w:noProof/>
                <w:sz w:val="24"/>
                <w:szCs w:val="24"/>
                <w:vertAlign w:val="subscript"/>
              </w:rPr>
              <w:t>2</w:t>
            </w:r>
            <w:r w:rsidRPr="005F4E1A">
              <w:rPr>
                <w:rStyle w:val="Hyperlink"/>
                <w:rFonts w:ascii="Times New Roman" w:hAnsi="Times New Roman" w:cs="Times New Roman"/>
                <w:b w:val="0"/>
                <w:bCs w:val="0"/>
                <w:i w:val="0"/>
                <w:iCs w:val="0"/>
                <w:noProof/>
                <w:sz w:val="24"/>
                <w:szCs w:val="24"/>
              </w:rPr>
              <w:t xml:space="preserve"> traits on marine biology at a global scale</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_Toc173250040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82</w:t>
            </w:r>
            <w:r w:rsidRPr="005F4E1A">
              <w:rPr>
                <w:rFonts w:ascii="Times New Roman" w:hAnsi="Times New Roman" w:cs="Times New Roman"/>
                <w:b w:val="0"/>
                <w:bCs w:val="0"/>
                <w:i w:val="0"/>
                <w:iCs w:val="0"/>
                <w:noProof/>
                <w:webHidden/>
                <w:sz w:val="24"/>
                <w:szCs w:val="24"/>
              </w:rPr>
              <w:fldChar w:fldCharType="end"/>
            </w:r>
          </w:hyperlink>
        </w:p>
        <w:p w14:paraId="12187629" w14:textId="08DD636F"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41" w:history="1">
            <w:r w:rsidRPr="005F4E1A">
              <w:rPr>
                <w:rStyle w:val="Hyperlink"/>
                <w:rFonts w:ascii="Times New Roman" w:hAnsi="Times New Roman" w:cs="Times New Roman"/>
                <w:b w:val="0"/>
                <w:bCs w:val="0"/>
                <w:noProof/>
                <w:sz w:val="24"/>
                <w:szCs w:val="24"/>
              </w:rPr>
              <w:t>Abstract:</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_Toc173250041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84</w:t>
            </w:r>
            <w:r w:rsidRPr="005F4E1A">
              <w:rPr>
                <w:rFonts w:ascii="Times New Roman" w:hAnsi="Times New Roman" w:cs="Times New Roman"/>
                <w:b w:val="0"/>
                <w:bCs w:val="0"/>
                <w:noProof/>
                <w:webHidden/>
                <w:sz w:val="24"/>
                <w:szCs w:val="24"/>
              </w:rPr>
              <w:fldChar w:fldCharType="end"/>
            </w:r>
          </w:hyperlink>
        </w:p>
        <w:p w14:paraId="4F79CF8C" w14:textId="39130FED"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42" w:history="1">
            <w:r w:rsidRPr="005F4E1A">
              <w:rPr>
                <w:rStyle w:val="Hyperlink"/>
                <w:rFonts w:ascii="Times New Roman" w:hAnsi="Times New Roman" w:cs="Times New Roman"/>
                <w:b w:val="0"/>
                <w:bCs w:val="0"/>
                <w:noProof/>
                <w:sz w:val="24"/>
                <w:szCs w:val="24"/>
              </w:rPr>
              <w:t>Introduction: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_Toc173250042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84</w:t>
            </w:r>
            <w:r w:rsidRPr="005F4E1A">
              <w:rPr>
                <w:rFonts w:ascii="Times New Roman" w:hAnsi="Times New Roman" w:cs="Times New Roman"/>
                <w:b w:val="0"/>
                <w:bCs w:val="0"/>
                <w:noProof/>
                <w:webHidden/>
                <w:sz w:val="24"/>
                <w:szCs w:val="24"/>
              </w:rPr>
              <w:fldChar w:fldCharType="end"/>
            </w:r>
          </w:hyperlink>
        </w:p>
        <w:p w14:paraId="0F1C00BC" w14:textId="39ECFDBA"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43" w:history="1">
            <w:r w:rsidRPr="005F4E1A">
              <w:rPr>
                <w:rStyle w:val="Hyperlink"/>
                <w:rFonts w:ascii="Times New Roman" w:hAnsi="Times New Roman" w:cs="Times New Roman"/>
                <w:b w:val="0"/>
                <w:bCs w:val="0"/>
                <w:noProof/>
                <w:sz w:val="24"/>
                <w:szCs w:val="24"/>
              </w:rPr>
              <w:t>Methods: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_Toc173250043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86</w:t>
            </w:r>
            <w:r w:rsidRPr="005F4E1A">
              <w:rPr>
                <w:rFonts w:ascii="Times New Roman" w:hAnsi="Times New Roman" w:cs="Times New Roman"/>
                <w:b w:val="0"/>
                <w:bCs w:val="0"/>
                <w:noProof/>
                <w:webHidden/>
                <w:sz w:val="24"/>
                <w:szCs w:val="24"/>
              </w:rPr>
              <w:fldChar w:fldCharType="end"/>
            </w:r>
          </w:hyperlink>
        </w:p>
        <w:p w14:paraId="4054DBBA" w14:textId="37680F5F"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44" w:history="1">
            <w:r w:rsidRPr="005F4E1A">
              <w:rPr>
                <w:rStyle w:val="Hyperlink"/>
                <w:rFonts w:ascii="Times New Roman" w:hAnsi="Times New Roman" w:cs="Times New Roman"/>
                <w:b w:val="0"/>
                <w:bCs w:val="0"/>
                <w:noProof/>
                <w:sz w:val="24"/>
                <w:szCs w:val="24"/>
              </w:rPr>
              <w:t>Model and experimental approach</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_Toc173250044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90</w:t>
            </w:r>
            <w:r w:rsidRPr="005F4E1A">
              <w:rPr>
                <w:rFonts w:ascii="Times New Roman" w:hAnsi="Times New Roman" w:cs="Times New Roman"/>
                <w:b w:val="0"/>
                <w:bCs w:val="0"/>
                <w:noProof/>
                <w:webHidden/>
                <w:sz w:val="24"/>
                <w:szCs w:val="24"/>
              </w:rPr>
              <w:fldChar w:fldCharType="end"/>
            </w:r>
          </w:hyperlink>
        </w:p>
        <w:p w14:paraId="127E4797" w14:textId="20FAA6CF"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45" w:history="1">
            <w:r w:rsidRPr="005F4E1A">
              <w:rPr>
                <w:rStyle w:val="Hyperlink"/>
                <w:rFonts w:ascii="Times New Roman" w:hAnsi="Times New Roman" w:cs="Times New Roman"/>
                <w:noProof/>
                <w:sz w:val="24"/>
                <w:szCs w:val="24"/>
              </w:rPr>
              <w:t>Case 1 – Nonleaky world,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no-impact</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_Toc173250045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90</w:t>
            </w:r>
            <w:r w:rsidRPr="005F4E1A">
              <w:rPr>
                <w:rFonts w:ascii="Times New Roman" w:hAnsi="Times New Roman" w:cs="Times New Roman"/>
                <w:noProof/>
                <w:webHidden/>
                <w:sz w:val="24"/>
                <w:szCs w:val="24"/>
              </w:rPr>
              <w:fldChar w:fldCharType="end"/>
            </w:r>
          </w:hyperlink>
        </w:p>
        <w:p w14:paraId="118D173E" w14:textId="2D794BC8"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46" w:history="1">
            <w:r w:rsidRPr="005F4E1A">
              <w:rPr>
                <w:rStyle w:val="Hyperlink"/>
                <w:rFonts w:ascii="Times New Roman" w:hAnsi="Times New Roman" w:cs="Times New Roman"/>
                <w:noProof/>
                <w:sz w:val="24"/>
                <w:szCs w:val="24"/>
              </w:rPr>
              <w:t>Case 2 – Non-leaky world,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damage on Prochlorococcus implemented</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_Toc173250046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91</w:t>
            </w:r>
            <w:r w:rsidRPr="005F4E1A">
              <w:rPr>
                <w:rFonts w:ascii="Times New Roman" w:hAnsi="Times New Roman" w:cs="Times New Roman"/>
                <w:noProof/>
                <w:webHidden/>
                <w:sz w:val="24"/>
                <w:szCs w:val="24"/>
              </w:rPr>
              <w:fldChar w:fldCharType="end"/>
            </w:r>
          </w:hyperlink>
        </w:p>
        <w:p w14:paraId="6CC15F84" w14:textId="45097FD8"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47" w:history="1">
            <w:r w:rsidRPr="005F4E1A">
              <w:rPr>
                <w:rStyle w:val="Hyperlink"/>
                <w:rFonts w:ascii="Times New Roman" w:hAnsi="Times New Roman" w:cs="Times New Roman"/>
                <w:noProof/>
                <w:sz w:val="24"/>
                <w:szCs w:val="24"/>
              </w:rPr>
              <w:t>Case 3 - Leaky world, Synechococcus detoxification implemented</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_Toc173250047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91</w:t>
            </w:r>
            <w:r w:rsidRPr="005F4E1A">
              <w:rPr>
                <w:rFonts w:ascii="Times New Roman" w:hAnsi="Times New Roman" w:cs="Times New Roman"/>
                <w:noProof/>
                <w:webHidden/>
                <w:sz w:val="24"/>
                <w:szCs w:val="24"/>
              </w:rPr>
              <w:fldChar w:fldCharType="end"/>
            </w:r>
          </w:hyperlink>
        </w:p>
        <w:p w14:paraId="517A3B6B" w14:textId="686A0C30"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48" w:history="1">
            <w:r w:rsidRPr="005F4E1A">
              <w:rPr>
                <w:rStyle w:val="Hyperlink"/>
                <w:rFonts w:ascii="Times New Roman" w:hAnsi="Times New Roman" w:cs="Times New Roman"/>
                <w:noProof/>
                <w:sz w:val="24"/>
                <w:szCs w:val="24"/>
              </w:rPr>
              <w:t>Case 4 - Leaky world, Synechococcus and Bacterial detoxification</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_Toc173250048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92</w:t>
            </w:r>
            <w:r w:rsidRPr="005F4E1A">
              <w:rPr>
                <w:rFonts w:ascii="Times New Roman" w:hAnsi="Times New Roman" w:cs="Times New Roman"/>
                <w:noProof/>
                <w:webHidden/>
                <w:sz w:val="24"/>
                <w:szCs w:val="24"/>
              </w:rPr>
              <w:fldChar w:fldCharType="end"/>
            </w:r>
          </w:hyperlink>
        </w:p>
        <w:p w14:paraId="59466A6F" w14:textId="6AA991FF"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49" w:history="1">
            <w:r w:rsidRPr="005F4E1A">
              <w:rPr>
                <w:rStyle w:val="Hyperlink"/>
                <w:rFonts w:ascii="Times New Roman" w:hAnsi="Times New Roman" w:cs="Times New Roman"/>
                <w:b w:val="0"/>
                <w:bCs w:val="0"/>
                <w:noProof/>
                <w:sz w:val="24"/>
                <w:szCs w:val="24"/>
              </w:rPr>
              <w:t>Results: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_Toc173250049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93</w:t>
            </w:r>
            <w:r w:rsidRPr="005F4E1A">
              <w:rPr>
                <w:rFonts w:ascii="Times New Roman" w:hAnsi="Times New Roman" w:cs="Times New Roman"/>
                <w:b w:val="0"/>
                <w:bCs w:val="0"/>
                <w:noProof/>
                <w:webHidden/>
                <w:sz w:val="24"/>
                <w:szCs w:val="24"/>
              </w:rPr>
              <w:fldChar w:fldCharType="end"/>
            </w:r>
          </w:hyperlink>
        </w:p>
        <w:p w14:paraId="7D6E1A1C" w14:textId="6182B76A"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50" w:history="1">
            <w:r w:rsidRPr="005F4E1A">
              <w:rPr>
                <w:rStyle w:val="Hyperlink"/>
                <w:rFonts w:ascii="Times New Roman" w:hAnsi="Times New Roman" w:cs="Times New Roman"/>
                <w:noProof/>
                <w:sz w:val="24"/>
                <w:szCs w:val="24"/>
              </w:rPr>
              <w:t>Case 1 – Nonleaky world,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no-impact</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_Toc173250050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93</w:t>
            </w:r>
            <w:r w:rsidRPr="005F4E1A">
              <w:rPr>
                <w:rFonts w:ascii="Times New Roman" w:hAnsi="Times New Roman" w:cs="Times New Roman"/>
                <w:noProof/>
                <w:webHidden/>
                <w:sz w:val="24"/>
                <w:szCs w:val="24"/>
              </w:rPr>
              <w:fldChar w:fldCharType="end"/>
            </w:r>
          </w:hyperlink>
        </w:p>
        <w:p w14:paraId="03EC92B2" w14:textId="6AC43C8B"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51" w:history="1">
            <w:r w:rsidRPr="005F4E1A">
              <w:rPr>
                <w:rStyle w:val="Hyperlink"/>
                <w:rFonts w:ascii="Times New Roman" w:hAnsi="Times New Roman" w:cs="Times New Roman"/>
                <w:noProof/>
                <w:sz w:val="24"/>
                <w:szCs w:val="24"/>
              </w:rPr>
              <w:t>Case 2 – Nonleaky world,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damage on Prochlorococcus implemented</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_Toc173250051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93</w:t>
            </w:r>
            <w:r w:rsidRPr="005F4E1A">
              <w:rPr>
                <w:rFonts w:ascii="Times New Roman" w:hAnsi="Times New Roman" w:cs="Times New Roman"/>
                <w:noProof/>
                <w:webHidden/>
                <w:sz w:val="24"/>
                <w:szCs w:val="24"/>
              </w:rPr>
              <w:fldChar w:fldCharType="end"/>
            </w:r>
          </w:hyperlink>
        </w:p>
        <w:p w14:paraId="25C46725" w14:textId="094DB7B7"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52" w:history="1">
            <w:r w:rsidRPr="005F4E1A">
              <w:rPr>
                <w:rStyle w:val="Hyperlink"/>
                <w:rFonts w:ascii="Times New Roman" w:hAnsi="Times New Roman" w:cs="Times New Roman"/>
                <w:noProof/>
                <w:sz w:val="24"/>
                <w:szCs w:val="24"/>
              </w:rPr>
              <w:t>Case 3 - Leaky world, Synechococcus detoxification implemented</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_Toc173250052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96</w:t>
            </w:r>
            <w:r w:rsidRPr="005F4E1A">
              <w:rPr>
                <w:rFonts w:ascii="Times New Roman" w:hAnsi="Times New Roman" w:cs="Times New Roman"/>
                <w:noProof/>
                <w:webHidden/>
                <w:sz w:val="24"/>
                <w:szCs w:val="24"/>
              </w:rPr>
              <w:fldChar w:fldCharType="end"/>
            </w:r>
          </w:hyperlink>
        </w:p>
        <w:p w14:paraId="7AB5BDEB" w14:textId="5880F7AC"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53" w:history="1">
            <w:r w:rsidRPr="005F4E1A">
              <w:rPr>
                <w:rStyle w:val="Hyperlink"/>
                <w:rFonts w:ascii="Times New Roman" w:hAnsi="Times New Roman" w:cs="Times New Roman"/>
                <w:noProof/>
                <w:sz w:val="24"/>
                <w:szCs w:val="24"/>
              </w:rPr>
              <w:t>Case 4 - Leaky world, Synechococcus and Bacterial detoxification</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_Toc173250053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96</w:t>
            </w:r>
            <w:r w:rsidRPr="005F4E1A">
              <w:rPr>
                <w:rFonts w:ascii="Times New Roman" w:hAnsi="Times New Roman" w:cs="Times New Roman"/>
                <w:noProof/>
                <w:webHidden/>
                <w:sz w:val="24"/>
                <w:szCs w:val="24"/>
              </w:rPr>
              <w:fldChar w:fldCharType="end"/>
            </w:r>
          </w:hyperlink>
        </w:p>
        <w:p w14:paraId="2943EB84" w14:textId="4B9C902F"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54" w:history="1">
            <w:r w:rsidRPr="005F4E1A">
              <w:rPr>
                <w:rStyle w:val="Hyperlink"/>
                <w:rFonts w:ascii="Times New Roman" w:hAnsi="Times New Roman" w:cs="Times New Roman"/>
                <w:b w:val="0"/>
                <w:bCs w:val="0"/>
                <w:noProof/>
                <w:sz w:val="24"/>
                <w:szCs w:val="24"/>
              </w:rPr>
              <w:t>Discussion:</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_Toc173250054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97</w:t>
            </w:r>
            <w:r w:rsidRPr="005F4E1A">
              <w:rPr>
                <w:rFonts w:ascii="Times New Roman" w:hAnsi="Times New Roman" w:cs="Times New Roman"/>
                <w:b w:val="0"/>
                <w:bCs w:val="0"/>
                <w:noProof/>
                <w:webHidden/>
                <w:sz w:val="24"/>
                <w:szCs w:val="24"/>
              </w:rPr>
              <w:fldChar w:fldCharType="end"/>
            </w:r>
          </w:hyperlink>
        </w:p>
        <w:p w14:paraId="2DAEE645" w14:textId="7857E640"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55" w:history="1">
            <w:r w:rsidRPr="005F4E1A">
              <w:rPr>
                <w:rStyle w:val="Hyperlink"/>
                <w:rFonts w:ascii="Times New Roman" w:hAnsi="Times New Roman" w:cs="Times New Roman"/>
                <w:b w:val="0"/>
                <w:bCs w:val="0"/>
                <w:noProof/>
                <w:sz w:val="24"/>
                <w:szCs w:val="24"/>
              </w:rPr>
              <w:t>Conclusions:</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_Toc173250055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105</w:t>
            </w:r>
            <w:r w:rsidRPr="005F4E1A">
              <w:rPr>
                <w:rFonts w:ascii="Times New Roman" w:hAnsi="Times New Roman" w:cs="Times New Roman"/>
                <w:b w:val="0"/>
                <w:bCs w:val="0"/>
                <w:noProof/>
                <w:webHidden/>
                <w:sz w:val="24"/>
                <w:szCs w:val="24"/>
              </w:rPr>
              <w:fldChar w:fldCharType="end"/>
            </w:r>
          </w:hyperlink>
        </w:p>
        <w:p w14:paraId="29C4AB33" w14:textId="27483DEE"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56" w:history="1">
            <w:r w:rsidRPr="005F4E1A">
              <w:rPr>
                <w:rStyle w:val="Hyperlink"/>
                <w:rFonts w:ascii="Times New Roman" w:hAnsi="Times New Roman" w:cs="Times New Roman"/>
                <w:b w:val="0"/>
                <w:bCs w:val="0"/>
                <w:i w:val="0"/>
                <w:iCs w:val="0"/>
                <w:noProof/>
                <w:sz w:val="24"/>
                <w:szCs w:val="24"/>
              </w:rPr>
              <w:t>Chapter 5 Conclusions and Future Work</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_Toc173250056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106</w:t>
            </w:r>
            <w:r w:rsidRPr="005F4E1A">
              <w:rPr>
                <w:rFonts w:ascii="Times New Roman" w:hAnsi="Times New Roman" w:cs="Times New Roman"/>
                <w:b w:val="0"/>
                <w:bCs w:val="0"/>
                <w:i w:val="0"/>
                <w:iCs w:val="0"/>
                <w:noProof/>
                <w:webHidden/>
                <w:sz w:val="24"/>
                <w:szCs w:val="24"/>
              </w:rPr>
              <w:fldChar w:fldCharType="end"/>
            </w:r>
          </w:hyperlink>
        </w:p>
        <w:p w14:paraId="78E89DF6" w14:textId="1EDA547B"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57" w:history="1">
            <w:r w:rsidRPr="005F4E1A">
              <w:rPr>
                <w:rStyle w:val="Hyperlink"/>
                <w:rFonts w:ascii="Times New Roman" w:hAnsi="Times New Roman" w:cs="Times New Roman"/>
                <w:b w:val="0"/>
                <w:bCs w:val="0"/>
                <w:i w:val="0"/>
                <w:iCs w:val="0"/>
                <w:noProof/>
                <w:sz w:val="24"/>
                <w:szCs w:val="24"/>
              </w:rPr>
              <w:t>References</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_Toc173250057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110</w:t>
            </w:r>
            <w:r w:rsidRPr="005F4E1A">
              <w:rPr>
                <w:rFonts w:ascii="Times New Roman" w:hAnsi="Times New Roman" w:cs="Times New Roman"/>
                <w:b w:val="0"/>
                <w:bCs w:val="0"/>
                <w:i w:val="0"/>
                <w:iCs w:val="0"/>
                <w:noProof/>
                <w:webHidden/>
                <w:sz w:val="24"/>
                <w:szCs w:val="24"/>
              </w:rPr>
              <w:fldChar w:fldCharType="end"/>
            </w:r>
          </w:hyperlink>
        </w:p>
        <w:p w14:paraId="0F00EFCA" w14:textId="5082D4CF" w:rsidR="005F4E1A" w:rsidRPr="005F4E1A" w:rsidRDefault="005F4E1A">
          <w:pPr>
            <w:pStyle w:val="TOC1"/>
            <w:tabs>
              <w:tab w:val="right" w:leader="dot" w:pos="9350"/>
            </w:tabs>
            <w:rPr>
              <w:rFonts w:ascii="Times New Roman" w:eastAsiaTheme="minorEastAsia" w:hAnsi="Times New Roman" w:cs="Times New Roman"/>
              <w:b w:val="0"/>
              <w:bCs w:val="0"/>
              <w:i w:val="0"/>
              <w:iCs w:val="0"/>
              <w:noProof/>
              <w:kern w:val="2"/>
              <w:sz w:val="24"/>
              <w:szCs w:val="24"/>
              <w14:ligatures w14:val="standardContextual"/>
            </w:rPr>
          </w:pPr>
          <w:hyperlink w:anchor="_Toc173250058" w:history="1">
            <w:r w:rsidRPr="005F4E1A">
              <w:rPr>
                <w:rStyle w:val="Hyperlink"/>
                <w:rFonts w:ascii="Times New Roman" w:hAnsi="Times New Roman" w:cs="Times New Roman"/>
                <w:b w:val="0"/>
                <w:bCs w:val="0"/>
                <w:i w:val="0"/>
                <w:iCs w:val="0"/>
                <w:noProof/>
                <w:sz w:val="24"/>
                <w:szCs w:val="24"/>
              </w:rPr>
              <w:t>Appendices</w:t>
            </w:r>
            <w:r w:rsidRPr="005F4E1A">
              <w:rPr>
                <w:rFonts w:ascii="Times New Roman" w:hAnsi="Times New Roman" w:cs="Times New Roman"/>
                <w:b w:val="0"/>
                <w:bCs w:val="0"/>
                <w:i w:val="0"/>
                <w:iCs w:val="0"/>
                <w:noProof/>
                <w:webHidden/>
                <w:sz w:val="24"/>
                <w:szCs w:val="24"/>
              </w:rPr>
              <w:tab/>
            </w:r>
            <w:r w:rsidRPr="005F4E1A">
              <w:rPr>
                <w:rFonts w:ascii="Times New Roman" w:hAnsi="Times New Roman" w:cs="Times New Roman"/>
                <w:b w:val="0"/>
                <w:bCs w:val="0"/>
                <w:i w:val="0"/>
                <w:iCs w:val="0"/>
                <w:noProof/>
                <w:webHidden/>
                <w:sz w:val="24"/>
                <w:szCs w:val="24"/>
              </w:rPr>
              <w:fldChar w:fldCharType="begin"/>
            </w:r>
            <w:r w:rsidRPr="005F4E1A">
              <w:rPr>
                <w:rFonts w:ascii="Times New Roman" w:hAnsi="Times New Roman" w:cs="Times New Roman"/>
                <w:b w:val="0"/>
                <w:bCs w:val="0"/>
                <w:i w:val="0"/>
                <w:iCs w:val="0"/>
                <w:noProof/>
                <w:webHidden/>
                <w:sz w:val="24"/>
                <w:szCs w:val="24"/>
              </w:rPr>
              <w:instrText xml:space="preserve"> PAGEREF _Toc173250058 \h </w:instrText>
            </w:r>
            <w:r w:rsidRPr="005F4E1A">
              <w:rPr>
                <w:rFonts w:ascii="Times New Roman" w:hAnsi="Times New Roman" w:cs="Times New Roman"/>
                <w:b w:val="0"/>
                <w:bCs w:val="0"/>
                <w:i w:val="0"/>
                <w:iCs w:val="0"/>
                <w:noProof/>
                <w:webHidden/>
                <w:sz w:val="24"/>
                <w:szCs w:val="24"/>
              </w:rPr>
            </w:r>
            <w:r w:rsidRPr="005F4E1A">
              <w:rPr>
                <w:rFonts w:ascii="Times New Roman" w:hAnsi="Times New Roman" w:cs="Times New Roman"/>
                <w:b w:val="0"/>
                <w:bCs w:val="0"/>
                <w:i w:val="0"/>
                <w:iCs w:val="0"/>
                <w:noProof/>
                <w:webHidden/>
                <w:sz w:val="24"/>
                <w:szCs w:val="24"/>
              </w:rPr>
              <w:fldChar w:fldCharType="separate"/>
            </w:r>
            <w:r w:rsidRPr="005F4E1A">
              <w:rPr>
                <w:rFonts w:ascii="Times New Roman" w:hAnsi="Times New Roman" w:cs="Times New Roman"/>
                <w:b w:val="0"/>
                <w:bCs w:val="0"/>
                <w:i w:val="0"/>
                <w:iCs w:val="0"/>
                <w:noProof/>
                <w:webHidden/>
                <w:sz w:val="24"/>
                <w:szCs w:val="24"/>
              </w:rPr>
              <w:t>140</w:t>
            </w:r>
            <w:r w:rsidRPr="005F4E1A">
              <w:rPr>
                <w:rFonts w:ascii="Times New Roman" w:hAnsi="Times New Roman" w:cs="Times New Roman"/>
                <w:b w:val="0"/>
                <w:bCs w:val="0"/>
                <w:i w:val="0"/>
                <w:iCs w:val="0"/>
                <w:noProof/>
                <w:webHidden/>
                <w:sz w:val="24"/>
                <w:szCs w:val="24"/>
              </w:rPr>
              <w:fldChar w:fldCharType="end"/>
            </w:r>
          </w:hyperlink>
        </w:p>
        <w:p w14:paraId="31FBD0F4" w14:textId="56FB4459"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59" w:history="1">
            <w:r w:rsidRPr="005F4E1A">
              <w:rPr>
                <w:rStyle w:val="Hyperlink"/>
                <w:rFonts w:ascii="Times New Roman" w:hAnsi="Times New Roman" w:cs="Times New Roman"/>
                <w:b w:val="0"/>
                <w:bCs w:val="0"/>
                <w:noProof/>
                <w:sz w:val="24"/>
                <w:szCs w:val="24"/>
              </w:rPr>
              <w:t>Appendix A supplementary information Chapter 2</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_Toc173250059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140</w:t>
            </w:r>
            <w:r w:rsidRPr="005F4E1A">
              <w:rPr>
                <w:rFonts w:ascii="Times New Roman" w:hAnsi="Times New Roman" w:cs="Times New Roman"/>
                <w:b w:val="0"/>
                <w:bCs w:val="0"/>
                <w:noProof/>
                <w:webHidden/>
                <w:sz w:val="24"/>
                <w:szCs w:val="24"/>
              </w:rPr>
              <w:fldChar w:fldCharType="end"/>
            </w:r>
          </w:hyperlink>
        </w:p>
        <w:p w14:paraId="248BFFCD" w14:textId="5147A166"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0" w:history="1">
            <w:r w:rsidRPr="005F4E1A">
              <w:rPr>
                <w:rStyle w:val="Hyperlink"/>
                <w:rFonts w:ascii="Times New Roman" w:hAnsi="Times New Roman" w:cs="Times New Roman"/>
                <w:noProof/>
                <w:sz w:val="24"/>
                <w:szCs w:val="24"/>
              </w:rPr>
              <w:t>A1 Parameter fitting procedure</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_Toc173250060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140</w:t>
            </w:r>
            <w:r w:rsidRPr="005F4E1A">
              <w:rPr>
                <w:rFonts w:ascii="Times New Roman" w:hAnsi="Times New Roman" w:cs="Times New Roman"/>
                <w:noProof/>
                <w:webHidden/>
                <w:sz w:val="24"/>
                <w:szCs w:val="24"/>
              </w:rPr>
              <w:fldChar w:fldCharType="end"/>
            </w:r>
          </w:hyperlink>
        </w:p>
        <w:p w14:paraId="29E1292D" w14:textId="4AD3FEBE"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1" w:history="1">
            <w:r w:rsidRPr="005F4E1A">
              <w:rPr>
                <w:rStyle w:val="Hyperlink"/>
                <w:rFonts w:ascii="Times New Roman" w:hAnsi="Times New Roman" w:cs="Times New Roman"/>
                <w:noProof/>
                <w:sz w:val="24"/>
                <w:szCs w:val="24"/>
              </w:rPr>
              <w:t>A2 Quantifying uncertainty in experimental data</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_Toc173250061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143</w:t>
            </w:r>
            <w:r w:rsidRPr="005F4E1A">
              <w:rPr>
                <w:rFonts w:ascii="Times New Roman" w:hAnsi="Times New Roman" w:cs="Times New Roman"/>
                <w:noProof/>
                <w:webHidden/>
                <w:sz w:val="24"/>
                <w:szCs w:val="24"/>
              </w:rPr>
              <w:fldChar w:fldCharType="end"/>
            </w:r>
          </w:hyperlink>
        </w:p>
        <w:p w14:paraId="3DF564B0" w14:textId="14466E8F"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2" w:history="1">
            <w:r w:rsidRPr="005F4E1A">
              <w:rPr>
                <w:rStyle w:val="Hyperlink"/>
                <w:rFonts w:ascii="Times New Roman" w:hAnsi="Times New Roman" w:cs="Times New Roman"/>
                <w:noProof/>
                <w:sz w:val="24"/>
                <w:szCs w:val="24"/>
              </w:rPr>
              <w:t>A3 Additional experimental datasets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_Toc173250062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149</w:t>
            </w:r>
            <w:r w:rsidRPr="005F4E1A">
              <w:rPr>
                <w:rFonts w:ascii="Times New Roman" w:hAnsi="Times New Roman" w:cs="Times New Roman"/>
                <w:noProof/>
                <w:webHidden/>
                <w:sz w:val="24"/>
                <w:szCs w:val="24"/>
              </w:rPr>
              <w:fldChar w:fldCharType="end"/>
            </w:r>
          </w:hyperlink>
        </w:p>
        <w:p w14:paraId="0A247667" w14:textId="5B460545"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3" w:history="1">
            <w:r w:rsidRPr="005F4E1A">
              <w:rPr>
                <w:rStyle w:val="Hyperlink"/>
                <w:rFonts w:ascii="Times New Roman" w:hAnsi="Times New Roman" w:cs="Times New Roman"/>
                <w:noProof/>
                <w:sz w:val="24"/>
                <w:szCs w:val="24"/>
              </w:rPr>
              <w:t>A4 Media and Buffer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Production Assays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_Toc173250063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157</w:t>
            </w:r>
            <w:r w:rsidRPr="005F4E1A">
              <w:rPr>
                <w:rFonts w:ascii="Times New Roman" w:hAnsi="Times New Roman" w:cs="Times New Roman"/>
                <w:noProof/>
                <w:webHidden/>
                <w:sz w:val="24"/>
                <w:szCs w:val="24"/>
              </w:rPr>
              <w:fldChar w:fldCharType="end"/>
            </w:r>
          </w:hyperlink>
        </w:p>
        <w:p w14:paraId="33DF0551" w14:textId="7048EC7A"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64" w:history="1">
            <w:r w:rsidRPr="005F4E1A">
              <w:rPr>
                <w:rStyle w:val="Hyperlink"/>
                <w:rFonts w:ascii="Times New Roman" w:hAnsi="Times New Roman" w:cs="Times New Roman"/>
                <w:b w:val="0"/>
                <w:bCs w:val="0"/>
                <w:noProof/>
                <w:sz w:val="24"/>
                <w:szCs w:val="24"/>
              </w:rPr>
              <w:t>Appendix B supplementary information:  Chapter 3</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_Toc173250064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160</w:t>
            </w:r>
            <w:r w:rsidRPr="005F4E1A">
              <w:rPr>
                <w:rFonts w:ascii="Times New Roman" w:hAnsi="Times New Roman" w:cs="Times New Roman"/>
                <w:b w:val="0"/>
                <w:bCs w:val="0"/>
                <w:noProof/>
                <w:webHidden/>
                <w:sz w:val="24"/>
                <w:szCs w:val="24"/>
              </w:rPr>
              <w:fldChar w:fldCharType="end"/>
            </w:r>
          </w:hyperlink>
        </w:p>
        <w:p w14:paraId="0DDBBB3D" w14:textId="335360F5"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5" w:history="1">
            <w:r w:rsidRPr="005F4E1A">
              <w:rPr>
                <w:rStyle w:val="Hyperlink"/>
                <w:rFonts w:ascii="Times New Roman" w:hAnsi="Times New Roman" w:cs="Times New Roman"/>
                <w:noProof/>
                <w:sz w:val="24"/>
                <w:szCs w:val="24"/>
              </w:rPr>
              <w:t>B1   Monoculture parameter fittings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_Toc173250065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160</w:t>
            </w:r>
            <w:r w:rsidRPr="005F4E1A">
              <w:rPr>
                <w:rFonts w:ascii="Times New Roman" w:hAnsi="Times New Roman" w:cs="Times New Roman"/>
                <w:noProof/>
                <w:webHidden/>
                <w:sz w:val="24"/>
                <w:szCs w:val="24"/>
              </w:rPr>
              <w:fldChar w:fldCharType="end"/>
            </w:r>
          </w:hyperlink>
        </w:p>
        <w:p w14:paraId="41AAB939" w14:textId="36B91E71"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6" w:history="1">
            <w:r w:rsidRPr="005F4E1A">
              <w:rPr>
                <w:rStyle w:val="Hyperlink"/>
                <w:rFonts w:ascii="Times New Roman" w:hAnsi="Times New Roman" w:cs="Times New Roman"/>
                <w:noProof/>
                <w:sz w:val="24"/>
                <w:szCs w:val="24"/>
              </w:rPr>
              <w:t>B2 Equilibria</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_Toc173250066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170</w:t>
            </w:r>
            <w:r w:rsidRPr="005F4E1A">
              <w:rPr>
                <w:rFonts w:ascii="Times New Roman" w:hAnsi="Times New Roman" w:cs="Times New Roman"/>
                <w:noProof/>
                <w:webHidden/>
                <w:sz w:val="24"/>
                <w:szCs w:val="24"/>
              </w:rPr>
              <w:fldChar w:fldCharType="end"/>
            </w:r>
          </w:hyperlink>
        </w:p>
        <w:p w14:paraId="4D90A409" w14:textId="7882CCC1" w:rsidR="005F4E1A" w:rsidRPr="005F4E1A" w:rsidRDefault="005F4E1A">
          <w:pPr>
            <w:pStyle w:val="TOC3"/>
            <w:tabs>
              <w:tab w:val="right" w:leader="dot" w:pos="9350"/>
            </w:tabs>
            <w:rPr>
              <w:rFonts w:ascii="Times New Roman" w:eastAsiaTheme="minorEastAsia" w:hAnsi="Times New Roman" w:cs="Times New Roman"/>
              <w:noProof/>
              <w:kern w:val="2"/>
              <w:sz w:val="24"/>
              <w:szCs w:val="24"/>
              <w14:ligatures w14:val="standardContextual"/>
            </w:rPr>
          </w:pPr>
          <w:hyperlink w:anchor="_Toc173250067" w:history="1">
            <w:r w:rsidRPr="005F4E1A">
              <w:rPr>
                <w:rStyle w:val="Hyperlink"/>
                <w:rFonts w:ascii="Times New Roman" w:hAnsi="Times New Roman" w:cs="Times New Roman"/>
                <w:noProof/>
                <w:sz w:val="24"/>
                <w:szCs w:val="24"/>
              </w:rPr>
              <w:t>B3. Equilibria and dynamic contour plots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_Toc173250067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172</w:t>
            </w:r>
            <w:r w:rsidRPr="005F4E1A">
              <w:rPr>
                <w:rFonts w:ascii="Times New Roman" w:hAnsi="Times New Roman" w:cs="Times New Roman"/>
                <w:noProof/>
                <w:webHidden/>
                <w:sz w:val="24"/>
                <w:szCs w:val="24"/>
              </w:rPr>
              <w:fldChar w:fldCharType="end"/>
            </w:r>
          </w:hyperlink>
        </w:p>
        <w:p w14:paraId="40F1CF6D" w14:textId="09720A3C"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68" w:history="1">
            <w:r w:rsidRPr="005F4E1A">
              <w:rPr>
                <w:rStyle w:val="Hyperlink"/>
                <w:rFonts w:ascii="Times New Roman" w:hAnsi="Times New Roman" w:cs="Times New Roman"/>
                <w:b w:val="0"/>
                <w:bCs w:val="0"/>
                <w:noProof/>
                <w:sz w:val="24"/>
                <w:szCs w:val="24"/>
              </w:rPr>
              <w:t>Appendix C Supplementary Information:  Chapter 4</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_Toc173250068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177</w:t>
            </w:r>
            <w:r w:rsidRPr="005F4E1A">
              <w:rPr>
                <w:rFonts w:ascii="Times New Roman" w:hAnsi="Times New Roman" w:cs="Times New Roman"/>
                <w:b w:val="0"/>
                <w:bCs w:val="0"/>
                <w:noProof/>
                <w:webHidden/>
                <w:sz w:val="24"/>
                <w:szCs w:val="24"/>
              </w:rPr>
              <w:fldChar w:fldCharType="end"/>
            </w:r>
          </w:hyperlink>
        </w:p>
        <w:p w14:paraId="17AF607E" w14:textId="555DDB9F" w:rsidR="005F4E1A" w:rsidRPr="005F4E1A" w:rsidRDefault="005F4E1A">
          <w:pPr>
            <w:pStyle w:val="TOC2"/>
            <w:tabs>
              <w:tab w:val="right" w:leader="dot" w:pos="9350"/>
            </w:tabs>
            <w:rPr>
              <w:rFonts w:ascii="Times New Roman" w:eastAsiaTheme="minorEastAsia" w:hAnsi="Times New Roman" w:cs="Times New Roman"/>
              <w:b w:val="0"/>
              <w:bCs w:val="0"/>
              <w:noProof/>
              <w:kern w:val="2"/>
              <w:sz w:val="24"/>
              <w:szCs w:val="24"/>
              <w14:ligatures w14:val="standardContextual"/>
            </w:rPr>
          </w:pPr>
          <w:hyperlink w:anchor="_Toc173250069" w:history="1">
            <w:r w:rsidRPr="005F4E1A">
              <w:rPr>
                <w:rStyle w:val="Hyperlink"/>
                <w:rFonts w:ascii="Times New Roman" w:hAnsi="Times New Roman" w:cs="Times New Roman"/>
                <w:b w:val="0"/>
                <w:bCs w:val="0"/>
                <w:noProof/>
                <w:sz w:val="24"/>
                <w:szCs w:val="24"/>
              </w:rPr>
              <w:t>Vita</w:t>
            </w:r>
            <w:r w:rsidRPr="005F4E1A">
              <w:rPr>
                <w:rFonts w:ascii="Times New Roman" w:hAnsi="Times New Roman" w:cs="Times New Roman"/>
                <w:b w:val="0"/>
                <w:bCs w:val="0"/>
                <w:noProof/>
                <w:webHidden/>
                <w:sz w:val="24"/>
                <w:szCs w:val="24"/>
              </w:rPr>
              <w:tab/>
            </w:r>
            <w:r w:rsidRPr="005F4E1A">
              <w:rPr>
                <w:rFonts w:ascii="Times New Roman" w:hAnsi="Times New Roman" w:cs="Times New Roman"/>
                <w:b w:val="0"/>
                <w:bCs w:val="0"/>
                <w:noProof/>
                <w:webHidden/>
                <w:sz w:val="24"/>
                <w:szCs w:val="24"/>
              </w:rPr>
              <w:fldChar w:fldCharType="begin"/>
            </w:r>
            <w:r w:rsidRPr="005F4E1A">
              <w:rPr>
                <w:rFonts w:ascii="Times New Roman" w:hAnsi="Times New Roman" w:cs="Times New Roman"/>
                <w:b w:val="0"/>
                <w:bCs w:val="0"/>
                <w:noProof/>
                <w:webHidden/>
                <w:sz w:val="24"/>
                <w:szCs w:val="24"/>
              </w:rPr>
              <w:instrText xml:space="preserve"> PAGEREF _Toc173250069 \h </w:instrText>
            </w:r>
            <w:r w:rsidRPr="005F4E1A">
              <w:rPr>
                <w:rFonts w:ascii="Times New Roman" w:hAnsi="Times New Roman" w:cs="Times New Roman"/>
                <w:b w:val="0"/>
                <w:bCs w:val="0"/>
                <w:noProof/>
                <w:webHidden/>
                <w:sz w:val="24"/>
                <w:szCs w:val="24"/>
              </w:rPr>
            </w:r>
            <w:r w:rsidRPr="005F4E1A">
              <w:rPr>
                <w:rFonts w:ascii="Times New Roman" w:hAnsi="Times New Roman" w:cs="Times New Roman"/>
                <w:b w:val="0"/>
                <w:bCs w:val="0"/>
                <w:noProof/>
                <w:webHidden/>
                <w:sz w:val="24"/>
                <w:szCs w:val="24"/>
              </w:rPr>
              <w:fldChar w:fldCharType="separate"/>
            </w:r>
            <w:r w:rsidRPr="005F4E1A">
              <w:rPr>
                <w:rFonts w:ascii="Times New Roman" w:hAnsi="Times New Roman" w:cs="Times New Roman"/>
                <w:b w:val="0"/>
                <w:bCs w:val="0"/>
                <w:noProof/>
                <w:webHidden/>
                <w:sz w:val="24"/>
                <w:szCs w:val="24"/>
              </w:rPr>
              <w:t>184</w:t>
            </w:r>
            <w:r w:rsidRPr="005F4E1A">
              <w:rPr>
                <w:rFonts w:ascii="Times New Roman" w:hAnsi="Times New Roman" w:cs="Times New Roman"/>
                <w:b w:val="0"/>
                <w:bCs w:val="0"/>
                <w:noProof/>
                <w:webHidden/>
                <w:sz w:val="24"/>
                <w:szCs w:val="24"/>
              </w:rPr>
              <w:fldChar w:fldCharType="end"/>
            </w:r>
          </w:hyperlink>
        </w:p>
        <w:p w14:paraId="54090D30" w14:textId="3E1577B9" w:rsidR="006A0877" w:rsidRPr="005F4E1A" w:rsidRDefault="00640FB6" w:rsidP="006A0877">
          <w:pPr>
            <w:spacing w:line="360" w:lineRule="auto"/>
            <w:rPr>
              <w:rFonts w:ascii="Times New Roman" w:hAnsi="Times New Roman" w:cs="Times New Roman"/>
              <w:sz w:val="24"/>
              <w:szCs w:val="24"/>
            </w:rPr>
          </w:pPr>
          <w:r w:rsidRPr="005F4E1A">
            <w:rPr>
              <w:rFonts w:ascii="Times New Roman" w:hAnsi="Times New Roman" w:cs="Times New Roman"/>
              <w:sz w:val="24"/>
              <w:szCs w:val="24"/>
            </w:rPr>
            <w:fldChar w:fldCharType="end"/>
          </w:r>
        </w:p>
      </w:sdtContent>
    </w:sdt>
    <w:p w14:paraId="7470636C" w14:textId="77777777" w:rsidR="006F14D7" w:rsidRDefault="006F14D7" w:rsidP="006A0877">
      <w:pPr>
        <w:spacing w:line="360" w:lineRule="auto"/>
        <w:jc w:val="center"/>
        <w:rPr>
          <w:rFonts w:asciiTheme="majorBidi" w:hAnsiTheme="majorBidi"/>
          <w:b/>
          <w:bCs/>
          <w:sz w:val="28"/>
          <w:szCs w:val="28"/>
        </w:rPr>
      </w:pPr>
    </w:p>
    <w:p w14:paraId="09AAC399" w14:textId="77777777" w:rsidR="006F14D7" w:rsidRDefault="006F14D7" w:rsidP="006A0877">
      <w:pPr>
        <w:spacing w:line="360" w:lineRule="auto"/>
        <w:jc w:val="center"/>
        <w:rPr>
          <w:rFonts w:asciiTheme="majorBidi" w:hAnsiTheme="majorBidi"/>
          <w:b/>
          <w:bCs/>
          <w:sz w:val="28"/>
          <w:szCs w:val="28"/>
        </w:rPr>
      </w:pPr>
    </w:p>
    <w:p w14:paraId="777BC730" w14:textId="77777777" w:rsidR="004C0C15" w:rsidRDefault="004C0C15" w:rsidP="006A0877">
      <w:pPr>
        <w:spacing w:line="360" w:lineRule="auto"/>
        <w:jc w:val="center"/>
        <w:rPr>
          <w:rFonts w:asciiTheme="majorBidi" w:hAnsiTheme="majorBidi"/>
          <w:b/>
          <w:bCs/>
          <w:sz w:val="28"/>
          <w:szCs w:val="28"/>
        </w:rPr>
      </w:pPr>
    </w:p>
    <w:p w14:paraId="65611B18" w14:textId="77777777" w:rsidR="006F14D7" w:rsidRDefault="006F14D7" w:rsidP="00797D57">
      <w:pPr>
        <w:spacing w:line="360" w:lineRule="auto"/>
        <w:rPr>
          <w:rFonts w:asciiTheme="majorBidi" w:hAnsiTheme="majorBidi"/>
          <w:b/>
          <w:bCs/>
          <w:sz w:val="28"/>
          <w:szCs w:val="28"/>
        </w:rPr>
      </w:pPr>
    </w:p>
    <w:p w14:paraId="7D0A04DC" w14:textId="771E6DA4" w:rsidR="002C37DA" w:rsidRDefault="002C37DA" w:rsidP="006A0877">
      <w:pPr>
        <w:spacing w:line="360" w:lineRule="auto"/>
        <w:jc w:val="center"/>
        <w:rPr>
          <w:rFonts w:asciiTheme="majorBidi" w:hAnsiTheme="majorBidi"/>
          <w:b/>
          <w:bCs/>
          <w:sz w:val="28"/>
          <w:szCs w:val="28"/>
        </w:rPr>
      </w:pPr>
      <w:r w:rsidRPr="00583BE3">
        <w:rPr>
          <w:rFonts w:asciiTheme="majorBidi" w:hAnsiTheme="majorBidi"/>
          <w:b/>
          <w:bCs/>
          <w:sz w:val="28"/>
          <w:szCs w:val="28"/>
        </w:rPr>
        <w:lastRenderedPageBreak/>
        <w:t>List of Tables</w:t>
      </w:r>
    </w:p>
    <w:p w14:paraId="5FCED7A0" w14:textId="6FDC519F" w:rsidR="002975B1" w:rsidRPr="004C0C15" w:rsidRDefault="00B34150">
      <w:pPr>
        <w:pStyle w:val="TableofFigures"/>
        <w:tabs>
          <w:tab w:val="right" w:leader="dot" w:pos="9350"/>
        </w:tabs>
        <w:rPr>
          <w:rFonts w:asciiTheme="majorBidi" w:eastAsiaTheme="minorEastAsia" w:hAnsiTheme="majorBidi"/>
          <w:noProof/>
          <w:kern w:val="2"/>
          <w:sz w:val="24"/>
          <w:szCs w:val="24"/>
          <w14:ligatures w14:val="standardContextual"/>
        </w:rPr>
      </w:pPr>
      <w:r w:rsidRPr="004C0C15">
        <w:rPr>
          <w:rFonts w:asciiTheme="majorBidi" w:hAnsiTheme="majorBidi"/>
          <w:sz w:val="24"/>
          <w:szCs w:val="24"/>
        </w:rPr>
        <w:fldChar w:fldCharType="begin"/>
      </w:r>
      <w:r w:rsidRPr="004C0C15">
        <w:rPr>
          <w:rFonts w:asciiTheme="majorBidi" w:hAnsiTheme="majorBidi"/>
          <w:sz w:val="24"/>
          <w:szCs w:val="24"/>
        </w:rPr>
        <w:instrText xml:space="preserve"> TOC \h \z \c "Table" </w:instrText>
      </w:r>
      <w:r w:rsidRPr="004C0C15">
        <w:rPr>
          <w:rFonts w:asciiTheme="majorBidi" w:hAnsiTheme="majorBidi"/>
          <w:sz w:val="24"/>
          <w:szCs w:val="24"/>
        </w:rPr>
        <w:fldChar w:fldCharType="separate"/>
      </w:r>
      <w:hyperlink w:anchor="_Toc172910638" w:history="1">
        <w:r w:rsidR="002975B1" w:rsidRPr="004C0C15">
          <w:rPr>
            <w:rStyle w:val="Hyperlink"/>
            <w:rFonts w:asciiTheme="majorBidi" w:hAnsiTheme="majorBidi"/>
            <w:noProof/>
            <w:sz w:val="24"/>
            <w:szCs w:val="24"/>
          </w:rPr>
          <w:t>Table 1 Monoculture Parameter and variable definitions and units</w:t>
        </w:r>
        <w:r w:rsidR="002975B1" w:rsidRPr="004C0C15">
          <w:rPr>
            <w:rFonts w:asciiTheme="majorBidi" w:hAnsiTheme="majorBidi"/>
            <w:noProof/>
            <w:webHidden/>
            <w:sz w:val="24"/>
            <w:szCs w:val="24"/>
          </w:rPr>
          <w:tab/>
        </w:r>
        <w:r w:rsidR="002975B1" w:rsidRPr="004C0C15">
          <w:rPr>
            <w:rFonts w:asciiTheme="majorBidi" w:hAnsiTheme="majorBidi"/>
            <w:noProof/>
            <w:webHidden/>
            <w:sz w:val="24"/>
            <w:szCs w:val="24"/>
          </w:rPr>
          <w:fldChar w:fldCharType="begin"/>
        </w:r>
        <w:r w:rsidR="002975B1" w:rsidRPr="004C0C15">
          <w:rPr>
            <w:rFonts w:asciiTheme="majorBidi" w:hAnsiTheme="majorBidi"/>
            <w:noProof/>
            <w:webHidden/>
            <w:sz w:val="24"/>
            <w:szCs w:val="24"/>
          </w:rPr>
          <w:instrText xml:space="preserve"> PAGEREF _Toc172910638 \h </w:instrText>
        </w:r>
        <w:r w:rsidR="002975B1" w:rsidRPr="004C0C15">
          <w:rPr>
            <w:rFonts w:asciiTheme="majorBidi" w:hAnsiTheme="majorBidi"/>
            <w:noProof/>
            <w:webHidden/>
            <w:sz w:val="24"/>
            <w:szCs w:val="24"/>
          </w:rPr>
        </w:r>
        <w:r w:rsidR="002975B1" w:rsidRPr="004C0C15">
          <w:rPr>
            <w:rFonts w:asciiTheme="majorBidi" w:hAnsiTheme="majorBidi"/>
            <w:noProof/>
            <w:webHidden/>
            <w:sz w:val="24"/>
            <w:szCs w:val="24"/>
          </w:rPr>
          <w:fldChar w:fldCharType="separate"/>
        </w:r>
        <w:r w:rsidR="005F4E1A">
          <w:rPr>
            <w:rFonts w:asciiTheme="majorBidi" w:hAnsiTheme="majorBidi"/>
            <w:noProof/>
            <w:webHidden/>
            <w:sz w:val="24"/>
            <w:szCs w:val="24"/>
          </w:rPr>
          <w:t>29</w:t>
        </w:r>
        <w:r w:rsidR="002975B1" w:rsidRPr="004C0C15">
          <w:rPr>
            <w:rFonts w:asciiTheme="majorBidi" w:hAnsiTheme="majorBidi"/>
            <w:noProof/>
            <w:webHidden/>
            <w:sz w:val="24"/>
            <w:szCs w:val="24"/>
          </w:rPr>
          <w:fldChar w:fldCharType="end"/>
        </w:r>
      </w:hyperlink>
    </w:p>
    <w:p w14:paraId="1D32F689" w14:textId="2AD9BEDE" w:rsidR="002975B1" w:rsidRPr="004C0C15" w:rsidRDefault="00000000">
      <w:pPr>
        <w:pStyle w:val="TableofFigures"/>
        <w:tabs>
          <w:tab w:val="right" w:leader="dot" w:pos="9350"/>
        </w:tabs>
        <w:rPr>
          <w:rFonts w:asciiTheme="majorBidi" w:eastAsiaTheme="minorEastAsia" w:hAnsiTheme="majorBidi"/>
          <w:noProof/>
          <w:kern w:val="2"/>
          <w:sz w:val="24"/>
          <w:szCs w:val="24"/>
          <w14:ligatures w14:val="standardContextual"/>
        </w:rPr>
      </w:pPr>
      <w:hyperlink w:anchor="_Toc172910639" w:history="1">
        <w:r w:rsidR="002975B1" w:rsidRPr="004C0C15">
          <w:rPr>
            <w:rStyle w:val="Hyperlink"/>
            <w:rFonts w:asciiTheme="majorBidi" w:hAnsiTheme="majorBidi"/>
            <w:noProof/>
            <w:sz w:val="24"/>
            <w:szCs w:val="24"/>
          </w:rPr>
          <w:t>Table 2 Competition model parameter and variable definitions and units</w:t>
        </w:r>
        <w:r w:rsidR="002975B1" w:rsidRPr="004C0C15">
          <w:rPr>
            <w:rFonts w:asciiTheme="majorBidi" w:hAnsiTheme="majorBidi"/>
            <w:noProof/>
            <w:webHidden/>
            <w:sz w:val="24"/>
            <w:szCs w:val="24"/>
          </w:rPr>
          <w:tab/>
        </w:r>
        <w:r w:rsidR="002975B1" w:rsidRPr="004C0C15">
          <w:rPr>
            <w:rFonts w:asciiTheme="majorBidi" w:hAnsiTheme="majorBidi"/>
            <w:noProof/>
            <w:webHidden/>
            <w:sz w:val="24"/>
            <w:szCs w:val="24"/>
          </w:rPr>
          <w:fldChar w:fldCharType="begin"/>
        </w:r>
        <w:r w:rsidR="002975B1" w:rsidRPr="004C0C15">
          <w:rPr>
            <w:rFonts w:asciiTheme="majorBidi" w:hAnsiTheme="majorBidi"/>
            <w:noProof/>
            <w:webHidden/>
            <w:sz w:val="24"/>
            <w:szCs w:val="24"/>
          </w:rPr>
          <w:instrText xml:space="preserve"> PAGEREF _Toc172910639 \h </w:instrText>
        </w:r>
        <w:r w:rsidR="002975B1" w:rsidRPr="004C0C15">
          <w:rPr>
            <w:rFonts w:asciiTheme="majorBidi" w:hAnsiTheme="majorBidi"/>
            <w:noProof/>
            <w:webHidden/>
            <w:sz w:val="24"/>
            <w:szCs w:val="24"/>
          </w:rPr>
        </w:r>
        <w:r w:rsidR="002975B1" w:rsidRPr="004C0C15">
          <w:rPr>
            <w:rFonts w:asciiTheme="majorBidi" w:hAnsiTheme="majorBidi"/>
            <w:noProof/>
            <w:webHidden/>
            <w:sz w:val="24"/>
            <w:szCs w:val="24"/>
          </w:rPr>
          <w:fldChar w:fldCharType="separate"/>
        </w:r>
        <w:r w:rsidR="005F4E1A">
          <w:rPr>
            <w:rFonts w:asciiTheme="majorBidi" w:hAnsiTheme="majorBidi"/>
            <w:noProof/>
            <w:webHidden/>
            <w:sz w:val="24"/>
            <w:szCs w:val="24"/>
          </w:rPr>
          <w:t>57</w:t>
        </w:r>
        <w:r w:rsidR="002975B1" w:rsidRPr="004C0C15">
          <w:rPr>
            <w:rFonts w:asciiTheme="majorBidi" w:hAnsiTheme="majorBidi"/>
            <w:noProof/>
            <w:webHidden/>
            <w:sz w:val="24"/>
            <w:szCs w:val="24"/>
          </w:rPr>
          <w:fldChar w:fldCharType="end"/>
        </w:r>
      </w:hyperlink>
    </w:p>
    <w:p w14:paraId="47289E57" w14:textId="4DEC7B55" w:rsidR="002975B1" w:rsidRPr="004C0C15" w:rsidRDefault="00000000">
      <w:pPr>
        <w:pStyle w:val="TableofFigures"/>
        <w:tabs>
          <w:tab w:val="right" w:leader="dot" w:pos="9350"/>
        </w:tabs>
        <w:rPr>
          <w:rFonts w:asciiTheme="majorBidi" w:eastAsiaTheme="minorEastAsia" w:hAnsiTheme="majorBidi"/>
          <w:noProof/>
          <w:kern w:val="2"/>
          <w:sz w:val="24"/>
          <w:szCs w:val="24"/>
          <w14:ligatures w14:val="standardContextual"/>
        </w:rPr>
      </w:pPr>
      <w:hyperlink w:anchor="_Toc172910640" w:history="1">
        <w:r w:rsidR="002975B1" w:rsidRPr="004C0C15">
          <w:rPr>
            <w:rStyle w:val="Hyperlink"/>
            <w:rFonts w:asciiTheme="majorBidi" w:hAnsiTheme="majorBidi"/>
            <w:noProof/>
            <w:sz w:val="24"/>
            <w:szCs w:val="24"/>
          </w:rPr>
          <w:t>Table 3 Monoculture laboratory parameters conversion to global Darwin parameters</w:t>
        </w:r>
        <w:r w:rsidR="002975B1" w:rsidRPr="004C0C15">
          <w:rPr>
            <w:rFonts w:asciiTheme="majorBidi" w:hAnsiTheme="majorBidi"/>
            <w:noProof/>
            <w:webHidden/>
            <w:sz w:val="24"/>
            <w:szCs w:val="24"/>
          </w:rPr>
          <w:tab/>
        </w:r>
        <w:r w:rsidR="002975B1" w:rsidRPr="004C0C15">
          <w:rPr>
            <w:rFonts w:asciiTheme="majorBidi" w:hAnsiTheme="majorBidi"/>
            <w:noProof/>
            <w:webHidden/>
            <w:sz w:val="24"/>
            <w:szCs w:val="24"/>
          </w:rPr>
          <w:fldChar w:fldCharType="begin"/>
        </w:r>
        <w:r w:rsidR="002975B1" w:rsidRPr="004C0C15">
          <w:rPr>
            <w:rFonts w:asciiTheme="majorBidi" w:hAnsiTheme="majorBidi"/>
            <w:noProof/>
            <w:webHidden/>
            <w:sz w:val="24"/>
            <w:szCs w:val="24"/>
          </w:rPr>
          <w:instrText xml:space="preserve"> PAGEREF _Toc172910640 \h </w:instrText>
        </w:r>
        <w:r w:rsidR="002975B1" w:rsidRPr="004C0C15">
          <w:rPr>
            <w:rFonts w:asciiTheme="majorBidi" w:hAnsiTheme="majorBidi"/>
            <w:noProof/>
            <w:webHidden/>
            <w:sz w:val="24"/>
            <w:szCs w:val="24"/>
          </w:rPr>
        </w:r>
        <w:r w:rsidR="002975B1" w:rsidRPr="004C0C15">
          <w:rPr>
            <w:rFonts w:asciiTheme="majorBidi" w:hAnsiTheme="majorBidi"/>
            <w:noProof/>
            <w:webHidden/>
            <w:sz w:val="24"/>
            <w:szCs w:val="24"/>
          </w:rPr>
          <w:fldChar w:fldCharType="separate"/>
        </w:r>
        <w:r w:rsidR="005F4E1A">
          <w:rPr>
            <w:rFonts w:asciiTheme="majorBidi" w:hAnsiTheme="majorBidi"/>
            <w:noProof/>
            <w:webHidden/>
            <w:sz w:val="24"/>
            <w:szCs w:val="24"/>
          </w:rPr>
          <w:t>94</w:t>
        </w:r>
        <w:r w:rsidR="002975B1" w:rsidRPr="004C0C15">
          <w:rPr>
            <w:rFonts w:asciiTheme="majorBidi" w:hAnsiTheme="majorBidi"/>
            <w:noProof/>
            <w:webHidden/>
            <w:sz w:val="24"/>
            <w:szCs w:val="24"/>
          </w:rPr>
          <w:fldChar w:fldCharType="end"/>
        </w:r>
      </w:hyperlink>
    </w:p>
    <w:p w14:paraId="7C4F4EC3" w14:textId="15E0A392" w:rsidR="002975B1" w:rsidRPr="004C0C15" w:rsidRDefault="00000000">
      <w:pPr>
        <w:pStyle w:val="TableofFigures"/>
        <w:tabs>
          <w:tab w:val="right" w:leader="dot" w:pos="9350"/>
        </w:tabs>
        <w:rPr>
          <w:rFonts w:asciiTheme="majorBidi" w:eastAsiaTheme="minorEastAsia" w:hAnsiTheme="majorBidi"/>
          <w:noProof/>
          <w:kern w:val="2"/>
          <w:sz w:val="24"/>
          <w:szCs w:val="24"/>
          <w14:ligatures w14:val="standardContextual"/>
        </w:rPr>
      </w:pPr>
      <w:hyperlink w:anchor="_Toc172910641" w:history="1">
        <w:r w:rsidR="002975B1" w:rsidRPr="004C0C15">
          <w:rPr>
            <w:rStyle w:val="Hyperlink"/>
            <w:rFonts w:asciiTheme="majorBidi" w:hAnsiTheme="majorBidi"/>
            <w:noProof/>
            <w:sz w:val="24"/>
            <w:szCs w:val="24"/>
          </w:rPr>
          <w:t>Table 4 Global parameter inclusion into four global model cases</w:t>
        </w:r>
        <w:r w:rsidR="002975B1" w:rsidRPr="004C0C15">
          <w:rPr>
            <w:rFonts w:asciiTheme="majorBidi" w:hAnsiTheme="majorBidi"/>
            <w:noProof/>
            <w:webHidden/>
            <w:sz w:val="24"/>
            <w:szCs w:val="24"/>
          </w:rPr>
          <w:tab/>
        </w:r>
        <w:r w:rsidR="002975B1" w:rsidRPr="004C0C15">
          <w:rPr>
            <w:rFonts w:asciiTheme="majorBidi" w:hAnsiTheme="majorBidi"/>
            <w:noProof/>
            <w:webHidden/>
            <w:sz w:val="24"/>
            <w:szCs w:val="24"/>
          </w:rPr>
          <w:fldChar w:fldCharType="begin"/>
        </w:r>
        <w:r w:rsidR="002975B1" w:rsidRPr="004C0C15">
          <w:rPr>
            <w:rFonts w:asciiTheme="majorBidi" w:hAnsiTheme="majorBidi"/>
            <w:noProof/>
            <w:webHidden/>
            <w:sz w:val="24"/>
            <w:szCs w:val="24"/>
          </w:rPr>
          <w:instrText xml:space="preserve"> PAGEREF _Toc172910641 \h </w:instrText>
        </w:r>
        <w:r w:rsidR="002975B1" w:rsidRPr="004C0C15">
          <w:rPr>
            <w:rFonts w:asciiTheme="majorBidi" w:hAnsiTheme="majorBidi"/>
            <w:noProof/>
            <w:webHidden/>
            <w:sz w:val="24"/>
            <w:szCs w:val="24"/>
          </w:rPr>
        </w:r>
        <w:r w:rsidR="002975B1" w:rsidRPr="004C0C15">
          <w:rPr>
            <w:rFonts w:asciiTheme="majorBidi" w:hAnsiTheme="majorBidi"/>
            <w:noProof/>
            <w:webHidden/>
            <w:sz w:val="24"/>
            <w:szCs w:val="24"/>
          </w:rPr>
          <w:fldChar w:fldCharType="separate"/>
        </w:r>
        <w:r w:rsidR="005F4E1A">
          <w:rPr>
            <w:rFonts w:asciiTheme="majorBidi" w:hAnsiTheme="majorBidi"/>
            <w:noProof/>
            <w:webHidden/>
            <w:sz w:val="24"/>
            <w:szCs w:val="24"/>
          </w:rPr>
          <w:t>95</w:t>
        </w:r>
        <w:r w:rsidR="002975B1" w:rsidRPr="004C0C15">
          <w:rPr>
            <w:rFonts w:asciiTheme="majorBidi" w:hAnsiTheme="majorBidi"/>
            <w:noProof/>
            <w:webHidden/>
            <w:sz w:val="24"/>
            <w:szCs w:val="24"/>
          </w:rPr>
          <w:fldChar w:fldCharType="end"/>
        </w:r>
      </w:hyperlink>
    </w:p>
    <w:p w14:paraId="5CCA4955" w14:textId="098D82E8" w:rsidR="002C37DA" w:rsidRPr="007C3BAF" w:rsidRDefault="00B34150" w:rsidP="00AB2160">
      <w:pPr>
        <w:spacing w:line="360" w:lineRule="auto"/>
        <w:rPr>
          <w:rFonts w:asciiTheme="majorBidi" w:hAnsiTheme="majorBidi"/>
          <w:sz w:val="24"/>
          <w:szCs w:val="24"/>
        </w:rPr>
      </w:pPr>
      <w:r w:rsidRPr="004C0C15">
        <w:rPr>
          <w:rFonts w:asciiTheme="majorBidi" w:hAnsiTheme="majorBidi"/>
          <w:sz w:val="24"/>
          <w:szCs w:val="24"/>
        </w:rPr>
        <w:fldChar w:fldCharType="end"/>
      </w:r>
    </w:p>
    <w:p w14:paraId="6E529B42" w14:textId="721B16C7" w:rsidR="002C37DA" w:rsidRPr="007C3BAF" w:rsidRDefault="002C37DA" w:rsidP="00AB2160">
      <w:pPr>
        <w:spacing w:line="360" w:lineRule="auto"/>
        <w:rPr>
          <w:rFonts w:asciiTheme="majorBidi" w:hAnsiTheme="majorBidi"/>
          <w:sz w:val="24"/>
          <w:szCs w:val="24"/>
        </w:rPr>
      </w:pPr>
    </w:p>
    <w:p w14:paraId="1445CE66" w14:textId="550BED81" w:rsidR="002C37DA" w:rsidRPr="003609FB" w:rsidRDefault="002C37DA" w:rsidP="00AB2160">
      <w:pPr>
        <w:spacing w:line="360" w:lineRule="auto"/>
        <w:rPr>
          <w:rFonts w:ascii="Times New Roman" w:hAnsi="Times New Roman" w:cs="Times New Roman"/>
          <w:sz w:val="24"/>
          <w:szCs w:val="24"/>
        </w:rPr>
      </w:pPr>
    </w:p>
    <w:p w14:paraId="45A34E85" w14:textId="25082A4C" w:rsidR="002C37DA" w:rsidRPr="003609FB" w:rsidRDefault="002C37DA" w:rsidP="00AB2160">
      <w:pPr>
        <w:spacing w:line="360" w:lineRule="auto"/>
        <w:rPr>
          <w:rFonts w:ascii="Times New Roman" w:hAnsi="Times New Roman" w:cs="Times New Roman"/>
          <w:sz w:val="24"/>
          <w:szCs w:val="24"/>
        </w:rPr>
      </w:pPr>
    </w:p>
    <w:p w14:paraId="454B6141" w14:textId="77DEC490" w:rsidR="002C37DA" w:rsidRPr="003609FB" w:rsidRDefault="002C37DA" w:rsidP="00AB2160">
      <w:pPr>
        <w:spacing w:line="360" w:lineRule="auto"/>
        <w:rPr>
          <w:rFonts w:ascii="Times New Roman" w:hAnsi="Times New Roman" w:cs="Times New Roman"/>
          <w:sz w:val="24"/>
          <w:szCs w:val="24"/>
        </w:rPr>
      </w:pPr>
    </w:p>
    <w:p w14:paraId="3827D33B" w14:textId="6ADF4F47" w:rsidR="002C37DA" w:rsidRPr="003609FB" w:rsidRDefault="002C37DA" w:rsidP="00AB2160">
      <w:pPr>
        <w:spacing w:line="360" w:lineRule="auto"/>
        <w:rPr>
          <w:rFonts w:ascii="Times New Roman" w:hAnsi="Times New Roman" w:cs="Times New Roman"/>
          <w:sz w:val="24"/>
          <w:szCs w:val="24"/>
        </w:rPr>
      </w:pPr>
    </w:p>
    <w:p w14:paraId="13F156A0" w14:textId="2C94E71B" w:rsidR="002C37DA" w:rsidRPr="003609FB" w:rsidRDefault="002C37DA" w:rsidP="00AB2160">
      <w:pPr>
        <w:spacing w:line="360" w:lineRule="auto"/>
        <w:rPr>
          <w:rFonts w:ascii="Times New Roman" w:hAnsi="Times New Roman" w:cs="Times New Roman"/>
          <w:sz w:val="24"/>
          <w:szCs w:val="24"/>
        </w:rPr>
      </w:pPr>
    </w:p>
    <w:p w14:paraId="6772CC60" w14:textId="3A176959" w:rsidR="002C37DA" w:rsidRPr="003609FB" w:rsidRDefault="002C37DA" w:rsidP="00AB2160">
      <w:pPr>
        <w:spacing w:line="360" w:lineRule="auto"/>
        <w:rPr>
          <w:rFonts w:ascii="Times New Roman" w:hAnsi="Times New Roman" w:cs="Times New Roman"/>
          <w:sz w:val="24"/>
          <w:szCs w:val="24"/>
        </w:rPr>
      </w:pPr>
    </w:p>
    <w:p w14:paraId="2F315971" w14:textId="1341234A" w:rsidR="002C37DA" w:rsidRPr="003609FB" w:rsidRDefault="002C37DA" w:rsidP="00AB2160">
      <w:pPr>
        <w:spacing w:line="360" w:lineRule="auto"/>
        <w:rPr>
          <w:rFonts w:ascii="Times New Roman" w:hAnsi="Times New Roman" w:cs="Times New Roman"/>
          <w:sz w:val="24"/>
          <w:szCs w:val="24"/>
        </w:rPr>
      </w:pPr>
    </w:p>
    <w:p w14:paraId="44F37C30" w14:textId="4BF02104" w:rsidR="002C37DA" w:rsidRPr="003609FB" w:rsidRDefault="002C37DA" w:rsidP="00AB2160">
      <w:pPr>
        <w:spacing w:line="360" w:lineRule="auto"/>
        <w:rPr>
          <w:rFonts w:ascii="Times New Roman" w:hAnsi="Times New Roman" w:cs="Times New Roman"/>
          <w:sz w:val="24"/>
          <w:szCs w:val="24"/>
        </w:rPr>
      </w:pPr>
    </w:p>
    <w:p w14:paraId="562F7FA7" w14:textId="77410467" w:rsidR="002C37DA" w:rsidRPr="003609FB" w:rsidRDefault="002C37DA" w:rsidP="00AB2160">
      <w:pPr>
        <w:spacing w:line="360" w:lineRule="auto"/>
        <w:rPr>
          <w:rFonts w:ascii="Times New Roman" w:hAnsi="Times New Roman" w:cs="Times New Roman"/>
          <w:sz w:val="24"/>
          <w:szCs w:val="24"/>
        </w:rPr>
      </w:pPr>
    </w:p>
    <w:p w14:paraId="1452E259" w14:textId="4AC23EC8" w:rsidR="002C37DA" w:rsidRPr="003609FB" w:rsidRDefault="002C37DA" w:rsidP="00AB2160">
      <w:pPr>
        <w:spacing w:line="360" w:lineRule="auto"/>
        <w:rPr>
          <w:rFonts w:ascii="Times New Roman" w:hAnsi="Times New Roman" w:cs="Times New Roman"/>
          <w:sz w:val="24"/>
          <w:szCs w:val="24"/>
        </w:rPr>
      </w:pPr>
    </w:p>
    <w:p w14:paraId="18EF5F51" w14:textId="3228660B" w:rsidR="002C37DA" w:rsidRPr="003609FB" w:rsidRDefault="002C37DA" w:rsidP="00AB2160">
      <w:pPr>
        <w:spacing w:line="360" w:lineRule="auto"/>
        <w:rPr>
          <w:rFonts w:ascii="Times New Roman" w:hAnsi="Times New Roman" w:cs="Times New Roman"/>
          <w:sz w:val="24"/>
          <w:szCs w:val="24"/>
        </w:rPr>
      </w:pPr>
    </w:p>
    <w:p w14:paraId="52DF6FA3" w14:textId="595964EC" w:rsidR="002C37DA" w:rsidRDefault="002C37DA" w:rsidP="00AB2160">
      <w:pPr>
        <w:spacing w:line="360" w:lineRule="auto"/>
        <w:rPr>
          <w:rFonts w:asciiTheme="majorBidi" w:hAnsiTheme="majorBidi"/>
          <w:sz w:val="24"/>
          <w:szCs w:val="24"/>
        </w:rPr>
      </w:pPr>
    </w:p>
    <w:p w14:paraId="174C9EF6" w14:textId="77777777" w:rsidR="003D069F" w:rsidRDefault="003D069F" w:rsidP="00AB2160">
      <w:pPr>
        <w:spacing w:line="360" w:lineRule="auto"/>
        <w:rPr>
          <w:rFonts w:asciiTheme="majorBidi" w:hAnsiTheme="majorBidi"/>
          <w:sz w:val="24"/>
          <w:szCs w:val="24"/>
        </w:rPr>
      </w:pPr>
    </w:p>
    <w:p w14:paraId="15A18B0A" w14:textId="77777777" w:rsidR="003D069F" w:rsidRDefault="003D069F" w:rsidP="00AB2160">
      <w:pPr>
        <w:spacing w:line="360" w:lineRule="auto"/>
        <w:rPr>
          <w:rFonts w:asciiTheme="majorBidi" w:hAnsiTheme="majorBidi"/>
          <w:sz w:val="24"/>
          <w:szCs w:val="24"/>
        </w:rPr>
      </w:pPr>
    </w:p>
    <w:p w14:paraId="01A2126E" w14:textId="77777777" w:rsidR="003D069F" w:rsidRDefault="003D069F" w:rsidP="00AB2160">
      <w:pPr>
        <w:spacing w:line="360" w:lineRule="auto"/>
        <w:rPr>
          <w:rFonts w:asciiTheme="majorBidi" w:hAnsiTheme="majorBidi"/>
          <w:sz w:val="24"/>
          <w:szCs w:val="24"/>
        </w:rPr>
      </w:pPr>
    </w:p>
    <w:p w14:paraId="1A8EAE6A" w14:textId="4320D9B2" w:rsidR="002928F9" w:rsidRDefault="002928F9" w:rsidP="003D069F">
      <w:pPr>
        <w:spacing w:line="360" w:lineRule="auto"/>
        <w:jc w:val="center"/>
        <w:rPr>
          <w:rFonts w:asciiTheme="majorBidi" w:hAnsiTheme="majorBidi"/>
          <w:b/>
          <w:bCs/>
          <w:sz w:val="24"/>
          <w:szCs w:val="24"/>
        </w:rPr>
      </w:pPr>
      <w:r w:rsidRPr="00427428">
        <w:rPr>
          <w:rFonts w:asciiTheme="majorBidi" w:hAnsiTheme="majorBidi"/>
          <w:b/>
          <w:bCs/>
          <w:sz w:val="24"/>
          <w:szCs w:val="24"/>
        </w:rPr>
        <w:lastRenderedPageBreak/>
        <w:t>List of Figures</w:t>
      </w:r>
    </w:p>
    <w:p w14:paraId="71C1E6F9" w14:textId="2E51DE1F" w:rsidR="006835EA" w:rsidRPr="005F4E1A" w:rsidRDefault="00E04A12">
      <w:pPr>
        <w:pStyle w:val="TableofFigures"/>
        <w:tabs>
          <w:tab w:val="right" w:leader="dot" w:pos="9350"/>
        </w:tabs>
        <w:rPr>
          <w:rFonts w:ascii="Times New Roman" w:eastAsiaTheme="minorEastAsia" w:hAnsi="Times New Roman" w:cs="Times New Roman"/>
          <w:noProof/>
          <w:kern w:val="2"/>
          <w:sz w:val="24"/>
          <w:szCs w:val="24"/>
          <w14:ligatures w14:val="standardContextual"/>
        </w:rPr>
      </w:pPr>
      <w:r w:rsidRPr="005F4E1A">
        <w:rPr>
          <w:rFonts w:ascii="Times New Roman" w:hAnsi="Times New Roman" w:cs="Times New Roman"/>
          <w:sz w:val="24"/>
          <w:szCs w:val="24"/>
        </w:rPr>
        <w:fldChar w:fldCharType="begin"/>
      </w:r>
      <w:r w:rsidRPr="005F4E1A">
        <w:rPr>
          <w:rFonts w:ascii="Times New Roman" w:hAnsi="Times New Roman" w:cs="Times New Roman"/>
          <w:sz w:val="24"/>
          <w:szCs w:val="24"/>
        </w:rPr>
        <w:instrText xml:space="preserve"> TOC \h \z \c "Figure" </w:instrText>
      </w:r>
      <w:r w:rsidRPr="005F4E1A">
        <w:rPr>
          <w:rFonts w:ascii="Times New Roman" w:hAnsi="Times New Roman" w:cs="Times New Roman"/>
          <w:sz w:val="24"/>
          <w:szCs w:val="24"/>
        </w:rPr>
        <w:fldChar w:fldCharType="separate"/>
      </w:r>
      <w:hyperlink w:anchor="_Toc173148366"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1.1 Concurrent monoculture or coculture dynamics for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_Toc173148366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6</w:t>
        </w:r>
        <w:r w:rsidR="006835EA" w:rsidRPr="005F4E1A">
          <w:rPr>
            <w:rFonts w:ascii="Times New Roman" w:hAnsi="Times New Roman" w:cs="Times New Roman"/>
            <w:noProof/>
            <w:webHidden/>
            <w:sz w:val="24"/>
            <w:szCs w:val="24"/>
          </w:rPr>
          <w:fldChar w:fldCharType="end"/>
        </w:r>
      </w:hyperlink>
    </w:p>
    <w:p w14:paraId="36C6C02A" w14:textId="2CF1B0C7"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67"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1.2 Roadmap of the stepwise model formation using divergent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phenotypes in dominant plankton</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_Toc173148367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16</w:t>
        </w:r>
        <w:r w:rsidR="006835EA" w:rsidRPr="005F4E1A">
          <w:rPr>
            <w:rFonts w:ascii="Times New Roman" w:hAnsi="Times New Roman" w:cs="Times New Roman"/>
            <w:noProof/>
            <w:webHidden/>
            <w:sz w:val="24"/>
            <w:szCs w:val="24"/>
          </w:rPr>
          <w:fldChar w:fldCharType="end"/>
        </w:r>
      </w:hyperlink>
    </w:p>
    <w:p w14:paraId="01C6DFB5" w14:textId="42C29B74"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r:id="rId13" w:anchor="_Toc173148368"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2.1 Stepwise model construction allows for data constraint on individual parameters within a coupled ODE model.</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_Toc173148368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28</w:t>
        </w:r>
        <w:r w:rsidR="006835EA" w:rsidRPr="005F4E1A">
          <w:rPr>
            <w:rFonts w:ascii="Times New Roman" w:hAnsi="Times New Roman" w:cs="Times New Roman"/>
            <w:noProof/>
            <w:webHidden/>
            <w:sz w:val="24"/>
            <w:szCs w:val="24"/>
          </w:rPr>
          <w:fldChar w:fldCharType="end"/>
        </w:r>
      </w:hyperlink>
    </w:p>
    <w:p w14:paraId="4580CB11" w14:textId="56863230"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r:id="rId14" w:anchor="_Toc173148369"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2.2 Stepwise model construction allows for data constraint on individual parameters within a coupled ODE model.</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_Toc173148369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28</w:t>
        </w:r>
        <w:r w:rsidR="006835EA" w:rsidRPr="005F4E1A">
          <w:rPr>
            <w:rFonts w:ascii="Times New Roman" w:hAnsi="Times New Roman" w:cs="Times New Roman"/>
            <w:noProof/>
            <w:webHidden/>
            <w:sz w:val="24"/>
            <w:szCs w:val="24"/>
          </w:rPr>
          <w:fldChar w:fldCharType="end"/>
        </w:r>
      </w:hyperlink>
    </w:p>
    <w:p w14:paraId="78FB1A60" w14:textId="25193705"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0"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2.3 Stepwise model construction allows for data constraint on individual parameters within a coupled ODE model.</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_Toc173148370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28</w:t>
        </w:r>
        <w:r w:rsidR="006835EA" w:rsidRPr="005F4E1A">
          <w:rPr>
            <w:rFonts w:ascii="Times New Roman" w:hAnsi="Times New Roman" w:cs="Times New Roman"/>
            <w:noProof/>
            <w:webHidden/>
            <w:sz w:val="24"/>
            <w:szCs w:val="24"/>
          </w:rPr>
          <w:fldChar w:fldCharType="end"/>
        </w:r>
      </w:hyperlink>
    </w:p>
    <w:p w14:paraId="542FC57E" w14:textId="18F9D787"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1"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2.4 Abiotic growth media modeled in zero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spike</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_Toc173148371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32</w:t>
        </w:r>
        <w:r w:rsidR="006835EA" w:rsidRPr="005F4E1A">
          <w:rPr>
            <w:rFonts w:ascii="Times New Roman" w:hAnsi="Times New Roman" w:cs="Times New Roman"/>
            <w:noProof/>
            <w:webHidden/>
            <w:sz w:val="24"/>
            <w:szCs w:val="24"/>
          </w:rPr>
          <w:fldChar w:fldCharType="end"/>
        </w:r>
      </w:hyperlink>
    </w:p>
    <w:p w14:paraId="47B84CE9" w14:textId="4F4E637E"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2"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2.5 Abiotic spiked media modeled in 400nM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spike</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_Toc173148372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33</w:t>
        </w:r>
        <w:r w:rsidR="006835EA" w:rsidRPr="005F4E1A">
          <w:rPr>
            <w:rFonts w:ascii="Times New Roman" w:hAnsi="Times New Roman" w:cs="Times New Roman"/>
            <w:noProof/>
            <w:webHidden/>
            <w:sz w:val="24"/>
            <w:szCs w:val="24"/>
          </w:rPr>
          <w:fldChar w:fldCharType="end"/>
        </w:r>
      </w:hyperlink>
    </w:p>
    <w:p w14:paraId="046B7432" w14:textId="2A867DDE"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3"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2.6 Monoculture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dynamics modeled in growth media without additional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 xml:space="preserve">2. </w:t>
        </w:r>
        <w:r w:rsidR="006835EA" w:rsidRPr="005F4E1A">
          <w:rPr>
            <w:rStyle w:val="Hyperlink"/>
            <w:rFonts w:ascii="Times New Roman" w:hAnsi="Times New Roman" w:cs="Times New Roman"/>
            <w:noProof/>
            <w:sz w:val="24"/>
            <w:szCs w:val="24"/>
          </w:rPr>
          <w:t xml:space="preserve">Laboratory batch culture dynamics of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(green line) and model searches (grey lines) with best-fit solution (red line) with zero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addition (a). Also shown are parameter posterior distributions for the initial population size, P</w:t>
        </w:r>
        <w:r w:rsidR="006835EA" w:rsidRPr="005F4E1A">
          <w:rPr>
            <w:rStyle w:val="Hyperlink"/>
            <w:rFonts w:ascii="Times New Roman" w:hAnsi="Times New Roman" w:cs="Times New Roman"/>
            <w:noProof/>
            <w:sz w:val="24"/>
            <w:szCs w:val="24"/>
            <w:vertAlign w:val="subscript"/>
          </w:rPr>
          <w:t>0</w:t>
        </w:r>
        <w:r w:rsidR="006835EA" w:rsidRPr="005F4E1A">
          <w:rPr>
            <w:rStyle w:val="Hyperlink"/>
            <w:rFonts w:ascii="Times New Roman" w:hAnsi="Times New Roman" w:cs="Times New Roman"/>
            <w:noProof/>
            <w:sz w:val="24"/>
            <w:szCs w:val="24"/>
          </w:rPr>
          <w:t xml:space="preserve"> (b) and the exponential growth rate, </w:t>
        </w:r>
        <m:oMath>
          <m:r>
            <w:rPr>
              <w:rStyle w:val="Hyperlink"/>
              <w:rFonts w:ascii="Cambria Math" w:hAnsi="Cambria Math" w:cs="Times New Roman"/>
              <w:noProof/>
              <w:sz w:val="24"/>
              <w:szCs w:val="24"/>
            </w:rPr>
            <m:t>μi</m:t>
          </m:r>
        </m:oMath>
        <w:r w:rsidR="006835EA" w:rsidRPr="005F4E1A">
          <w:rPr>
            <w:rStyle w:val="Hyperlink"/>
            <w:rFonts w:ascii="Times New Roman" w:hAnsi="Times New Roman" w:cs="Times New Roman"/>
            <w:noProof/>
            <w:sz w:val="24"/>
            <w:szCs w:val="24"/>
          </w:rPr>
          <w:t xml:space="preserve"> (c). </w:t>
        </w:r>
        <w:r w:rsidR="006835EA" w:rsidRPr="005F4E1A">
          <w:rPr>
            <w:rStyle w:val="Hyperlink"/>
            <w:rFonts w:ascii="Times New Roman" w:hAnsi="Times New Roman" w:cs="Times New Roman"/>
            <w:i/>
            <w:iCs/>
            <w:noProof/>
            <w:sz w:val="24"/>
            <w:szCs w:val="24"/>
          </w:rPr>
          <w:t xml:space="preserve">i.e. </w:t>
        </w:r>
        <w:r w:rsidR="006835EA" w:rsidRPr="005F4E1A">
          <w:rPr>
            <w:rStyle w:val="Hyperlink"/>
            <w:rFonts w:ascii="Times New Roman" w:hAnsi="Times New Roman" w:cs="Times New Roman"/>
            <w:noProof/>
            <w:sz w:val="24"/>
            <w:szCs w:val="24"/>
          </w:rPr>
          <w:t>The range of possible model solutions (grey) and best fit (red line) shown in section a are represented in the width and medians of parameter, P</w:t>
        </w:r>
        <w:r w:rsidR="006835EA" w:rsidRPr="005F4E1A">
          <w:rPr>
            <w:rStyle w:val="Hyperlink"/>
            <w:rFonts w:ascii="Times New Roman" w:hAnsi="Times New Roman" w:cs="Times New Roman"/>
            <w:noProof/>
            <w:sz w:val="24"/>
            <w:szCs w:val="24"/>
            <w:vertAlign w:val="subscript"/>
          </w:rPr>
          <w:t>0</w:t>
        </w:r>
        <w:r w:rsidR="006835EA" w:rsidRPr="005F4E1A">
          <w:rPr>
            <w:rStyle w:val="Hyperlink"/>
            <w:rFonts w:ascii="Times New Roman" w:hAnsi="Times New Roman" w:cs="Times New Roman"/>
            <w:noProof/>
            <w:sz w:val="24"/>
            <w:szCs w:val="24"/>
          </w:rPr>
          <w:t xml:space="preserve"> in b and </w:t>
        </w:r>
        <m:oMath>
          <m:r>
            <w:rPr>
              <w:rStyle w:val="Hyperlink"/>
              <w:rFonts w:ascii="Cambria Math" w:hAnsi="Cambria Math" w:cs="Times New Roman"/>
              <w:noProof/>
              <w:sz w:val="24"/>
              <w:szCs w:val="24"/>
            </w:rPr>
            <m:t>μi</m:t>
          </m:r>
        </m:oMath>
        <w:r w:rsidR="006835EA" w:rsidRPr="005F4E1A">
          <w:rPr>
            <w:rStyle w:val="Hyperlink"/>
            <w:rFonts w:ascii="Times New Roman" w:hAnsi="Times New Roman" w:cs="Times New Roman"/>
            <w:noProof/>
            <w:sz w:val="24"/>
            <w:szCs w:val="24"/>
          </w:rPr>
          <w:t xml:space="preserve"> in c, value histograms.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_Toc173148373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34</w:t>
        </w:r>
        <w:r w:rsidR="006835EA" w:rsidRPr="005F4E1A">
          <w:rPr>
            <w:rFonts w:ascii="Times New Roman" w:hAnsi="Times New Roman" w:cs="Times New Roman"/>
            <w:noProof/>
            <w:webHidden/>
            <w:sz w:val="24"/>
            <w:szCs w:val="24"/>
          </w:rPr>
          <w:fldChar w:fldCharType="end"/>
        </w:r>
      </w:hyperlink>
    </w:p>
    <w:p w14:paraId="295544B5" w14:textId="79958C35"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4"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2.7 Monoculture Prochlorococcus modeled in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spiked media.</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_Toc173148374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37</w:t>
        </w:r>
        <w:r w:rsidR="006835EA" w:rsidRPr="005F4E1A">
          <w:rPr>
            <w:rFonts w:ascii="Times New Roman" w:hAnsi="Times New Roman" w:cs="Times New Roman"/>
            <w:noProof/>
            <w:webHidden/>
            <w:sz w:val="24"/>
            <w:szCs w:val="24"/>
          </w:rPr>
          <w:fldChar w:fldCharType="end"/>
        </w:r>
      </w:hyperlink>
    </w:p>
    <w:p w14:paraId="4739A37A" w14:textId="3898827E"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5"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2.8 Monoculture Synechococcus CC9605 modeled in growth media</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_Toc173148375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38</w:t>
        </w:r>
        <w:r w:rsidR="006835EA" w:rsidRPr="005F4E1A">
          <w:rPr>
            <w:rFonts w:ascii="Times New Roman" w:hAnsi="Times New Roman" w:cs="Times New Roman"/>
            <w:noProof/>
            <w:webHidden/>
            <w:sz w:val="24"/>
            <w:szCs w:val="24"/>
          </w:rPr>
          <w:fldChar w:fldCharType="end"/>
        </w:r>
      </w:hyperlink>
    </w:p>
    <w:p w14:paraId="0941635A" w14:textId="1786024F"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6"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2.9 Monoculture Synechococcus CC9605 modeled in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spiked media.</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_Toc173148376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39</w:t>
        </w:r>
        <w:r w:rsidR="006835EA" w:rsidRPr="005F4E1A">
          <w:rPr>
            <w:rFonts w:ascii="Times New Roman" w:hAnsi="Times New Roman" w:cs="Times New Roman"/>
            <w:noProof/>
            <w:webHidden/>
            <w:sz w:val="24"/>
            <w:szCs w:val="24"/>
          </w:rPr>
          <w:fldChar w:fldCharType="end"/>
        </w:r>
      </w:hyperlink>
    </w:p>
    <w:p w14:paraId="2C8D39FB" w14:textId="16141B65"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7"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2.10 Recovered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trait parameters from different picoplankton during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spike assays.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detoxification rate (</w:t>
        </w:r>
        <m:oMath>
          <m:r>
            <w:rPr>
              <w:rStyle w:val="Hyperlink"/>
              <w:rFonts w:ascii="Cambria Math" w:hAnsi="Cambria Math" w:cs="Times New Roman"/>
              <w:noProof/>
              <w:sz w:val="24"/>
              <w:szCs w:val="24"/>
            </w:rPr>
            <m:t xml:space="preserve">ϕmax,i , </m:t>
          </m:r>
        </m:oMath>
        <w:r w:rsidR="006835EA" w:rsidRPr="005F4E1A">
          <w:rPr>
            <w:rStyle w:val="Hyperlink"/>
            <w:rFonts w:ascii="Times New Roman" w:hAnsi="Times New Roman" w:cs="Times New Roman"/>
            <w:iCs/>
            <w:noProof/>
            <w:sz w:val="24"/>
            <w:szCs w:val="24"/>
          </w:rPr>
          <w:t>mL cell</w:t>
        </w:r>
        <w:r w:rsidR="006835EA" w:rsidRPr="005F4E1A">
          <w:rPr>
            <w:rStyle w:val="Hyperlink"/>
            <w:rFonts w:ascii="Times New Roman" w:hAnsi="Times New Roman" w:cs="Times New Roman"/>
            <w:iCs/>
            <w:noProof/>
            <w:sz w:val="24"/>
            <w:szCs w:val="24"/>
            <w:vertAlign w:val="superscript"/>
          </w:rPr>
          <w:t>-1</w:t>
        </w:r>
        <w:r w:rsidR="006835EA" w:rsidRPr="005F4E1A">
          <w:rPr>
            <w:rStyle w:val="Hyperlink"/>
            <w:rFonts w:ascii="Times New Roman" w:hAnsi="Times New Roman" w:cs="Times New Roman"/>
            <w:iCs/>
            <w:noProof/>
            <w:sz w:val="24"/>
            <w:szCs w:val="24"/>
          </w:rPr>
          <w:t xml:space="preserve"> day</w:t>
        </w:r>
        <w:r w:rsidR="006835EA" w:rsidRPr="005F4E1A">
          <w:rPr>
            <w:rStyle w:val="Hyperlink"/>
            <w:rFonts w:ascii="Times New Roman" w:hAnsi="Times New Roman" w:cs="Times New Roman"/>
            <w:iCs/>
            <w:noProof/>
            <w:sz w:val="24"/>
            <w:szCs w:val="24"/>
            <w:vertAlign w:val="superscript"/>
          </w:rPr>
          <w:t>-1</w:t>
        </w:r>
        <w:r w:rsidR="006835EA" w:rsidRPr="005F4E1A">
          <w:rPr>
            <w:rStyle w:val="Hyperlink"/>
            <w:rFonts w:ascii="Times New Roman" w:hAnsi="Times New Roman" w:cs="Times New Roman"/>
            <w:noProof/>
            <w:sz w:val="24"/>
            <w:szCs w:val="24"/>
          </w:rPr>
          <w:t>) and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induced rate of cell death (</w:t>
        </w:r>
        <m:oMath>
          <m:r>
            <w:rPr>
              <w:rStyle w:val="Hyperlink"/>
              <w:rFonts w:ascii="Cambria Math" w:hAnsi="Cambria Math" w:cs="Times New Roman"/>
              <w:noProof/>
              <w:sz w:val="24"/>
              <w:szCs w:val="24"/>
            </w:rPr>
            <m:t xml:space="preserve">κdam, i  </m:t>
          </m:r>
        </m:oMath>
        <w:r w:rsidR="006835EA" w:rsidRPr="005F4E1A">
          <w:rPr>
            <w:rStyle w:val="Hyperlink"/>
            <w:rFonts w:ascii="Times New Roman" w:hAnsi="Times New Roman" w:cs="Times New Roman"/>
            <w:noProof/>
            <w:sz w:val="24"/>
            <w:szCs w:val="24"/>
          </w:rPr>
          <w:t>, mL nmol</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xml:space="preserve"> day</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for different cyanobacterial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heterotrophic bacterial (</w:t>
        </w:r>
        <w:r w:rsidR="006835EA" w:rsidRPr="005F4E1A">
          <w:rPr>
            <w:rStyle w:val="Hyperlink"/>
            <w:rFonts w:ascii="Times New Roman" w:hAnsi="Times New Roman" w:cs="Times New Roman"/>
            <w:i/>
            <w:iCs/>
            <w:noProof/>
            <w:sz w:val="24"/>
            <w:szCs w:val="24"/>
          </w:rPr>
          <w:t>Alteromonas</w:t>
        </w:r>
        <w:r w:rsidR="006835EA" w:rsidRPr="005F4E1A">
          <w:rPr>
            <w:rStyle w:val="Hyperlink"/>
            <w:rFonts w:ascii="Times New Roman" w:hAnsi="Times New Roman" w:cs="Times New Roman"/>
            <w:noProof/>
            <w:sz w:val="24"/>
            <w:szCs w:val="24"/>
          </w:rPr>
          <w:t>), and picoeukaryotic (</w:t>
        </w:r>
        <w:r w:rsidR="006835EA" w:rsidRPr="005F4E1A">
          <w:rPr>
            <w:rStyle w:val="Hyperlink"/>
            <w:rFonts w:ascii="Times New Roman" w:hAnsi="Times New Roman" w:cs="Times New Roman"/>
            <w:i/>
            <w:iCs/>
            <w:noProof/>
            <w:sz w:val="24"/>
            <w:szCs w:val="24"/>
          </w:rPr>
          <w:t xml:space="preserve">Micromonas spp </w:t>
        </w:r>
        <w:r w:rsidR="006835EA" w:rsidRPr="005F4E1A">
          <w:rPr>
            <w:rStyle w:val="Hyperlink"/>
            <w:rFonts w:ascii="Times New Roman" w:hAnsi="Times New Roman" w:cs="Times New Roman"/>
            <w:noProof/>
            <w:sz w:val="24"/>
            <w:szCs w:val="24"/>
          </w:rPr>
          <w:t>and</w:t>
        </w:r>
        <w:r w:rsidR="006835EA" w:rsidRPr="005F4E1A">
          <w:rPr>
            <w:rStyle w:val="Hyperlink"/>
            <w:rFonts w:ascii="Times New Roman" w:hAnsi="Times New Roman" w:cs="Times New Roman"/>
            <w:i/>
            <w:iCs/>
            <w:noProof/>
            <w:sz w:val="24"/>
            <w:szCs w:val="24"/>
          </w:rPr>
          <w:t xml:space="preserve"> Ostreococcus spp.</w:t>
        </w:r>
        <w:r w:rsidR="006835EA" w:rsidRPr="005F4E1A">
          <w:rPr>
            <w:rStyle w:val="Hyperlink"/>
            <w:rFonts w:ascii="Times New Roman" w:hAnsi="Times New Roman" w:cs="Times New Roman"/>
            <w:noProof/>
            <w:sz w:val="24"/>
            <w:szCs w:val="24"/>
          </w:rPr>
          <w:t>)  monoculture batch cultures. ‘avg’ delineation indicates multiple monoculture data sets for this species were individually modeled and then averaged. Dynamic models showing the retrieval of these parameters can be found in Appendices A and B.</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_Toc173148377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40</w:t>
        </w:r>
        <w:r w:rsidR="006835EA" w:rsidRPr="005F4E1A">
          <w:rPr>
            <w:rFonts w:ascii="Times New Roman" w:hAnsi="Times New Roman" w:cs="Times New Roman"/>
            <w:noProof/>
            <w:webHidden/>
            <w:sz w:val="24"/>
            <w:szCs w:val="24"/>
          </w:rPr>
          <w:fldChar w:fldCharType="end"/>
        </w:r>
      </w:hyperlink>
    </w:p>
    <w:p w14:paraId="40F61432" w14:textId="218AF464"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8"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3.1 Parameters impacting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growing on ammonium in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 xml:space="preserve">2. </w:t>
        </w:r>
        <w:r w:rsidR="006835EA" w:rsidRPr="005F4E1A">
          <w:rPr>
            <w:rStyle w:val="Hyperlink"/>
            <w:rFonts w:ascii="Times New Roman" w:hAnsi="Times New Roman" w:cs="Times New Roman"/>
            <w:noProof/>
            <w:sz w:val="24"/>
            <w:szCs w:val="24"/>
          </w:rPr>
          <w:t xml:space="preserve">Schematic showing overall model formulation of the ODEs shows two microbes,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(Pro)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(Syn) grow from a singular ammonium pool (N) with </w:t>
        </w:r>
        <w:r w:rsidR="006835EA" w:rsidRPr="005F4E1A">
          <w:rPr>
            <w:rStyle w:val="Hyperlink"/>
            <w:rFonts w:ascii="Times New Roman" w:hAnsi="Times New Roman" w:cs="Times New Roman"/>
            <w:noProof/>
            <w:sz w:val="24"/>
            <w:szCs w:val="24"/>
          </w:rPr>
          <w:lastRenderedPageBreak/>
          <w:t>external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(H) production. The heterotrophic bacterial helper (B) does not compete for ammonium here. Parameters (symbols) control the flux (arrows) between measurable pools of P, S, N, and H. Differential inclusion of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parameters within this framework allows this model to evaluate how 4 scenarios (cases) impact the competitive advantage of these microbes over one another (a microbial Thunderdome).</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_Toc173148378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52</w:t>
        </w:r>
        <w:r w:rsidR="006835EA" w:rsidRPr="005F4E1A">
          <w:rPr>
            <w:rFonts w:ascii="Times New Roman" w:hAnsi="Times New Roman" w:cs="Times New Roman"/>
            <w:noProof/>
            <w:webHidden/>
            <w:sz w:val="24"/>
            <w:szCs w:val="24"/>
          </w:rPr>
          <w:fldChar w:fldCharType="end"/>
        </w:r>
      </w:hyperlink>
    </w:p>
    <w:p w14:paraId="3B719CFA" w14:textId="58271D0A"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79"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3.2 Quantitatively recovered tradeoffs found in the coupling of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detoxification rate (</w:t>
        </w:r>
        <m:oMath>
          <m:r>
            <w:rPr>
              <w:rStyle w:val="Hyperlink"/>
              <w:rFonts w:ascii="Cambria Math" w:hAnsi="Cambria Math" w:cs="Times New Roman"/>
              <w:noProof/>
              <w:sz w:val="24"/>
              <w:szCs w:val="24"/>
            </w:rPr>
            <m:t xml:space="preserve">ϕmax,i , </m:t>
          </m:r>
        </m:oMath>
        <w:r w:rsidR="006835EA" w:rsidRPr="005F4E1A">
          <w:rPr>
            <w:rStyle w:val="Hyperlink"/>
            <w:rFonts w:ascii="Times New Roman" w:hAnsi="Times New Roman" w:cs="Times New Roman"/>
            <w:iCs/>
            <w:noProof/>
            <w:sz w:val="24"/>
            <w:szCs w:val="24"/>
          </w:rPr>
          <w:t>mL cell</w:t>
        </w:r>
        <w:r w:rsidR="006835EA" w:rsidRPr="005F4E1A">
          <w:rPr>
            <w:rStyle w:val="Hyperlink"/>
            <w:rFonts w:ascii="Times New Roman" w:hAnsi="Times New Roman" w:cs="Times New Roman"/>
            <w:iCs/>
            <w:noProof/>
            <w:sz w:val="24"/>
            <w:szCs w:val="24"/>
            <w:vertAlign w:val="superscript"/>
          </w:rPr>
          <w:t>-1</w:t>
        </w:r>
        <w:r w:rsidR="006835EA" w:rsidRPr="005F4E1A">
          <w:rPr>
            <w:rStyle w:val="Hyperlink"/>
            <w:rFonts w:ascii="Times New Roman" w:hAnsi="Times New Roman" w:cs="Times New Roman"/>
            <w:iCs/>
            <w:noProof/>
            <w:sz w:val="24"/>
            <w:szCs w:val="24"/>
          </w:rPr>
          <w:t xml:space="preserve"> day</w:t>
        </w:r>
        <w:r w:rsidR="006835EA" w:rsidRPr="005F4E1A">
          <w:rPr>
            <w:rStyle w:val="Hyperlink"/>
            <w:rFonts w:ascii="Times New Roman" w:hAnsi="Times New Roman" w:cs="Times New Roman"/>
            <w:iCs/>
            <w:noProof/>
            <w:sz w:val="24"/>
            <w:szCs w:val="24"/>
            <w:vertAlign w:val="superscript"/>
          </w:rPr>
          <w:t>-1</w:t>
        </w:r>
        <w:r w:rsidR="006835EA" w:rsidRPr="005F4E1A">
          <w:rPr>
            <w:rStyle w:val="Hyperlink"/>
            <w:rFonts w:ascii="Times New Roman" w:hAnsi="Times New Roman" w:cs="Times New Roman"/>
            <w:noProof/>
            <w:sz w:val="24"/>
            <w:szCs w:val="24"/>
          </w:rPr>
          <w:t>) and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induced rate of cell death (</w:t>
        </w:r>
        <m:oMath>
          <m:r>
            <w:rPr>
              <w:rStyle w:val="Hyperlink"/>
              <w:rFonts w:ascii="Cambria Math" w:hAnsi="Cambria Math" w:cs="Times New Roman"/>
              <w:noProof/>
              <w:sz w:val="24"/>
              <w:szCs w:val="24"/>
            </w:rPr>
            <m:t xml:space="preserve">κdam, i  </m:t>
          </m:r>
        </m:oMath>
        <w:r w:rsidR="006835EA" w:rsidRPr="005F4E1A">
          <w:rPr>
            <w:rStyle w:val="Hyperlink"/>
            <w:rFonts w:ascii="Times New Roman" w:hAnsi="Times New Roman" w:cs="Times New Roman"/>
            <w:noProof/>
            <w:sz w:val="24"/>
            <w:szCs w:val="24"/>
          </w:rPr>
          <w:t>, mL nmol</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xml:space="preserve"> day</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for different plankton (i) grown in monoculture batch conditions. Each symbol represents a single plankton species, i.</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_Toc173148379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56</w:t>
        </w:r>
        <w:r w:rsidR="006835EA" w:rsidRPr="005F4E1A">
          <w:rPr>
            <w:rFonts w:ascii="Times New Roman" w:hAnsi="Times New Roman" w:cs="Times New Roman"/>
            <w:noProof/>
            <w:webHidden/>
            <w:sz w:val="24"/>
            <w:szCs w:val="24"/>
          </w:rPr>
          <w:fldChar w:fldCharType="end"/>
        </w:r>
      </w:hyperlink>
    </w:p>
    <w:p w14:paraId="10A0025B" w14:textId="02483B49"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0"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3.3 Dynamics of </w:t>
        </w:r>
        <w:r w:rsidR="006835EA" w:rsidRPr="005F4E1A">
          <w:rPr>
            <w:rStyle w:val="Hyperlink"/>
            <w:rFonts w:ascii="Times New Roman" w:hAnsi="Times New Roman" w:cs="Times New Roman"/>
            <w:i/>
            <w:iCs/>
            <w:noProof/>
            <w:sz w:val="24"/>
            <w:szCs w:val="24"/>
          </w:rPr>
          <w:t xml:space="preserve">Prochlorococcus </w:t>
        </w:r>
        <w:r w:rsidR="006835EA" w:rsidRPr="005F4E1A">
          <w:rPr>
            <w:rStyle w:val="Hyperlink"/>
            <w:rFonts w:ascii="Times New Roman" w:hAnsi="Times New Roman" w:cs="Times New Roman"/>
            <w:noProof/>
            <w:sz w:val="24"/>
            <w:szCs w:val="24"/>
          </w:rPr>
          <w:t xml:space="preserve">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in zero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_Toc173148380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58</w:t>
        </w:r>
        <w:r w:rsidR="006835EA" w:rsidRPr="005F4E1A">
          <w:rPr>
            <w:rFonts w:ascii="Times New Roman" w:hAnsi="Times New Roman" w:cs="Times New Roman"/>
            <w:noProof/>
            <w:webHidden/>
            <w:sz w:val="24"/>
            <w:szCs w:val="24"/>
          </w:rPr>
          <w:fldChar w:fldCharType="end"/>
        </w:r>
      </w:hyperlink>
    </w:p>
    <w:p w14:paraId="6587273C" w14:textId="3E7EAA79"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1"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3.4 Dynamics of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w:t>
        </w:r>
        <w:r w:rsidR="006835EA" w:rsidRPr="005F4E1A">
          <w:rPr>
            <w:rStyle w:val="Hyperlink"/>
            <w:rFonts w:ascii="Times New Roman" w:hAnsi="Times New Roman" w:cs="Times New Roman"/>
            <w:i/>
            <w:iCs/>
            <w:noProof/>
            <w:sz w:val="24"/>
            <w:szCs w:val="24"/>
          </w:rPr>
          <w:t xml:space="preserve">Synechococcus </w:t>
        </w:r>
        <w:r w:rsidR="006835EA" w:rsidRPr="005F4E1A">
          <w:rPr>
            <w:rStyle w:val="Hyperlink"/>
            <w:rFonts w:ascii="Times New Roman" w:hAnsi="Times New Roman" w:cs="Times New Roman"/>
            <w:noProof/>
            <w:sz w:val="24"/>
            <w:szCs w:val="24"/>
          </w:rPr>
          <w:t>in non-leaky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world</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_Toc173148381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62</w:t>
        </w:r>
        <w:r w:rsidR="006835EA" w:rsidRPr="005F4E1A">
          <w:rPr>
            <w:rFonts w:ascii="Times New Roman" w:hAnsi="Times New Roman" w:cs="Times New Roman"/>
            <w:noProof/>
            <w:webHidden/>
            <w:sz w:val="24"/>
            <w:szCs w:val="24"/>
          </w:rPr>
          <w:fldChar w:fldCharType="end"/>
        </w:r>
      </w:hyperlink>
    </w:p>
    <w:p w14:paraId="0CF92242" w14:textId="55B44FE7"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2"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3.5 Evaluation of non-leaky model dynamics across a range of S</w:t>
        </w:r>
        <w:r w:rsidR="006835EA" w:rsidRPr="005F4E1A">
          <w:rPr>
            <w:rStyle w:val="Hyperlink"/>
            <w:rFonts w:ascii="Times New Roman" w:hAnsi="Times New Roman" w:cs="Times New Roman"/>
            <w:noProof/>
            <w:sz w:val="24"/>
            <w:szCs w:val="24"/>
            <w:vertAlign w:val="subscript"/>
          </w:rPr>
          <w:t>H</w:t>
        </w:r>
        <w:r w:rsidR="006835EA" w:rsidRPr="005F4E1A">
          <w:rPr>
            <w:rStyle w:val="Hyperlink"/>
            <w:rFonts w:ascii="Times New Roman" w:hAnsi="Times New Roman" w:cs="Times New Roman"/>
            <w:noProof/>
            <w:sz w:val="24"/>
            <w:szCs w:val="24"/>
          </w:rPr>
          <w:t xml:space="preserve"> and S</w:t>
        </w:r>
        <w:r w:rsidR="006835EA" w:rsidRPr="005F4E1A">
          <w:rPr>
            <w:rStyle w:val="Hyperlink"/>
            <w:rFonts w:ascii="Times New Roman" w:hAnsi="Times New Roman" w:cs="Times New Roman"/>
            <w:noProof/>
            <w:sz w:val="24"/>
            <w:szCs w:val="24"/>
            <w:vertAlign w:val="subscript"/>
          </w:rPr>
          <w:t>N</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_Toc173148382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63</w:t>
        </w:r>
        <w:r w:rsidR="006835EA" w:rsidRPr="005F4E1A">
          <w:rPr>
            <w:rFonts w:ascii="Times New Roman" w:hAnsi="Times New Roman" w:cs="Times New Roman"/>
            <w:noProof/>
            <w:webHidden/>
            <w:sz w:val="24"/>
            <w:szCs w:val="24"/>
          </w:rPr>
          <w:fldChar w:fldCharType="end"/>
        </w:r>
      </w:hyperlink>
    </w:p>
    <w:p w14:paraId="4CA40250" w14:textId="33745CBA"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3"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3.6 Dynamic outcomes for H, N, P and S leaky case model iterations under different H supplies. 3.6a, 3.6b, and 3.6c depict different dynamic model outputs for P, S, N, and H from increasing H inputs under case 3, S leaky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 xml:space="preserve">2 </w:t>
        </w:r>
        <w:r w:rsidR="006835EA" w:rsidRPr="005F4E1A">
          <w:rPr>
            <w:rStyle w:val="Hyperlink"/>
            <w:rFonts w:ascii="Times New Roman" w:hAnsi="Times New Roman" w:cs="Times New Roman"/>
            <w:noProof/>
            <w:sz w:val="24"/>
            <w:szCs w:val="24"/>
          </w:rPr>
          <w:t xml:space="preserve">detoxification regime. The top graph of a,b or c each depicts dynamics model solutions for </w:t>
        </w:r>
        <w:r w:rsidR="006835EA" w:rsidRPr="005F4E1A">
          <w:rPr>
            <w:rStyle w:val="Hyperlink"/>
            <w:rFonts w:ascii="Times New Roman" w:hAnsi="Times New Roman" w:cs="Times New Roman"/>
            <w:i/>
            <w:iCs/>
            <w:noProof/>
            <w:sz w:val="24"/>
            <w:szCs w:val="24"/>
          </w:rPr>
          <w:t xml:space="preserve">Prochlorococcus </w:t>
        </w:r>
        <w:r w:rsidR="006835EA" w:rsidRPr="005F4E1A">
          <w:rPr>
            <w:rStyle w:val="Hyperlink"/>
            <w:rFonts w:ascii="Times New Roman" w:hAnsi="Times New Roman" w:cs="Times New Roman"/>
            <w:noProof/>
            <w:sz w:val="24"/>
            <w:szCs w:val="24"/>
          </w:rPr>
          <w:t xml:space="preserve">(P)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(S) analogue abundances in green or yellow as predicted solid lines. The associated steady state solutions predicted from these parameter values are visualized in dotted lines on the same axes. The middle plot shows the modeled nutrient concentration over time for the dynamics (solid) and steady state (dotted) purple lines. The bottom plot shows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dynamics over time. S</w:t>
        </w:r>
        <w:r w:rsidR="006835EA" w:rsidRPr="005F4E1A">
          <w:rPr>
            <w:rStyle w:val="Hyperlink"/>
            <w:rFonts w:ascii="Times New Roman" w:hAnsi="Times New Roman" w:cs="Times New Roman"/>
            <w:noProof/>
            <w:sz w:val="24"/>
            <w:szCs w:val="24"/>
            <w:vertAlign w:val="subscript"/>
          </w:rPr>
          <w:t>N</w:t>
        </w:r>
        <w:r w:rsidR="006835EA" w:rsidRPr="005F4E1A">
          <w:rPr>
            <w:rStyle w:val="Hyperlink"/>
            <w:rFonts w:ascii="Times New Roman" w:hAnsi="Times New Roman" w:cs="Times New Roman"/>
            <w:noProof/>
            <w:sz w:val="24"/>
            <w:szCs w:val="24"/>
          </w:rPr>
          <w:t xml:space="preserve"> is kept constant for all scenarios (a,b,c) as is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detoxification (</w:t>
        </w:r>
        <m:oMath>
          <m:r>
            <w:rPr>
              <w:rStyle w:val="Hyperlink"/>
              <w:rFonts w:ascii="Cambria Math" w:hAnsi="Cambria Math" w:cs="Times New Roman"/>
              <w:noProof/>
              <w:sz w:val="24"/>
              <w:szCs w:val="24"/>
            </w:rPr>
            <m:t>ϕmax,S</m:t>
          </m:r>
        </m:oMath>
        <w:r w:rsidR="006835EA" w:rsidRPr="005F4E1A">
          <w:rPr>
            <w:rStyle w:val="Hyperlink"/>
            <w:rFonts w:ascii="Times New Roman" w:hAnsi="Times New Roman" w:cs="Times New Roman"/>
            <w:noProof/>
            <w:sz w:val="24"/>
            <w:szCs w:val="24"/>
          </w:rPr>
          <w:t xml:space="preserve"> = 2.0 x10</w:t>
        </w:r>
        <w:r w:rsidR="006835EA" w:rsidRPr="005F4E1A">
          <w:rPr>
            <w:rStyle w:val="Hyperlink"/>
            <w:rFonts w:ascii="Times New Roman" w:hAnsi="Times New Roman" w:cs="Times New Roman"/>
            <w:noProof/>
            <w:sz w:val="24"/>
            <w:szCs w:val="24"/>
            <w:vertAlign w:val="superscript"/>
          </w:rPr>
          <w:t>-6</w:t>
        </w:r>
        <w:r w:rsidR="006835EA" w:rsidRPr="005F4E1A">
          <w:rPr>
            <w:rStyle w:val="Hyperlink"/>
            <w:rFonts w:ascii="Times New Roman" w:hAnsi="Times New Roman" w:cs="Times New Roman"/>
            <w:noProof/>
            <w:sz w:val="24"/>
            <w:szCs w:val="24"/>
          </w:rPr>
          <w:t>). Despite this single parameterization, differentially dominated coexistence scenarios occur in P and S communities based on value S</w:t>
        </w:r>
        <w:r w:rsidR="006835EA" w:rsidRPr="005F4E1A">
          <w:rPr>
            <w:rStyle w:val="Hyperlink"/>
            <w:rFonts w:ascii="Times New Roman" w:hAnsi="Times New Roman" w:cs="Times New Roman"/>
            <w:noProof/>
            <w:sz w:val="24"/>
            <w:szCs w:val="24"/>
            <w:vertAlign w:val="subscript"/>
          </w:rPr>
          <w:t xml:space="preserve">H. </w:t>
        </w:r>
        <w:r w:rsidR="006835EA" w:rsidRPr="005F4E1A">
          <w:rPr>
            <w:rStyle w:val="Hyperlink"/>
            <w:rFonts w:ascii="Times New Roman" w:hAnsi="Times New Roman" w:cs="Times New Roman"/>
            <w:noProof/>
            <w:sz w:val="24"/>
            <w:szCs w:val="24"/>
          </w:rPr>
          <w:t xml:space="preserve">Using only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detoxification (</w:t>
        </w:r>
        <m:oMath>
          <m:r>
            <w:rPr>
              <w:rStyle w:val="Hyperlink"/>
              <w:rFonts w:ascii="Cambria Math" w:hAnsi="Cambria Math" w:cs="Times New Roman"/>
              <w:noProof/>
              <w:sz w:val="24"/>
              <w:szCs w:val="24"/>
            </w:rPr>
            <m:t>ϕmax,S</m:t>
          </m:r>
        </m:oMath>
        <w:r w:rsidR="006835EA" w:rsidRPr="005F4E1A">
          <w:rPr>
            <w:rStyle w:val="Hyperlink"/>
            <w:rFonts w:ascii="Times New Roman" w:hAnsi="Times New Roman" w:cs="Times New Roman"/>
            <w:noProof/>
            <w:sz w:val="24"/>
            <w:szCs w:val="24"/>
          </w:rPr>
          <w:t>) allows coexistence along a small (200-900 nmol mL</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xml:space="preserve"> day</w:t>
        </w:r>
        <w:r w:rsidR="006835EA" w:rsidRPr="005F4E1A">
          <w:rPr>
            <w:rStyle w:val="Hyperlink"/>
            <w:rFonts w:ascii="Times New Roman" w:hAnsi="Times New Roman" w:cs="Times New Roman"/>
            <w:noProof/>
            <w:sz w:val="24"/>
            <w:szCs w:val="24"/>
            <w:vertAlign w:val="superscript"/>
          </w:rPr>
          <w:t>-1</w:t>
        </w:r>
        <w:r w:rsidR="006835EA" w:rsidRPr="005F4E1A">
          <w:rPr>
            <w:rStyle w:val="Hyperlink"/>
            <w:rFonts w:ascii="Times New Roman" w:hAnsi="Times New Roman" w:cs="Times New Roman"/>
            <w:noProof/>
            <w:sz w:val="24"/>
            <w:szCs w:val="24"/>
          </w:rPr>
          <w:t>) range of S</w:t>
        </w:r>
        <w:r w:rsidR="006835EA" w:rsidRPr="005F4E1A">
          <w:rPr>
            <w:rStyle w:val="Hyperlink"/>
            <w:rFonts w:ascii="Times New Roman" w:hAnsi="Times New Roman" w:cs="Times New Roman"/>
            <w:noProof/>
            <w:sz w:val="24"/>
            <w:szCs w:val="24"/>
            <w:vertAlign w:val="subscript"/>
          </w:rPr>
          <w:t>H,</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_Toc173148383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64</w:t>
        </w:r>
        <w:r w:rsidR="006835EA" w:rsidRPr="005F4E1A">
          <w:rPr>
            <w:rFonts w:ascii="Times New Roman" w:hAnsi="Times New Roman" w:cs="Times New Roman"/>
            <w:noProof/>
            <w:webHidden/>
            <w:sz w:val="24"/>
            <w:szCs w:val="24"/>
          </w:rPr>
          <w:fldChar w:fldCharType="end"/>
        </w:r>
      </w:hyperlink>
    </w:p>
    <w:p w14:paraId="4AF983B7" w14:textId="00420BA2"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4"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3.7 ϕ</w:t>
        </w:r>
        <w:r w:rsidR="006835EA" w:rsidRPr="005F4E1A">
          <w:rPr>
            <w:rStyle w:val="Hyperlink"/>
            <w:rFonts w:ascii="Times New Roman" w:hAnsi="Times New Roman" w:cs="Times New Roman"/>
            <w:noProof/>
            <w:sz w:val="24"/>
            <w:szCs w:val="24"/>
            <w:vertAlign w:val="subscript"/>
          </w:rPr>
          <w:t>max,S</w:t>
        </w:r>
        <w:r w:rsidR="006835EA" w:rsidRPr="005F4E1A">
          <w:rPr>
            <w:rStyle w:val="Hyperlink"/>
            <w:rFonts w:ascii="Times New Roman" w:hAnsi="Times New Roman" w:cs="Times New Roman"/>
            <w:noProof/>
            <w:sz w:val="24"/>
            <w:szCs w:val="24"/>
          </w:rPr>
          <w:t xml:space="preserve"> effects on Prochlorococcus and Synechococcus coexistence in dynamics and equilibria contours.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_Toc173148384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68</w:t>
        </w:r>
        <w:r w:rsidR="006835EA" w:rsidRPr="005F4E1A">
          <w:rPr>
            <w:rFonts w:ascii="Times New Roman" w:hAnsi="Times New Roman" w:cs="Times New Roman"/>
            <w:noProof/>
            <w:webHidden/>
            <w:sz w:val="24"/>
            <w:szCs w:val="24"/>
          </w:rPr>
          <w:fldChar w:fldCharType="end"/>
        </w:r>
      </w:hyperlink>
    </w:p>
    <w:p w14:paraId="613ED659" w14:textId="5626AD75"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5"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3.8 Different coexistence landscapes available dependent upon who is detoxifying H.</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_Toc173148385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73</w:t>
        </w:r>
        <w:r w:rsidR="006835EA" w:rsidRPr="005F4E1A">
          <w:rPr>
            <w:rFonts w:ascii="Times New Roman" w:hAnsi="Times New Roman" w:cs="Times New Roman"/>
            <w:noProof/>
            <w:webHidden/>
            <w:sz w:val="24"/>
            <w:szCs w:val="24"/>
          </w:rPr>
          <w:fldChar w:fldCharType="end"/>
        </w:r>
      </w:hyperlink>
    </w:p>
    <w:p w14:paraId="42B2107D" w14:textId="7E88678B"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6"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3.9 Contour outputs across a range of S</w:t>
        </w:r>
        <w:r w:rsidR="006835EA" w:rsidRPr="005F4E1A">
          <w:rPr>
            <w:rStyle w:val="Hyperlink"/>
            <w:rFonts w:ascii="Times New Roman" w:hAnsi="Times New Roman" w:cs="Times New Roman"/>
            <w:noProof/>
            <w:sz w:val="24"/>
            <w:szCs w:val="24"/>
            <w:vertAlign w:val="subscript"/>
          </w:rPr>
          <w:t>N</w:t>
        </w:r>
        <w:r w:rsidR="006835EA" w:rsidRPr="005F4E1A">
          <w:rPr>
            <w:rStyle w:val="Hyperlink"/>
            <w:rFonts w:ascii="Times New Roman" w:hAnsi="Times New Roman" w:cs="Times New Roman"/>
            <w:noProof/>
            <w:sz w:val="24"/>
            <w:szCs w:val="24"/>
          </w:rPr>
          <w:t xml:space="preserve"> and S</w:t>
        </w:r>
        <w:r w:rsidR="006835EA" w:rsidRPr="005F4E1A">
          <w:rPr>
            <w:rStyle w:val="Hyperlink"/>
            <w:rFonts w:ascii="Times New Roman" w:hAnsi="Times New Roman" w:cs="Times New Roman"/>
            <w:noProof/>
            <w:sz w:val="24"/>
            <w:szCs w:val="24"/>
            <w:vertAlign w:val="subscript"/>
          </w:rPr>
          <w:t>H</w:t>
        </w:r>
        <w:r w:rsidR="006835EA" w:rsidRPr="005F4E1A">
          <w:rPr>
            <w:rStyle w:val="Hyperlink"/>
            <w:rFonts w:ascii="Times New Roman" w:hAnsi="Times New Roman" w:cs="Times New Roman"/>
            <w:noProof/>
            <w:sz w:val="24"/>
            <w:szCs w:val="24"/>
          </w:rPr>
          <w:t xml:space="preserve"> under different heterotrophic detoxification (ϕ</w:t>
        </w:r>
        <w:r w:rsidR="006835EA" w:rsidRPr="005F4E1A">
          <w:rPr>
            <w:rStyle w:val="Hyperlink"/>
            <w:rFonts w:ascii="Times New Roman" w:hAnsi="Times New Roman" w:cs="Times New Roman"/>
            <w:noProof/>
            <w:sz w:val="24"/>
            <w:szCs w:val="24"/>
            <w:vertAlign w:val="subscript"/>
          </w:rPr>
          <w:t xml:space="preserve">max,B </w:t>
        </w:r>
        <w:r w:rsidR="006835EA" w:rsidRPr="005F4E1A">
          <w:rPr>
            <w:rStyle w:val="Hyperlink"/>
            <w:rFonts w:ascii="Times New Roman" w:hAnsi="Times New Roman" w:cs="Times New Roman"/>
            <w:noProof/>
            <w:sz w:val="24"/>
            <w:szCs w:val="24"/>
          </w:rPr>
          <w:t>) regimes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_Toc173148386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74</w:t>
        </w:r>
        <w:r w:rsidR="006835EA" w:rsidRPr="005F4E1A">
          <w:rPr>
            <w:rFonts w:ascii="Times New Roman" w:hAnsi="Times New Roman" w:cs="Times New Roman"/>
            <w:noProof/>
            <w:webHidden/>
            <w:sz w:val="24"/>
            <w:szCs w:val="24"/>
          </w:rPr>
          <w:fldChar w:fldCharType="end"/>
        </w:r>
      </w:hyperlink>
    </w:p>
    <w:p w14:paraId="442F646D" w14:textId="0A9258A3"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7"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3.10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w:t>
        </w:r>
        <w:r w:rsidR="006835EA" w:rsidRPr="005F4E1A">
          <w:rPr>
            <w:rStyle w:val="Hyperlink"/>
            <w:rFonts w:ascii="Times New Roman" w:hAnsi="Times New Roman" w:cs="Times New Roman"/>
            <w:i/>
            <w:iCs/>
            <w:noProof/>
            <w:sz w:val="24"/>
            <w:szCs w:val="24"/>
          </w:rPr>
          <w:t xml:space="preserve">Synechococcus </w:t>
        </w:r>
        <w:r w:rsidR="006835EA" w:rsidRPr="005F4E1A">
          <w:rPr>
            <w:rStyle w:val="Hyperlink"/>
            <w:rFonts w:ascii="Times New Roman" w:hAnsi="Times New Roman" w:cs="Times New Roman"/>
            <w:noProof/>
            <w:sz w:val="24"/>
            <w:szCs w:val="24"/>
          </w:rPr>
          <w:t>competitive outcomes as a result of EZ55 cell density</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_Toc173148387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77</w:t>
        </w:r>
        <w:r w:rsidR="006835EA" w:rsidRPr="005F4E1A">
          <w:rPr>
            <w:rFonts w:ascii="Times New Roman" w:hAnsi="Times New Roman" w:cs="Times New Roman"/>
            <w:noProof/>
            <w:webHidden/>
            <w:sz w:val="24"/>
            <w:szCs w:val="24"/>
          </w:rPr>
          <w:fldChar w:fldCharType="end"/>
        </w:r>
      </w:hyperlink>
    </w:p>
    <w:p w14:paraId="692C7B58" w14:textId="65039425"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8"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 xml:space="preserve">4.1 Extrapolating from four dimensionless plankton competition models to an </w:t>
        </w:r>
        <w:r w:rsidR="006835EA" w:rsidRPr="005F4E1A">
          <w:rPr>
            <w:rStyle w:val="Hyperlink"/>
            <w:rFonts w:ascii="Times New Roman" w:hAnsi="Times New Roman" w:cs="Times New Roman"/>
            <w:i/>
            <w:iCs/>
            <w:noProof/>
            <w:sz w:val="24"/>
            <w:szCs w:val="24"/>
          </w:rPr>
          <w:t>in situ</w:t>
        </w:r>
        <w:r w:rsidR="006835EA" w:rsidRPr="005F4E1A">
          <w:rPr>
            <w:rStyle w:val="Hyperlink"/>
            <w:rFonts w:ascii="Times New Roman" w:hAnsi="Times New Roman" w:cs="Times New Roman"/>
            <w:noProof/>
            <w:sz w:val="24"/>
            <w:szCs w:val="24"/>
          </w:rPr>
          <w:t xml:space="preserve"> global plankton model influenced by realistic physical inputs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_Toc173148388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87</w:t>
        </w:r>
        <w:r w:rsidR="006835EA" w:rsidRPr="005F4E1A">
          <w:rPr>
            <w:rFonts w:ascii="Times New Roman" w:hAnsi="Times New Roman" w:cs="Times New Roman"/>
            <w:noProof/>
            <w:webHidden/>
            <w:sz w:val="24"/>
            <w:szCs w:val="24"/>
          </w:rPr>
          <w:fldChar w:fldCharType="end"/>
        </w:r>
      </w:hyperlink>
    </w:p>
    <w:p w14:paraId="6A84BF53" w14:textId="50817699"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89"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4.2 Mean temporally aggregated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concentration from last year of a 10 year global circulation model</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_Toc173148389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98</w:t>
        </w:r>
        <w:r w:rsidR="006835EA" w:rsidRPr="005F4E1A">
          <w:rPr>
            <w:rFonts w:ascii="Times New Roman" w:hAnsi="Times New Roman" w:cs="Times New Roman"/>
            <w:noProof/>
            <w:webHidden/>
            <w:sz w:val="24"/>
            <w:szCs w:val="24"/>
          </w:rPr>
          <w:fldChar w:fldCharType="end"/>
        </w:r>
      </w:hyperlink>
    </w:p>
    <w:p w14:paraId="01ACC3A0" w14:textId="43760678"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90"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4.3 Nutrient Competition in a non-leaky world</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_Toc173148390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99</w:t>
        </w:r>
        <w:r w:rsidR="006835EA" w:rsidRPr="005F4E1A">
          <w:rPr>
            <w:rFonts w:ascii="Times New Roman" w:hAnsi="Times New Roman" w:cs="Times New Roman"/>
            <w:noProof/>
            <w:webHidden/>
            <w:sz w:val="24"/>
            <w:szCs w:val="24"/>
          </w:rPr>
          <w:fldChar w:fldCharType="end"/>
        </w:r>
      </w:hyperlink>
    </w:p>
    <w:p w14:paraId="5BD976E3" w14:textId="67F4FCB1"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91"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4.4 Unilateral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damage in a non-leaky world</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_Toc173148391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100</w:t>
        </w:r>
        <w:r w:rsidR="006835EA" w:rsidRPr="005F4E1A">
          <w:rPr>
            <w:rFonts w:ascii="Times New Roman" w:hAnsi="Times New Roman" w:cs="Times New Roman"/>
            <w:noProof/>
            <w:webHidden/>
            <w:sz w:val="24"/>
            <w:szCs w:val="24"/>
          </w:rPr>
          <w:fldChar w:fldCharType="end"/>
        </w:r>
      </w:hyperlink>
    </w:p>
    <w:p w14:paraId="40B2D149" w14:textId="47586B70"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92"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4.5 Leaky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dynamics using monoculture </w:t>
        </w:r>
        <w:r w:rsidR="006835EA" w:rsidRPr="005F4E1A">
          <w:rPr>
            <w:rStyle w:val="Hyperlink"/>
            <w:rFonts w:ascii="Times New Roman" w:hAnsi="Times New Roman" w:cs="Times New Roman"/>
            <w:i/>
            <w:iCs/>
            <w:noProof/>
            <w:sz w:val="24"/>
            <w:szCs w:val="24"/>
          </w:rPr>
          <w:t>Prochlorococcus</w:t>
        </w:r>
        <w:r w:rsidR="006835EA" w:rsidRPr="005F4E1A">
          <w:rPr>
            <w:rStyle w:val="Hyperlink"/>
            <w:rFonts w:ascii="Times New Roman" w:hAnsi="Times New Roman" w:cs="Times New Roman"/>
            <w:noProof/>
            <w:sz w:val="24"/>
            <w:szCs w:val="24"/>
          </w:rPr>
          <w:t xml:space="preserve">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parameters.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_Toc173148392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101</w:t>
        </w:r>
        <w:r w:rsidR="006835EA" w:rsidRPr="005F4E1A">
          <w:rPr>
            <w:rFonts w:ascii="Times New Roman" w:hAnsi="Times New Roman" w:cs="Times New Roman"/>
            <w:noProof/>
            <w:webHidden/>
            <w:sz w:val="24"/>
            <w:szCs w:val="24"/>
          </w:rPr>
          <w:fldChar w:fldCharType="end"/>
        </w:r>
      </w:hyperlink>
    </w:p>
    <w:p w14:paraId="2713C0CD" w14:textId="79A39AE7" w:rsidR="006835EA"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148393" w:history="1">
        <w:r w:rsidR="006835EA" w:rsidRPr="005F4E1A">
          <w:rPr>
            <w:rStyle w:val="Hyperlink"/>
            <w:rFonts w:ascii="Times New Roman" w:hAnsi="Times New Roman" w:cs="Times New Roman"/>
            <w:noProof/>
            <w:sz w:val="24"/>
            <w:szCs w:val="24"/>
          </w:rPr>
          <w:t xml:space="preserve">Figure </w:t>
        </w:r>
        <w:r w:rsidR="006835EA" w:rsidRPr="005F4E1A">
          <w:rPr>
            <w:rStyle w:val="Hyperlink"/>
            <w:rFonts w:ascii="Times New Roman" w:hAnsi="Times New Roman" w:cs="Times New Roman"/>
            <w:noProof/>
            <w:sz w:val="24"/>
            <w:szCs w:val="24"/>
            <w:cs/>
          </w:rPr>
          <w:t>‎</w:t>
        </w:r>
        <w:r w:rsidR="006835EA" w:rsidRPr="005F4E1A">
          <w:rPr>
            <w:rStyle w:val="Hyperlink"/>
            <w:rFonts w:ascii="Times New Roman" w:hAnsi="Times New Roman" w:cs="Times New Roman"/>
            <w:noProof/>
            <w:sz w:val="24"/>
            <w:szCs w:val="24"/>
          </w:rPr>
          <w:t>4.6 Leaky H</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O</w:t>
        </w:r>
        <w:r w:rsidR="006835EA" w:rsidRPr="005F4E1A">
          <w:rPr>
            <w:rStyle w:val="Hyperlink"/>
            <w:rFonts w:ascii="Times New Roman" w:hAnsi="Times New Roman" w:cs="Times New Roman"/>
            <w:noProof/>
            <w:sz w:val="24"/>
            <w:szCs w:val="24"/>
            <w:vertAlign w:val="subscript"/>
          </w:rPr>
          <w:t>2</w:t>
        </w:r>
        <w:r w:rsidR="006835EA" w:rsidRPr="005F4E1A">
          <w:rPr>
            <w:rStyle w:val="Hyperlink"/>
            <w:rFonts w:ascii="Times New Roman" w:hAnsi="Times New Roman" w:cs="Times New Roman"/>
            <w:noProof/>
            <w:sz w:val="24"/>
            <w:szCs w:val="24"/>
          </w:rPr>
          <w:t xml:space="preserve"> dynamics using Bacterial and </w:t>
        </w:r>
        <w:r w:rsidR="006835EA" w:rsidRPr="005F4E1A">
          <w:rPr>
            <w:rStyle w:val="Hyperlink"/>
            <w:rFonts w:ascii="Times New Roman" w:hAnsi="Times New Roman" w:cs="Times New Roman"/>
            <w:i/>
            <w:iCs/>
            <w:noProof/>
            <w:sz w:val="24"/>
            <w:szCs w:val="24"/>
          </w:rPr>
          <w:t>Synechococcus</w:t>
        </w:r>
        <w:r w:rsidR="006835EA" w:rsidRPr="005F4E1A">
          <w:rPr>
            <w:rStyle w:val="Hyperlink"/>
            <w:rFonts w:ascii="Times New Roman" w:hAnsi="Times New Roman" w:cs="Times New Roman"/>
            <w:noProof/>
            <w:sz w:val="24"/>
            <w:szCs w:val="24"/>
          </w:rPr>
          <w:t xml:space="preserve"> detoxification parameters</w:t>
        </w:r>
        <w:r w:rsidR="006835EA" w:rsidRPr="005F4E1A">
          <w:rPr>
            <w:rFonts w:ascii="Times New Roman" w:hAnsi="Times New Roman" w:cs="Times New Roman"/>
            <w:noProof/>
            <w:webHidden/>
            <w:sz w:val="24"/>
            <w:szCs w:val="24"/>
          </w:rPr>
          <w:tab/>
        </w:r>
        <w:r w:rsidR="006835EA" w:rsidRPr="005F4E1A">
          <w:rPr>
            <w:rFonts w:ascii="Times New Roman" w:hAnsi="Times New Roman" w:cs="Times New Roman"/>
            <w:noProof/>
            <w:webHidden/>
            <w:sz w:val="24"/>
            <w:szCs w:val="24"/>
          </w:rPr>
          <w:fldChar w:fldCharType="begin"/>
        </w:r>
        <w:r w:rsidR="006835EA" w:rsidRPr="005F4E1A">
          <w:rPr>
            <w:rFonts w:ascii="Times New Roman" w:hAnsi="Times New Roman" w:cs="Times New Roman"/>
            <w:noProof/>
            <w:webHidden/>
            <w:sz w:val="24"/>
            <w:szCs w:val="24"/>
          </w:rPr>
          <w:instrText xml:space="preserve"> PAGEREF _Toc173148393 \h </w:instrText>
        </w:r>
        <w:r w:rsidR="006835EA" w:rsidRPr="005F4E1A">
          <w:rPr>
            <w:rFonts w:ascii="Times New Roman" w:hAnsi="Times New Roman" w:cs="Times New Roman"/>
            <w:noProof/>
            <w:webHidden/>
            <w:sz w:val="24"/>
            <w:szCs w:val="24"/>
          </w:rPr>
        </w:r>
        <w:r w:rsidR="006835E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102</w:t>
        </w:r>
        <w:r w:rsidR="006835EA" w:rsidRPr="005F4E1A">
          <w:rPr>
            <w:rFonts w:ascii="Times New Roman" w:hAnsi="Times New Roman" w:cs="Times New Roman"/>
            <w:noProof/>
            <w:webHidden/>
            <w:sz w:val="24"/>
            <w:szCs w:val="24"/>
          </w:rPr>
          <w:fldChar w:fldCharType="end"/>
        </w:r>
      </w:hyperlink>
    </w:p>
    <w:p w14:paraId="105A518F" w14:textId="6D78BE07" w:rsidR="005F4E1A" w:rsidRPr="005F4E1A" w:rsidRDefault="00E04A12" w:rsidP="005F4E1A">
      <w:pPr>
        <w:spacing w:line="360" w:lineRule="auto"/>
        <w:rPr>
          <w:rFonts w:ascii="Times New Roman" w:hAnsi="Times New Roman" w:cs="Times New Roman"/>
          <w:noProof/>
          <w:sz w:val="24"/>
          <w:szCs w:val="24"/>
        </w:rPr>
      </w:pPr>
      <w:r w:rsidRPr="005F4E1A">
        <w:rPr>
          <w:rFonts w:ascii="Times New Roman" w:hAnsi="Times New Roman" w:cs="Times New Roman"/>
          <w:sz w:val="24"/>
          <w:szCs w:val="24"/>
        </w:rPr>
        <w:fldChar w:fldCharType="end"/>
      </w:r>
      <w:r w:rsidR="00C256AE" w:rsidRPr="005F4E1A">
        <w:rPr>
          <w:rFonts w:ascii="Times New Roman" w:hAnsi="Times New Roman" w:cs="Times New Roman"/>
          <w:sz w:val="24"/>
          <w:szCs w:val="24"/>
        </w:rPr>
        <w:fldChar w:fldCharType="begin"/>
      </w:r>
      <w:r w:rsidR="00C256AE" w:rsidRPr="005F4E1A">
        <w:rPr>
          <w:rFonts w:ascii="Times New Roman" w:hAnsi="Times New Roman" w:cs="Times New Roman"/>
          <w:sz w:val="24"/>
          <w:szCs w:val="24"/>
        </w:rPr>
        <w:instrText xml:space="preserve"> TOC \h \z \c "A" </w:instrText>
      </w:r>
      <w:r w:rsidR="00C256AE" w:rsidRPr="005F4E1A">
        <w:rPr>
          <w:rFonts w:ascii="Times New Roman" w:hAnsi="Times New Roman" w:cs="Times New Roman"/>
          <w:sz w:val="24"/>
          <w:szCs w:val="24"/>
        </w:rPr>
        <w:fldChar w:fldCharType="separate"/>
      </w:r>
      <w:hyperlink w:anchor="_Toc173250081" w:history="1">
        <w:r w:rsidR="005F4E1A" w:rsidRPr="005F4E1A">
          <w:rPr>
            <w:rStyle w:val="Hyperlink"/>
            <w:rFonts w:ascii="Times New Roman" w:hAnsi="Times New Roman" w:cs="Times New Roman"/>
            <w:noProof/>
            <w:sz w:val="24"/>
            <w:szCs w:val="24"/>
          </w:rPr>
          <w:t>Figure A 1 Standard deviation and mean analysis among biological triplicates for raw (left) vs log-transformed (right) Prochlorococcus abundance, Synechococcus abundance and H</w:t>
        </w:r>
        <w:r w:rsidR="005F4E1A" w:rsidRPr="005F4E1A">
          <w:rPr>
            <w:rStyle w:val="Hyperlink"/>
            <w:rFonts w:ascii="Times New Roman" w:hAnsi="Times New Roman" w:cs="Times New Roman"/>
            <w:noProof/>
            <w:sz w:val="24"/>
            <w:szCs w:val="24"/>
            <w:vertAlign w:val="subscript"/>
          </w:rPr>
          <w:t>2</w:t>
        </w:r>
        <w:r w:rsidR="005F4E1A" w:rsidRPr="005F4E1A">
          <w:rPr>
            <w:rStyle w:val="Hyperlink"/>
            <w:rFonts w:ascii="Times New Roman" w:hAnsi="Times New Roman" w:cs="Times New Roman"/>
            <w:noProof/>
            <w:sz w:val="24"/>
            <w:szCs w:val="24"/>
          </w:rPr>
          <w:t>O</w:t>
        </w:r>
        <w:r w:rsidR="005F4E1A" w:rsidRPr="005F4E1A">
          <w:rPr>
            <w:rStyle w:val="Hyperlink"/>
            <w:rFonts w:ascii="Times New Roman" w:hAnsi="Times New Roman" w:cs="Times New Roman"/>
            <w:noProof/>
            <w:sz w:val="24"/>
            <w:szCs w:val="24"/>
            <w:vertAlign w:val="subscript"/>
          </w:rPr>
          <w:t>2</w:t>
        </w:r>
        <w:r w:rsidR="005F4E1A" w:rsidRPr="005F4E1A">
          <w:rPr>
            <w:rStyle w:val="Hyperlink"/>
            <w:rFonts w:ascii="Times New Roman" w:hAnsi="Times New Roman" w:cs="Times New Roman"/>
            <w:noProof/>
            <w:sz w:val="24"/>
            <w:szCs w:val="24"/>
          </w:rPr>
          <w:t xml:space="preserve"> (HOOH) data.</w:t>
        </w:r>
        <w:r w:rsidR="005F4E1A" w:rsidRPr="005F4E1A">
          <w:rPr>
            <w:rFonts w:ascii="Times New Roman" w:hAnsi="Times New Roman" w:cs="Times New Roman"/>
            <w:noProof/>
            <w:webHidden/>
            <w:sz w:val="24"/>
            <w:szCs w:val="24"/>
          </w:rPr>
          <w:tab/>
        </w:r>
        <w:r w:rsidR="005F4E1A" w:rsidRPr="005F4E1A">
          <w:rPr>
            <w:rFonts w:ascii="Times New Roman" w:hAnsi="Times New Roman" w:cs="Times New Roman"/>
            <w:noProof/>
            <w:webHidden/>
            <w:sz w:val="24"/>
            <w:szCs w:val="24"/>
          </w:rPr>
          <w:fldChar w:fldCharType="begin"/>
        </w:r>
        <w:r w:rsidR="005F4E1A" w:rsidRPr="005F4E1A">
          <w:rPr>
            <w:rFonts w:ascii="Times New Roman" w:hAnsi="Times New Roman" w:cs="Times New Roman"/>
            <w:noProof/>
            <w:webHidden/>
            <w:sz w:val="24"/>
            <w:szCs w:val="24"/>
          </w:rPr>
          <w:instrText xml:space="preserve"> PAGEREF _Toc173250081 \h </w:instrText>
        </w:r>
        <w:r w:rsidR="005F4E1A" w:rsidRPr="005F4E1A">
          <w:rPr>
            <w:rFonts w:ascii="Times New Roman" w:hAnsi="Times New Roman" w:cs="Times New Roman"/>
            <w:noProof/>
            <w:webHidden/>
            <w:sz w:val="24"/>
            <w:szCs w:val="24"/>
          </w:rPr>
        </w:r>
        <w:r w:rsidR="005F4E1A"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144</w:t>
        </w:r>
        <w:r w:rsidR="005F4E1A" w:rsidRPr="005F4E1A">
          <w:rPr>
            <w:rFonts w:ascii="Times New Roman" w:hAnsi="Times New Roman" w:cs="Times New Roman"/>
            <w:noProof/>
            <w:webHidden/>
            <w:sz w:val="24"/>
            <w:szCs w:val="24"/>
          </w:rPr>
          <w:fldChar w:fldCharType="end"/>
        </w:r>
      </w:hyperlink>
    </w:p>
    <w:p w14:paraId="73F7959D" w14:textId="3A801377"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2" w:history="1">
        <w:r w:rsidRPr="005F4E1A">
          <w:rPr>
            <w:rStyle w:val="Hyperlink"/>
            <w:rFonts w:ascii="Times New Roman" w:hAnsi="Times New Roman" w:cs="Times New Roman"/>
            <w:noProof/>
            <w:sz w:val="24"/>
            <w:szCs w:val="24"/>
          </w:rPr>
          <w:t>Figure A 2 Error analysis replicates of hydrogen peroxide</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_Toc173250082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147</w:t>
        </w:r>
        <w:r w:rsidRPr="005F4E1A">
          <w:rPr>
            <w:rFonts w:ascii="Times New Roman" w:hAnsi="Times New Roman" w:cs="Times New Roman"/>
            <w:noProof/>
            <w:webHidden/>
            <w:sz w:val="24"/>
            <w:szCs w:val="24"/>
          </w:rPr>
          <w:fldChar w:fldCharType="end"/>
        </w:r>
      </w:hyperlink>
    </w:p>
    <w:p w14:paraId="7C33B0DA" w14:textId="0D1FF8F7"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3" w:history="1">
        <w:r w:rsidRPr="005F4E1A">
          <w:rPr>
            <w:rStyle w:val="Hyperlink"/>
            <w:rFonts w:ascii="Times New Roman" w:hAnsi="Times New Roman" w:cs="Times New Roman"/>
            <w:noProof/>
            <w:sz w:val="24"/>
            <w:szCs w:val="24"/>
          </w:rPr>
          <w:t>Figure A 3 Error analysis replicates of Synechococcus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_Toc173250083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148</w:t>
        </w:r>
        <w:r w:rsidRPr="005F4E1A">
          <w:rPr>
            <w:rFonts w:ascii="Times New Roman" w:hAnsi="Times New Roman" w:cs="Times New Roman"/>
            <w:noProof/>
            <w:webHidden/>
            <w:sz w:val="24"/>
            <w:szCs w:val="24"/>
          </w:rPr>
          <w:fldChar w:fldCharType="end"/>
        </w:r>
      </w:hyperlink>
    </w:p>
    <w:p w14:paraId="66148F1B" w14:textId="2D4AC735"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4" w:history="1">
        <w:r w:rsidRPr="005F4E1A">
          <w:rPr>
            <w:rStyle w:val="Hyperlink"/>
            <w:rFonts w:ascii="Times New Roman" w:hAnsi="Times New Roman" w:cs="Times New Roman"/>
            <w:noProof/>
            <w:sz w:val="24"/>
            <w:szCs w:val="24"/>
          </w:rPr>
          <w:t xml:space="preserve">Figure A 4 Monoculture dynamics of </w:t>
        </w:r>
        <w:r w:rsidRPr="005F4E1A">
          <w:rPr>
            <w:rStyle w:val="Hyperlink"/>
            <w:rFonts w:ascii="Times New Roman" w:hAnsi="Times New Roman" w:cs="Times New Roman"/>
            <w:i/>
            <w:iCs/>
            <w:noProof/>
            <w:sz w:val="24"/>
            <w:szCs w:val="24"/>
          </w:rPr>
          <w:t>Prochlorococcus</w:t>
        </w:r>
        <w:r w:rsidRPr="005F4E1A">
          <w:rPr>
            <w:rStyle w:val="Hyperlink"/>
            <w:rFonts w:ascii="Times New Roman" w:hAnsi="Times New Roman" w:cs="Times New Roman"/>
            <w:noProof/>
            <w:sz w:val="24"/>
            <w:szCs w:val="24"/>
          </w:rPr>
          <w:t xml:space="preserve"> dataset #2 modeled in growth media with 0 additional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Laboratory batch culture dynamics of </w:t>
        </w:r>
        <w:r w:rsidRPr="005F4E1A">
          <w:rPr>
            <w:rStyle w:val="Hyperlink"/>
            <w:rFonts w:ascii="Times New Roman" w:hAnsi="Times New Roman" w:cs="Times New Roman"/>
            <w:i/>
            <w:iCs/>
            <w:noProof/>
            <w:sz w:val="24"/>
            <w:szCs w:val="24"/>
          </w:rPr>
          <w:t xml:space="preserve">Prochlorococcus </w:t>
        </w:r>
        <w:r w:rsidRPr="005F4E1A">
          <w:rPr>
            <w:rStyle w:val="Hyperlink"/>
            <w:rFonts w:ascii="Times New Roman" w:hAnsi="Times New Roman" w:cs="Times New Roman"/>
            <w:noProof/>
            <w:sz w:val="24"/>
            <w:szCs w:val="24"/>
          </w:rPr>
          <w:t>(Vol #1) data (blue line) and model searches (grey lines) with optimal solution (red line) in zero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batch culture (a). Also shown are parameter value histograms for the initial cell concentration (P</w:t>
        </w:r>
        <w:r w:rsidRPr="005F4E1A">
          <w:rPr>
            <w:rStyle w:val="Hyperlink"/>
            <w:rFonts w:ascii="Times New Roman" w:hAnsi="Times New Roman" w:cs="Times New Roman"/>
            <w:noProof/>
            <w:sz w:val="24"/>
            <w:szCs w:val="24"/>
            <w:vertAlign w:val="subscript"/>
          </w:rPr>
          <w:t>0</w:t>
        </w:r>
        <w:r w:rsidRPr="005F4E1A">
          <w:rPr>
            <w:rStyle w:val="Hyperlink"/>
            <w:rFonts w:ascii="Times New Roman" w:hAnsi="Times New Roman" w:cs="Times New Roman"/>
            <w:noProof/>
            <w:sz w:val="24"/>
            <w:szCs w:val="24"/>
          </w:rPr>
          <w:t>) and exponential growth rate (</w:t>
        </w:r>
        <m:oMath>
          <m:r>
            <w:rPr>
              <w:rStyle w:val="Hyperlink"/>
              <w:rFonts w:ascii="Cambria Math" w:hAnsi="Cambria Math" w:cs="Times New Roman"/>
              <w:noProof/>
              <w:sz w:val="24"/>
              <w:szCs w:val="24"/>
            </w:rPr>
            <m:t>μi</m:t>
          </m:r>
        </m:oMath>
        <w:r w:rsidRPr="005F4E1A">
          <w:rPr>
            <w:rStyle w:val="Hyperlink"/>
            <w:rFonts w:ascii="Times New Roman" w:hAnsi="Times New Roman" w:cs="Times New Roman"/>
            <w:noProof/>
            <w:sz w:val="24"/>
            <w:szCs w:val="24"/>
          </w:rPr>
          <w:t>) (b,c, respectively).</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_Toc173250084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149</w:t>
        </w:r>
        <w:r w:rsidRPr="005F4E1A">
          <w:rPr>
            <w:rFonts w:ascii="Times New Roman" w:hAnsi="Times New Roman" w:cs="Times New Roman"/>
            <w:noProof/>
            <w:webHidden/>
            <w:sz w:val="24"/>
            <w:szCs w:val="24"/>
          </w:rPr>
          <w:fldChar w:fldCharType="end"/>
        </w:r>
      </w:hyperlink>
    </w:p>
    <w:p w14:paraId="3DC2FF03" w14:textId="1D8E8C44"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5" w:history="1">
        <w:r w:rsidRPr="005F4E1A">
          <w:rPr>
            <w:rStyle w:val="Hyperlink"/>
            <w:rFonts w:ascii="Times New Roman" w:hAnsi="Times New Roman" w:cs="Times New Roman"/>
            <w:noProof/>
            <w:sz w:val="24"/>
            <w:szCs w:val="24"/>
          </w:rPr>
          <w:t xml:space="preserve">Figure A 8 </w:t>
        </w:r>
        <w:r w:rsidRPr="005F4E1A">
          <w:rPr>
            <w:rStyle w:val="Hyperlink"/>
            <w:rFonts w:ascii="Times New Roman" w:hAnsi="Times New Roman" w:cs="Times New Roman"/>
            <w:i/>
            <w:iCs/>
            <w:noProof/>
            <w:sz w:val="24"/>
            <w:szCs w:val="24"/>
          </w:rPr>
          <w:t>Synechococcus</w:t>
        </w:r>
        <w:r w:rsidRPr="005F4E1A">
          <w:rPr>
            <w:rStyle w:val="Hyperlink"/>
            <w:rFonts w:ascii="Times New Roman" w:hAnsi="Times New Roman" w:cs="Times New Roman"/>
            <w:noProof/>
            <w:sz w:val="24"/>
            <w:szCs w:val="24"/>
          </w:rPr>
          <w:t xml:space="preserve"> WH7803 (Vol #52) modeled in growth media with 0 additional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_Toc173250085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153</w:t>
        </w:r>
        <w:r w:rsidRPr="005F4E1A">
          <w:rPr>
            <w:rFonts w:ascii="Times New Roman" w:hAnsi="Times New Roman" w:cs="Times New Roman"/>
            <w:noProof/>
            <w:webHidden/>
            <w:sz w:val="24"/>
            <w:szCs w:val="24"/>
          </w:rPr>
          <w:fldChar w:fldCharType="end"/>
        </w:r>
      </w:hyperlink>
    </w:p>
    <w:p w14:paraId="7CBDE7C2" w14:textId="7E0FBAB0"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6" w:history="1">
        <w:r w:rsidRPr="005F4E1A">
          <w:rPr>
            <w:rStyle w:val="Hyperlink"/>
            <w:rFonts w:ascii="Times New Roman" w:hAnsi="Times New Roman" w:cs="Times New Roman"/>
            <w:noProof/>
            <w:sz w:val="24"/>
            <w:szCs w:val="24"/>
          </w:rPr>
          <w:t xml:space="preserve">Figure A 9 Modeled </w:t>
        </w:r>
        <w:r w:rsidRPr="005F4E1A">
          <w:rPr>
            <w:rStyle w:val="Hyperlink"/>
            <w:rFonts w:ascii="Times New Roman" w:hAnsi="Times New Roman" w:cs="Times New Roman"/>
            <w:i/>
            <w:iCs/>
            <w:noProof/>
            <w:sz w:val="24"/>
            <w:szCs w:val="24"/>
          </w:rPr>
          <w:t>Synechococcus</w:t>
        </w:r>
        <w:r w:rsidRPr="005F4E1A">
          <w:rPr>
            <w:rStyle w:val="Hyperlink"/>
            <w:rFonts w:ascii="Times New Roman" w:hAnsi="Times New Roman" w:cs="Times New Roman"/>
            <w:noProof/>
            <w:sz w:val="24"/>
            <w:szCs w:val="24"/>
          </w:rPr>
          <w:t xml:space="preserve"> WH7803 monoculture in 400nM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spike assay</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_Toc173250086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154</w:t>
        </w:r>
        <w:r w:rsidRPr="005F4E1A">
          <w:rPr>
            <w:rFonts w:ascii="Times New Roman" w:hAnsi="Times New Roman" w:cs="Times New Roman"/>
            <w:noProof/>
            <w:webHidden/>
            <w:sz w:val="24"/>
            <w:szCs w:val="24"/>
          </w:rPr>
          <w:fldChar w:fldCharType="end"/>
        </w:r>
      </w:hyperlink>
    </w:p>
    <w:p w14:paraId="1C70FD3B" w14:textId="43C595AC"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7" w:history="1">
        <w:r w:rsidRPr="005F4E1A">
          <w:rPr>
            <w:rStyle w:val="Hyperlink"/>
            <w:rFonts w:ascii="Times New Roman" w:hAnsi="Times New Roman" w:cs="Times New Roman"/>
            <w:noProof/>
            <w:sz w:val="24"/>
            <w:szCs w:val="24"/>
          </w:rPr>
          <w:t>Figure A 10 Heterotroph EZ55 300nM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spiked media dynamics over 2 hours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_Toc173250087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155</w:t>
        </w:r>
        <w:r w:rsidRPr="005F4E1A">
          <w:rPr>
            <w:rFonts w:ascii="Times New Roman" w:hAnsi="Times New Roman" w:cs="Times New Roman"/>
            <w:noProof/>
            <w:webHidden/>
            <w:sz w:val="24"/>
            <w:szCs w:val="24"/>
          </w:rPr>
          <w:fldChar w:fldCharType="end"/>
        </w:r>
      </w:hyperlink>
    </w:p>
    <w:p w14:paraId="35AF8EBC" w14:textId="27E84A4A"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8" w:history="1">
        <w:r w:rsidRPr="005F4E1A">
          <w:rPr>
            <w:rStyle w:val="Hyperlink"/>
            <w:rFonts w:ascii="Times New Roman" w:hAnsi="Times New Roman" w:cs="Times New Roman"/>
            <w:noProof/>
            <w:sz w:val="24"/>
            <w:szCs w:val="24"/>
          </w:rPr>
          <w:t>Figure A 11 Heterotroph EZ55 800nM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 xml:space="preserve">2 </w:t>
        </w:r>
        <w:r w:rsidRPr="005F4E1A">
          <w:rPr>
            <w:rStyle w:val="Hyperlink"/>
            <w:rFonts w:ascii="Times New Roman" w:hAnsi="Times New Roman" w:cs="Times New Roman"/>
            <w:noProof/>
            <w:sz w:val="24"/>
            <w:szCs w:val="24"/>
          </w:rPr>
          <w:t>spiked media dynamics over 2 hours</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_Toc173250088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156</w:t>
        </w:r>
        <w:r w:rsidRPr="005F4E1A">
          <w:rPr>
            <w:rFonts w:ascii="Times New Roman" w:hAnsi="Times New Roman" w:cs="Times New Roman"/>
            <w:noProof/>
            <w:webHidden/>
            <w:sz w:val="24"/>
            <w:szCs w:val="24"/>
          </w:rPr>
          <w:fldChar w:fldCharType="end"/>
        </w:r>
      </w:hyperlink>
    </w:p>
    <w:p w14:paraId="2B039505" w14:textId="3B2A0737"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89" w:history="1">
        <w:r w:rsidRPr="005F4E1A">
          <w:rPr>
            <w:rStyle w:val="Hyperlink"/>
            <w:rFonts w:ascii="Times New Roman" w:hAnsi="Times New Roman" w:cs="Times New Roman"/>
            <w:noProof/>
            <w:sz w:val="24"/>
            <w:szCs w:val="24"/>
          </w:rPr>
          <w:t>Figure A 12 Modeled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production in TAPs buffer</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_Toc173250089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158</w:t>
        </w:r>
        <w:r w:rsidRPr="005F4E1A">
          <w:rPr>
            <w:rFonts w:ascii="Times New Roman" w:hAnsi="Times New Roman" w:cs="Times New Roman"/>
            <w:noProof/>
            <w:webHidden/>
            <w:sz w:val="24"/>
            <w:szCs w:val="24"/>
          </w:rPr>
          <w:fldChar w:fldCharType="end"/>
        </w:r>
      </w:hyperlink>
    </w:p>
    <w:p w14:paraId="4378A8AC" w14:textId="112A1B2D"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90" w:history="1">
        <w:r w:rsidRPr="005F4E1A">
          <w:rPr>
            <w:rStyle w:val="Hyperlink"/>
            <w:rFonts w:ascii="Times New Roman" w:hAnsi="Times New Roman" w:cs="Times New Roman"/>
            <w:noProof/>
            <w:sz w:val="24"/>
            <w:szCs w:val="24"/>
          </w:rPr>
          <w:t>Figure A 13 Modeled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 xml:space="preserve"> production in HEPES buffer</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_Toc173250090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159</w:t>
        </w:r>
        <w:r w:rsidRPr="005F4E1A">
          <w:rPr>
            <w:rFonts w:ascii="Times New Roman" w:hAnsi="Times New Roman" w:cs="Times New Roman"/>
            <w:noProof/>
            <w:webHidden/>
            <w:sz w:val="24"/>
            <w:szCs w:val="24"/>
          </w:rPr>
          <w:fldChar w:fldCharType="end"/>
        </w:r>
      </w:hyperlink>
    </w:p>
    <w:p w14:paraId="06EBAFBF" w14:textId="1F950F9D" w:rsidR="005F4E1A" w:rsidRPr="005F4E1A" w:rsidRDefault="005F4E1A">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3250091" w:history="1">
        <w:r w:rsidRPr="005F4E1A">
          <w:rPr>
            <w:rStyle w:val="Hyperlink"/>
            <w:rFonts w:ascii="Times New Roman" w:hAnsi="Times New Roman" w:cs="Times New Roman"/>
            <w:noProof/>
            <w:sz w:val="24"/>
            <w:szCs w:val="24"/>
          </w:rPr>
          <w:t xml:space="preserve">Figure B 1 Monoculture </w:t>
        </w:r>
        <w:r w:rsidRPr="005F4E1A">
          <w:rPr>
            <w:rStyle w:val="Hyperlink"/>
            <w:rFonts w:ascii="Times New Roman" w:hAnsi="Times New Roman" w:cs="Times New Roman"/>
            <w:i/>
            <w:iCs/>
            <w:noProof/>
            <w:sz w:val="24"/>
            <w:szCs w:val="24"/>
          </w:rPr>
          <w:t xml:space="preserve">Micromonas commoda </w:t>
        </w:r>
        <w:r w:rsidRPr="005F4E1A">
          <w:rPr>
            <w:rStyle w:val="Hyperlink"/>
            <w:rFonts w:ascii="Times New Roman" w:hAnsi="Times New Roman" w:cs="Times New Roman"/>
            <w:noProof/>
            <w:sz w:val="24"/>
            <w:szCs w:val="24"/>
          </w:rPr>
          <w:t>in growth media with 0 additional H</w:t>
        </w:r>
        <w:r w:rsidRPr="005F4E1A">
          <w:rPr>
            <w:rStyle w:val="Hyperlink"/>
            <w:rFonts w:ascii="Times New Roman" w:hAnsi="Times New Roman" w:cs="Times New Roman"/>
            <w:noProof/>
            <w:sz w:val="24"/>
            <w:szCs w:val="24"/>
            <w:vertAlign w:val="subscript"/>
          </w:rPr>
          <w:t>2</w:t>
        </w:r>
        <w:r w:rsidRPr="005F4E1A">
          <w:rPr>
            <w:rStyle w:val="Hyperlink"/>
            <w:rFonts w:ascii="Times New Roman" w:hAnsi="Times New Roman" w:cs="Times New Roman"/>
            <w:noProof/>
            <w:sz w:val="24"/>
            <w:szCs w:val="24"/>
          </w:rPr>
          <w:t>O</w:t>
        </w:r>
        <w:r w:rsidRPr="005F4E1A">
          <w:rPr>
            <w:rStyle w:val="Hyperlink"/>
            <w:rFonts w:ascii="Times New Roman" w:hAnsi="Times New Roman" w:cs="Times New Roman"/>
            <w:noProof/>
            <w:sz w:val="24"/>
            <w:szCs w:val="24"/>
            <w:vertAlign w:val="subscript"/>
          </w:rPr>
          <w:t>2</w:t>
        </w:r>
        <w:r w:rsidRPr="005F4E1A">
          <w:rPr>
            <w:rFonts w:ascii="Times New Roman" w:hAnsi="Times New Roman" w:cs="Times New Roman"/>
            <w:noProof/>
            <w:webHidden/>
            <w:sz w:val="24"/>
            <w:szCs w:val="24"/>
          </w:rPr>
          <w:tab/>
        </w:r>
        <w:r w:rsidRPr="005F4E1A">
          <w:rPr>
            <w:rFonts w:ascii="Times New Roman" w:hAnsi="Times New Roman" w:cs="Times New Roman"/>
            <w:noProof/>
            <w:webHidden/>
            <w:sz w:val="24"/>
            <w:szCs w:val="24"/>
          </w:rPr>
          <w:fldChar w:fldCharType="begin"/>
        </w:r>
        <w:r w:rsidRPr="005F4E1A">
          <w:rPr>
            <w:rFonts w:ascii="Times New Roman" w:hAnsi="Times New Roman" w:cs="Times New Roman"/>
            <w:noProof/>
            <w:webHidden/>
            <w:sz w:val="24"/>
            <w:szCs w:val="24"/>
          </w:rPr>
          <w:instrText xml:space="preserve"> PAGEREF _Toc173250091 \h </w:instrText>
        </w:r>
        <w:r w:rsidRPr="005F4E1A">
          <w:rPr>
            <w:rFonts w:ascii="Times New Roman" w:hAnsi="Times New Roman" w:cs="Times New Roman"/>
            <w:noProof/>
            <w:webHidden/>
            <w:sz w:val="24"/>
            <w:szCs w:val="24"/>
          </w:rPr>
        </w:r>
        <w:r w:rsidRPr="005F4E1A">
          <w:rPr>
            <w:rFonts w:ascii="Times New Roman" w:hAnsi="Times New Roman" w:cs="Times New Roman"/>
            <w:noProof/>
            <w:webHidden/>
            <w:sz w:val="24"/>
            <w:szCs w:val="24"/>
          </w:rPr>
          <w:fldChar w:fldCharType="separate"/>
        </w:r>
        <w:r w:rsidRPr="005F4E1A">
          <w:rPr>
            <w:rFonts w:ascii="Times New Roman" w:hAnsi="Times New Roman" w:cs="Times New Roman"/>
            <w:noProof/>
            <w:webHidden/>
            <w:sz w:val="24"/>
            <w:szCs w:val="24"/>
          </w:rPr>
          <w:t>161</w:t>
        </w:r>
        <w:r w:rsidRPr="005F4E1A">
          <w:rPr>
            <w:rFonts w:ascii="Times New Roman" w:hAnsi="Times New Roman" w:cs="Times New Roman"/>
            <w:noProof/>
            <w:webHidden/>
            <w:sz w:val="24"/>
            <w:szCs w:val="24"/>
          </w:rPr>
          <w:fldChar w:fldCharType="end"/>
        </w:r>
      </w:hyperlink>
    </w:p>
    <w:p w14:paraId="5DCF069E" w14:textId="23E7E62F" w:rsidR="002975B1" w:rsidRPr="005F4E1A" w:rsidRDefault="00C256AE" w:rsidP="003D069F">
      <w:pPr>
        <w:spacing w:line="360" w:lineRule="auto"/>
        <w:rPr>
          <w:rFonts w:ascii="Times New Roman" w:hAnsi="Times New Roman" w:cs="Times New Roman"/>
          <w:noProof/>
          <w:sz w:val="24"/>
          <w:szCs w:val="24"/>
        </w:rPr>
      </w:pPr>
      <w:r w:rsidRPr="005F4E1A">
        <w:rPr>
          <w:rFonts w:ascii="Times New Roman" w:hAnsi="Times New Roman" w:cs="Times New Roman"/>
          <w:sz w:val="24"/>
          <w:szCs w:val="24"/>
        </w:rPr>
        <w:fldChar w:fldCharType="end"/>
      </w:r>
      <w:r w:rsidRPr="005F4E1A">
        <w:rPr>
          <w:rFonts w:ascii="Times New Roman" w:hAnsi="Times New Roman" w:cs="Times New Roman"/>
          <w:sz w:val="24"/>
          <w:szCs w:val="24"/>
        </w:rPr>
        <w:fldChar w:fldCharType="begin"/>
      </w:r>
      <w:r w:rsidRPr="005F4E1A">
        <w:rPr>
          <w:rFonts w:ascii="Times New Roman" w:hAnsi="Times New Roman" w:cs="Times New Roman"/>
          <w:sz w:val="24"/>
          <w:szCs w:val="24"/>
        </w:rPr>
        <w:instrText xml:space="preserve"> TOC \h \z \c "C" </w:instrText>
      </w:r>
      <w:r w:rsidRPr="005F4E1A">
        <w:rPr>
          <w:rFonts w:ascii="Times New Roman" w:hAnsi="Times New Roman" w:cs="Times New Roman"/>
          <w:sz w:val="24"/>
          <w:szCs w:val="24"/>
        </w:rPr>
        <w:fldChar w:fldCharType="separate"/>
      </w:r>
      <w:hyperlink w:anchor="_Toc172910670" w:history="1">
        <w:r w:rsidR="002975B1" w:rsidRPr="005F4E1A">
          <w:rPr>
            <w:rStyle w:val="Hyperlink"/>
            <w:rFonts w:ascii="Times New Roman" w:hAnsi="Times New Roman" w:cs="Times New Roman"/>
            <w:noProof/>
            <w:sz w:val="24"/>
            <w:szCs w:val="24"/>
          </w:rPr>
          <w:t>Figure C 1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w:t>
        </w:r>
        <w:r w:rsidR="002975B1" w:rsidRPr="005F4E1A">
          <w:rPr>
            <w:rStyle w:val="Hyperlink"/>
            <w:rFonts w:ascii="Times New Roman" w:hAnsi="Times New Roman" w:cs="Times New Roman"/>
            <w:i/>
            <w:iCs/>
            <w:noProof/>
            <w:sz w:val="24"/>
            <w:szCs w:val="24"/>
          </w:rPr>
          <w:t>Prochlorococcus</w:t>
        </w:r>
        <w:r w:rsidR="002975B1" w:rsidRPr="005F4E1A">
          <w:rPr>
            <w:rStyle w:val="Hyperlink"/>
            <w:rFonts w:ascii="Times New Roman" w:hAnsi="Times New Roman" w:cs="Times New Roman"/>
            <w:noProof/>
            <w:sz w:val="24"/>
            <w:szCs w:val="24"/>
          </w:rPr>
          <w:t xml:space="preserve">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biogeography in year 9 of Case 1: Non-leaky world, no k</w:t>
        </w:r>
        <w:r w:rsidR="002975B1" w:rsidRPr="005F4E1A">
          <w:rPr>
            <w:rStyle w:val="Hyperlink"/>
            <w:rFonts w:ascii="Times New Roman" w:hAnsi="Times New Roman" w:cs="Times New Roman"/>
            <w:noProof/>
            <w:sz w:val="24"/>
            <w:szCs w:val="24"/>
            <w:vertAlign w:val="subscript"/>
          </w:rPr>
          <w:t>dam,p</w:t>
        </w:r>
        <w:r w:rsidR="002975B1" w:rsidRPr="005F4E1A">
          <w:rPr>
            <w:rStyle w:val="Hyperlink"/>
            <w:rFonts w:ascii="Times New Roman" w:hAnsi="Times New Roman" w:cs="Times New Roman"/>
            <w:noProof/>
            <w:sz w:val="24"/>
            <w:szCs w:val="24"/>
          </w:rPr>
          <w:t>.</w:t>
        </w:r>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_Toc172910670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178</w:t>
        </w:r>
        <w:r w:rsidR="002975B1" w:rsidRPr="005F4E1A">
          <w:rPr>
            <w:rFonts w:ascii="Times New Roman" w:hAnsi="Times New Roman" w:cs="Times New Roman"/>
            <w:noProof/>
            <w:webHidden/>
            <w:sz w:val="24"/>
            <w:szCs w:val="24"/>
          </w:rPr>
          <w:fldChar w:fldCharType="end"/>
        </w:r>
      </w:hyperlink>
    </w:p>
    <w:p w14:paraId="6A3DB7DC" w14:textId="36887F97" w:rsidR="002975B1"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2910671" w:history="1">
        <w:r w:rsidR="002975B1" w:rsidRPr="005F4E1A">
          <w:rPr>
            <w:rStyle w:val="Hyperlink"/>
            <w:rFonts w:ascii="Times New Roman" w:hAnsi="Times New Roman" w:cs="Times New Roman"/>
            <w:noProof/>
            <w:sz w:val="24"/>
            <w:szCs w:val="24"/>
          </w:rPr>
          <w:t>Figure C 2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w:t>
        </w:r>
        <w:r w:rsidR="002975B1" w:rsidRPr="005F4E1A">
          <w:rPr>
            <w:rStyle w:val="Hyperlink"/>
            <w:rFonts w:ascii="Times New Roman" w:hAnsi="Times New Roman" w:cs="Times New Roman"/>
            <w:i/>
            <w:iCs/>
            <w:noProof/>
            <w:sz w:val="24"/>
            <w:szCs w:val="24"/>
          </w:rPr>
          <w:t>Prochlorococcus</w:t>
        </w:r>
        <w:r w:rsidR="002975B1" w:rsidRPr="005F4E1A">
          <w:rPr>
            <w:rStyle w:val="Hyperlink"/>
            <w:rFonts w:ascii="Times New Roman" w:hAnsi="Times New Roman" w:cs="Times New Roman"/>
            <w:noProof/>
            <w:sz w:val="24"/>
            <w:szCs w:val="24"/>
          </w:rPr>
          <w:t xml:space="preserve">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biogeography in year 9 of Case 2: Non-leaky, no biotic detoxification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max,i).</m:t>
          </m:r>
        </m:oMath>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_Toc172910671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179</w:t>
        </w:r>
        <w:r w:rsidR="002975B1" w:rsidRPr="005F4E1A">
          <w:rPr>
            <w:rFonts w:ascii="Times New Roman" w:hAnsi="Times New Roman" w:cs="Times New Roman"/>
            <w:noProof/>
            <w:webHidden/>
            <w:sz w:val="24"/>
            <w:szCs w:val="24"/>
          </w:rPr>
          <w:fldChar w:fldCharType="end"/>
        </w:r>
      </w:hyperlink>
    </w:p>
    <w:p w14:paraId="5CC3524E" w14:textId="4741F6C0" w:rsidR="002975B1"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2910672" w:history="1">
        <w:r w:rsidR="002975B1" w:rsidRPr="005F4E1A">
          <w:rPr>
            <w:rStyle w:val="Hyperlink"/>
            <w:rFonts w:ascii="Times New Roman" w:hAnsi="Times New Roman" w:cs="Times New Roman"/>
            <w:noProof/>
            <w:sz w:val="24"/>
            <w:szCs w:val="24"/>
          </w:rPr>
          <w:t>Figure C 3 Projected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w:t>
        </w:r>
        <w:r w:rsidR="002975B1" w:rsidRPr="005F4E1A">
          <w:rPr>
            <w:rStyle w:val="Hyperlink"/>
            <w:rFonts w:ascii="Times New Roman" w:hAnsi="Times New Roman" w:cs="Times New Roman"/>
            <w:i/>
            <w:iCs/>
            <w:noProof/>
            <w:sz w:val="24"/>
            <w:szCs w:val="24"/>
          </w:rPr>
          <w:t>Prochlorococcus</w:t>
        </w:r>
        <w:r w:rsidR="002975B1" w:rsidRPr="005F4E1A">
          <w:rPr>
            <w:rStyle w:val="Hyperlink"/>
            <w:rFonts w:ascii="Times New Roman" w:hAnsi="Times New Roman" w:cs="Times New Roman"/>
            <w:noProof/>
            <w:sz w:val="24"/>
            <w:szCs w:val="24"/>
          </w:rPr>
          <w:t xml:space="preserve">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biogeographies in year 9 of Case 3: Leaky world,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 xml:space="preserve">2 </w:t>
        </w:r>
        <w:r w:rsidR="002975B1" w:rsidRPr="005F4E1A">
          <w:rPr>
            <w:rStyle w:val="Hyperlink"/>
            <w:rFonts w:ascii="Times New Roman" w:hAnsi="Times New Roman" w:cs="Times New Roman"/>
            <w:noProof/>
            <w:sz w:val="24"/>
            <w:szCs w:val="24"/>
          </w:rPr>
          <w:t>detoxification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max,s</m:t>
          </m:r>
        </m:oMath>
        <w:r w:rsidR="002975B1" w:rsidRPr="005F4E1A">
          <w:rPr>
            <w:rStyle w:val="Hyperlink"/>
            <w:rFonts w:ascii="Times New Roman" w:hAnsi="Times New Roman" w:cs="Times New Roman"/>
            <w:noProof/>
            <w:sz w:val="24"/>
            <w:szCs w:val="24"/>
          </w:rPr>
          <w:t xml:space="preserve"> ) alone is incooperated.</w:t>
        </w:r>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_Toc172910672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180</w:t>
        </w:r>
        <w:r w:rsidR="002975B1" w:rsidRPr="005F4E1A">
          <w:rPr>
            <w:rFonts w:ascii="Times New Roman" w:hAnsi="Times New Roman" w:cs="Times New Roman"/>
            <w:noProof/>
            <w:webHidden/>
            <w:sz w:val="24"/>
            <w:szCs w:val="24"/>
          </w:rPr>
          <w:fldChar w:fldCharType="end"/>
        </w:r>
      </w:hyperlink>
    </w:p>
    <w:p w14:paraId="4C395CF1" w14:textId="097D98F4" w:rsidR="002975B1"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2910673" w:history="1">
        <w:r w:rsidR="002975B1" w:rsidRPr="005F4E1A">
          <w:rPr>
            <w:rStyle w:val="Hyperlink"/>
            <w:rFonts w:ascii="Times New Roman" w:hAnsi="Times New Roman" w:cs="Times New Roman"/>
            <w:noProof/>
            <w:sz w:val="24"/>
            <w:szCs w:val="24"/>
          </w:rPr>
          <w:t>C 4 Projected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w:t>
        </w:r>
        <w:r w:rsidR="002975B1" w:rsidRPr="005F4E1A">
          <w:rPr>
            <w:rStyle w:val="Hyperlink"/>
            <w:rFonts w:ascii="Times New Roman" w:hAnsi="Times New Roman" w:cs="Times New Roman"/>
            <w:i/>
            <w:iCs/>
            <w:noProof/>
            <w:sz w:val="24"/>
            <w:szCs w:val="24"/>
          </w:rPr>
          <w:t>Prochlorococcus</w:t>
        </w:r>
        <w:r w:rsidR="002975B1" w:rsidRPr="005F4E1A">
          <w:rPr>
            <w:rStyle w:val="Hyperlink"/>
            <w:rFonts w:ascii="Times New Roman" w:hAnsi="Times New Roman" w:cs="Times New Roman"/>
            <w:noProof/>
            <w:sz w:val="24"/>
            <w:szCs w:val="24"/>
          </w:rPr>
          <w:t xml:space="preserve">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biogeographies in year 9 of Case 3: Leaky world, heterotrophic detoxification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 xml:space="preserve">max,B ) </m:t>
          </m:r>
        </m:oMath>
        <w:r w:rsidR="002975B1" w:rsidRPr="005F4E1A">
          <w:rPr>
            <w:rStyle w:val="Hyperlink"/>
            <w:rFonts w:ascii="Times New Roman" w:hAnsi="Times New Roman" w:cs="Times New Roman"/>
            <w:noProof/>
            <w:sz w:val="24"/>
            <w:szCs w:val="24"/>
          </w:rPr>
          <w:t>alone.</w:t>
        </w:r>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_Toc172910673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181</w:t>
        </w:r>
        <w:r w:rsidR="002975B1" w:rsidRPr="005F4E1A">
          <w:rPr>
            <w:rFonts w:ascii="Times New Roman" w:hAnsi="Times New Roman" w:cs="Times New Roman"/>
            <w:noProof/>
            <w:webHidden/>
            <w:sz w:val="24"/>
            <w:szCs w:val="24"/>
          </w:rPr>
          <w:fldChar w:fldCharType="end"/>
        </w:r>
      </w:hyperlink>
    </w:p>
    <w:p w14:paraId="4FAF64E3" w14:textId="48BCF154" w:rsidR="002975B1"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2910674" w:history="1">
        <w:r w:rsidR="002975B1" w:rsidRPr="005F4E1A">
          <w:rPr>
            <w:rStyle w:val="Hyperlink"/>
            <w:rFonts w:ascii="Times New Roman" w:hAnsi="Times New Roman" w:cs="Times New Roman"/>
            <w:noProof/>
            <w:sz w:val="24"/>
            <w:szCs w:val="24"/>
          </w:rPr>
          <w:t>Figure C 5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biogeographical plot and ratio plot of (Syn) / (Syn + Pro)) biogeography in Case 3: Leaky world, heterotrophic detoxification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max,B</m:t>
          </m:r>
        </m:oMath>
        <w:r w:rsidR="002975B1" w:rsidRPr="005F4E1A">
          <w:rPr>
            <w:rStyle w:val="Hyperlink"/>
            <w:rFonts w:ascii="Times New Roman" w:hAnsi="Times New Roman" w:cs="Times New Roman"/>
            <w:noProof/>
            <w:sz w:val="24"/>
            <w:szCs w:val="24"/>
          </w:rPr>
          <w:t>) alone.</w:t>
        </w:r>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_Toc172910674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182</w:t>
        </w:r>
        <w:r w:rsidR="002975B1" w:rsidRPr="005F4E1A">
          <w:rPr>
            <w:rFonts w:ascii="Times New Roman" w:hAnsi="Times New Roman" w:cs="Times New Roman"/>
            <w:noProof/>
            <w:webHidden/>
            <w:sz w:val="24"/>
            <w:szCs w:val="24"/>
          </w:rPr>
          <w:fldChar w:fldCharType="end"/>
        </w:r>
      </w:hyperlink>
    </w:p>
    <w:p w14:paraId="16BE426B" w14:textId="49D46055" w:rsidR="002975B1" w:rsidRPr="005F4E1A" w:rsidRDefault="00000000">
      <w:pPr>
        <w:pStyle w:val="TableofFigures"/>
        <w:tabs>
          <w:tab w:val="right" w:leader="dot" w:pos="9350"/>
        </w:tabs>
        <w:rPr>
          <w:rFonts w:ascii="Times New Roman" w:eastAsiaTheme="minorEastAsia" w:hAnsi="Times New Roman" w:cs="Times New Roman"/>
          <w:noProof/>
          <w:kern w:val="2"/>
          <w:sz w:val="24"/>
          <w:szCs w:val="24"/>
          <w14:ligatures w14:val="standardContextual"/>
        </w:rPr>
      </w:pPr>
      <w:hyperlink w:anchor="_Toc172910675" w:history="1">
        <w:r w:rsidR="002975B1" w:rsidRPr="005F4E1A">
          <w:rPr>
            <w:rStyle w:val="Hyperlink"/>
            <w:rFonts w:ascii="Times New Roman" w:hAnsi="Times New Roman" w:cs="Times New Roman"/>
            <w:noProof/>
            <w:sz w:val="24"/>
            <w:szCs w:val="24"/>
          </w:rPr>
          <w:t>Figure C 6 Projected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 xml:space="preserve">, </w:t>
        </w:r>
        <w:r w:rsidR="002975B1" w:rsidRPr="005F4E1A">
          <w:rPr>
            <w:rStyle w:val="Hyperlink"/>
            <w:rFonts w:ascii="Times New Roman" w:hAnsi="Times New Roman" w:cs="Times New Roman"/>
            <w:i/>
            <w:iCs/>
            <w:noProof/>
            <w:sz w:val="24"/>
            <w:szCs w:val="24"/>
          </w:rPr>
          <w:t>Prochlorococcus</w:t>
        </w:r>
        <w:r w:rsidR="002975B1" w:rsidRPr="005F4E1A">
          <w:rPr>
            <w:rStyle w:val="Hyperlink"/>
            <w:rFonts w:ascii="Times New Roman" w:hAnsi="Times New Roman" w:cs="Times New Roman"/>
            <w:noProof/>
            <w:sz w:val="24"/>
            <w:szCs w:val="24"/>
          </w:rPr>
          <w:t xml:space="preserve">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biogeographies in year 9 of Case 4 with both heterotrophic bacterial and </w:t>
        </w:r>
        <w:r w:rsidR="002975B1" w:rsidRPr="005F4E1A">
          <w:rPr>
            <w:rStyle w:val="Hyperlink"/>
            <w:rFonts w:ascii="Times New Roman" w:hAnsi="Times New Roman" w:cs="Times New Roman"/>
            <w:i/>
            <w:iCs/>
            <w:noProof/>
            <w:sz w:val="24"/>
            <w:szCs w:val="24"/>
          </w:rPr>
          <w:t>Synechococcus</w:t>
        </w:r>
        <w:r w:rsidR="002975B1" w:rsidRPr="005F4E1A">
          <w:rPr>
            <w:rStyle w:val="Hyperlink"/>
            <w:rFonts w:ascii="Times New Roman" w:hAnsi="Times New Roman" w:cs="Times New Roman"/>
            <w:noProof/>
            <w:sz w:val="24"/>
            <w:szCs w:val="24"/>
          </w:rPr>
          <w:t xml:space="preserve"> H</w:t>
        </w:r>
        <w:r w:rsidR="002975B1" w:rsidRPr="005F4E1A">
          <w:rPr>
            <w:rStyle w:val="Hyperlink"/>
            <w:rFonts w:ascii="Times New Roman" w:hAnsi="Times New Roman" w:cs="Times New Roman"/>
            <w:noProof/>
            <w:sz w:val="24"/>
            <w:szCs w:val="24"/>
            <w:vertAlign w:val="subscript"/>
          </w:rPr>
          <w:t>2</w:t>
        </w:r>
        <w:r w:rsidR="002975B1" w:rsidRPr="005F4E1A">
          <w:rPr>
            <w:rStyle w:val="Hyperlink"/>
            <w:rFonts w:ascii="Times New Roman" w:hAnsi="Times New Roman" w:cs="Times New Roman"/>
            <w:noProof/>
            <w:sz w:val="24"/>
            <w:szCs w:val="24"/>
          </w:rPr>
          <w:t>O</w:t>
        </w:r>
        <w:r w:rsidR="002975B1" w:rsidRPr="005F4E1A">
          <w:rPr>
            <w:rStyle w:val="Hyperlink"/>
            <w:rFonts w:ascii="Times New Roman" w:hAnsi="Times New Roman" w:cs="Times New Roman"/>
            <w:noProof/>
            <w:sz w:val="24"/>
            <w:szCs w:val="24"/>
            <w:vertAlign w:val="subscript"/>
          </w:rPr>
          <w:t xml:space="preserve">2 </w:t>
        </w:r>
        <w:r w:rsidR="002975B1" w:rsidRPr="005F4E1A">
          <w:rPr>
            <w:rStyle w:val="Hyperlink"/>
            <w:rFonts w:ascii="Times New Roman" w:hAnsi="Times New Roman" w:cs="Times New Roman"/>
            <w:noProof/>
            <w:sz w:val="24"/>
            <w:szCs w:val="24"/>
          </w:rPr>
          <w:t xml:space="preserve">detoxification (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 xml:space="preserve">max,S </m:t>
          </m:r>
        </m:oMath>
        <w:r w:rsidR="002975B1" w:rsidRPr="005F4E1A">
          <w:rPr>
            <w:rStyle w:val="Hyperlink"/>
            <w:rFonts w:ascii="Times New Roman" w:hAnsi="Times New Roman" w:cs="Times New Roman"/>
            <w:noProof/>
            <w:sz w:val="24"/>
            <w:szCs w:val="24"/>
          </w:rPr>
          <w:t xml:space="preserve"> and </w:t>
        </w:r>
        <m:oMath>
          <m:r>
            <w:rPr>
              <w:rStyle w:val="Hyperlink"/>
              <w:rFonts w:ascii="Cambria Math" w:hAnsi="Cambria Math" w:cs="Times New Roman"/>
              <w:i/>
              <w:noProof/>
              <w:sz w:val="24"/>
              <w:szCs w:val="24"/>
            </w:rPr>
            <w:sym w:font="Symbol" w:char="F066"/>
          </m:r>
          <m:r>
            <w:rPr>
              <w:rStyle w:val="Hyperlink"/>
              <w:rFonts w:ascii="Cambria Math" w:hAnsi="Cambria Math" w:cs="Times New Roman"/>
              <w:noProof/>
              <w:sz w:val="24"/>
              <w:szCs w:val="24"/>
            </w:rPr>
            <m:t xml:space="preserve">max,B </m:t>
          </m:r>
        </m:oMath>
        <w:r w:rsidR="002975B1" w:rsidRPr="005F4E1A">
          <w:rPr>
            <w:rStyle w:val="Hyperlink"/>
            <w:rFonts w:ascii="Times New Roman" w:hAnsi="Times New Roman" w:cs="Times New Roman"/>
            <w:noProof/>
            <w:sz w:val="24"/>
            <w:szCs w:val="24"/>
          </w:rPr>
          <w:t>) incoorperated.</w:t>
        </w:r>
        <w:r w:rsidR="002975B1" w:rsidRPr="005F4E1A">
          <w:rPr>
            <w:rFonts w:ascii="Times New Roman" w:hAnsi="Times New Roman" w:cs="Times New Roman"/>
            <w:noProof/>
            <w:webHidden/>
            <w:sz w:val="24"/>
            <w:szCs w:val="24"/>
          </w:rPr>
          <w:tab/>
        </w:r>
        <w:r w:rsidR="002975B1" w:rsidRPr="005F4E1A">
          <w:rPr>
            <w:rFonts w:ascii="Times New Roman" w:hAnsi="Times New Roman" w:cs="Times New Roman"/>
            <w:noProof/>
            <w:webHidden/>
            <w:sz w:val="24"/>
            <w:szCs w:val="24"/>
          </w:rPr>
          <w:fldChar w:fldCharType="begin"/>
        </w:r>
        <w:r w:rsidR="002975B1" w:rsidRPr="005F4E1A">
          <w:rPr>
            <w:rFonts w:ascii="Times New Roman" w:hAnsi="Times New Roman" w:cs="Times New Roman"/>
            <w:noProof/>
            <w:webHidden/>
            <w:sz w:val="24"/>
            <w:szCs w:val="24"/>
          </w:rPr>
          <w:instrText xml:space="preserve"> PAGEREF _Toc172910675 \h </w:instrText>
        </w:r>
        <w:r w:rsidR="002975B1" w:rsidRPr="005F4E1A">
          <w:rPr>
            <w:rFonts w:ascii="Times New Roman" w:hAnsi="Times New Roman" w:cs="Times New Roman"/>
            <w:noProof/>
            <w:webHidden/>
            <w:sz w:val="24"/>
            <w:szCs w:val="24"/>
          </w:rPr>
        </w:r>
        <w:r w:rsidR="002975B1" w:rsidRPr="005F4E1A">
          <w:rPr>
            <w:rFonts w:ascii="Times New Roman" w:hAnsi="Times New Roman" w:cs="Times New Roman"/>
            <w:noProof/>
            <w:webHidden/>
            <w:sz w:val="24"/>
            <w:szCs w:val="24"/>
          </w:rPr>
          <w:fldChar w:fldCharType="separate"/>
        </w:r>
        <w:r w:rsidR="005F4E1A" w:rsidRPr="005F4E1A">
          <w:rPr>
            <w:rFonts w:ascii="Times New Roman" w:hAnsi="Times New Roman" w:cs="Times New Roman"/>
            <w:noProof/>
            <w:webHidden/>
            <w:sz w:val="24"/>
            <w:szCs w:val="24"/>
          </w:rPr>
          <w:t>183</w:t>
        </w:r>
        <w:r w:rsidR="002975B1" w:rsidRPr="005F4E1A">
          <w:rPr>
            <w:rFonts w:ascii="Times New Roman" w:hAnsi="Times New Roman" w:cs="Times New Roman"/>
            <w:noProof/>
            <w:webHidden/>
            <w:sz w:val="24"/>
            <w:szCs w:val="24"/>
          </w:rPr>
          <w:fldChar w:fldCharType="end"/>
        </w:r>
      </w:hyperlink>
    </w:p>
    <w:p w14:paraId="5F2A7A9D" w14:textId="77777777" w:rsidR="00797D57" w:rsidRDefault="00C256AE" w:rsidP="003D069F">
      <w:pPr>
        <w:spacing w:line="360" w:lineRule="auto"/>
        <w:rPr>
          <w:rFonts w:ascii="Times New Roman" w:hAnsi="Times New Roman" w:cs="Times New Roman"/>
          <w:sz w:val="24"/>
          <w:szCs w:val="24"/>
        </w:rPr>
      </w:pPr>
      <w:r w:rsidRPr="005F4E1A">
        <w:rPr>
          <w:rFonts w:ascii="Times New Roman" w:hAnsi="Times New Roman" w:cs="Times New Roman"/>
          <w:sz w:val="24"/>
          <w:szCs w:val="24"/>
        </w:rPr>
        <w:fldChar w:fldCharType="end"/>
      </w:r>
    </w:p>
    <w:p w14:paraId="3EABD604" w14:textId="77777777" w:rsidR="005F4E1A" w:rsidRDefault="005F4E1A" w:rsidP="003D069F">
      <w:pPr>
        <w:spacing w:line="360" w:lineRule="auto"/>
        <w:rPr>
          <w:rFonts w:ascii="Times New Roman" w:hAnsi="Times New Roman" w:cs="Times New Roman"/>
          <w:sz w:val="24"/>
          <w:szCs w:val="24"/>
        </w:rPr>
      </w:pPr>
    </w:p>
    <w:p w14:paraId="27B6F5C9" w14:textId="77777777" w:rsidR="005F4E1A" w:rsidRDefault="005F4E1A" w:rsidP="003D069F">
      <w:pPr>
        <w:spacing w:line="360" w:lineRule="auto"/>
        <w:rPr>
          <w:rFonts w:ascii="Times New Roman" w:hAnsi="Times New Roman" w:cs="Times New Roman"/>
          <w:sz w:val="24"/>
          <w:szCs w:val="24"/>
        </w:rPr>
      </w:pPr>
    </w:p>
    <w:p w14:paraId="64192183" w14:textId="77777777" w:rsidR="005F4E1A" w:rsidRDefault="005F4E1A" w:rsidP="003D069F">
      <w:pPr>
        <w:spacing w:line="360" w:lineRule="auto"/>
        <w:rPr>
          <w:rFonts w:ascii="Times New Roman" w:hAnsi="Times New Roman" w:cs="Times New Roman"/>
          <w:sz w:val="24"/>
          <w:szCs w:val="24"/>
        </w:rPr>
      </w:pPr>
    </w:p>
    <w:p w14:paraId="0C386627" w14:textId="77777777" w:rsidR="005F4E1A" w:rsidRDefault="005F4E1A" w:rsidP="003D069F">
      <w:pPr>
        <w:spacing w:line="360" w:lineRule="auto"/>
        <w:rPr>
          <w:rFonts w:ascii="Times New Roman" w:hAnsi="Times New Roman" w:cs="Times New Roman"/>
          <w:sz w:val="24"/>
          <w:szCs w:val="24"/>
        </w:rPr>
      </w:pPr>
    </w:p>
    <w:p w14:paraId="098144F1" w14:textId="77777777" w:rsidR="005F4E1A" w:rsidRDefault="005F4E1A" w:rsidP="003D069F">
      <w:pPr>
        <w:spacing w:line="360" w:lineRule="auto"/>
        <w:rPr>
          <w:rFonts w:ascii="Times New Roman" w:hAnsi="Times New Roman" w:cs="Times New Roman"/>
          <w:sz w:val="24"/>
          <w:szCs w:val="24"/>
        </w:rPr>
      </w:pPr>
    </w:p>
    <w:p w14:paraId="5C822F37" w14:textId="77777777" w:rsidR="005F4E1A" w:rsidRDefault="005F4E1A" w:rsidP="003D069F">
      <w:pPr>
        <w:spacing w:line="360" w:lineRule="auto"/>
        <w:rPr>
          <w:rFonts w:ascii="Times New Roman" w:hAnsi="Times New Roman" w:cs="Times New Roman"/>
          <w:sz w:val="24"/>
          <w:szCs w:val="24"/>
        </w:rPr>
      </w:pPr>
    </w:p>
    <w:p w14:paraId="63184CBC" w14:textId="77777777" w:rsidR="005F4E1A" w:rsidRDefault="005F4E1A" w:rsidP="003D069F">
      <w:pPr>
        <w:spacing w:line="360" w:lineRule="auto"/>
        <w:rPr>
          <w:rFonts w:ascii="Times New Roman" w:hAnsi="Times New Roman" w:cs="Times New Roman"/>
          <w:sz w:val="24"/>
          <w:szCs w:val="24"/>
        </w:rPr>
      </w:pPr>
    </w:p>
    <w:p w14:paraId="05B0407D" w14:textId="77777777" w:rsidR="005F4E1A" w:rsidRDefault="005F4E1A" w:rsidP="003D069F">
      <w:pPr>
        <w:spacing w:line="360" w:lineRule="auto"/>
        <w:rPr>
          <w:rFonts w:ascii="Times New Roman" w:hAnsi="Times New Roman" w:cs="Times New Roman"/>
          <w:sz w:val="24"/>
          <w:szCs w:val="24"/>
        </w:rPr>
      </w:pPr>
    </w:p>
    <w:p w14:paraId="779E3FFA" w14:textId="77777777" w:rsidR="005F4E1A" w:rsidRDefault="005F4E1A" w:rsidP="003D069F">
      <w:pPr>
        <w:spacing w:line="360" w:lineRule="auto"/>
        <w:rPr>
          <w:rFonts w:ascii="Times New Roman" w:hAnsi="Times New Roman" w:cs="Times New Roman"/>
          <w:sz w:val="24"/>
          <w:szCs w:val="24"/>
        </w:rPr>
      </w:pPr>
    </w:p>
    <w:p w14:paraId="3A2E712B" w14:textId="77777777" w:rsidR="005F4E1A" w:rsidRDefault="005F4E1A" w:rsidP="003D069F">
      <w:pPr>
        <w:spacing w:line="360" w:lineRule="auto"/>
        <w:rPr>
          <w:rFonts w:ascii="Times New Roman" w:hAnsi="Times New Roman" w:cs="Times New Roman"/>
          <w:sz w:val="24"/>
          <w:szCs w:val="24"/>
        </w:rPr>
      </w:pPr>
    </w:p>
    <w:p w14:paraId="61C87523" w14:textId="77777777" w:rsidR="005F4E1A" w:rsidRDefault="005F4E1A" w:rsidP="003D069F">
      <w:pPr>
        <w:spacing w:line="360" w:lineRule="auto"/>
        <w:rPr>
          <w:rFonts w:asciiTheme="majorBidi" w:hAnsiTheme="majorBidi"/>
          <w:sz w:val="24"/>
          <w:szCs w:val="24"/>
        </w:rPr>
        <w:sectPr w:rsidR="005F4E1A" w:rsidSect="00797D57">
          <w:footerReference w:type="default" r:id="rId15"/>
          <w:footerReference w:type="first" r:id="rId16"/>
          <w:pgSz w:w="12240" w:h="15840"/>
          <w:pgMar w:top="1440" w:right="1440" w:bottom="1440" w:left="1440" w:header="720" w:footer="720" w:gutter="0"/>
          <w:pgNumType w:fmt="lowerRoman" w:start="2"/>
          <w:cols w:space="720"/>
          <w:titlePg/>
          <w:docGrid w:linePitch="360"/>
        </w:sectPr>
      </w:pPr>
    </w:p>
    <w:p w14:paraId="52FA0AAA" w14:textId="77777777" w:rsidR="00970A0F" w:rsidRDefault="00970A0F" w:rsidP="005F4E1A">
      <w:pPr>
        <w:pStyle w:val="Heading1"/>
        <w:numPr>
          <w:ilvl w:val="0"/>
          <w:numId w:val="0"/>
        </w:numPr>
        <w:rPr>
          <w:b w:val="0"/>
          <w:bCs w:val="0"/>
        </w:rPr>
      </w:pPr>
    </w:p>
    <w:p w14:paraId="36A3CF21" w14:textId="2476E47C" w:rsidR="004C33B3" w:rsidRPr="00F17DAA" w:rsidRDefault="004C33B3" w:rsidP="00F17DAA">
      <w:pPr>
        <w:pStyle w:val="Heading1"/>
        <w:rPr>
          <w:b w:val="0"/>
          <w:bCs w:val="0"/>
        </w:rPr>
      </w:pPr>
      <w:bookmarkStart w:id="0" w:name="_Toc173250006"/>
      <w:r w:rsidRPr="00F17DAA">
        <w:rPr>
          <w:b w:val="0"/>
          <w:bCs w:val="0"/>
        </w:rPr>
        <w:lastRenderedPageBreak/>
        <w:t>Hydrogen peroxide and phytoplankton interactions of the open ocean: A base understanding</w:t>
      </w:r>
      <w:bookmarkEnd w:id="0"/>
    </w:p>
    <w:p w14:paraId="1C155C65" w14:textId="77777777" w:rsidR="00D171D6" w:rsidRPr="003609FB" w:rsidRDefault="00D171D6" w:rsidP="00AB2160">
      <w:pPr>
        <w:spacing w:line="360" w:lineRule="auto"/>
        <w:rPr>
          <w:rFonts w:ascii="Times New Roman" w:hAnsi="Times New Roman" w:cs="Times New Roman"/>
          <w:sz w:val="24"/>
          <w:szCs w:val="24"/>
        </w:rPr>
      </w:pPr>
    </w:p>
    <w:p w14:paraId="0F7F30F0" w14:textId="77777777" w:rsidR="00D171D6" w:rsidRPr="003609FB" w:rsidRDefault="00D171D6" w:rsidP="00AB2160">
      <w:pPr>
        <w:spacing w:line="360" w:lineRule="auto"/>
        <w:rPr>
          <w:rFonts w:ascii="Times New Roman" w:hAnsi="Times New Roman" w:cs="Times New Roman"/>
          <w:sz w:val="24"/>
          <w:szCs w:val="24"/>
        </w:rPr>
      </w:pPr>
    </w:p>
    <w:p w14:paraId="173173DD" w14:textId="72907F11" w:rsidR="00D171D6" w:rsidRDefault="00D171D6" w:rsidP="00AB2160">
      <w:pPr>
        <w:spacing w:line="360" w:lineRule="auto"/>
        <w:rPr>
          <w:rFonts w:ascii="Times New Roman" w:hAnsi="Times New Roman" w:cs="Times New Roman"/>
          <w:sz w:val="24"/>
          <w:szCs w:val="24"/>
        </w:rPr>
      </w:pPr>
    </w:p>
    <w:p w14:paraId="2C679B86" w14:textId="40B83E8B" w:rsidR="006852EC" w:rsidRDefault="006852EC" w:rsidP="00AB2160">
      <w:pPr>
        <w:spacing w:line="360" w:lineRule="auto"/>
        <w:rPr>
          <w:rFonts w:ascii="Times New Roman" w:hAnsi="Times New Roman" w:cs="Times New Roman"/>
          <w:sz w:val="24"/>
          <w:szCs w:val="24"/>
        </w:rPr>
      </w:pPr>
    </w:p>
    <w:p w14:paraId="77443382" w14:textId="0E78FA57" w:rsidR="006852EC" w:rsidRDefault="006852EC" w:rsidP="00AB2160">
      <w:pPr>
        <w:spacing w:line="360" w:lineRule="auto"/>
        <w:rPr>
          <w:rFonts w:ascii="Times New Roman" w:hAnsi="Times New Roman" w:cs="Times New Roman"/>
          <w:sz w:val="24"/>
          <w:szCs w:val="24"/>
        </w:rPr>
      </w:pPr>
    </w:p>
    <w:p w14:paraId="522895AD" w14:textId="7A02DEEB" w:rsidR="006852EC" w:rsidRDefault="006852EC" w:rsidP="00AB2160">
      <w:pPr>
        <w:spacing w:line="360" w:lineRule="auto"/>
        <w:rPr>
          <w:rFonts w:ascii="Times New Roman" w:hAnsi="Times New Roman" w:cs="Times New Roman"/>
          <w:sz w:val="24"/>
          <w:szCs w:val="24"/>
        </w:rPr>
      </w:pPr>
    </w:p>
    <w:p w14:paraId="5B2ECBBD" w14:textId="2D4B00EE" w:rsidR="006852EC" w:rsidRDefault="006852EC" w:rsidP="00AB2160">
      <w:pPr>
        <w:spacing w:line="360" w:lineRule="auto"/>
        <w:rPr>
          <w:rFonts w:ascii="Times New Roman" w:hAnsi="Times New Roman" w:cs="Times New Roman"/>
          <w:sz w:val="24"/>
          <w:szCs w:val="24"/>
        </w:rPr>
      </w:pPr>
    </w:p>
    <w:p w14:paraId="316F7A30" w14:textId="1CAF411B" w:rsidR="006852EC" w:rsidRDefault="006852EC" w:rsidP="00AB2160">
      <w:pPr>
        <w:spacing w:line="360" w:lineRule="auto"/>
        <w:rPr>
          <w:rFonts w:ascii="Times New Roman" w:hAnsi="Times New Roman" w:cs="Times New Roman"/>
          <w:sz w:val="24"/>
          <w:szCs w:val="24"/>
        </w:rPr>
      </w:pPr>
    </w:p>
    <w:p w14:paraId="0A616F18" w14:textId="56EFADBB" w:rsidR="006852EC" w:rsidRDefault="006852EC" w:rsidP="00AB2160">
      <w:pPr>
        <w:spacing w:line="360" w:lineRule="auto"/>
        <w:rPr>
          <w:rFonts w:ascii="Times New Roman" w:hAnsi="Times New Roman" w:cs="Times New Roman"/>
          <w:sz w:val="24"/>
          <w:szCs w:val="24"/>
        </w:rPr>
      </w:pPr>
    </w:p>
    <w:p w14:paraId="43E8B9BF" w14:textId="522AB3EB" w:rsidR="006852EC" w:rsidRDefault="006852EC" w:rsidP="00AB2160">
      <w:pPr>
        <w:spacing w:line="360" w:lineRule="auto"/>
        <w:rPr>
          <w:rFonts w:ascii="Times New Roman" w:hAnsi="Times New Roman" w:cs="Times New Roman"/>
          <w:sz w:val="24"/>
          <w:szCs w:val="24"/>
        </w:rPr>
      </w:pPr>
    </w:p>
    <w:p w14:paraId="4B452EEA" w14:textId="38259A1B" w:rsidR="006852EC" w:rsidRDefault="006852EC" w:rsidP="00AB2160">
      <w:pPr>
        <w:spacing w:line="360" w:lineRule="auto"/>
        <w:rPr>
          <w:rFonts w:ascii="Times New Roman" w:hAnsi="Times New Roman" w:cs="Times New Roman"/>
          <w:sz w:val="24"/>
          <w:szCs w:val="24"/>
        </w:rPr>
      </w:pPr>
    </w:p>
    <w:p w14:paraId="1595C225" w14:textId="2D45D218" w:rsidR="006852EC" w:rsidRDefault="006852EC" w:rsidP="00AB2160">
      <w:pPr>
        <w:spacing w:line="360" w:lineRule="auto"/>
        <w:rPr>
          <w:rFonts w:ascii="Times New Roman" w:hAnsi="Times New Roman" w:cs="Times New Roman"/>
          <w:sz w:val="24"/>
          <w:szCs w:val="24"/>
        </w:rPr>
      </w:pPr>
    </w:p>
    <w:p w14:paraId="6A99B596" w14:textId="25D837A6" w:rsidR="006852EC" w:rsidRDefault="006852EC" w:rsidP="00AB2160">
      <w:pPr>
        <w:spacing w:line="360" w:lineRule="auto"/>
        <w:rPr>
          <w:rFonts w:ascii="Times New Roman" w:hAnsi="Times New Roman" w:cs="Times New Roman"/>
          <w:sz w:val="24"/>
          <w:szCs w:val="24"/>
        </w:rPr>
      </w:pPr>
    </w:p>
    <w:p w14:paraId="72DBB451" w14:textId="71A17F88" w:rsidR="006852EC" w:rsidRDefault="006852EC" w:rsidP="00AB2160">
      <w:pPr>
        <w:spacing w:line="360" w:lineRule="auto"/>
        <w:rPr>
          <w:rFonts w:ascii="Times New Roman" w:hAnsi="Times New Roman" w:cs="Times New Roman"/>
          <w:sz w:val="24"/>
          <w:szCs w:val="24"/>
        </w:rPr>
      </w:pPr>
    </w:p>
    <w:p w14:paraId="5BA68B33" w14:textId="1F371B0A" w:rsidR="006852EC" w:rsidRDefault="006852EC" w:rsidP="00AB2160">
      <w:pPr>
        <w:spacing w:line="360" w:lineRule="auto"/>
        <w:rPr>
          <w:rFonts w:ascii="Times New Roman" w:hAnsi="Times New Roman" w:cs="Times New Roman"/>
          <w:sz w:val="24"/>
          <w:szCs w:val="24"/>
        </w:rPr>
      </w:pPr>
    </w:p>
    <w:p w14:paraId="20151D9C" w14:textId="651DAE61" w:rsidR="006852EC" w:rsidRDefault="006852EC" w:rsidP="00AB2160">
      <w:pPr>
        <w:spacing w:line="360" w:lineRule="auto"/>
        <w:rPr>
          <w:rFonts w:ascii="Times New Roman" w:hAnsi="Times New Roman" w:cs="Times New Roman"/>
          <w:sz w:val="24"/>
          <w:szCs w:val="24"/>
        </w:rPr>
      </w:pPr>
    </w:p>
    <w:p w14:paraId="3EB7AEBB" w14:textId="27B72090" w:rsidR="006852EC" w:rsidRDefault="006852EC" w:rsidP="00AB2160">
      <w:pPr>
        <w:spacing w:line="360" w:lineRule="auto"/>
        <w:rPr>
          <w:rFonts w:ascii="Times New Roman" w:hAnsi="Times New Roman" w:cs="Times New Roman"/>
          <w:sz w:val="24"/>
          <w:szCs w:val="24"/>
        </w:rPr>
      </w:pPr>
    </w:p>
    <w:p w14:paraId="51E5239C" w14:textId="77777777" w:rsidR="003D069F" w:rsidRDefault="003D069F" w:rsidP="00AB2160">
      <w:pPr>
        <w:spacing w:line="360" w:lineRule="auto"/>
        <w:rPr>
          <w:rFonts w:ascii="Times New Roman" w:hAnsi="Times New Roman" w:cs="Times New Roman"/>
          <w:sz w:val="24"/>
          <w:szCs w:val="24"/>
        </w:rPr>
      </w:pPr>
    </w:p>
    <w:p w14:paraId="01B7BDBF" w14:textId="77777777" w:rsidR="00970A0F" w:rsidRDefault="00970A0F" w:rsidP="00AB2160">
      <w:pPr>
        <w:spacing w:line="360" w:lineRule="auto"/>
        <w:rPr>
          <w:rFonts w:ascii="Times New Roman" w:hAnsi="Times New Roman" w:cs="Times New Roman"/>
          <w:sz w:val="24"/>
          <w:szCs w:val="24"/>
        </w:rPr>
      </w:pPr>
    </w:p>
    <w:p w14:paraId="3DCDCC1E" w14:textId="2C4F8540" w:rsidR="001058D9" w:rsidRPr="003609FB" w:rsidRDefault="001058D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Author(s): D</w:t>
      </w:r>
      <w:r w:rsidR="00620109" w:rsidRPr="003609FB">
        <w:rPr>
          <w:rFonts w:ascii="Times New Roman" w:hAnsi="Times New Roman" w:cs="Times New Roman"/>
          <w:sz w:val="24"/>
          <w:szCs w:val="24"/>
        </w:rPr>
        <w:t>.K.M.</w:t>
      </w:r>
      <w:r w:rsidR="007F4B9D" w:rsidRPr="003609FB">
        <w:rPr>
          <w:rFonts w:ascii="Times New Roman" w:hAnsi="Times New Roman" w:cs="Times New Roman"/>
          <w:sz w:val="24"/>
          <w:szCs w:val="24"/>
        </w:rPr>
        <w:t xml:space="preserve"> and</w:t>
      </w:r>
      <w:r w:rsidR="00620109" w:rsidRPr="003609FB">
        <w:rPr>
          <w:rFonts w:ascii="Times New Roman" w:hAnsi="Times New Roman" w:cs="Times New Roman"/>
          <w:sz w:val="24"/>
          <w:szCs w:val="24"/>
        </w:rPr>
        <w:t xml:space="preserve"> D.T.</w:t>
      </w:r>
    </w:p>
    <w:p w14:paraId="1B1C6275" w14:textId="3E1B019A" w:rsidR="001058D9" w:rsidRPr="003609FB" w:rsidRDefault="001058D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Author contribution statements: Written and edited by DKM with feedback from DT</w:t>
      </w:r>
    </w:p>
    <w:p w14:paraId="08508DC0" w14:textId="4740E3A6" w:rsidR="00CE39FF" w:rsidRPr="003609FB" w:rsidRDefault="00CE39FF" w:rsidP="00AB2160">
      <w:pPr>
        <w:spacing w:line="360" w:lineRule="auto"/>
        <w:rPr>
          <w:rFonts w:ascii="Times New Roman" w:hAnsi="Times New Roman" w:cs="Times New Roman"/>
          <w:sz w:val="24"/>
          <w:szCs w:val="24"/>
        </w:rPr>
      </w:pPr>
    </w:p>
    <w:p w14:paraId="1F6A33D8" w14:textId="4853A575" w:rsidR="001F1D2A" w:rsidRPr="003609FB" w:rsidRDefault="001F1D2A" w:rsidP="00AB2160">
      <w:pPr>
        <w:spacing w:line="360" w:lineRule="auto"/>
        <w:rPr>
          <w:rFonts w:ascii="Times New Roman" w:hAnsi="Times New Roman" w:cs="Times New Roman"/>
          <w:sz w:val="24"/>
          <w:szCs w:val="24"/>
        </w:rPr>
      </w:pPr>
    </w:p>
    <w:p w14:paraId="4BFF57FD" w14:textId="694A08E3" w:rsidR="001F1D2A" w:rsidRPr="003609FB" w:rsidRDefault="001F1D2A" w:rsidP="00AB2160">
      <w:pPr>
        <w:spacing w:line="360" w:lineRule="auto"/>
        <w:rPr>
          <w:rFonts w:ascii="Times New Roman" w:hAnsi="Times New Roman" w:cs="Times New Roman"/>
          <w:sz w:val="24"/>
          <w:szCs w:val="24"/>
        </w:rPr>
      </w:pPr>
    </w:p>
    <w:p w14:paraId="5843EA6B" w14:textId="6D26BC21" w:rsidR="001F1D2A" w:rsidRPr="003609FB" w:rsidRDefault="001F1D2A" w:rsidP="00AB2160">
      <w:pPr>
        <w:spacing w:line="360" w:lineRule="auto"/>
        <w:rPr>
          <w:rFonts w:ascii="Times New Roman" w:hAnsi="Times New Roman" w:cs="Times New Roman"/>
          <w:sz w:val="24"/>
          <w:szCs w:val="24"/>
        </w:rPr>
      </w:pPr>
    </w:p>
    <w:p w14:paraId="020C31FB" w14:textId="28E6248E" w:rsidR="00207D69" w:rsidRPr="003609FB" w:rsidRDefault="00207D69" w:rsidP="00AB2160">
      <w:pPr>
        <w:spacing w:line="360" w:lineRule="auto"/>
        <w:rPr>
          <w:rFonts w:ascii="Times New Roman" w:hAnsi="Times New Roman" w:cs="Times New Roman"/>
          <w:sz w:val="24"/>
          <w:szCs w:val="24"/>
        </w:rPr>
      </w:pPr>
    </w:p>
    <w:p w14:paraId="2015222C" w14:textId="19CE4E48" w:rsidR="00207D69" w:rsidRPr="003609FB" w:rsidRDefault="00207D69" w:rsidP="00AB2160">
      <w:pPr>
        <w:spacing w:line="360" w:lineRule="auto"/>
        <w:rPr>
          <w:rFonts w:ascii="Times New Roman" w:hAnsi="Times New Roman" w:cs="Times New Roman"/>
          <w:sz w:val="24"/>
          <w:szCs w:val="24"/>
        </w:rPr>
      </w:pPr>
    </w:p>
    <w:p w14:paraId="1A9DCFAA" w14:textId="33346661" w:rsidR="00D171D6" w:rsidRPr="003609FB" w:rsidRDefault="00D171D6" w:rsidP="00AB2160">
      <w:pPr>
        <w:spacing w:line="360" w:lineRule="auto"/>
        <w:rPr>
          <w:rFonts w:ascii="Times New Roman" w:hAnsi="Times New Roman" w:cs="Times New Roman"/>
          <w:sz w:val="24"/>
          <w:szCs w:val="24"/>
        </w:rPr>
      </w:pPr>
    </w:p>
    <w:p w14:paraId="7C4864DC" w14:textId="65D6DFCF" w:rsidR="00D171D6" w:rsidRPr="003609FB" w:rsidRDefault="00D171D6" w:rsidP="00AB2160">
      <w:pPr>
        <w:spacing w:line="360" w:lineRule="auto"/>
        <w:rPr>
          <w:rFonts w:ascii="Times New Roman" w:hAnsi="Times New Roman" w:cs="Times New Roman"/>
          <w:sz w:val="24"/>
          <w:szCs w:val="24"/>
        </w:rPr>
      </w:pPr>
    </w:p>
    <w:p w14:paraId="7F550327" w14:textId="1B6DEF7F" w:rsidR="00D171D6" w:rsidRDefault="00D171D6" w:rsidP="00AB2160">
      <w:pPr>
        <w:spacing w:line="360" w:lineRule="auto"/>
        <w:rPr>
          <w:rFonts w:ascii="Times New Roman" w:hAnsi="Times New Roman" w:cs="Times New Roman"/>
          <w:sz w:val="24"/>
          <w:szCs w:val="24"/>
        </w:rPr>
      </w:pPr>
    </w:p>
    <w:p w14:paraId="65982270" w14:textId="77777777" w:rsidR="00F17DAA" w:rsidRDefault="00F17DAA" w:rsidP="00AB2160">
      <w:pPr>
        <w:spacing w:line="360" w:lineRule="auto"/>
        <w:rPr>
          <w:rFonts w:ascii="Times New Roman" w:hAnsi="Times New Roman" w:cs="Times New Roman"/>
          <w:sz w:val="24"/>
          <w:szCs w:val="24"/>
        </w:rPr>
      </w:pPr>
    </w:p>
    <w:p w14:paraId="4F7D6D34" w14:textId="77777777" w:rsidR="00F17DAA" w:rsidRDefault="00F17DAA" w:rsidP="00AB2160">
      <w:pPr>
        <w:spacing w:line="360" w:lineRule="auto"/>
        <w:rPr>
          <w:rFonts w:ascii="Times New Roman" w:hAnsi="Times New Roman" w:cs="Times New Roman"/>
          <w:sz w:val="24"/>
          <w:szCs w:val="24"/>
        </w:rPr>
      </w:pPr>
    </w:p>
    <w:p w14:paraId="7C182F2C" w14:textId="77777777" w:rsidR="00F17DAA" w:rsidRDefault="00F17DAA" w:rsidP="00AB2160">
      <w:pPr>
        <w:spacing w:line="360" w:lineRule="auto"/>
        <w:rPr>
          <w:rFonts w:ascii="Times New Roman" w:hAnsi="Times New Roman" w:cs="Times New Roman"/>
          <w:sz w:val="24"/>
          <w:szCs w:val="24"/>
        </w:rPr>
      </w:pPr>
    </w:p>
    <w:p w14:paraId="7D87BD4C" w14:textId="77777777" w:rsidR="00F17DAA" w:rsidRDefault="00F17DAA" w:rsidP="00AB2160">
      <w:pPr>
        <w:spacing w:line="360" w:lineRule="auto"/>
        <w:rPr>
          <w:rFonts w:ascii="Times New Roman" w:hAnsi="Times New Roman" w:cs="Times New Roman"/>
          <w:sz w:val="24"/>
          <w:szCs w:val="24"/>
        </w:rPr>
      </w:pPr>
    </w:p>
    <w:p w14:paraId="1C746C0B" w14:textId="77777777" w:rsidR="00F17DAA" w:rsidRDefault="00F17DAA" w:rsidP="00AB2160">
      <w:pPr>
        <w:spacing w:line="360" w:lineRule="auto"/>
        <w:rPr>
          <w:rFonts w:ascii="Times New Roman" w:hAnsi="Times New Roman" w:cs="Times New Roman"/>
          <w:sz w:val="24"/>
          <w:szCs w:val="24"/>
        </w:rPr>
      </w:pPr>
    </w:p>
    <w:p w14:paraId="0897D5DD" w14:textId="77777777" w:rsidR="00F17DAA" w:rsidRDefault="00F17DAA" w:rsidP="00AB2160">
      <w:pPr>
        <w:spacing w:line="360" w:lineRule="auto"/>
        <w:rPr>
          <w:rFonts w:ascii="Times New Roman" w:hAnsi="Times New Roman" w:cs="Times New Roman"/>
          <w:sz w:val="24"/>
          <w:szCs w:val="24"/>
        </w:rPr>
      </w:pPr>
    </w:p>
    <w:p w14:paraId="5E50971A" w14:textId="77777777" w:rsidR="00F17DAA" w:rsidRDefault="00F17DAA" w:rsidP="00AB2160">
      <w:pPr>
        <w:spacing w:line="360" w:lineRule="auto"/>
        <w:rPr>
          <w:rFonts w:ascii="Times New Roman" w:hAnsi="Times New Roman" w:cs="Times New Roman"/>
          <w:sz w:val="24"/>
          <w:szCs w:val="24"/>
        </w:rPr>
      </w:pPr>
    </w:p>
    <w:p w14:paraId="6584E09C" w14:textId="77777777" w:rsidR="00F17DAA" w:rsidRDefault="00F17DAA" w:rsidP="00AB2160">
      <w:pPr>
        <w:spacing w:line="360" w:lineRule="auto"/>
        <w:rPr>
          <w:rFonts w:ascii="Times New Roman" w:hAnsi="Times New Roman" w:cs="Times New Roman"/>
          <w:sz w:val="24"/>
          <w:szCs w:val="24"/>
        </w:rPr>
      </w:pPr>
    </w:p>
    <w:p w14:paraId="23FE4A89" w14:textId="77777777" w:rsidR="00F17DAA" w:rsidRDefault="00F17DAA" w:rsidP="00AB2160">
      <w:pPr>
        <w:spacing w:line="360" w:lineRule="auto"/>
        <w:rPr>
          <w:rFonts w:ascii="Times New Roman" w:hAnsi="Times New Roman" w:cs="Times New Roman"/>
          <w:sz w:val="24"/>
          <w:szCs w:val="24"/>
        </w:rPr>
      </w:pPr>
    </w:p>
    <w:p w14:paraId="030D1FE1" w14:textId="77777777" w:rsidR="00F17DAA" w:rsidRPr="003609FB" w:rsidRDefault="00F17DAA" w:rsidP="00AB2160">
      <w:pPr>
        <w:spacing w:line="360" w:lineRule="auto"/>
        <w:rPr>
          <w:rFonts w:ascii="Times New Roman" w:hAnsi="Times New Roman" w:cs="Times New Roman"/>
          <w:sz w:val="24"/>
          <w:szCs w:val="24"/>
        </w:rPr>
      </w:pPr>
    </w:p>
    <w:p w14:paraId="460CF2C8" w14:textId="59B195BC" w:rsidR="003B07D7" w:rsidRPr="00206342" w:rsidRDefault="004C33B3" w:rsidP="00AB2160">
      <w:pPr>
        <w:pStyle w:val="Heading2"/>
        <w:spacing w:line="360" w:lineRule="auto"/>
      </w:pPr>
      <w:bookmarkStart w:id="1" w:name="_Toc173250007"/>
      <w:r w:rsidRPr="00206342">
        <w:lastRenderedPageBreak/>
        <w:t>Introduction</w:t>
      </w:r>
      <w:bookmarkEnd w:id="1"/>
      <w:r w:rsidRPr="00206342">
        <w:t xml:space="preserve"> </w:t>
      </w:r>
    </w:p>
    <w:p w14:paraId="62C9CD3C" w14:textId="77777777" w:rsidR="006F69DF" w:rsidRPr="006F69DF" w:rsidRDefault="006F69DF" w:rsidP="00AB2160">
      <w:pPr>
        <w:spacing w:line="360" w:lineRule="auto"/>
      </w:pPr>
    </w:p>
    <w:p w14:paraId="2CDF1825" w14:textId="5F1D50D5" w:rsidR="004C33B3" w:rsidRPr="003609FB" w:rsidRDefault="004C33B3" w:rsidP="00AB2160">
      <w:pPr>
        <w:spacing w:line="360" w:lineRule="auto"/>
        <w:ind w:firstLine="720"/>
        <w:rPr>
          <w:rFonts w:ascii="Times New Roman" w:hAnsi="Times New Roman" w:cs="Times New Roman"/>
          <w:sz w:val="24"/>
          <w:szCs w:val="24"/>
        </w:rPr>
      </w:pPr>
      <w:r w:rsidRPr="00673F04">
        <w:rPr>
          <w:rFonts w:ascii="Times New Roman" w:hAnsi="Times New Roman" w:cs="Times New Roman"/>
          <w:sz w:val="24"/>
          <w:szCs w:val="24"/>
        </w:rPr>
        <w:t xml:space="preserve">Oceans cover </w:t>
      </w:r>
      <w:r w:rsidR="00B57607" w:rsidRPr="00673F04">
        <w:rPr>
          <w:rFonts w:ascii="Times New Roman" w:hAnsi="Times New Roman" w:cs="Times New Roman"/>
          <w:sz w:val="24"/>
          <w:szCs w:val="24"/>
        </w:rPr>
        <w:t xml:space="preserve">approximately </w:t>
      </w:r>
      <w:r w:rsidRPr="00673F04">
        <w:rPr>
          <w:rFonts w:ascii="Times New Roman" w:hAnsi="Times New Roman" w:cs="Times New Roman"/>
          <w:sz w:val="24"/>
          <w:szCs w:val="24"/>
        </w:rPr>
        <w:t xml:space="preserve">70% of the earth </w:t>
      </w:r>
      <w:r w:rsidR="000E0A99" w:rsidRPr="00673F0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{"citationID":"7jQyz1DB","properties":{"formattedCitation":"(Raven and Falkowski 1999)","plainCitation":"(Raven and Falkowski 1999)","noteIndex":0},"citationItems":[{"id":1521,"uris":["http://zotero.org/users/6128296/items/4A2ABMGD"],"itemData":{"id":1521,"type":"article-journal","abstract":"There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G."}],"issued":{"date-parts":[["1999",6]]}}}],"schema":"https://github.com/citation-style-language/schema/raw/master/csl-citation.json"} </w:instrText>
      </w:r>
      <w:r w:rsidR="000E0A99" w:rsidRPr="00673F04">
        <w:rPr>
          <w:rFonts w:ascii="Times New Roman" w:hAnsi="Times New Roman" w:cs="Times New Roman"/>
          <w:sz w:val="24"/>
          <w:szCs w:val="24"/>
        </w:rPr>
        <w:fldChar w:fldCharType="separate"/>
      </w:r>
      <w:r w:rsidR="006C2922" w:rsidRPr="00673F04">
        <w:rPr>
          <w:rFonts w:ascii="Times New Roman" w:hAnsi="Times New Roman" w:cs="Times New Roman"/>
          <w:sz w:val="24"/>
          <w:szCs w:val="24"/>
        </w:rPr>
        <w:t>(Raven and Falkowski 1999)</w:t>
      </w:r>
      <w:r w:rsidR="000E0A99" w:rsidRPr="00673F04">
        <w:rPr>
          <w:rFonts w:ascii="Times New Roman" w:hAnsi="Times New Roman" w:cs="Times New Roman"/>
          <w:sz w:val="24"/>
          <w:szCs w:val="24"/>
        </w:rPr>
        <w:fldChar w:fldCharType="end"/>
      </w:r>
      <w:r w:rsidR="00575BD5" w:rsidRPr="00673F04">
        <w:rPr>
          <w:rFonts w:ascii="Times New Roman" w:hAnsi="Times New Roman" w:cs="Times New Roman"/>
          <w:sz w:val="24"/>
          <w:szCs w:val="24"/>
        </w:rPr>
        <w:t xml:space="preserve"> and</w:t>
      </w:r>
      <w:r w:rsidRPr="00673F04">
        <w:rPr>
          <w:rFonts w:ascii="Times New Roman" w:hAnsi="Times New Roman" w:cs="Times New Roman"/>
          <w:sz w:val="24"/>
          <w:szCs w:val="24"/>
        </w:rPr>
        <w:t xml:space="preserve"> are largely composed of ‘nutrient </w:t>
      </w:r>
      <w:r w:rsidR="00FB059D" w:rsidRPr="00673F04">
        <w:rPr>
          <w:rFonts w:ascii="Times New Roman" w:hAnsi="Times New Roman" w:cs="Times New Roman"/>
          <w:sz w:val="24"/>
          <w:szCs w:val="24"/>
        </w:rPr>
        <w:t>deserts</w:t>
      </w:r>
      <w:r w:rsidRPr="00673F04">
        <w:rPr>
          <w:rFonts w:ascii="Times New Roman" w:hAnsi="Times New Roman" w:cs="Times New Roman"/>
          <w:sz w:val="24"/>
          <w:szCs w:val="24"/>
        </w:rPr>
        <w:t>.</w:t>
      </w:r>
      <w:r w:rsidR="004F1B2C" w:rsidRPr="00673F04">
        <w:rPr>
          <w:rFonts w:ascii="Times New Roman" w:hAnsi="Times New Roman" w:cs="Times New Roman"/>
          <w:sz w:val="24"/>
          <w:szCs w:val="24"/>
        </w:rPr>
        <w:t>’</w:t>
      </w:r>
      <w:r w:rsidRPr="00673F04">
        <w:rPr>
          <w:rFonts w:ascii="Times New Roman" w:hAnsi="Times New Roman" w:cs="Times New Roman"/>
          <w:sz w:val="24"/>
          <w:szCs w:val="24"/>
        </w:rPr>
        <w:t xml:space="preserve"> </w:t>
      </w:r>
      <w:r w:rsidR="00354B92" w:rsidRPr="00673F04">
        <w:rPr>
          <w:rFonts w:ascii="Times New Roman" w:hAnsi="Times New Roman" w:cs="Times New Roman"/>
          <w:sz w:val="24"/>
          <w:szCs w:val="24"/>
        </w:rPr>
        <w:t>The oligotrophic ocean</w:t>
      </w:r>
      <w:r w:rsidRPr="00673F04">
        <w:rPr>
          <w:rFonts w:ascii="Times New Roman" w:hAnsi="Times New Roman" w:cs="Times New Roman"/>
          <w:sz w:val="24"/>
          <w:szCs w:val="24"/>
        </w:rPr>
        <w:t xml:space="preserve"> by definition is nutrient poor, </w:t>
      </w:r>
      <w:r w:rsidR="00B57607" w:rsidRPr="00673F04">
        <w:rPr>
          <w:rFonts w:ascii="Times New Roman" w:hAnsi="Times New Roman" w:cs="Times New Roman"/>
          <w:sz w:val="24"/>
          <w:szCs w:val="24"/>
        </w:rPr>
        <w:t>with</w:t>
      </w:r>
      <w:r w:rsidRPr="00673F04">
        <w:rPr>
          <w:rFonts w:ascii="Times New Roman" w:hAnsi="Times New Roman" w:cs="Times New Roman"/>
          <w:sz w:val="24"/>
          <w:szCs w:val="24"/>
        </w:rPr>
        <w:t xml:space="preserve"> </w:t>
      </w:r>
      <w:r w:rsidR="00175D00" w:rsidRPr="00673F04">
        <w:rPr>
          <w:rFonts w:ascii="Times New Roman" w:hAnsi="Times New Roman" w:cs="Times New Roman"/>
          <w:sz w:val="24"/>
          <w:szCs w:val="24"/>
        </w:rPr>
        <w:t>nitrogen</w:t>
      </w:r>
      <w:r w:rsidR="00B57607" w:rsidRPr="00673F04">
        <w:rPr>
          <w:rFonts w:ascii="Times New Roman" w:hAnsi="Times New Roman" w:cs="Times New Roman"/>
          <w:sz w:val="24"/>
          <w:szCs w:val="24"/>
        </w:rPr>
        <w:t xml:space="preserve">, along </w:t>
      </w:r>
      <w:r w:rsidR="00175D00">
        <w:rPr>
          <w:rFonts w:ascii="Times New Roman" w:hAnsi="Times New Roman" w:cs="Times New Roman"/>
          <w:sz w:val="24"/>
          <w:szCs w:val="24"/>
        </w:rPr>
        <w:t>with i</w:t>
      </w:r>
      <w:r w:rsidR="00175D00" w:rsidRPr="00673F04">
        <w:rPr>
          <w:rFonts w:ascii="Times New Roman" w:hAnsi="Times New Roman" w:cs="Times New Roman"/>
          <w:sz w:val="24"/>
          <w:szCs w:val="24"/>
        </w:rPr>
        <w:t>ron and phosphorus shown</w:t>
      </w:r>
      <w:r w:rsidR="00B57607" w:rsidRPr="00673F04">
        <w:rPr>
          <w:rFonts w:ascii="Times New Roman" w:hAnsi="Times New Roman" w:cs="Times New Roman"/>
          <w:sz w:val="24"/>
          <w:szCs w:val="24"/>
        </w:rPr>
        <w:t>,</w:t>
      </w:r>
      <w:r w:rsidRPr="00673F04">
        <w:rPr>
          <w:rFonts w:ascii="Times New Roman" w:hAnsi="Times New Roman" w:cs="Times New Roman"/>
          <w:sz w:val="24"/>
          <w:szCs w:val="24"/>
        </w:rPr>
        <w:t xml:space="preserve"> to </w:t>
      </w:r>
      <w:r w:rsidR="00B57607" w:rsidRPr="00673F04">
        <w:rPr>
          <w:rFonts w:ascii="Times New Roman" w:hAnsi="Times New Roman" w:cs="Times New Roman"/>
          <w:sz w:val="24"/>
          <w:szCs w:val="24"/>
        </w:rPr>
        <w:t>be colimiting to</w:t>
      </w:r>
      <w:r w:rsidRPr="00673F04">
        <w:rPr>
          <w:rFonts w:ascii="Times New Roman" w:hAnsi="Times New Roman" w:cs="Times New Roman"/>
          <w:sz w:val="24"/>
          <w:szCs w:val="24"/>
        </w:rPr>
        <w:t xml:space="preserve"> </w:t>
      </w:r>
      <w:r w:rsidR="00B57607" w:rsidRPr="00673F04">
        <w:rPr>
          <w:rFonts w:ascii="Times New Roman" w:hAnsi="Times New Roman" w:cs="Times New Roman"/>
          <w:sz w:val="24"/>
          <w:szCs w:val="24"/>
        </w:rPr>
        <w:t>microbial</w:t>
      </w:r>
      <w:r w:rsidRPr="00673F04">
        <w:rPr>
          <w:rFonts w:ascii="Times New Roman" w:hAnsi="Times New Roman" w:cs="Times New Roman"/>
          <w:sz w:val="24"/>
          <w:szCs w:val="24"/>
        </w:rPr>
        <w:t xml:space="preserve"> </w:t>
      </w:r>
      <w:r w:rsidR="00B57607" w:rsidRPr="00673F04">
        <w:rPr>
          <w:rFonts w:ascii="Times New Roman" w:hAnsi="Times New Roman" w:cs="Times New Roman"/>
          <w:sz w:val="24"/>
          <w:szCs w:val="24"/>
        </w:rPr>
        <w:t>growth</w:t>
      </w:r>
      <w:r w:rsidR="000E0A99" w:rsidRPr="00673F04">
        <w:rPr>
          <w:rFonts w:ascii="Times New Roman" w:hAnsi="Times New Roman" w:cs="Times New Roman"/>
          <w:sz w:val="24"/>
          <w:szCs w:val="24"/>
        </w:rPr>
        <w:t xml:space="preserve"> </w:t>
      </w:r>
      <w:r w:rsidR="000E0A99" w:rsidRPr="00673F04">
        <w:rPr>
          <w:rFonts w:ascii="Times New Roman" w:hAnsi="Times New Roman" w:cs="Times New Roman"/>
          <w:sz w:val="24"/>
          <w:szCs w:val="24"/>
        </w:rPr>
        <w:fldChar w:fldCharType="begin"/>
      </w:r>
      <w:r w:rsidR="000E0A99" w:rsidRPr="00673F04">
        <w:rPr>
          <w:rFonts w:ascii="Times New Roman" w:hAnsi="Times New Roman" w:cs="Times New Roman"/>
          <w:sz w:val="24"/>
          <w:szCs w:val="24"/>
        </w:rPr>
        <w:instrText xml:space="preserve"> ADDIN ZOTERO_ITEM CSL_CITATION {"citationID":"1by01Hkl","properties":{"formattedCitation":"(Moore et al. 2013)","plainCitation":"(Moore et al. 2013)","noteIndex":0},"citationItems":[{"id":110,"uris":["http://zotero.org/users/6128296/items/I9EDU7KI"],"itemData":{"id":110,"type":"article-journal","container-title":"Nature Geoscience","DOI":"10.1038/ngeo1765","ISSN":"1752-0894, 1752-0908","issue":"9","journalAbbreviation":"Nature Geosci","language":"en","page":"701-710","source":"DOI.org (Crossref)","title":"Processes and patterns of oceanic nutrient limitation","volume":"6","author":[{"family":"Moore","given":""},{"family":"Mills","given":""},{"family":"Arrigo","given":""},{"family":"Berman-Frank","given":""},{"family":"Bopp","given":""},{"family":"Boyd","given":"P. W."},{"family":"Galbraith","given":"E. D."},{"family":"Geider","given":"R. J."},{"family":"Guieu","given":"C."},{"family":"Jaccard","given":"S. L."},{"family":"Jickells","given":"T. D."},{"family":"La Roche","given":"J."},{"family":"Lenton","given":"T. M."},{"family":"Mahowald","given":"N. M."},{"family":"Marañón","given":"E."},{"family":"Marinov","given":"I."},{"family":"Moore","given":"J. K."},{"family":"Nakatsuka","given":"T."},{"family":"Oschlies","given":"A."},{"family":"Saito","given":"M. A."},{"family":"Thingstad","given":"T. F."},{"family":"Tsuda","given":"A."},{"family":"Ulloa","given":"O."}],"issued":{"date-parts":[["2013",9]]}}}],"schema":"https://github.com/citation-style-language/schema/raw/master/csl-citation.json"} </w:instrText>
      </w:r>
      <w:r w:rsidR="000E0A99" w:rsidRPr="00673F04">
        <w:rPr>
          <w:rFonts w:ascii="Times New Roman" w:hAnsi="Times New Roman" w:cs="Times New Roman"/>
          <w:sz w:val="24"/>
          <w:szCs w:val="24"/>
        </w:rPr>
        <w:fldChar w:fldCharType="separate"/>
      </w:r>
      <w:r w:rsidR="006C2922" w:rsidRPr="00673F04">
        <w:rPr>
          <w:rFonts w:ascii="Times New Roman" w:hAnsi="Times New Roman" w:cs="Times New Roman"/>
          <w:sz w:val="24"/>
          <w:szCs w:val="24"/>
        </w:rPr>
        <w:t xml:space="preserve">(Moore </w:t>
      </w:r>
      <w:r w:rsidR="00183222" w:rsidRPr="00183222">
        <w:rPr>
          <w:rFonts w:ascii="Times New Roman" w:hAnsi="Times New Roman" w:cs="Times New Roman"/>
          <w:i/>
          <w:iCs/>
          <w:sz w:val="24"/>
          <w:szCs w:val="24"/>
        </w:rPr>
        <w:t>et al</w:t>
      </w:r>
      <w:r w:rsidR="006C2922" w:rsidRPr="00673F04">
        <w:rPr>
          <w:rFonts w:ascii="Times New Roman" w:hAnsi="Times New Roman" w:cs="Times New Roman"/>
          <w:sz w:val="24"/>
          <w:szCs w:val="24"/>
        </w:rPr>
        <w:t>. 2013)</w:t>
      </w:r>
      <w:r w:rsidR="000E0A99" w:rsidRPr="00673F04">
        <w:rPr>
          <w:rFonts w:ascii="Times New Roman" w:hAnsi="Times New Roman" w:cs="Times New Roman"/>
          <w:sz w:val="24"/>
          <w:szCs w:val="24"/>
        </w:rPr>
        <w:fldChar w:fldCharType="end"/>
      </w:r>
      <w:r w:rsidR="000E0A99" w:rsidRPr="00673F04">
        <w:rPr>
          <w:rFonts w:ascii="Times New Roman" w:hAnsi="Times New Roman" w:cs="Times New Roman"/>
          <w:sz w:val="24"/>
          <w:szCs w:val="24"/>
        </w:rPr>
        <w:t xml:space="preserve">. </w:t>
      </w:r>
      <w:r w:rsidR="00175D00">
        <w:rPr>
          <w:rFonts w:ascii="Times New Roman" w:hAnsi="Times New Roman" w:cs="Times New Roman"/>
          <w:sz w:val="24"/>
          <w:szCs w:val="24"/>
        </w:rPr>
        <w:t>N</w:t>
      </w:r>
      <w:r w:rsidRPr="00673F04">
        <w:rPr>
          <w:rFonts w:ascii="Times New Roman" w:hAnsi="Times New Roman" w:cs="Times New Roman"/>
          <w:sz w:val="24"/>
          <w:szCs w:val="24"/>
        </w:rPr>
        <w:t xml:space="preserve">itrogen (N) is considered to be limiting in 75% of ocean </w:t>
      </w:r>
      <w:r w:rsidR="00315C88" w:rsidRPr="00673F04">
        <w:rPr>
          <w:rFonts w:ascii="Times New Roman" w:hAnsi="Times New Roman" w:cs="Times New Roman"/>
          <w:sz w:val="24"/>
          <w:szCs w:val="24"/>
        </w:rPr>
        <w:t xml:space="preserve">productivity </w:t>
      </w:r>
      <w:r w:rsidR="000E0A99" w:rsidRPr="00673F04">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{"citationID":"ctz0dUwS","properties":{"formattedCitation":"(Bristow et al. 2017)","plainCitation":"(Bristow et al. 2017)","noteIndex":0},"citationItems":[{"id":1672,"uris":["http://zotero.org/users/6128296/items/VLJ2EQFT"],"itemData":{"id":1672,"type":"article-journal","abstract":"Phytoplankton form the basis of the marine food web and are responsible for approximately half of global carbon dioxide (CO2) fixation (~ 50 Pg of carbon per year). Thus, these microscopic, photosynthetic organisms are vital in controlling the atmospheric CO2 concentration and Earth’s climate. Phytoplankton are dependent on sunlight and their CO2-fixation activity is therefore restricted to the upper, sunlit surface ocean (that is, the euphotic zone). CO2 usually does not limit phytoplankton growth due to its high concentration in seawater. However, the vast majority of oceanic surface waters are depleted in inorganic nitrogen, phosphorus, iron and/or silica; nutrients that limit primary production in the ocean (Figure 1). Phytoplankton growth is mainly supported by either the recycling of nutrients or by reintroduction of nutrients from deeper waters by mixing. A small percentage of primary production, though, is fueled by ‘external’ or ‘new’ nutrients and it is these nutrients that determine the amount of carbon that can be sequestered long term in the deep ocean. For most nutrients such as phosphorus, iron, and silica, the external supply is limited to atmospheric deposition and/or coastal and riverine inputs, whereas their main sink is the sedimentation of particulate matter. Nitrogen, however, has an additional, biological source, the fixation of N2 gas, as well as biological sinks via the processes of denitrification and anammox.","container-title":"Current Biology","DOI":"10.1016/j.cub.2017.03.030","ISSN":"09609822","issue":"11","journalAbbreviation":"Current Biology","language":"en","page":"R474-R478","source":"DOI.org (Crossref)","title":"Nutrients that limit growth in the ocean","volume":"27","author":[{"family":"Bristow","given":""},{"family":"Mohr","given":"Wiebke"},{"family":"Ahmerkamp","given":"Soeren"},{"family":"Kuypers","given":"Marcel M.M."}],"issued":{"date-parts":[["2017",6]]}}}],"schema":"https://github.com/citation-style-language/schema/raw/master/csl-citation.json"} </w:instrText>
      </w:r>
      <w:r w:rsidR="000E0A99" w:rsidRPr="00673F04">
        <w:rPr>
          <w:rFonts w:ascii="Times New Roman" w:hAnsi="Times New Roman" w:cs="Times New Roman"/>
          <w:sz w:val="24"/>
          <w:szCs w:val="24"/>
        </w:rPr>
        <w:fldChar w:fldCharType="separate"/>
      </w:r>
      <w:r w:rsidR="006C2922" w:rsidRPr="00673F04">
        <w:rPr>
          <w:rFonts w:ascii="Times New Roman" w:hAnsi="Times New Roman" w:cs="Times New Roman"/>
          <w:sz w:val="24"/>
          <w:szCs w:val="24"/>
        </w:rPr>
        <w:t xml:space="preserve">(Bristow </w:t>
      </w:r>
      <w:r w:rsidR="00183222" w:rsidRPr="00183222">
        <w:rPr>
          <w:rFonts w:ascii="Times New Roman" w:hAnsi="Times New Roman" w:cs="Times New Roman"/>
          <w:i/>
          <w:iCs/>
          <w:sz w:val="24"/>
          <w:szCs w:val="24"/>
        </w:rPr>
        <w:t>et al</w:t>
      </w:r>
      <w:r w:rsidR="006C2922" w:rsidRPr="00673F04">
        <w:rPr>
          <w:rFonts w:ascii="Times New Roman" w:hAnsi="Times New Roman" w:cs="Times New Roman"/>
          <w:sz w:val="24"/>
          <w:szCs w:val="24"/>
        </w:rPr>
        <w:t>. 2017)</w:t>
      </w:r>
      <w:r w:rsidR="000E0A99" w:rsidRPr="00673F04">
        <w:rPr>
          <w:rFonts w:ascii="Times New Roman" w:hAnsi="Times New Roman" w:cs="Times New Roman"/>
          <w:sz w:val="24"/>
          <w:szCs w:val="24"/>
        </w:rPr>
        <w:fldChar w:fldCharType="end"/>
      </w:r>
      <w:r w:rsidRPr="00673F04">
        <w:rPr>
          <w:rFonts w:ascii="Times New Roman" w:hAnsi="Times New Roman" w:cs="Times New Roman"/>
          <w:sz w:val="24"/>
          <w:szCs w:val="24"/>
        </w:rPr>
        <w:t xml:space="preserve">. Microorganisms that dominate these oligotrophic waters tend to be small, physically streamlined cells </w:t>
      </w:r>
      <w:r w:rsidR="00A74060" w:rsidRPr="00673F0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{"citationID":"T1Qp0olT","properties":{"formattedCitation":"(Azam et al. 1983; Beaulieu et al. 2008; Dortch and Packard 1989; Moya et al. 2009; Thompson et al. 2019)","plainCitation":"(Azam et al. 1983; Beaulieu et al. 2008; Dortch and Packard 1989; Moya et al. 2009; Thompson et al. 2019)","noteIndex":0},"citationItems":[{"id":756,"uris":["http://zotero.org/users/6128296/items/P9BMRVFN"],"itemData":{"id":756,"type":"article-journal","abstract":"Recently developed techniques for estimating bacterial biomass and productivity indicate that bacterial biomass in the sea is related to phytoplankton concentration and that bacteria utilise 10 to 50 % of carbon fixed by photosynthesis. Evidence is presented to suggest that numbers of free bacteria are controlled by nanoplankton~cheterotrophic flagellates which are ubiquitous in the marine water column. The flagellates in turn are preyed upon by microzooplankton. Heterotrophic flagellates and microzooplankton cover the same size range as the phytoplankton, thus providing the means for returning some energy from the 'microbial loop' to the conventional planktonic food chain.","container-title":"Marine Ecology Progress Series","DOI":"10.3354/meps010257","ISSN":"0171-8630, 1616-1599","journalAbbreviation":"Mar. Ecol. Prog. Ser.","language":"en","page":"257-263","source":"DOI.org (Crossref)","title":"The Ecological Role of Water-Column Microbes in the Sea","volume":"10","author":[{"family":"Azam","given":""},{"family":"Fenchel","given":"T"},{"family":"Field","given":"Jg"},{"family":"Gray","given":"Js"},{"family":"Meyer-Reil","given":"La"},{"family":"Thingstad","given":"F"}],"issued":{"date-parts":[["1983"]]}}},{"id":78,"uris":["http://zotero.org/users/6128296/items/WYCDC92Q"],"itemData":{"id":78,"type":"article-journal","abstract":"Across eukaryotes phenotypic correlations with genome size are thought to scale from genome size effects on cell size. However, for plants the genome/cell size link has only been thoroughly documented within ploidy series and small subsets of herbaceous species.","container-title":"New Phytologist","DOI":"10.1111/j.1469-8137.2008.02528.x","ISSN":"0028646X, 14698137","issue":"4","language":"en","page":"975-986","source":"DOI.org (Crossref)","title":"Genome size is a strong predictor of cell size and stomatal density in angiosperms","volume":"179","author":[{"family":"Beaulieu","given":""},{"family":"Leitch","given":"Ilia J."},{"family":"Patel","given":"Sunil"},{"family":"Pendharkar","given":"Arjun"},{"family":"Knight","given":"Charles A."}],"issued":{"date-parts":[["2008",9]]}}},{"id":1664,"uris":["http://zotero.org/users/6128296/items/DTRZJYA3"],"itemData":{"id":1664,"type":"article-journal","abstract":"A normal trophic pyramid, with most living biomass comprised of plants, is widely assumed to represent marine ecosystems. Oligotrophic and eutrophic environments differ markedly in phytoplankton biomass, but, due to difficulties sampling and quantifying the small, non-plant organisms, it has been difficult to determine the relative plant and non-plant biomass. In eutrophic areas the chlorophyll a/protein ratio (Chl/Pr) of particulate matter, a relative index of phytoplankton to total biomass, approaches that of pure phytoplankton cultures, suggesting that plants constitute most of the biomass. In contrast, in oligotrophic areas the Chl/Pr ratio is low, indicating that most of the biomass consists of bacteria and zooplankton and that an inverted biomass pyramid better describes the system. Thus, ecosystem structure must be fundamentally different between eutrophic and oligotrophic areas.","container-title":"Deep Sea Research Part A. Oceanographic Research Papers","DOI":"10.1016/0198-0149(89)90135-0","ISSN":"01980149","issue":"2","journalAbbreviation":"Deep Sea Research Part A. Oceanographic Research Papers","language":"en","page":"223-240","source":"DOI.org (Crossref)","title":"Differences in biomass structure between oligotrophic and eutrophic marine ecosystems","volume":"36","author":[{"family":"Dortch","given":""},{"family":"Packard","given":"Theodore T."}],"issued":{"date-parts":[["1989",2]]}}},{"id":1305,"uris":["http://zotero.org/users/6128296/items/E8CFTS8S"],"itemData":{"id":1305,"type":"article-journal","abstract":"Recent technical and conceptual advances in the biological sciences opened the possibility of the construction of newly designed cells. In this paper we review the state of the art of cell engineering in the context of genome research, paying particular attention to what we can learn on naturally reduced genomes from either symbiotic or free living bacteria. Different minimal hypothetically viable cells can be deﬁned on the basis of several computational and experimental approaches. Projects aiming at simplifying living cells converge with efforts to make synthetic genomes for minimal cells. The panorama of this particular view of synthetic biology lead us to consider the use of deﬁned minimal cells to be applied in biomedical, bioremediation, or bioenergy application by taking advantage of existing naturally minimized cells.","container-title":"FEMS Microbiology Reviews","DOI":"10.1111/j.1574-6976.2008.00151.x","ISSN":"1574-6976","issue":"1","journalAbbreviation":"FEMS Microbiol Rev","language":"en","page":"225-235","source":"DOI.org (Crossref)","title":"Toward minimal bacterial cells: evolution vs. design","title-short":"Toward minimal bacterial cells","volume":"33","author":[{"family":"Moya","given":""},{"family":"Gil","given":"Rosario"},{"family":"Latorre","given":"Amparo"},{"family":"Peretó","given":"Juli"},{"family":"Pilar Garcillán-Barcia","given":"Maria"},{"family":"De La Cruz","given":"Fernando"}],"issued":{"date-parts":[["2009",1]]}}},{"id":1752,"uris":["http://zotero.org/users/6128296/items/EV9UET3Z"],"itemData":{"id":1752,"type":"article-journal","abstract":"Evidence suggests many marine bacteria are cosmopolitan, with widespread but sparse strains poised to seed abundant populations under conducive growth conditions. However, studies supporting this “microbial seed bank” hypothesis have analyzed taxonomic marker genes rather than whole genomes/metagenomes, leaving open the possibility that disparate ocean regions harbor endemic gene content. The Red Sea is isolated geographically from the rest of the ocean and has a combination of high irradiance, high temperature, and high salinity that is unique among the oceans; we therefore asked whether it harbors endemic gene content. We sequenced and assembled single-cell genomes of 21 SAR11 (subclades Ia, Ib, Id, and II) and 5 Prochlorococcus (ecotype HLII) samples from the Red Sea and combined them with globally sourced reference genomes to cluster genes into ortholog groups (OGs). Ordination of OG composition could distinguish clades, including phylogenetically cryptic Prochlorococcus ecotypes LLII and LLIII. Compared with reference genomes, 1% of Prochlorococcus and 17% of SAR11 OGs were unique to the Red Sea genomes (RS-OGs). Most (83%) RS-OGs had no annotated function, but 65% of RS-OGs were expressed in diel Red Sea metatranscriptomes, suggesting they are functional. Searching Tara Oceans metagenomes, RS-OGs were as likely to be found as non-RS-OGs; nevertheless, Red Sea and other warm samples could be distinguished from cooler samples using the relative abundances of OGs. The results suggest that the prevalence of OGs in these surface ocean bacteria is largely cosmopolitan, with differences in population metagenomes manifested by differences in relative abundance rather than complete presence/absence of OGs.","container-title":"Applied and Environmental Microbiology","issue":"13","language":"en","page":"18","source":"Zotero","title":"Red Sea SAR11 and Prochlorococcus Single-Cell Genomes Reflect Globally Distributed Pangenomes","volume":"85","author":[{"family":"Thompson","given":""},{"family":"Haroon","given":"Mohamed F"},{"family":"Shibl","given":"Ahmed A"},{"family":"Cahill","given":"Matt J"},{"family":"Ngugi","given":"David K"},{"family":"Williams","given":"Gareth J"},{"family":"Morton","given":"James T"},{"family":"Knight","given":"Rob"},{"family":"Goodwin","given":"Kelly D"},{"family":"Stingl","given":"Ulrich"}],"issued":{"date-parts":[["2019"]]}}}],"schema":"https://github.com/citation-style-language/schema/raw/master/csl-citation.json"} </w:instrText>
      </w:r>
      <w:r w:rsidR="00A74060" w:rsidRPr="00673F04">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(Azam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1983; Beaulieu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2008; Dortch and Packard 1989; Moya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2009; Thompson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2019)</w:t>
      </w:r>
      <w:r w:rsidR="00A74060" w:rsidRPr="00673F04">
        <w:rPr>
          <w:rFonts w:ascii="Times New Roman" w:hAnsi="Times New Roman" w:cs="Times New Roman"/>
          <w:sz w:val="24"/>
          <w:szCs w:val="24"/>
        </w:rPr>
        <w:fldChar w:fldCharType="end"/>
      </w:r>
      <w:r w:rsidRPr="00673F04">
        <w:rPr>
          <w:rFonts w:ascii="Times New Roman" w:hAnsi="Times New Roman" w:cs="Times New Roman"/>
          <w:sz w:val="24"/>
          <w:szCs w:val="24"/>
        </w:rPr>
        <w:t xml:space="preserve"> that can uptake sufficient amounts of rare nitrogen due to their increased surface area to volume ratio </w:t>
      </w:r>
      <w:r w:rsidR="001A0542" w:rsidRPr="00673F04">
        <w:rPr>
          <w:rFonts w:ascii="Times New Roman" w:hAnsi="Times New Roman" w:cs="Times New Roman"/>
          <w:sz w:val="24"/>
          <w:szCs w:val="24"/>
        </w:rPr>
        <w:t xml:space="preserve">(Lee and Fuhrman 1987; Pianka 1970; Ben A. Ward </w:t>
      </w:r>
      <w:r w:rsidR="00183222" w:rsidRPr="00183222">
        <w:rPr>
          <w:rFonts w:ascii="Times New Roman" w:hAnsi="Times New Roman" w:cs="Times New Roman"/>
          <w:i/>
          <w:iCs/>
          <w:sz w:val="24"/>
          <w:szCs w:val="24"/>
        </w:rPr>
        <w:t>et al</w:t>
      </w:r>
      <w:r w:rsidR="00276D32" w:rsidRPr="00673F04">
        <w:rPr>
          <w:rFonts w:ascii="Times New Roman" w:hAnsi="Times New Roman" w:cs="Times New Roman"/>
          <w:i/>
          <w:iCs/>
          <w:sz w:val="24"/>
          <w:szCs w:val="24"/>
        </w:rPr>
        <w:t xml:space="preserve">. </w:t>
      </w:r>
      <w:r w:rsidR="001A0542" w:rsidRPr="00673F04">
        <w:rPr>
          <w:rFonts w:ascii="Times New Roman" w:hAnsi="Times New Roman" w:cs="Times New Roman"/>
          <w:sz w:val="24"/>
          <w:szCs w:val="24"/>
        </w:rPr>
        <w:t>2017)</w:t>
      </w:r>
      <w:r w:rsidRPr="00673F04">
        <w:rPr>
          <w:rFonts w:ascii="Times New Roman" w:hAnsi="Times New Roman" w:cs="Times New Roman"/>
          <w:sz w:val="24"/>
          <w:szCs w:val="24"/>
        </w:rPr>
        <w:t xml:space="preserve">. Small microbes, mainly picophytoplankton </w:t>
      </w:r>
      <w:r w:rsidR="00A74060" w:rsidRPr="00673F04">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{"citationID":"JPbgOr5O","properties":{"formattedCitation":"(Buitenhuis et al. 2012; Falkowski, Woodhead, and Vivirito 1992)","plainCitation":"(Buitenhuis et al. 2012; Falkowski, Woodhead, and Vivirito 1992)","noteIndex":0},"citationItems":[{"id":196,"uris":["http://zotero.org/users/6128296/items/RT965KH5"],"itemData":{"id":196,"type":"article-journal","abstract":"The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B."}],"issued":{"date-parts":[["2012",4,27]]}}},{"id":3023,"uris":["http://zotero.org/users/6128296/items/6646DRE5"],"itemData":{"id":3023,"type":"book","event-place":"Boston, MA","ISBN":"978-1-4899-0764-6","language":"en","note":"DOI: 10.1007/978-1-4899-0762-2","publisher":"Springer US","publisher-place":"Boston, MA","source":"DOI.org (Crossref)","title":"Primary Productivity and Biogeochemical Cycles in the Sea","URL":"http://link.springer.com/10.1007/978-1-4899-0762-2","editor":[{"family":"Falkowski","given":""},{"family":"Woodhead","given":"Avril D."},{"family":"Vivirito","given":"Katherine"}],"accessed":{"date-parts":[["2022",11,16]]},"issued":{"date-parts":[["1992"]]}}}],"schema":"https://github.com/citation-style-language/schema/raw/master/csl-citation.json"} </w:instrText>
      </w:r>
      <w:r w:rsidR="00A74060" w:rsidRPr="00673F04">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(Buitenhuis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2012; Falkowski, Woodhead, and Vivirito 1992)</w:t>
      </w:r>
      <w:r w:rsidR="00A74060" w:rsidRPr="00673F04">
        <w:rPr>
          <w:rFonts w:ascii="Times New Roman" w:hAnsi="Times New Roman" w:cs="Times New Roman"/>
          <w:sz w:val="24"/>
          <w:szCs w:val="24"/>
        </w:rPr>
        <w:fldChar w:fldCharType="end"/>
      </w:r>
      <w:r w:rsidRPr="00673F04">
        <w:rPr>
          <w:rFonts w:ascii="Times New Roman" w:hAnsi="Times New Roman" w:cs="Times New Roman"/>
          <w:sz w:val="24"/>
          <w:szCs w:val="24"/>
        </w:rPr>
        <w:t xml:space="preserve">, serve as the base of the microbial loop </w:t>
      </w:r>
      <w:r w:rsidR="004919F6" w:rsidRPr="00673F04">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{"citationID":"DL7SSfFr","properties":{"formattedCitation":"(Field 1998; Bristow et al. 2017; Follows and Dutkiewicz 2011)","plainCitation":"(Field 1998; Bristow et al. 2017; Follows and Dutkiewicz 2011)","noteIndex":0},"citationItems":[{"id":1135,"uris":["http://zotero.org/users/6128296/items/C5KCL4KW"],"itemData":{"id":1135,"type":"article-journal","abstract":"Integrating conceptually similar models of the growth of marine and terrestrial primary producers yielded an estimated global net primary production (NPP) of 104.9 petagrams of carbon per year, with roughly equal contributions from land and oceans. Approaches based on satellite indices of absorbed solar radiation indicate marked heterogeneity in NPP for both land and oceans, reØecting the inØuence of physical and ecological processes. The spatial and temporal distributions of ocean NPP are consistent with primary limitation by light, nutrients, and temperature. On land, water limitation imposes additional constraints. On land and ocean, progressive changes in NPP can result in altered carbon storage, although contrasts in mechanisms of carbon storage and rates of organic matter turnover result in a range of relations between carbon storage and changes in NPP.","container-title":"Science","DOI":"10.1126/science.281.5374.237","issue":"5374","language":"en","page":"237-240","source":"DOI.org (Crossref)","title":"Primary Production of the Biosphere: Integrating Terrestrial and Oceanic Components","title-short":"Primary Production of the Biosphere","volume":"281","author":[{"family":"Field","given":""}],"issued":{"date-parts":[["1998",7,10]]}}},{"id":1672,"uris":["http://zotero.org/users/6128296/items/VLJ2EQFT"],"itemData":{"id":1672,"type":"article-journal","abstract":"Phytoplankton form the basis of the marine food web and are responsible for approximately half of global carbon dioxide (CO2) fixation (~ 50 Pg of carbon per year). Thus, these microscopic, photosynthetic organisms are vital in controlling the atmospheric CO2 concentration and Earth’s climate. Phytoplankton are dependent on sunlight and their CO2-fixation activity is therefore restricted to the upper, sunlit surface ocean (that is, the euphotic zone). CO2 usually does not limit phytoplankton growth due to its high concentration in seawater. However, the vast majority of oceanic surface waters are depleted in inorganic nitrogen, phosphorus, iron and/or silica; nutrients that limit primary production in the ocean (Figure 1). Phytoplankton growth is mainly supported by either the recycling of nutrients or by reintroduction of nutrients from deeper waters by mixing. A small percentage of primary production, though, is fueled by ‘external’ or ‘new’ nutrients and it is these nutrients that determine the amount of carbon that can be sequestered long term in the deep ocean. For most nutrients such as phosphorus, iron, and silica, the external supply is limited to atmospheric deposition and/or coastal and riverine inputs, whereas their main sink is the sedimentation of particulate matter. Nitrogen, however, has an additional, biological source, the fixation of N2 gas, as well as biological sinks via the processes of denitrification and anammox.","container-title":"Current Biology","DOI":"10.1016/j.cub.2017.03.030","ISSN":"09609822","issue":"11","journalAbbreviation":"Current Biology","language":"en","page":"R474-R478","source":"DOI.org (Crossref)","title":"Nutrients that limit growth in the ocean","volume":"27","author":[{"family":"Bristow","given":""},{"family":"Mohr","given":"Wiebke"},{"family":"Ahmerkamp","given":"Soeren"},{"family":"Kuypers","given":"Marcel M.M."}],"issued":{"date-parts":[["2017",6]]}}},{"id":199,"uris":["http://zotero.org/users/6128296/items/E4NTIY5C"],"itemData":{"id":199,"type":"article-journal","abstract":"Biogeochemical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Microbes","volume":"3","author":[{"family":"Follows","given":""},{"family":"Dutkiewicz","given":"Stephanie"}],"issued":{"date-parts":[["2011",1,15]]}}}],"schema":"https://github.com/citation-style-language/schema/raw/master/csl-citation.json"} </w:instrText>
      </w:r>
      <w:r w:rsidR="004919F6" w:rsidRPr="00673F04">
        <w:rPr>
          <w:rFonts w:ascii="Times New Roman" w:hAnsi="Times New Roman" w:cs="Times New Roman"/>
          <w:sz w:val="24"/>
          <w:szCs w:val="24"/>
        </w:rPr>
        <w:fldChar w:fldCharType="separate"/>
      </w:r>
      <w:r w:rsidR="006C2922" w:rsidRPr="00673F04">
        <w:rPr>
          <w:rFonts w:ascii="Times New Roman" w:hAnsi="Times New Roman" w:cs="Times New Roman"/>
          <w:sz w:val="24"/>
          <w:szCs w:val="24"/>
        </w:rPr>
        <w:t xml:space="preserve">(Field 1998; Bristow </w:t>
      </w:r>
      <w:r w:rsidR="00183222" w:rsidRPr="00183222">
        <w:rPr>
          <w:rFonts w:ascii="Times New Roman" w:hAnsi="Times New Roman" w:cs="Times New Roman"/>
          <w:i/>
          <w:iCs/>
          <w:sz w:val="24"/>
          <w:szCs w:val="24"/>
        </w:rPr>
        <w:t>et al</w:t>
      </w:r>
      <w:r w:rsidR="006C2922" w:rsidRPr="00673F04">
        <w:rPr>
          <w:rFonts w:ascii="Times New Roman" w:hAnsi="Times New Roman" w:cs="Times New Roman"/>
          <w:sz w:val="24"/>
          <w:szCs w:val="24"/>
        </w:rPr>
        <w:t>. 2017; Follows and Dutkiewicz 2011)</w:t>
      </w:r>
      <w:r w:rsidR="004919F6" w:rsidRPr="00673F04">
        <w:rPr>
          <w:rFonts w:ascii="Times New Roman" w:hAnsi="Times New Roman" w:cs="Times New Roman"/>
          <w:sz w:val="24"/>
          <w:szCs w:val="24"/>
        </w:rPr>
        <w:fldChar w:fldCharType="end"/>
      </w:r>
      <w:r w:rsidRPr="00673F04">
        <w:rPr>
          <w:rFonts w:ascii="Times New Roman" w:hAnsi="Times New Roman" w:cs="Times New Roman"/>
          <w:sz w:val="24"/>
          <w:szCs w:val="24"/>
        </w:rPr>
        <w:t xml:space="preserve">, and thus the marine ecosystem </w:t>
      </w:r>
      <w:r w:rsidR="001C75C1" w:rsidRPr="00673F04">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{"citationID":"BHfmcPx4","properties":{"formattedCitation":"(Falkowski, Woodhead, and Vivirito 1992)","plainCitation":"(Falkowski, Woodhead, and Vivirito 1992)","noteIndex":0},"citationItems":[{"id":3023,"uris":["http://zotero.org/users/6128296/items/6646DRE5"],"itemData":{"id":3023,"type":"book","event-place":"Boston, MA","ISBN":"978-1-4899-0764-6","language":"en","note":"DOI: 10.1007/978-1-4899-0762-2","publisher":"Springer US","publisher-place":"Boston, MA","source":"DOI.org (Crossref)","title":"Primary Productivity and Biogeochemical Cycles in the Sea","URL":"http://link.springer.com/10.1007/978-1-4899-0762-2","editor":[{"family":"Falkowski","given":""},{"family":"Woodhead","given":"Avril D."},{"family":"Vivirito","given":"Katherine"}],"accessed":{"date-parts":[["2022",11,16]]},"issued":{"date-parts":[["1992"]]}}}],"schema":"https://github.com/citation-style-language/schema/raw/master/csl-citation.json"} </w:instrText>
      </w:r>
      <w:r w:rsidR="001C75C1" w:rsidRPr="00673F04">
        <w:rPr>
          <w:rFonts w:ascii="Times New Roman" w:hAnsi="Times New Roman" w:cs="Times New Roman"/>
          <w:sz w:val="24"/>
          <w:szCs w:val="24"/>
        </w:rPr>
        <w:fldChar w:fldCharType="separate"/>
      </w:r>
      <w:r w:rsidR="00BF4898">
        <w:rPr>
          <w:rFonts w:ascii="Times New Roman" w:hAnsi="Times New Roman" w:cs="Times New Roman"/>
          <w:sz w:val="24"/>
          <w:szCs w:val="24"/>
        </w:rPr>
        <w:t>(Falkowski, Woodhead, and Vivirito 1992)</w:t>
      </w:r>
      <w:r w:rsidR="001C75C1" w:rsidRPr="00673F04">
        <w:rPr>
          <w:rFonts w:ascii="Times New Roman" w:hAnsi="Times New Roman" w:cs="Times New Roman"/>
          <w:sz w:val="24"/>
          <w:szCs w:val="24"/>
        </w:rPr>
        <w:fldChar w:fldCharType="end"/>
      </w:r>
      <w:r w:rsidRPr="00673F04">
        <w:rPr>
          <w:rFonts w:ascii="Times New Roman" w:hAnsi="Times New Roman" w:cs="Times New Roman"/>
          <w:sz w:val="24"/>
          <w:szCs w:val="24"/>
        </w:rPr>
        <w:t>, by fixing gaseous carbon to bioavailable components</w:t>
      </w:r>
      <w:r w:rsidR="001C75C1" w:rsidRPr="00673F04">
        <w:rPr>
          <w:rFonts w:ascii="Times New Roman" w:hAnsi="Times New Roman" w:cs="Times New Roman"/>
          <w:sz w:val="24"/>
          <w:szCs w:val="24"/>
        </w:rPr>
        <w:t xml:space="preserve"> </w:t>
      </w:r>
      <w:r w:rsidR="001C75C1" w:rsidRPr="00673F0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{"citationID":"1LSYro8D","properties":{"formattedCitation":"(Gruber et al. 2009; Raven and Falkowski 1999)","plainCitation":"(Gruber et al. 2009; Raven and Falkowski 1999)","noteIndex":0},"citationItems":[{"id":205,"uris":["http://zotero.org/users/6128296/items/PNPTZFQJ"],"itemData":{"id":205,"type":"article-journal","abstract":"We synthesize estimates of the contemporary net air-sea CO2 flux on the basis of an inversion of interior ocean carbon observations using a suite of 10 ocean general circulation models (Mikaloff Fletcher et al., 2006, 2007) and compare them to estimates based on a new climatology of the air-sea difference of the partial pressure of CO2 (pCO2) (Takahashi et al., 2008). These two independent flux estimates reveal a consistent description of the regional distribution of annual mean sources and sinks of atmospheric CO2 for the decade of the 1990s and the early 2000s with differences at the regional level of generally less than 0.1 Pg C a 1. This distribution is characterized by outgassing in the tropics, uptake in midlatitudes, and comparatively small fluxes in the high latitudes. Both estimates point toward a small (  0.3 Pg C a 1) contemporary CO2 sink in the Southern Ocean (south of 44°S), a result of the near cancellation between a substantial outgassing of natural CO2 and a strong uptake of anthropogenic CO2.A notable exception in the generally good agreement between the two estimates exists within the Southern Ocean: the ocean inversion suggests a relatively uniform uptake, while the pCO2-based estimate suggests strong uptake in the region between 58°S and 44°S, and a source in the region south of 58°S. Globally and for a nominal period between 1995 and 2000, the contemporary net air-sea flux of CO2 is estimated to be  1.7 ± 0.4 Pg C a 1 (inversion) and  1.4 ± 0.7 Pg C a 1 (pCO2-climatology), respectively, consisting of an outgassing flux of river-derived carbon of  +0.5 Pg C a 1, and an uptake flux of anthropogenic carbon of  2.2 ± 0.3 Pg C a 1 (inversion) and  1.9 ± 0.7 Pg C a 1 (pCO2-climatology). The two flux estimates also imply a consistent description of the contemporary meridional transport of carbon with southward ocean transport throughout most of the Atlantic basin, and strong equatorward convergence in the Indo-Pacific basins. Both transport estimates suggest a small hemispheric asymmetry with a southward transport of between  0.2 and  0.3 Pg C a 1 across the equator. While the convergence of these two independent estimates is encouraging and suggests that it is now possible to provide relatively tight constraints for the net air-sea CO2 fluxes at the regional basis, both studies are limited by their lack of consideration of long-term changes in the ocean carbon cycle, such as the recent possible stalling in the expected growth of the Southern Ocean carbon sink.","container-title":"Global Biogeochemical Cycles","DOI":"10.1029/2008GB003349","ISSN":"08866236","issue":"1","journalAbbreviation":"Global Biogeochem. Cycles","language":"en","page":"n/a-n/a","source":"DOI.org (Crossref)","title":"Oceanic sources, sinks, and transport of atmospheric CO &lt;sub&gt;2&lt;/sub&gt;: OCEANIC SOURCES, SINKS AND TRANSPORT OF CO &lt;sub&gt;2&lt;/sub&gt;","title-short":"Oceanic sources, sinks, and transport of atmospheric CO &lt;sub&gt;2&lt;/sub&gt;","volume":"23","author":[{"family":"Gruber","given":""},{"family":"Gloor","given":"Manuel"},{"family":"Mikaloff Fletcher","given":"Sara E."},{"family":"Doney","given":"Scott C."},{"family":"Dutkiewicz","given":"Stephanie"},{"family":"Follows","given":"Michael J."},{"family":"Gerber","given":"Markus"},{"family":"Jacobson","given":"Andrew R."},{"family":"Joos","given":"Fortunat"},{"family":"Lindsay","given":"Keith"},{"family":"Menemenlis","given":"Dimitris"},{"family":"Mouchet","given":"Anne"},{"family":"Müller","given":"Simon A."},{"family":"Sarmiento","given":"Jorge L."},{"family":"Takahashi","given":"Taro"}],"issued":{"date-parts":[["2009",3]]}}},{"id":1521,"uris":["http://zotero.org/users/6128296/items/4A2ABMGD"],"itemData":{"id":1521,"type":"article-journal","abstract":"There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G."}],"issued":{"date-parts":[["1999",6]]}}}],"schema":"https://github.com/citation-style-language/schema/raw/master/csl-citation.json"} </w:instrText>
      </w:r>
      <w:r w:rsidR="001C75C1" w:rsidRPr="00673F04">
        <w:rPr>
          <w:rFonts w:ascii="Times New Roman" w:hAnsi="Times New Roman" w:cs="Times New Roman"/>
          <w:sz w:val="24"/>
          <w:szCs w:val="24"/>
        </w:rPr>
        <w:fldChar w:fldCharType="separate"/>
      </w:r>
      <w:r w:rsidR="006C2922" w:rsidRPr="00673F04">
        <w:rPr>
          <w:rFonts w:ascii="Times New Roman" w:hAnsi="Times New Roman" w:cs="Times New Roman"/>
          <w:sz w:val="24"/>
          <w:szCs w:val="24"/>
        </w:rPr>
        <w:t xml:space="preserve">(Gruber </w:t>
      </w:r>
      <w:r w:rsidR="00183222" w:rsidRPr="00183222">
        <w:rPr>
          <w:rFonts w:ascii="Times New Roman" w:hAnsi="Times New Roman" w:cs="Times New Roman"/>
          <w:i/>
          <w:iCs/>
          <w:sz w:val="24"/>
          <w:szCs w:val="24"/>
        </w:rPr>
        <w:t>et al</w:t>
      </w:r>
      <w:r w:rsidR="006C2922" w:rsidRPr="00673F04">
        <w:rPr>
          <w:rFonts w:ascii="Times New Roman" w:hAnsi="Times New Roman" w:cs="Times New Roman"/>
          <w:sz w:val="24"/>
          <w:szCs w:val="24"/>
        </w:rPr>
        <w:t>. 2009; Raven and Falkowski 1999)</w:t>
      </w:r>
      <w:r w:rsidR="001C75C1" w:rsidRPr="00673F04">
        <w:rPr>
          <w:rFonts w:ascii="Times New Roman" w:hAnsi="Times New Roman" w:cs="Times New Roman"/>
          <w:sz w:val="24"/>
          <w:szCs w:val="24"/>
        </w:rPr>
        <w:fldChar w:fldCharType="end"/>
      </w:r>
      <w:r w:rsidRPr="00673F04">
        <w:rPr>
          <w:rFonts w:ascii="Times New Roman" w:hAnsi="Times New Roman" w:cs="Times New Roman"/>
          <w:sz w:val="24"/>
          <w:szCs w:val="24"/>
        </w:rPr>
        <w:t xml:space="preserve">. Primary production and carbon fixation in marine oligotrophic environments is intimately tied to the growth of phytoplankton communities </w:t>
      </w:r>
      <w:r w:rsidR="00F25FB4" w:rsidRPr="00673F0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{"citationID":"Zmv3NE4u","properties":{"formattedCitation":"(Hartmann et al. 2014; Williams et al. 2013)","plainCitation":"(Hartmann et al. 2014; Williams et al. 2013)","noteIndex":0},"citationItems":[{"id":94,"uris":["http://zotero.org/users/6128296/items/6PLQ8K96"],"itemData":{"id":94,"type":"article-journal","container-title":"The ISME Journal","DOI":"10.1038/ismej.2014.56","ISSN":"1751-7362, 1751-7370","issue":"11","journalAbbreviation":"ISME J","language":"en","page":"2280-2289","source":"DOI.org (Crossref)","title":"Efficient CO2 fixation by surface Prochlorococcus in the Atlantic Ocean","volume":"8","author":[{"family":"Hartmann","given":""},{"family":"Gomez-Pereira","given":""},{"family":"Grob","given":"Carolina"},{"family":"Ostrowski","given":"Martin"},{"family":"Scanlan","given":"David J"},{"family":"Zubkov","given":"Mikhail V"}],"issued":{"date-parts":[["2014",11]]}}},{"id":1945,"uris":["http://zotero.org/users/6128296/items/Y4SWJBAG"],"itemData":{"id":1945,"type":"article-journal","abstract":"In vitro observations of net community production (NCP) imply that the oligotrophic subtropical gyres of the open ocean are net heterotrophic; in situ observations, in contrast, consistently imply that they are net autotrophic. At least one approach must be returning an incorrect answer. We ﬁnd that (a) no bias in in situ oxygen-based production estimates would give falsepositive (net autotrophy) rates, (b) observed 13C enrichment of surface water dissolved inorganic carbon (DIC) can be explained only by positive NCP (net autotrophy), (c) lateral and vertical inputs of organic carbon are insufﬁcient to sustain net heterotrophy, and (d ) atmospheric input of organic material is too small to support in vitro rates of net heterotrophy and would yield δ13C depletion of surface DIC, quite the opposite of what is observed in the subtropical gyres. We conclude that the in vitro observations, implying net heterotrophy, must contain a bias that is due to an underestimate of photosynthetic rate and/or an overestimate of respiration rate.","container-title":"Annual Review of Marine Science","DOI":"10.1146/annurev-marine-121211-172335","ISSN":"1941-1405, 1941-0611","issue":"1","journalAbbreviation":"Annu. Rev. Mar. Sci.","language":"en","page":"535-549","source":"DOI.org (Crossref)","title":"The Oligotrophic Ocean Is Autotrophic","volume":"5","author":[{"family":"Williams","given":""},{"family":"Quay","given":"Paul D."},{"family":"Westberry","given":"Toby K."},{"family":"Behrenfeld","given":"Michael J."}],"issued":{"date-parts":[["2013",1,3]]}}}],"schema":"https://github.com/citation-style-language/schema/raw/master/csl-citation.json"} </w:instrText>
      </w:r>
      <w:r w:rsidR="00F25FB4" w:rsidRPr="00673F04">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(Hartmann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2014; Williams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2013)</w:t>
      </w:r>
      <w:r w:rsidR="00F25FB4" w:rsidRPr="00673F04">
        <w:rPr>
          <w:rFonts w:ascii="Times New Roman" w:hAnsi="Times New Roman" w:cs="Times New Roman"/>
          <w:sz w:val="24"/>
          <w:szCs w:val="24"/>
        </w:rPr>
        <w:fldChar w:fldCharType="end"/>
      </w:r>
      <w:r w:rsidRPr="00673F04">
        <w:rPr>
          <w:rFonts w:ascii="Times New Roman" w:hAnsi="Times New Roman" w:cs="Times New Roman"/>
          <w:sz w:val="24"/>
          <w:szCs w:val="24"/>
        </w:rPr>
        <w:t>.</w:t>
      </w:r>
      <w:r w:rsidRPr="003609FB">
        <w:rPr>
          <w:rFonts w:ascii="Times New Roman" w:hAnsi="Times New Roman" w:cs="Times New Roman"/>
          <w:sz w:val="24"/>
          <w:szCs w:val="24"/>
        </w:rPr>
        <w:t xml:space="preserve"> </w:t>
      </w:r>
    </w:p>
    <w:p w14:paraId="71BBE3FB" w14:textId="2E87CAE1" w:rsidR="00970A0F" w:rsidRDefault="004C33B3" w:rsidP="00970A0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Two </w:t>
      </w:r>
      <w:r w:rsidR="00315C88" w:rsidRPr="003609FB">
        <w:rPr>
          <w:rFonts w:ascii="Times New Roman" w:hAnsi="Times New Roman" w:cs="Times New Roman"/>
          <w:sz w:val="24"/>
          <w:szCs w:val="24"/>
        </w:rPr>
        <w:t xml:space="preserve">picocyanobacterial </w:t>
      </w:r>
      <w:r w:rsidRPr="003609FB">
        <w:rPr>
          <w:rFonts w:ascii="Times New Roman" w:hAnsi="Times New Roman" w:cs="Times New Roman"/>
          <w:sz w:val="24"/>
          <w:szCs w:val="24"/>
        </w:rPr>
        <w:t>genera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are responsible for roughly 25% of global carbon fixation </w:t>
      </w:r>
      <w:r w:rsidR="003D346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{"citationID":"kQ3hYiAY","properties":{"formattedCitation":"(Field 1998; Follows et al. 2007; Partensky, Hess, and Vaulot 1999)","plainCitation":"(Field 1998; Follows et al. 2007; Partensky, Hess, and Vaulot 1999)","noteIndex":0},"citationItems":[{"id":1135,"uris":["http://zotero.org/users/6128296/items/C5KCL4KW"],"itemData":{"id":1135,"type":"article-journal","abstract":"Integrating conceptually similar models of the growth of marine and terrestrial primary producers yielded an estimated global net primary production (NPP) of 104.9 petagrams of carbon per year, with roughly equal contributions from land and oceans. Approaches based on satellite indices of absorbed solar radiation indicate marked heterogeneity in NPP for both land and oceans, reØecting the inØuence of physical and ecological processes. The spatial and temporal distributions of ocean NPP are consistent with primary limitation by light, nutrients, and temperature. On land, water limitation imposes additional constraints. On land and ocean, progressive changes in NPP can result in altered carbon storage, although contrasts in mechanisms of carbon storage and rates of organic matter turnover result in a range of relations between carbon storage and changes in NPP.","container-title":"Science","DOI":"10.1126/science.281.5374.237","issue":"5374","language":"en","page":"237-240","source":"DOI.org (Crossref)","title":"Primary Production of the Biosphere: Integrating Terrestrial and Oceanic Components","title-short":"Primary Production of the Biosphere","volume":"281","author":[{"family":"Field","given":""}],"issued":{"date-parts":[["1998",7,10]]}}},{"id":91,"uris":["http://zotero.org/users/6128296/items/NG6G4I5N"],"itemData":{"id":91,"type":"article-journal","abstract":"A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R."},{"family":"Vaulot","given":"D."}],"issued":{"date-parts":[["1999",3]]}}}],"schema":"https://github.com/citation-style-language/schema/raw/master/csl-citation.json"} </w:instrText>
      </w:r>
      <w:r w:rsidR="003D3467"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(Field 1998; Follows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2007; </w:t>
      </w:r>
      <w:proofErr w:type="spellStart"/>
      <w:r w:rsidR="009D7443">
        <w:rPr>
          <w:rFonts w:ascii="Times New Roman" w:hAnsi="Times New Roman" w:cs="Times New Roman"/>
          <w:sz w:val="24"/>
          <w:szCs w:val="24"/>
        </w:rPr>
        <w:t>Partensky</w:t>
      </w:r>
      <w:proofErr w:type="spellEnd"/>
      <w:r w:rsidR="009D7443">
        <w:rPr>
          <w:rFonts w:ascii="Times New Roman" w:hAnsi="Times New Roman" w:cs="Times New Roman"/>
          <w:sz w:val="24"/>
          <w:szCs w:val="24"/>
        </w:rPr>
        <w:t xml:space="preserve">, Hess, and </w:t>
      </w:r>
      <w:proofErr w:type="spellStart"/>
      <w:r w:rsidR="009D7443">
        <w:rPr>
          <w:rFonts w:ascii="Times New Roman" w:hAnsi="Times New Roman" w:cs="Times New Roman"/>
          <w:sz w:val="24"/>
          <w:szCs w:val="24"/>
        </w:rPr>
        <w:t>Vaulot</w:t>
      </w:r>
      <w:proofErr w:type="spellEnd"/>
      <w:r w:rsidR="009D7443">
        <w:rPr>
          <w:rFonts w:ascii="Times New Roman" w:hAnsi="Times New Roman" w:cs="Times New Roman"/>
          <w:sz w:val="24"/>
          <w:szCs w:val="24"/>
        </w:rPr>
        <w:t xml:space="preserve"> 1999)</w:t>
      </w:r>
      <w:r w:rsidR="003D3467" w:rsidRPr="003609FB">
        <w:rPr>
          <w:rFonts w:ascii="Times New Roman" w:hAnsi="Times New Roman" w:cs="Times New Roman"/>
          <w:sz w:val="24"/>
          <w:szCs w:val="24"/>
        </w:rPr>
        <w:fldChar w:fldCharType="end"/>
      </w:r>
      <w:r w:rsidR="003D3467" w:rsidRPr="003609FB">
        <w:rPr>
          <w:rFonts w:ascii="Times New Roman" w:hAnsi="Times New Roman" w:cs="Times New Roman"/>
          <w:sz w:val="24"/>
          <w:szCs w:val="24"/>
        </w:rPr>
        <w:t xml:space="preserve">. </w:t>
      </w:r>
      <w:r w:rsidRPr="003609FB">
        <w:rPr>
          <w:rFonts w:ascii="Times New Roman" w:hAnsi="Times New Roman" w:cs="Times New Roman"/>
          <w:sz w:val="24"/>
          <w:szCs w:val="24"/>
        </w:rPr>
        <w:t>Once carbon is initially fixed via phytoplankton, such as cyanobacteria</w:t>
      </w:r>
      <w:r w:rsidR="00175D00">
        <w:rPr>
          <w:rFonts w:ascii="Times New Roman" w:hAnsi="Times New Roman" w:cs="Times New Roman"/>
          <w:sz w:val="24"/>
          <w:szCs w:val="24"/>
        </w:rPr>
        <w:t xml:space="preserve"> and algae</w:t>
      </w:r>
      <w:r w:rsidRPr="003609FB">
        <w:rPr>
          <w:rFonts w:ascii="Times New Roman" w:hAnsi="Times New Roman" w:cs="Times New Roman"/>
          <w:sz w:val="24"/>
          <w:szCs w:val="24"/>
        </w:rPr>
        <w:t xml:space="preserve">, heterotrophic microbes, like </w:t>
      </w:r>
      <w:proofErr w:type="spellStart"/>
      <w:r w:rsidRPr="00175D00">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viruses </w:t>
      </w:r>
      <w:r w:rsidR="003D3467" w:rsidRPr="00175D00">
        <w:rPr>
          <w:rFonts w:ascii="Times New Roman" w:hAnsi="Times New Roman" w:cs="Times New Roman"/>
          <w:sz w:val="24"/>
          <w:szCs w:val="24"/>
        </w:rPr>
        <w:fldChar w:fldCharType="begin"/>
      </w:r>
      <w:r w:rsidR="009D7443" w:rsidRPr="00175D00">
        <w:rPr>
          <w:rFonts w:ascii="Times New Roman" w:hAnsi="Times New Roman" w:cs="Times New Roman"/>
          <w:sz w:val="24"/>
          <w:szCs w:val="24"/>
        </w:rPr>
        <w:instrText xml:space="preserve"> ADDIN ZOTERO_ITEM CSL_CITATION {"citationID":"sPi04yhL","properties":{"formattedCitation":"(Jover et al. 2014; Weitz and Wilhelm 2012)","plainCitation":"(Jover et al. 2014; Weitz and Wilhelm 2012)","noteIndex":0},"citationItems":[{"id":233,"uris":["http://zotero.org/users/6128296/items/BKI363M2"],"itemData":{"id":233,"type":"article-journal","abstract":"In marine environments, virus-mediated lysis of host cells leads to the release of cellular carbon and nutrients and is hypothesized to be a major driver of carbon recycling on a global scale. However, efforts to characterize the effects of viruses on nutrient cycles have overlooked the geochemical potential of the virus particles themselves, particularly with respect to their phosphorus content. In this Analysis article, we use a biophysical scaling model of intact virus particles that has been validated using sequence and structural information to quantify differences in the elemental stoichiometry of marine viruses compared with their microbial hosts. By extrapolating particle-scale estimates to the ecosystem scale, we propose that, under certain circumstances, marine virus populations could make an important contribution to the reservoir and cycling of oceanic phosphorus.","container-title":"Nature Reviews Microbiology","DOI":"10.1038/nrmicro3289","ISSN":"1740-1526, 1740-1534","issue":"7","journalAbbreviation":"Nat Rev Microbiol","language":"en","page":"519-528","source":"DOI.org (Crossref)","title":"The elemental composition of virus particles: implications for marine biogeochemical cycles","title-short":"The elemental composition of virus particles","volume":"12","author":[{"family":"Jover","given":""},{"family":"Effler","given":"T. Chad"},{"family":"Buchan","given":"Alison"},{"family":"Wilhelm","given":"Steven W."},{"family":"Weitz","given":"Joshua S."}],"issued":{"date-parts":[["2014",7]]}}},{"id":130,"uris":["http://zotero.org/users/6128296/items/5RUTK7J9"],"itemData":{"id":130,"type":"article-journal","abstract":"Viruses are the most abundant life forms on Earth, with an estimated 1031 total viruses globally. The majority of these viruses infect microbes, whether bacteria, archaea or microeukaryotes. Given the importance of microbes in driving global biogeochemical cycles, it would seem, based on numerical abundances alone, that viruses also play an important role in the global cycling of carbon and nutrients. However, the importance of viruses in controlling host populations and ecosystem functions, such as the regeneration, storage and export of carbon and other nutrients, remains unresolved. Here, we report on advances in the study of ecological effects of viruses of microbes. In doing so, we focus on an area of increasing importance: the role that ocean viruses play in shaping microbial population sizes as well as in regenerating carbon and other nutrients.","container-title":"F1000 Biology Reports","DOI":"10.3410/B4-17","ISSN":"1757594X","journalAbbreviation":"F1000 Bio Rep","language":"en","source":"DOI.org (Crossref)","title":"Ocean viruses and their effects on microbial communities and biogeochemical cycles","URL":"http://www.f1000.com/reports/b/4/17","author":[{"family":"Weitz","given":""},{"family":"Wilhelm","given":"Steven"}],"accessed":{"date-parts":[["2019",10,24]]},"issued":{"date-parts":[["2012",9,5]]}}}],"schema":"https://github.com/citation-style-language/schema/raw/master/csl-citation.json"} </w:instrText>
      </w:r>
      <w:r w:rsidR="003D3467" w:rsidRPr="00175D00">
        <w:rPr>
          <w:rFonts w:ascii="Times New Roman" w:hAnsi="Times New Roman" w:cs="Times New Roman"/>
          <w:sz w:val="24"/>
          <w:szCs w:val="24"/>
        </w:rPr>
        <w:fldChar w:fldCharType="separate"/>
      </w:r>
      <w:r w:rsidR="006C2922" w:rsidRPr="00175D00">
        <w:rPr>
          <w:rFonts w:ascii="Times New Roman" w:hAnsi="Times New Roman" w:cs="Times New Roman"/>
          <w:sz w:val="24"/>
          <w:szCs w:val="24"/>
        </w:rPr>
        <w:t xml:space="preserve">(Jover </w:t>
      </w:r>
      <w:r w:rsidR="00183222" w:rsidRPr="00183222">
        <w:rPr>
          <w:rFonts w:ascii="Times New Roman" w:hAnsi="Times New Roman" w:cs="Times New Roman"/>
          <w:i/>
          <w:iCs/>
          <w:sz w:val="24"/>
          <w:szCs w:val="24"/>
        </w:rPr>
        <w:t>et al</w:t>
      </w:r>
      <w:r w:rsidR="006C2922" w:rsidRPr="00175D00">
        <w:rPr>
          <w:rFonts w:ascii="Times New Roman" w:hAnsi="Times New Roman" w:cs="Times New Roman"/>
          <w:sz w:val="24"/>
          <w:szCs w:val="24"/>
        </w:rPr>
        <w:t>. 2014; Weitz and Wilhelm 2012)</w:t>
      </w:r>
      <w:r w:rsidR="003D3467" w:rsidRPr="00175D00">
        <w:rPr>
          <w:rFonts w:ascii="Times New Roman" w:hAnsi="Times New Roman" w:cs="Times New Roman"/>
          <w:sz w:val="24"/>
          <w:szCs w:val="24"/>
        </w:rPr>
        <w:fldChar w:fldCharType="end"/>
      </w:r>
      <w:r w:rsidRPr="00175D00">
        <w:rPr>
          <w:rFonts w:ascii="Times New Roman" w:hAnsi="Times New Roman" w:cs="Times New Roman"/>
          <w:sz w:val="24"/>
          <w:szCs w:val="24"/>
        </w:rPr>
        <w:t>,</w:t>
      </w:r>
      <w:r w:rsidRPr="003609FB">
        <w:rPr>
          <w:rFonts w:ascii="Times New Roman" w:hAnsi="Times New Roman" w:cs="Times New Roman"/>
          <w:sz w:val="24"/>
          <w:szCs w:val="24"/>
        </w:rPr>
        <w:t xml:space="preserve"> and eukaryotic grazers </w:t>
      </w:r>
      <w:r w:rsidR="004919F6"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{"citationID":"tUFfCYzt","properties":{"formattedCitation":"(Banse 1995)","plainCitation":"(Banse 1995)","noteIndex":0},"citationItems":[{"id":1589,"uris":["http://zotero.org/users/6128296/items/YB4TFYGQ"],"itemData":{"id":1589,"type":"article-journal","abstract":"The article focuses on the nutrient-depleted (oligotrophic) areas of the oceans, including stratified temperate seas during summer, all showing little temporal change of phytoplankton concentrations. Zooplankton-mediated processes that lead from physically caused, nitrate-fueled new production to total primary production are emphasized. Under oligotrophic conditions, the rate of phytoplankton cell division in the light-saturated part of the euphotic zone depends directly on the rate of nutrient regeneration by the zooplankton; indirectly, it depends on the liberation of dissolved organic matter that provides the bacterial substrate, mainly from “sloppy” feeding of the zooplankton, excretion, and release from feces, and a small contribution from exudation by phytoplankton. The bacterial division rate is low and is inferred as being controlled by the supply rate of dissolved organic carbon. The possibility is discussed that, via nutrient regeneration, temperature-controlled zooplankton physiology largely controls the rate of phytoplankton production, given a physically set rate of new production. Phytoplankton-zooplankton interactions are treated briefly for the high nutrient-low chlorophyll regions that also have little temporal change of phytoplankton concentrations, and the open-sea regions with seasonal blooms. All available marine measurements &gt;9”C of bulk phytoplankton division rates are plotted on temperature to improve upon Eppley’s standard curve for modeling phytoplankton production.","container-title":"ICES Journal of Marine Science","DOI":"10.1016/1054-3139(95)80043-3","ISSN":"10543139","issue":"3-4","journalAbbreviation":"ICES Journal of Marine Science","language":"en","page":"265-277","source":"DOI.org (Crossref)","title":"Zooplankton: Pivotal role in the control of ocean production","title-short":"Zooplankton","volume":"52","author":[{"family":"Banse","given":""}],"issued":{"date-parts":[["1995",8]]}}}],"schema":"https://github.com/citation-style-language/schema/raw/master/csl-citation.json"} </w:instrText>
      </w:r>
      <w:r w:rsidR="004919F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(Banse 1995)</w:t>
      </w:r>
      <w:r w:rsidR="004919F6"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determine the secondary fate of carbon by recycling it, funneling it to higher trophic levels, or </w:t>
      </w:r>
      <w:r w:rsidR="00315C88" w:rsidRPr="003609FB">
        <w:rPr>
          <w:rFonts w:ascii="Times New Roman" w:hAnsi="Times New Roman" w:cs="Times New Roman"/>
          <w:sz w:val="24"/>
          <w:szCs w:val="24"/>
        </w:rPr>
        <w:t>storing</w:t>
      </w:r>
      <w:r w:rsidRPr="003609FB">
        <w:rPr>
          <w:rFonts w:ascii="Times New Roman" w:hAnsi="Times New Roman" w:cs="Times New Roman"/>
          <w:sz w:val="24"/>
          <w:szCs w:val="24"/>
        </w:rPr>
        <w:t xml:space="preserve"> it </w:t>
      </w:r>
      <w:r w:rsidR="002532AA"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{"citationID":"9Mfwfnwc","properties":{"formattedCitation":"(Ar\\uc0\\u237{}stegui 2005; Boyd 2015; Buchan et al. 2014; Dortch and Packard 1989; Duarte et al. 2013)","plainCitation":"(Arístegui 2005; Boyd 2015; Buchan et al. 2014; Dortch and Packard 1989; Duarte et al. 2013)","noteIndex":0},"citationItems":[{"id":651,"uris":["http://zotero.org/users/6128296/items/JSDDUFVX"],"itemData":{"id":651,"type":"article-journal","abstract":"Findings confirm that mesopelagic prokaryote assemblages are active nodes of organic carbon remineralisations and act as major sinks for organic carbon in the subtropical NE Atlantic Ocean. A large part of the mesopelagic respiration must be supported by coastal advection of organic matter from the highly productive upwelling system to the open ocean.\nwe provide evidence, based on prokaryote metabolic proxies and direct estimates of oxygen consumption, that the mesopelagic prokaryote assemblage in the subtropical Northeast Atlantic is an active one. It supports a high respiration (0.22 ± 0.05 mmol O2 l 1 d 1, corresponding to 68 ± 8 mmol CO2 m 2 d 1), comparable to that of the epipelagic zone during the same period (64 97 mmol C m 2 d 1). Our findings suggest that mesopelagic prokaryotes in the NE subtropical Ocean, as well as in other eastern boundary regions, are important carbon sinks for organic matter advected from the highly productive coastal systems, and would play a key role in the global carbon cycle of the oceans.","container-title":"Geophysical Research Letters","DOI":"10.1029/2004GL021863","ISSN":"0094-8276","issue":"3","journalAbbreviation":"Geophys. Res. Lett.","language":"en","page":"L03608","source":"DOI.org (Crossref)","title":"Active mesopelagic prokaryotes support high respiration in the subtropical northeast Atlantic Ocean","volume":"32","author":[{"family":"Arístegui","given":""}],"issued":{"date-parts":[["2005"]]}}},{"id":83,"uris":["http://zotero.org/users/6128296/items/HPGIFF26"],"itemData":{"id":83,"type":"article-journal","abstract":"The biological pump makes a major global contribution to the sequestration of carbon-rich particles in the oceans’ interior. This pump has many component parts from physics to ecology that together control its efﬁciency in exporting particles. Hence, the inﬂuence of climate change on the functioning and magnitude of the pump is likely to be complex and non-linear. Here, I employ a published 1-D coupled surface-subsurface Particulate Organic Carbon (POC) export ﬂux model to systematically explore the potential inﬂuence of changing oceanic conditions on each of the pump’s “moving parts,” in both surface and subsurface waters. These simulations were run for typical high (High Nutrient Low Chlorophyll, HNLC) and low (Low Nutrient Low Chlorophyll, LNLC) latitude sites. Next, I couple pump components that have common drivers, such as temperature, to investigate more complex scenarios involving concurrent climate-change mediated alteration of multiple “moving parts” of the pump. Model simulations reveal that in the surface ocean, changes to algal community structure (i.e., a shift toward small cells) has the greatest individual inﬂuence (decreased ﬂux) on downward POC ﬂux in the coming decades. In subsurface waters, a shift in zooplankton community structure has the greatest single effect on POC ﬂux (decreased) in a future ocean. More complex treatments, in which up to 10 individual factors (across both surface and subsurface processes) were concurrently altered, </w:instrText>
      </w:r>
      <w:r w:rsidR="00BF4898">
        <w:rPr>
          <w:rFonts w:ascii="Cambria Math" w:hAnsi="Cambria Math" w:cs="Cambria Math"/>
          <w:sz w:val="24"/>
          <w:szCs w:val="24"/>
        </w:rPr>
        <w:instrText>∼</w:instrText>
      </w:r>
      <w:r w:rsidR="00BF4898">
        <w:rPr>
          <w:rFonts w:ascii="Times New Roman" w:hAnsi="Times New Roman" w:cs="Times New Roman"/>
          <w:sz w:val="24"/>
          <w:szCs w:val="24"/>
        </w:rPr>
        <w:instrText xml:space="preserve"> halved the POC ﬂux at both high and low latitudes. In general climate-mediated changes to surface ocean processes had a greater effect on the magnitude of POC ﬂux than alteration of subsurface processes, some of which negated one another. This relatively simple 1-D model provides initial insights into the most inﬂuential processes that may alter the future performance of this pump, and more importantly reveals many knowledge gaps that require urgent attention before we can accurately quantify future changes to the biological pump.","container-title":"Frontiers in Marine Science","DOI":"10.3389/fmars.2015.00077","ISSN":"2296-7745","journalAbbreviation":"Front. Mar. Sci.","language":"en","source":"DOI.org (Crossref)","title":"Toward quantifying the response of the oceans' biological pump to climate change","URL":"http://journal.frontiersin.org/Article/10.3389/fmars.2015.00077/abstract","volume":"2","author":[{"family":"Boyd","given":""}],"accessed":{"date-parts":[["2019",10,24]]},"issued":{"date-parts":[["2015",10,13]]}}},{"id":766,"uris":["http://zotero.org/users/6128296/items/PLM9FZBK"],"itemData":{"id":766,"type":"article-journal","abstract":"Marine phytoplankton blooms are annual spring events that sustain active and diverse bloom-associated bacterial populations. Blooms vary considerably in terms of eukaryotic species composition and environmental conditions, but a limited number of heterotrophic bacterial lineages — primarily members of the Flavobacteriia, Alphaproteobacteria and Gammaproteobacteria — dominate these communities. In this Review, we discuss the central role that these bacteria have in transforming phytoplankton-derived organic matter and thus in biogeochemical nutrient cycling. On the basis of selected field and laboratory-based studies of flavobacteria and roseobacters, distinct metabolic strategies are emerging for these archetypal phytoplankton-associated taxa, which provide insights into the underlying mechanisms that dictate their behaviours during blooms.","container-title":"Nature Reviews Microbiology","DOI":"10.1038/nrmicro3326","ISSN":"1740-1534","issue":"10","language":"en","license":"2014 Nature Publishing Group","page":"686-698","source":"www.nature.com","title":"Master recyclers: features and functions of bacteria associated with phytoplankton blooms","title-short":"Master recyclers","volume":"12","author":[{"family":"Buchan","given":"Alison"},{"family":"LeCleir","given":"Gary R."},{"family":"Gulvik","given":"Christopher A."},{"family":"González","given":"José M."}],"issued":{"date-parts":[["2014",10]]}}},{"id":1664,"uris":["http://zotero.org/users/6128296/items/DTRZJYA3"],"itemData":{"id":1664,"type":"article-journal","abstract":"A normal trophic pyramid, with most living biomass comprised of plants, is widely assumed to represent marine ecosystems. Oligotrophic and eutrophic environments differ markedly in phytoplankton biomass, but, due to difficulties sampling and quantifying the small, non-plant organisms, it has been difficult to determine the relative plant and non-plant biomass. In eutrophic areas the chlorophyll a/protein ratio (Chl/Pr) of particulate matter, a relative index of phytoplankton to total biomass, approaches that of pure phytoplankton cultures, suggesting that plants constitute most of the biomass. In contrast, in oligotrophic areas the Chl/Pr ratio is low, indicating that most of the biomass consists of bacteria and zooplankton and that an inverted biomass pyramid better describes the system. Thus, ecosystem structure must be fundamentally different between eutrophic and oligotrophic areas.","container-title":"Deep Sea Research Part A. Oceanographic Research Papers","DOI":"10.1016/0198-0149(89)90135-0","ISSN":"01980149","issue":"2","journalAbbreviation":"Deep Sea Research Part A. Oceanographic Research Papers","language":"en","page":"223-240","source":"DOI.org (Crossref)","title":"Differences in biomass structure between oligotrophic and eutrophic marine ecosystems","volume":"36","author":[{"family":"Dortch","given":""},{"family":"Packard","given":"Theodore T."}],"issued":{"date-parts":[["1989",2]]}}},{"id":1981,"uris":["http://zotero.org/users/6128296/items/KMHSKGHT"],"itemData":{"id":1981,"type":"article-journal","abstract":"Incubation (in vitro) and incubation-free (in situ) methods, each with their own advantages and limitations, have been used to derive estimates of net community metabolism in the oligotrophic subtropical gyres of the open ocean. The hypothesis that heterotrophic communities are prevalent in most oligotrophic regions is consistent with the available evidence and supported by scaling relationships showing that heterotrophic communities prevail in areas of low gross primary production, low chlorophyll a, and warm water, conditions found in the oligotrophic ocean. Heterotrophic metabolism can prevail where heterotrophic activity is subsidized by organic carbon inputs from the continental shelf or the atmosphere and from nonphotosynthetic autotrophic and mixotrophic metabolic pathways. The growth of the oligotrophic regions is likely to be tilting the metabolic balance of the ocean toward a greater prevalence of heterotrophic communities.","container-title":"Annual Review of Marine Science","DOI":"10.1146/annurev-marine-121211-172337","ISSN":"1941-1405, 1941-0611","issue":"1","journalAbbreviation":"Annu. Rev. Mar. Sci.","language":"en","page":"551-569","source":"DOI.org (Crossref)","title":"The Oligotrophic Ocean Is Heterotrophic","volume":"5","author":[{"family":"Duarte","given":""},{"family":"Regaudie-de-Gioux","given":"Aurore"},{"family":"Arrieta","given":"Jesús M."},{"family":"Delgado-Huertas","given":"Antonio"},{"family":"Agustí","given":"Susana"}],"issued":{"date-parts":[["2013",1,3]]}}}],"schema":"https://github.com/citation-style-language/schema/raw/master/csl-citation.json"} </w:instrText>
      </w:r>
      <w:r w:rsidR="002532AA"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w:t>
      </w:r>
      <w:proofErr w:type="spellStart"/>
      <w:r w:rsidR="006C2922" w:rsidRPr="006C2922">
        <w:rPr>
          <w:rFonts w:ascii="Times New Roman" w:hAnsi="Times New Roman" w:cs="Times New Roman"/>
          <w:sz w:val="24"/>
        </w:rPr>
        <w:t>Arístegui</w:t>
      </w:r>
      <w:proofErr w:type="spellEnd"/>
      <w:r w:rsidR="006C2922" w:rsidRPr="006C2922">
        <w:rPr>
          <w:rFonts w:ascii="Times New Roman" w:hAnsi="Times New Roman" w:cs="Times New Roman"/>
          <w:sz w:val="24"/>
        </w:rPr>
        <w:t xml:space="preserve"> 2005; Boyd 2015; Buchan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2014; Dortch and Packard 1989; Duarte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2013)</w:t>
      </w:r>
      <w:r w:rsidR="002532AA"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The carbon cycle is thus tied to the other nutrient cycles, such as phosphorus, nitrogen, and iron </w:t>
      </w:r>
      <w:r w:rsidR="007B0A8B" w:rsidRPr="003609FB">
        <w:rPr>
          <w:rFonts w:ascii="Times New Roman" w:hAnsi="Times New Roman" w:cs="Times New Roman"/>
          <w:sz w:val="24"/>
          <w:szCs w:val="24"/>
        </w:rPr>
        <w:fldChar w:fldCharType="begin"/>
      </w:r>
      <w:r w:rsidR="00370E21">
        <w:rPr>
          <w:rFonts w:ascii="Times New Roman" w:hAnsi="Times New Roman" w:cs="Times New Roman"/>
          <w:sz w:val="24"/>
          <w:szCs w:val="24"/>
        </w:rPr>
        <w:instrText xml:space="preserve"> ADDIN ZOTERO_ITEM CSL_CITATION {"citationID":"3EfTtblD","properties":{"formattedCitation":"(Follows and Dutkiewicz 2011; Gruber and Galloway 2008; Redfield 1958; Voss et al. 2013)","plainCitation":"(Follows and Dutkiewicz 2011; Gruber and Galloway 2008; Redfield 1958; Voss et al. 2013)","noteIndex":0},"citationItems":[{"id":199,"uris":["http://zotero.org/users/6128296/items/E4NTIY5C"],"itemData":{"id":199,"type":"article-journal","abstract":"Biogeochemical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id":1222,"uris":["http://zotero.org/users/6128296/items/TJV3QBQQ"],"itemData":{"id":1222,"type":"article-journal","container-title":"Nature","DOI":"10.1038/nature06592","ISSN":"0028-0836, 1476-4687","issue":"7176","journalAbbreviation":"Nature","language":"en","page":"293-296","source":"DOI.org (Crossref)","title":"An Earth-system perspective of the global nitrogen cycle","volume":"451","author":[{"family":"Gruber","given":""},{"family":"Galloway","given":""}],"issued":{"date-parts":[["2008",1]]}}},{"id":1563,"uris":["http://zotero.org/users/6128296/items/3ILC6CZ4"],"itemData":{"id":1563,"type":"article-journal","language":"en","page":"19","source":"Zotero","title":"The biological control of chemical factors in the environment","author":[{"family":"Redfield","given":""}],"issued":{"date-parts":[["1958"]]}}},{"id":3629,"uris":["http://zotero.org/users/6128296/items/SVATBYP9"],"itemData":{"id":3629,"type":"article-journal","abstract":"The ocean's nitrogen cycle is driven by complex microbial transformations, including nitrogen fixation, assimilation, nitrification, anammox and denitrification. Dinitrogen is the most abundant form of nitrogen in sea water but only accessible by nitrogen-fixing microbes. Denitrification and nitrification are both regulated by oxygen concentrations and potentially produce nitrous oxide (N\n              2\n              O), a climate-relevant atmospheric trace gas. The world's oceans, including the coastal areas and upwelling areas, contribute about 30 per cent to the atmospheric N\n              2\n              O budget and are, therefore, a major source of this gas to the atmosphere. Human activities now add more nitrogen to the environment than is naturally fixed. More than half of the nitrogen reaches the coastal ocean via river input and atmospheric deposition, of which the latter affects even remote oceanic regions. A nitrogen budget for the coastal and open ocean, where inputs and outputs match rather well, is presented. Furthermore, predicted climate change will impact the expansion of the oceans' oxygen minimum zones, the productivity of surface waters and presumably other microbial processes, with unpredictable consequences for the cycling of nitrogen. Nitrogen cycling is closely intertwined with that of carbon, phosphorous and other biologically important elements via biological stoichiometric requirements. This linkage implies that human alterations of nitrogen cycling are likely to have major consequences for other biogeochemical processes and ecosystem functions and services.","container-title":"Philosophical Transactions of the Royal Society B: Biological Sciences","DOI":"10.1098/rstb.2013.0121","ISSN":"0962-8436, 1471-2970","issue":"1621","journalAbbreviation":"Phil. Trans. R. Soc. B","language":"en","page":"20130121","source":"DOI.org (Crossref)","title":"The marine nitrogen cycle: recent discoveries, uncertainties and the potential relevance of climate change","title-short":"The marine nitrogen cycle","volume":"368","author":[{"family":"Voss","given":""},{"family":"Bange","given":"Hermann W."},{"family":"Dippner","given":"Joachim W."},{"family":"Middelburg","given":"Jack J."},{"family":"Montoya","given":"Joseph P."},{"family":"Ward","given":"Bess"}],"issued":{"date-parts":[["2013",7,5]]}}}],"schema":"https://github.com/citation-style-language/schema/raw/master/csl-citation.json"} </w:instrText>
      </w:r>
      <w:r w:rsidR="007B0A8B"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(Follows and Dutkiewicz 2011; Gruber and Galloway 2008; Redfield 1958; Voss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7B0A8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through the metabolisms</w:t>
      </w:r>
      <w:r w:rsidR="00175D00">
        <w:rPr>
          <w:rFonts w:ascii="Times New Roman" w:hAnsi="Times New Roman" w:cs="Times New Roman"/>
          <w:sz w:val="24"/>
          <w:szCs w:val="24"/>
        </w:rPr>
        <w:t>, geographical ranges,</w:t>
      </w:r>
      <w:r w:rsidRPr="003609FB">
        <w:rPr>
          <w:rFonts w:ascii="Times New Roman" w:hAnsi="Times New Roman" w:cs="Times New Roman"/>
          <w:sz w:val="24"/>
          <w:szCs w:val="24"/>
        </w:rPr>
        <w:t xml:space="preserve"> and life histories of marine microorganisms </w:t>
      </w:r>
      <w:r w:rsidR="00F35666" w:rsidRPr="003609FB">
        <w:rPr>
          <w:rFonts w:ascii="Times New Roman" w:hAnsi="Times New Roman" w:cs="Times New Roman"/>
          <w:sz w:val="24"/>
          <w:szCs w:val="24"/>
        </w:rPr>
        <w:fldChar w:fldCharType="begin"/>
      </w:r>
      <w:r w:rsidR="00370E21">
        <w:rPr>
          <w:rFonts w:ascii="Times New Roman" w:hAnsi="Times New Roman" w:cs="Times New Roman"/>
          <w:sz w:val="24"/>
          <w:szCs w:val="24"/>
        </w:rPr>
        <w:instrText xml:space="preserve"> ADDIN ZOTERO_ITEM CSL_CITATION {"citationID":"GBKTjUKO","properties":{"formattedCitation":"(Falkowski 1997; Fuhrman 2009, 199; Passarge et al. 2006; Fuhrman 2002)","plainCitation":"(Falkowski 1997; Fuhrman 2009, 199; Passarge et al. 2006; Fuhrman 2002)","noteIndex":0},"citationItems":[{"id":1585,"uris":["http://zotero.org/users/6128296/items/RLLFBVCL"],"itemData":{"id":1585,"type":"article-journal","container-title":"Nature","title":"Evolution of the nitrogen cycle and its influence on the biological sequestration of CO2 in the ocean","volume":"387","author":[{"family":"Falkowski","given":""}],"issued":{"date-parts":[["1997"]]}}},{"id":4135,"uris":["http://zotero.org/users/6128296/items/TSE449ZS"],"itemData":{"id":4135,"type":"article-journal","abstract":"Microorganisms, by which I mean Bacteria, Archaea, viruses, protists and fungi, are vital to the function of all ecosystems. This is largely because they exist in enormous numbers (there are roughly 5 × 1030 bacteria alone worldwide)1 and so have immense cumulative mass and activity1. They are also probably more diverse than any other organisms, so it is easy to see why the structure of microbial communities, that is, the different kinds of organisms and their abundances, is so important to the way in which ecosystems function. But even with modern tools, it is not easy to determine microbial community structure and map its variations in space and time; we have only recently begun to learn about the scales of variation (Box 1). Understanding ecosystem function, and predicting Earth’s response to global changes such as warming and ocean acidification, calls for much better knowledge than we have today about microbial processes and interactions. In the past couple of decades, the use of genome sequences and related approaches2–6 has overcome the need for cultivation to characterize and identify microorganisms in nature (Box 2). It still seems almost hopeless to sort out the identities and interrelationships among the trillions of microorganisms in a cubic metre of sea water, let alone a few hectares of ocean, but high-throughput sequencing and whole-community fingerprinting techniques have enabled researchers to make considerable progress (Box 2). This review summarizes our knowledge of microbial community structure, with a focus on planktonic marine bacteria, and discusses what we can learn about microbial systems and their functions from this information (Box 3).","container-title":"Nature","DOI":"10.1038/nature08058","ISSN":"0028-0836, 1476-4687","issue":"7244","journalAbbreviation":"Nature","language":"en","page":"193-199","source":"DOI.org (Crossref)","title":"Microbial community structure and its functional implications","volume":"459","author":[{"family":"Fuhrman","given":""}],"issued":{"date-parts":[["2009",5]]}},"locator":"199"},{"id":1555,"uris":["http://zotero.org/users/6128296/items/YLEWFKVU"],"itemData":{"id":1555,"type":"article-journal","abstract":"Competition theory has put forward three contrasting hypotheses: Competition for nutrients and light may lead to (i) stable coexistence of species, (ii) alternative stable states, or (iii) competitive exclusion. This paper presents a detailed investigation of competition among phytoplankton species to test these three different hypotheses. First, we developed a competition model combining competition for nutrients and light. Next, we ran monoculture experiments in phosphorus-limited and light-limited chemostats to estimate the model parameters for ﬁve freshwater phytoplankton species. Finally, we tested the model predictions in competition experiments, using phosphorus levels ranging from oligotrophic to eutrophic conditions. The population dynamics in the competition experiments were all in agreement with the model predictions. This demonstrates that competition for nutrients and light can be accurately predicted over a wide range of productivities. The experiments revealed that the intensity of competition remained constant or even decreased with increasing nutrient supply. Contrary to expectation, there were no trade-offs between competitive abilities for phosphorus and light. Species that were strong competitors for phosphorus were strong competitors for light as well. Hence, we found neither stable coexistence nor alternative stable states. All competition experiments led to competitive exclusion. Furthermore, the physiological traits of the species indicated that, if one would ﬁnd trade-offs in competitive abilities, competition for phosphorus and light would lead to alternative stable states rather than to stable coexistence. These results suggest that stable coexistence mediated by competition for phosphorus and light is rare, and hence an unlikely explanation for the high biodiversity commonly found in phytoplankton communities.","container-title":"Ecological Monographs","DOI":"10.1890/04-1824","ISSN":"0012-9615","issue":"1","journalAbbreviation":"Ecological Monographs","language":"en","page":"57-72","source":"DOI.org (Crossref)","title":"Competition for nutrients and light: stable coexistence, alternative stable states, or competitive exclusion?","title-short":"COMPETITION FOR NUTRIENTS AND LIGHT","volume":"76","author":[{"family":"Passarge","given":""},{"family":"Hol","given":"Suzanne"},{"family":"Escher","given":"Marieke"},{"family":"Huisman","given":"Jef"}],"issued":{"date-parts":[["2006",2]]}}},{"id":6771,"uris":["http://zotero.org/users/6128296/items/M5UZI4MY"],"itemData":{"id":6771,"type":"article-journal","abstract":"Molecular biodiversity studies of microbial communities have provided invaluable information on the existence of heretofore unknown organisms and on community composition. Cloning and ‘ﬁngerprinting’ techniques have been used many times to study prokaryote community composition of marine plankton. There are still many opportunities for new discoveries in this area, but the results have also opened new questions about the activities of these organisms and their function, going beyond just listing taxa or counting organisms. Rarely can the broad function be inferred from phylogenetic position alone (e.g. cyanobacteria). The recent discovery of abundant non-cyanobacterial marine phototrophs points to our inability to link phylogenetic position with function in a detailed way. One approach we have found fruitful is to combine ﬂuorescence in situ hybridization with microautoradiography, a technique dubbed STARFISH. A recent application has shown that ubiquitous archaea from the deep sea, phylogenetically related to extreme thermophiles, are active in the uptake of amino acids from ambient (nanomolar) concentrations. This suggests the group is at least partly heterotrophic and able to compete successfully with bacteria for nutrients. Other as-yet uncultivated groups are also amenable to similar studies.","language":"en","source":"Zotero","title":"Community structure and function in prokaryotic marine plankton","author":[{"family":"Fuhrman","given":""}],"issued":{"date-parts":[["2002"]]}}}],"schema":"https://github.com/citation-style-language/schema/raw/master/csl-citation.json"} </w:instrText>
      </w:r>
      <w:r w:rsidR="00F35666"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(Falkowski 1997; Fuhrman 2009, 199; Passarge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2006; Fuhrman 2002)</w:t>
      </w:r>
      <w:r w:rsidR="00F35666" w:rsidRPr="003609FB">
        <w:rPr>
          <w:rFonts w:ascii="Times New Roman" w:hAnsi="Times New Roman" w:cs="Times New Roman"/>
          <w:sz w:val="24"/>
          <w:szCs w:val="24"/>
        </w:rPr>
        <w:fldChar w:fldCharType="end"/>
      </w:r>
      <w:r w:rsidR="00183222">
        <w:rPr>
          <w:rFonts w:ascii="Times New Roman" w:hAnsi="Times New Roman" w:cs="Times New Roman"/>
          <w:sz w:val="24"/>
          <w:szCs w:val="24"/>
        </w:rPr>
        <w:t>.</w:t>
      </w:r>
    </w:p>
    <w:p w14:paraId="1B86C039" w14:textId="5D827B2A" w:rsidR="004C33B3" w:rsidRPr="003609FB" w:rsidRDefault="00DB058F" w:rsidP="00AB2160">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C33B3" w:rsidRPr="003609FB">
        <w:rPr>
          <w:rFonts w:ascii="Times New Roman" w:hAnsi="Times New Roman" w:cs="Times New Roman"/>
          <w:sz w:val="24"/>
          <w:szCs w:val="24"/>
        </w:rPr>
        <w:t xml:space="preserve">carbon cycle plays an integral role in climate change </w:t>
      </w:r>
      <w:r w:rsidR="004C33B3" w:rsidRPr="004A122C">
        <w:rPr>
          <w:rFonts w:ascii="Times New Roman" w:hAnsi="Times New Roman" w:cs="Times New Roman"/>
          <w:sz w:val="24"/>
          <w:szCs w:val="24"/>
        </w:rPr>
        <w:t>science</w:t>
      </w:r>
      <w:r w:rsidR="00F35666" w:rsidRPr="004A122C">
        <w:rPr>
          <w:rFonts w:ascii="Times New Roman" w:hAnsi="Times New Roman" w:cs="Times New Roman"/>
          <w:sz w:val="24"/>
          <w:szCs w:val="24"/>
        </w:rPr>
        <w:t xml:space="preserve"> </w:t>
      </w:r>
      <w:r w:rsidR="00F35666" w:rsidRPr="004A122C">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{"citationID":"FadSDOBW","properties":{"formattedCitation":"(Le Qu\\uc0\\u233{}r\\uc0\\u233{} et al. 2009; Friedlingstein et al. 2006)","plainCitation":"(Le Quéré et al. 2009; Friedlingstein et al. 2006)","noteIndex":0},"citationItems":[{"id":192,"uris":["http://zotero.org/users/6128296/items/3AAG3GJR"],"itemData":{"id":192,"type":"article-journal","abstract":"Efforts to control climate change require the stabilization of atmospheric CO2 concentrations. This can only be achieved through a drastic reduction of global CO2 emissions. Yet fossil fuel emissions increased by 29% between 2000 and 2008, in conjunction with increased contributions from emerging economies, from the production and international trade of goods and services, and from the use of coal as a fuel source. In contrast, emissions from land-use changes were nearly constant. Between 1959 and 2008, 43% of each year’s CO2 emissions remained in the atmosphere on average; the rest was absorbed by carbon sinks on land and in the oceans. In the past 50 years, the fraction of CO2 emissions that remains in the atmosphere each year has likely increased, from about 40% to 45%, and models suggest that this trend was caused by a decrease in the uptake of CO2 by the carbon sinks in response to climate change and variability. Changes in the CO2 sinks are highly uncertain, but they could have a significant influence on future atmospheric CO2 levels. It is therefore crucial to reduce the uncertainties","container-title":"Nature Geoscience","DOI":"10.1038/ngeo689","ISSN":"1752-0894, 1752-0908","issue":"12","journalAbbreviation":"Nature Geosci","language":"en","page":"831-836","source":"DOI.org (Crossref)","title":"Trends in the sources and sinks of carbon dioxide","volume":"2","author":[{"family":"Le Quéré","given":""},{"family":"Raupach","given":"Michael R."},{"family":"Canadell","given":"Josep G."},{"family":"Marland","given":"Gregg"},{"family":"Bopp","given":"Laurent"},{"family":"Ciais","given":"Philippe"},{"family":"Conway","given":"Thomas J."},{"family":"Doney","given":"Scott C."},{"family":"Feely","given":"Richard A."},{"family":"Foster","given":"Pru"},{"family":"Friedlingstein","given":"Pierre"},{"family":"Gurney","given":"Kevin"},{"family":"Houghton","given":"Richard A."},{"family":"House","given":"Joanna I."},{"family":"Huntingford","given":"Chris"},{"family":"Levy","given":"Peter E."},{"family":"Lomas","given":"Mark R."},{"family":"Majkut","given":"Joseph"},{"family":"Metzl","given":"Nicolas"},{"family":"Ometto","given":"Jean P."},{"family":"Peters","given":"Glen P."},{"family":"Prentice","given":"I. Colin"},{"family":"Randerson","given":"James T."},{"family":"Running","given":"Steven W."},{"family":"Sarmiento","given":"Jorge L."},{"family":"Schuster","given":"Ute"},{"family":"Sitch","given":"Stephen"},{"family":"Takahashi","given":"Taro"},{"family":"Viovy","given":"Nicolas"},{"family":"Werf","given":"Guido R.","non-dropping-particle":"van der"},{"family":"Woodward","given":"F. Ian"}],"issued":{"date-parts":[["2009",12]]}}},{"id":191,"uris":["http://zotero.org/users/6128296/items/5IWXCU8E"],"itemData":{"id":191,"type":"article-journal","abstract":"Eleven coupled climate–carbon cycle models used a common protocol to study the coupling between climate change and the carbon cycle. The models were forced by historical emissions and the Intergovernmental Panel on Climate Change (IPCC) Special Report on Emissions Scenarios (SRES) A2 anthropogenic emissions of CO2 for the 1850–2100 time period. For each model, two simulations were performed in order to isolate the impact of climate change on the land and ocean carbon cycle, and therefore the climate feedback on the atmospheric CO2 concentration growth rate. There was unanimous agreement among the models that future climate change will reduce the efficiency of the earth system to absorb the anthropogenic carbon perturbation. A larger fraction of anthropogenic CO2 will stay airborne if climate change is accounted for. By the end of the twenty-first century, this additional CO2 varied between 20 and 200 ppm for the two extreme models, the majority of the models lying between 50 and 100 ppm. The higher CO2 levels led to an additional climate warming ranging between 0.1° and 1.5°C.","container-title":"Journal of Climate","DOI":"10.1175/JCLI3800.1","ISSN":"0894-8755, 1520-0442","issue":"14","journalAbbreviation":"J. Climate","language":"en","page":"3337-3353","source":"DOI.org (Crossref)","title":"Climate–Carbon Cycle Feedback Analysis: Results from the C &lt;sup&gt;4&lt;/sup&gt; MIP Model Intercomparison","title-short":"Climate–Carbon Cycle Feedback Analysis","volume":"19","author":[{"family":"Friedlingstein","given":""},{"family":"Cox","given":"P."},{"family":"Betts","given":"R."},{"family":"Bopp","given":"L."},{"family":"Bloh","given":"W.","non-dropping-particle":"von"},{"family":"Brovkin","given":"V."},{"family":"Cadule","given":"P."},{"family":"Doney","given":"S."},{"family":"Eby","given":"M."},{"family":"Fung","given":"I."},{"family":"Bala","given":"G."},{"family":"John","given":"J."},{"family":"Jones","given":"C."},{"family":"Joos","given":"F."},{"family":"Kato","given":"T."},{"family":"Kawamiya","given":"M."},{"family":"Knorr","given":"W."},{"family":"Lindsay","given":"K."},{"family":"Matthews","given":"H. D."},{"family":"Raddatz","given":"T."},{"family":"Rayner","given":"P."},{"family":"Reick","given":"C."},{"family":"Roeckner","given":"E."},{"family":"Schnitzler","given":"K.-G."},{"family":"Schnur","given":"R."},{"family":"Strassmann","given":"K."},{"family":"Weaver","given":"A. J."},{"family":"Yoshikawa","given":"C."},{"family":"Zeng","given":"N."}],"issued":{"date-parts":[["2006",7]]}}}],"schema":"https://github.com/citation-style-language/schema/raw/master/csl-citation.json"} </w:instrText>
      </w:r>
      <w:r w:rsidR="00F35666" w:rsidRPr="004A122C">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(Le Quéré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2009; </w:t>
      </w:r>
      <w:proofErr w:type="spellStart"/>
      <w:r w:rsidR="006C2922" w:rsidRPr="006C2922">
        <w:rPr>
          <w:rFonts w:ascii="Times New Roman" w:hAnsi="Times New Roman" w:cs="Times New Roman"/>
          <w:sz w:val="24"/>
        </w:rPr>
        <w:t>Friedlingstein</w:t>
      </w:r>
      <w:proofErr w:type="spellEnd"/>
      <w:r w:rsidR="006C2922" w:rsidRPr="006C2922">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2006)</w:t>
      </w:r>
      <w:r w:rsidR="00F35666" w:rsidRPr="004A122C">
        <w:rPr>
          <w:rFonts w:ascii="Times New Roman" w:hAnsi="Times New Roman" w:cs="Times New Roman"/>
          <w:sz w:val="24"/>
          <w:szCs w:val="24"/>
        </w:rPr>
        <w:fldChar w:fldCharType="end"/>
      </w:r>
      <w:r w:rsidR="005D0F1F" w:rsidRPr="004A122C">
        <w:rPr>
          <w:rFonts w:ascii="Times New Roman" w:hAnsi="Times New Roman" w:cs="Times New Roman"/>
          <w:sz w:val="24"/>
          <w:szCs w:val="24"/>
        </w:rPr>
        <w:t>.</w:t>
      </w:r>
      <w:r w:rsidR="004C33B3" w:rsidRPr="004A122C">
        <w:rPr>
          <w:rFonts w:ascii="Times New Roman" w:hAnsi="Times New Roman" w:cs="Times New Roman"/>
          <w:sz w:val="24"/>
          <w:szCs w:val="24"/>
        </w:rPr>
        <w:t xml:space="preserve"> It is predicted that as global carbon emissions continue to rise </w:t>
      </w:r>
      <w:r w:rsidR="00F35666" w:rsidRPr="004A122C">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{"citationID":"PBHnIZ62","properties":{"formattedCitation":"(Sokolov et al. 2009; Plattner et al. 2008)","plainCitation":"(Sokolov et al. 2009; Plattner et al. 2008)","noteIndex":0},"citationItems":[{"id":229,"uris":["http://zotero.org/users/6128296/items/YAGAKT22"],"itemData":{"id":229,"type":"article-journal","abstract":"The MIT Integrated Global System Model is used to make probabilistic projections of climate change from 1861 to 2100. Since the model’s first projections were published in 2003 substantial improvements have been made to the model and improved estimates of the probability distributions of uncertain input parameters have become available. The new projections are considerably warmer than the 2003 projections, e.g., the median surface warming in 2091 to 2100 is 5.1oC compared to 2.4oC in the earlier study. Many changes contribute to the stronger warming; among the more important ones are taking into account the cooling in the second half of the 20th century due to volcanic eruptions for input parameter estimation and a more sophisticated method for projecting GDP growth which eliminated many low emission scenarios. However, if recently published data, suggesting stronger 20th century ocean warming, are used to determine the input climate parameters, the median projected warning at the end of the 21st century is only 4.1oC. Nevertheless all our simulations have a very small probability of warming less than 2.4oC, the lower bound of the IPCC AR4 projected likely range for the A1FI scenario, which has forcing very similar to our median projection. The probability distribution for the surface warming produced by our analysis is more symmetric than the distribution assumed by the IPCC due to a different feedback between the climate and the carbon cycle, resulting from a different treatment of the carbon-nitrogen interaction in the terrestrial ecosystem.","language":"en","page":"50","source":"Zotero","title":"Probabilistic forecast for 21st century climate based on uncertainties in emissions (without policy) and climate parameters","author":[{"family":"Sokolov","given":""},{"family":"Stone","given":"P"},{"family":"Forest","given":"C"},{"family":"Prinn","given":"R"},{"family":"Sarofim","given":"M"},{"family":"Webster","given":"M"},{"family":"Paltsev","given":"S"},{"family":"Schlosser","given":"C"},{"family":"Kicklighter","given":"D"},{"family":"Dutkiewicz","given":"S"},{"family":"Reilly","given":"J"},{"family":"Wang","given":"C"},{"family":"Felzer","given":"B"},{"family":"Jacoby","given":"H"}],"issued":{"date-parts":[["2009"]]}}},{"id":224,"uris":["http://zotero.org/users/6128296/items/P4N2HSF9"],"itemData":{"id":224,"type":"article-journal","abstract":"Eight earth system models of intermediate complexity (EMICs) are used to project climate change commitments for the recent Intergovernmental Panel on Climate Change’s (IPCC’s) Fourth Assessment Report (AR4). Simulations are run until the year 3000 A.D. and extend substantially farther into the future than conceptually similar simulations with atmosphere–ocean general circulation models (AOGCMs) coupled to carbon cycle models. In this paper the following are investigated: 1) the climate change commitment in response to stabilized greenhouse gases and stabilized total radiative forcing, 2) the climate change commitment in response to earlier CO2 emissions, and 3) emission trajectories for profiles leading to the stabilization of atmospheric CO2 and their uncertainties due to carbon cycle processes. Results over the twenty-first century compare reasonably well with results from AOGCMs, and the suite of EMICs proves well suited to complement more complex models. Substantial climate change commitments for sea level rise and global mean surface temperature increase after a stabilization of atmospheric greenhouse gases and radiative forcing in the year 2100 are identified. The additional warming by the year 3000 is 0.6–1.6 K for the low-CO2 IPCC Special Report on Emissions Scenarios (SRES) B1 scenario and 1.3–2.2 K for the high-CO2 SRES A2 scenario. Correspondingly, the post-2100 thermal expansion commitment is 0.3–1.1 m for SRES B1 and 0.5–2.2 m for SRES A2. Sea level continues to rise due to thermal expansion for several centuries after CO2 stabilization. In contrast, surface temperature changes slow down after a century. The meridional overturning circulation is weakened in all EMICs, but recovers to nearly initial values in all but one of the models after centuries for the scenarios considered. Emissions during the twenty-first century continue to impact atmospheric CO2 and climate even at year 3000. All models find that most of the anthropogenic carbon emissions are eventually taken up by the ocean (49%–62%) in year 3000, and that a substantial fraction (15%–28%) is still airborne even 900 yr after carbon emissions have ceased. Future stabilization of atmospheric CO2 and climate change requires a substantial reduction of CO2 emissions below present levels in all EMICs. This reduction needs to be substantially larger if carbon cycle–climate feedbacks are accounted for or if terrestrial CO2 fertilization is not operating. Large differences among EMICs are identified in both the response to increasing atmospheric CO2 and the response to climate change. This highlights the need for improved representations of carbon cycle processes in these models apart from the sensitivity to climate change. Sensitivity simulations with one single EMIC indicate that both carbon cycle and climate sensitivity related uncertainties on projected allowable emissions are substantial.","container-title":"Journal of Climate","DOI":"10.1175/2007JCLI1905.1","ISSN":"0894-8755, 1520-0442","issue":"12","journalAbbreviation":"J. Climate","language":"en","page":"2721-2751","source":"DOI.org (Crossref)","title":"Long-Term Climate Commitments Projected with Climate–Carbon Cycle Models","volume":"21","author":[{"family":"Plattner","given":""},{"family":"Knutti","given":"R."},{"family":"Joos","given":"F."},{"family":"Stocker","given":"T. F."},{"family":"Bloh","given":"W.","non-dropping-particle":"von"},{"family":"Brovkin","given":"V."},{"family":"Cameron","given":"D."},{"family":"Driesschaert","given":"E."},{"family":"Dutkiewicz","given":"S."},{"family":"Eby","given":"M."},{"family":"Edwards","given":"N. R."},{"family":"Fichefet","given":"T."},{"family":"Hargreaves","given":"J. C."},{"family":"Jones","given":"C. D."},{"family":"Loutre","given":"M. F."},{"family":"Matthews","given":"H. D."},{"family":"Mouchet","given":"A."},{"family":"Müller","given":"S. A."},{"family":"Nawrath","given":"S."},{"family":"Price","given":"A."},{"family":"Sokolov","given":"A."},{"family":"Strassmann","given":"K. M."},{"family":"Weaver","given":"A. J."}],"issued":{"date-parts":[["2008",6]]}}}],"schema":"https://github.com/citation-style-language/schema/raw/master/csl-citation.json"} </w:instrText>
      </w:r>
      <w:r w:rsidR="00F35666" w:rsidRPr="004A122C">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(Sokolov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2009; Plattner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2008)</w:t>
      </w:r>
      <w:r w:rsidR="00F35666" w:rsidRPr="004A122C">
        <w:rPr>
          <w:rFonts w:ascii="Times New Roman" w:hAnsi="Times New Roman" w:cs="Times New Roman"/>
          <w:sz w:val="24"/>
          <w:szCs w:val="24"/>
        </w:rPr>
        <w:fldChar w:fldCharType="end"/>
      </w:r>
      <w:r w:rsidR="004C33B3" w:rsidRPr="004A122C">
        <w:rPr>
          <w:rFonts w:ascii="Times New Roman" w:hAnsi="Times New Roman" w:cs="Times New Roman"/>
          <w:sz w:val="24"/>
          <w:szCs w:val="24"/>
        </w:rPr>
        <w:t xml:space="preserve"> marine systems </w:t>
      </w:r>
      <w:r w:rsidR="005A3C4B" w:rsidRPr="004A122C">
        <w:rPr>
          <w:rFonts w:ascii="Times New Roman" w:hAnsi="Times New Roman" w:cs="Times New Roman"/>
          <w:sz w:val="24"/>
          <w:szCs w:val="24"/>
        </w:rPr>
        <w:t>that</w:t>
      </w:r>
      <w:r w:rsidR="004C33B3" w:rsidRPr="004A122C">
        <w:rPr>
          <w:rFonts w:ascii="Times New Roman" w:hAnsi="Times New Roman" w:cs="Times New Roman"/>
          <w:sz w:val="24"/>
          <w:szCs w:val="24"/>
        </w:rPr>
        <w:t xml:space="preserve"> canonically act as carbon sinks </w:t>
      </w:r>
      <w:r w:rsidR="00772674" w:rsidRPr="004A122C">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{"citationID":"sV3nIzHf","properties":{"formattedCitation":"(Tagliabue, n.d.; Boyd 2015; Gruber et al. 2009; Raven and Falkowski 1999; Siegel et al. 2014)","plainCitation":"(Tagliabue, n.d.; Boyd 2015; Gruber et al. 2009; Raven and Falkowski 1999; Siegel et al. 2014)","noteIndex":0},"citationItems":[{"id":4599,"uris":["http://zotero.org/users/6128296/items/W5ZYJVCL"],"itemData":{"id":4599,"type":"article-journal","language":"en","source":"Zotero","title":"Climate forecasts: bring marine microbes into the equation","author":[{"family":"Tagliabue","given":""}]}},{"id":83,"uris":["http://zotero.org/users/6128296/items/HPGIFF26"],"itemData":{"id":83,"type":"article-journal","abstract":"The biological pump makes a major global contribution to the sequestration of carbon-rich particles in the oceans’ interior. This pump has many component parts from physics to ecology that together control its efﬁciency in exporting particles. Hence, the inﬂuence of climate change on the functioning and magnitude of the pump is likely to be complex and non-linear. Here, I employ a published 1-D coupled surface-subsurface Particulate Organic Carbon (POC) export ﬂux model to systematically explore the potential inﬂuence of changing oceanic conditions on each of the pump’s “moving parts,” in both surface and subsurface waters. These simulations were run for typical high (High Nutrient Low Chlorophyll, HNLC) and low (Low Nutrient Low Chlorophyll, LNLC) latitude sites. Next, I couple pump components that have common drivers, such as temperature, to investigate more complex scenarios involving concurrent climate-change mediated alteration of multiple “moving parts” of the pump. Model simulations reveal that in the surface ocean, changes to algal community structure (i.e., a shift toward small cells) has the greatest individual inﬂuence (decreased ﬂux) on downward POC ﬂux in the coming decades. In subsurface waters, a shift in zooplankton community structure has the greatest single effect on POC ﬂux (decreased) in a future ocean. More complex treatments, in which up to 10 individual factors (across both surface and subsurface processes) were concurrently altered,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 halved the POC ﬂux at both high and low latitudes. In general climate-mediated changes to surface ocean processes had a greater effect on the magnitude of POC ﬂux than alteration of subsurface processes, some of which negated one another. This relatively simple 1-D model provides initial insights into the most inﬂuential processes that may alter the future performance of this pump, and more importantly reveals many knowledge gaps that require urgent attention before we can accurately quantify future changes to the biological pump.","container-title":"Frontiers in Marine Science","DOI":"10.3389/fmars.2015.00077","ISSN":"2296-7745","journalAbbreviation":"Front. Mar. Sci.","language":"en","source":"DOI.org (Crossref)","title":"Toward quantifying the response of the oceans' biological pump to climate change","URL":"http://journal.frontiersin.org/Article/10.3389/fmars.2015.00077/abstract","volume":"2","author":[{"family":"Boyd","given":""}],"accessed":{"date-parts":[["2019",10,24]]},"issued":{"date-parts":[["2015",10,13]]}}},{"id":205,"uris":["http://zotero.org/users/6128296/items/PNPTZFQJ"],"itemData":{"id":205,"type":"article-journal","abstract":"We synthesize estimates of the contemporary net air-sea CO2 flux on the basis of an inversion of interior ocean carbon observations using a suite of 10 ocean general circulation models (Mikaloff Fletcher et al., 2006, 2007) and compare them to estimates based on a new climatology of the air-sea difference of the partial pressure of CO2 (pCO2) (Takahashi et al., 2008). These two independent flux estimates reveal a consistent description of the regional distribution of annual mean sources and sinks of atmospheric CO2 for the decade of the 1990s and the early 2000s with differences at the regional level of generally less than 0.1 Pg C a 1. This distribution is characterized by outgassing in the tropics, uptake in midlatitudes, and comparatively small fluxes in the high latitudes. Both estimates point toward a small (  0.3 Pg C a 1) contemporary CO2 sink in the Southern Ocean (south of 44°S), a result of the near cancellation between a substantial outgassing of natural CO2 and a strong uptake of anthropogenic CO2.A notable exception in the generally good agreement between the two estimates exists within the Southern Ocean: the ocean inversion suggests a relatively uniform uptake, while the pCO2-based estimate suggests strong uptake in the region between 58°S and 44°S, and a source in the region south of 58°S. Globally and for a nominal period between 1995 and 2000, the contemporary net air-sea flux of CO2 is estimated to be  1.7 ± 0.4 Pg C a 1 (inversion) and  1.4 ± 0.7 Pg C a 1 (pCO2-climatology), respectively, consisting of an outgassing flux of river-derived carbon of  +0.5 Pg C a 1, and an uptake flux of anthropogenic carbon of  2.2 ± 0.3 Pg C a 1 (inversion) and  1.9 ± 0.7 Pg C a 1 (pCO2-climatology). The two flux estimates also imply a consistent description of the contemporary meridional transport of carbon with southward ocean transport throughout most of the Atlantic basin, and strong equatorward convergence in the Indo-Pacific basins. Both transport estimates suggest a small hemispheric asymmetry with a southward transport of between  0.2 and  0.3 Pg C a 1 across the equator. While the convergence of these two independent estimates is encouraging and suggests that it is now possible to provide relatively tight constraints for the net air-sea CO2 fluxes at the regional basis, both studies are limited by their lack of consideration of long-term changes in the ocean carbon cycle, such as the recent possible stalling in the expected growth of the Southern Ocean carbon sink.","container-title":"Global Biogeochemical Cycles","DOI":"10.1029/2008GB003349","ISSN":"08866236","issue":"1","journalAbbreviation":"Global Biogeochem. Cycles","language":"en","page":"n/a-n/a","source":"DOI.org (Crossref)","title":"Oceanic sources, sinks, and transport of atmospheric CO &lt;sub&gt;2&lt;/sub&gt;: OCEANIC SOURCES, SINKS AND TRANSPORT OF CO &lt;sub&gt;2&lt;/sub&gt;","title-short":"Oceanic sources, sinks, and transport of atmospheric CO &lt;sub&gt;2&lt;/sub&gt;","volume":"23","author":[{"family":"Gruber","given":""},{"family":"Gloor","given":"Manuel"},{"family":"Mikaloff Fletcher","given":"Sara E."},{"family":"Doney","given":"Scott C."},{"family":"Dutkiewicz","given":"Stephanie"},{"family":"Follows","given":"Michael J."},{"family":"Gerber","given":"Markus"},{"family":"Jacobson","given":"Andrew R."},{"family":"Joos","given":"Fortunat"},{"family":"Lindsay","given":"Keith"},{"family":"Menemenlis","given":"Dimitris"},{"family":"Mouchet","given":"Anne"},{"family":"Müller","given":"Simon A."},{"family":"Sarmiento","given":"Jorge L."},{"family":"Takahashi","given":"Taro"}],"issued":{"date-parts":[["2009",3]]}}},{"id":1521,"uris":["http://zotero.org/users/6128296/items/4A2ABMGD"],"itemData":{"id":1521,"type":"article-journal","abstract":"There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G."}],"issued":{"date-parts":[["1999",6]]}}},{"id":1783,"uris":["http://zotero.org/users/6128296/items/K5B79SRZ"],"itemData":{"id":1783,"type":"article-journal","abstract":"The export of organic carbon from the surface ocean by sinking particles is an important, yet highly uncertain, component of the global carbon cycle. Here we introduce a mechanistic assessment of the global ocean carbon export using satellite observations, including determinations of net primary production and the slope of the particle size spectrum, to drive a food-web model that estimates the production of sinking zooplankton feces and algal aggregates comprising the sinking particle ﬂux at the base of the euphotic zone. The synthesis of observations and models reveals fundamentally different and ecologically consistent regional-scale patterns in export and export efﬁciency not found in previous global carbon export assessments. The model reproduces regional-scale particle export ﬁeld observations and predicts a climatological mean global carbon export from the euphotic zone of ~6 Pg C yrÀ1. Global export estimates show small variation (typically &lt; 10%) to factor of 2 changes in model parameter values. The model is also robust to the choices of the satellite data products used and enables interannual changes to be quantiﬁed. The present synthesis of observations and models provides a path for quantifying the ocean’s biological pump.","container-title":"Global Biogeochemical Cycles","DOI":"10.1002/2013GB004743","ISSN":"08866236","issue":"3","journalAbbreviation":"Global Biogeochem. Cycles","language":"en","page":"181-196","source":"DOI.org (Crossref)","title":"Global assessment of ocean carbon export by combining satellite observations and food-web models","volume":"28","author":[{"family":"Siegel","given":""},{"family":"Buesseler","given":"K. O."},{"family":"Doney","given":"S. C."},{"family":"Sailley","given":"S. F."},{"family":"Behrenfeld","given":"M. J."},{"family":"Boyd","given":"P. W."}],"issued":{"date-parts":[["2014",3]]}}}],"schema":"https://github.com/citation-style-language/schema/raw/master/csl-citation.json"} </w:instrText>
      </w:r>
      <w:r w:rsidR="00772674" w:rsidRPr="004A122C">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(Tagliabue, n.d.; Boyd 2015; Gruber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2009; Raven and Falkowski 1999; Siegel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2014)</w:t>
      </w:r>
      <w:r w:rsidR="00772674" w:rsidRPr="004A122C">
        <w:rPr>
          <w:rFonts w:ascii="Times New Roman" w:hAnsi="Times New Roman" w:cs="Times New Roman"/>
          <w:sz w:val="24"/>
          <w:szCs w:val="24"/>
        </w:rPr>
        <w:fldChar w:fldCharType="end"/>
      </w:r>
      <w:r w:rsidR="004C33B3" w:rsidRPr="004A122C">
        <w:rPr>
          <w:rFonts w:ascii="Times New Roman" w:hAnsi="Times New Roman" w:cs="Times New Roman"/>
          <w:sz w:val="24"/>
          <w:szCs w:val="24"/>
        </w:rPr>
        <w:t xml:space="preserve"> will be significantly affected </w:t>
      </w:r>
      <w:r w:rsidR="00772674" w:rsidRPr="004A122C">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{"citationID":"uVdVT6uR","properties":{"formattedCitation":"(Friedlingstein et al. 2006; Gruber et al. 2009; Hennon et al. 2018)","plainCitation":"(Friedlingstein et al. 2006; Gruber et al. 2009; Hennon et al. 2018)","noteIndex":0},"citationItems":[{"id":191,"uris":["http://zotero.org/users/6128296/items/5IWXCU8E"],"itemData":{"id":191,"type":"article-journal","abstract":"Eleven coupled climate–carbon cycle models used a common protocol to study the coupling between climate change and the carbon cycle. The models were forced by historical emissions and the Intergovernmental Panel on Climate Change (IPCC) Special Report on Emissions Scenarios (SRES) A2 anthropogenic emissions of CO2 for the 1850–2100 time period. For each model, two simulations were performed in order to isolate the impact of climate change on the land and ocean carbon cycle, and therefore the climate feedback on the atmospheric CO2 concentration growth rate. There was unanimous agreement among the models that future climate change will reduce the efficiency of the earth system to absorb the anthropogenic carbon perturbation. A larger fraction of anthropogenic CO2 will stay airborne if climate change is accounted for. By the end of the twenty-first century, this additional CO2 varied between 20 and 200 ppm for the two extreme models, the majority of the models lying between 50 and 100 ppm. The higher CO2 levels led to an additional climate warming ranging between 0.1° and 1.5°C.","container-title":"Journal of Climate","DOI":"10.1175/JCLI3800.1","ISSN":"0894-8755, 1520-0442","issue":"14","journalAbbreviation":"J. Climate","language":"en","page":"3337-3353","source":"DOI.org (Crossref)","title":"Climate–Carbon Cycle Feedback Analysis: Results from the C &lt;sup&gt;4&lt;/sup&gt; MIP Model Intercomparison","title-short":"Climate–Carbon Cycle Feedback Analysis","volume":"19","author":[{"family":"Friedlingstein","given":""},{"family":"Cox","given":"P."},{"family":"Betts","given":"R."},{"family":"Bopp","given":"L."},{"family":"Bloh","given":"W.","non-dropping-particle":"von"},{"family":"Brovkin","given":"V."},{"family":"Cadule","given":"P."},{"family":"Doney","given":"S."},{"family":"Eby","given":"M."},{"family":"Fung","given":"I."},{"family":"Bala","given":"G."},{"family":"John","given":"J."},{"family":"Jones","given":"C."},{"family":"Joos","given":"F."},{"family":"Kato","given":"T."},{"family":"Kawamiya","given":"M."},{"family":"Knorr","given":"W."},{"family":"Lindsay","given":"K."},{"family":"Matthews","given":"H. D."},{"family":"Raddatz","given":"T."},{"family":"Rayner","given":"P."},{"family":"Reick","given":"C."},{"family":"Roeckner","given":"E."},{"family":"Schnitzler","given":"K.-G."},{"family":"Schnur","given":"R."},{"family":"Strassmann","given":"K."},{"family":"Weaver","given":"A. J."},{"family":"Yoshikawa","given":"C."},{"family":"Zeng","given":"N."}],"issued":{"date-parts":[["2006",7]]}}},{"id":205,"uris":["http://zotero.org/users/6128296/items/PNPTZFQJ"],"itemData":{"id":205,"type":"article-journal","abstract":"We synthesize estimates of the contemporary net air-sea CO2 flux on the basis of an inversion of interior ocean carbon observations using a suite of 10 ocean general circulation models (Mikaloff Fletcher et al., 2006, 2007) and compare them to estimates based on a new climatology of the air-sea difference of the partial pressure of CO2 (pCO2) (Takahashi et al., 2008). These two independent flux estimates reveal a consistent description of the regional distribution of annual mean sources and sinks of atmospheric CO2 for the decade of the 1990s and the early 2000s with differences at the regional level of generally less than 0.1 Pg C a 1. This distribution is characterized by outgassing in the tropics, uptake in midlatitudes, and comparatively small fluxes in the high latitudes. Both estimates point toward a small (  0.3 Pg C a 1) contemporary CO2 sink in the Southern Ocean (south of 44°S), a result of the near cancellation between a substantial outgassing of natural CO2 and a strong uptake of anthropogenic CO2.A notable exception in the generally good agreement between the two estimates exists within the Southern Ocean: the ocean inversion suggests a relatively uniform uptake, while the pCO2-based estimate suggests strong uptake in the region between 58°S and 44°S, and a source in the region south of 58°S. Globally and for a nominal period between 1995 and 2000, the contemporary net air-sea flux of CO2 is estimated to be  1.7 ± 0.4 Pg C a 1 (inversion) and  1.4 ± 0.7 Pg C a 1 (pCO2-climatology), respectively, consisting of an outgassing flux of river-derived carbon of  +0.5 Pg C a 1, and an uptake flux of anthropogenic carbon of  2.2 ± 0.3 Pg C a 1 (inversion) and  1.9 ± 0.7 Pg C a 1 (pCO2-climatology). The two flux estimates also imply a consistent description of the contemporary meridional transport of carbon with southward ocean transport throughout most of the Atlantic basin, and strong equatorward convergence in the Indo-Pacific basins. Both transport estimates suggest a small hemispheric asymmetry with a southward transport of between  0.2 and  0.3 Pg C a 1 across the equator. While the convergence of these two independent estimates is encouraging and suggests that it is now possible to provide relatively tight constraints for the net air-sea CO2 fluxes at the regional basis, both studies are limited by their lack of consideration of long-term changes in the ocean carbon cycle, such as the recent possible stalling in the expected growth of the Southern Ocean carbon sink.","container-title":"Global Biogeochemical Cycles","DOI":"10.1029/2008GB003349","ISSN":"08866236","issue":"1","journalAbbreviation":"Global Biogeochem. Cycles","language":"en","page":"n/a-n/a","source":"DOI.org (Crossref)","title":"Oceanic sources, sinks, and transport of atmospheric CO &lt;sub&gt;2&lt;/sub&gt;: OCEANIC SOURCES, SINKS AND TRANSPORT OF CO &lt;sub&gt;2&lt;/sub&gt;","title-short":"Oceanic sources, sinks, and transport of atmospheric CO &lt;sub&gt;2&lt;/sub&gt;","volume":"23","author":[{"family":"Gruber","given":""},{"family":"Gloor","given":"Manuel"},{"family":"Mikaloff Fletcher","given":"Sara E."},{"family":"Doney","given":"Scott C."},{"family":"Dutkiewicz","given":"Stephanie"},{"family":"Follows","given":"Michael J."},{"family":"Gerber","given":"Markus"},{"family":"Jacobson","given":"Andrew R."},{"family":"Joos","given":"Fortunat"},{"family":"Lindsay","given":"Keith"},{"family":"Menemenlis","given":"Dimitris"},{"family":"Mouchet","given":"Anne"},{"family":"Müller","given":"Simon A."},{"family":"Sarmiento","given":"Jorge L."},{"family":"Takahashi","given":"Taro"}],"issued":{"date-parts":[["2009",3]]}}},{"id":96,"uris":["http://zotero.org/users/6128296/items/FLR3U54M"],"itemData":{"id":96,"type":"article-journal","container-title":"The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T"}],"issued":{"date-parts":[["2018",2]]}}}],"schema":"https://github.com/citation-style-language/schema/raw/master/csl-citation.json"} </w:instrText>
      </w:r>
      <w:r w:rsidR="00772674" w:rsidRPr="004A122C">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Friedlingstein</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2006; Gruber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2009; Hennon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2018)</w:t>
      </w:r>
      <w:r w:rsidR="00772674" w:rsidRPr="004A122C">
        <w:rPr>
          <w:rFonts w:ascii="Times New Roman" w:hAnsi="Times New Roman" w:cs="Times New Roman"/>
          <w:sz w:val="24"/>
          <w:szCs w:val="24"/>
        </w:rPr>
        <w:fldChar w:fldCharType="end"/>
      </w:r>
      <w:r w:rsidR="004C33B3" w:rsidRPr="004A122C">
        <w:rPr>
          <w:rFonts w:ascii="Times New Roman" w:hAnsi="Times New Roman" w:cs="Times New Roman"/>
          <w:sz w:val="24"/>
          <w:szCs w:val="24"/>
        </w:rPr>
        <w:t xml:space="preserve">. Nitrogen deposition is expected to increase in the future </w:t>
      </w:r>
      <w:r w:rsidR="00772674" w:rsidRPr="004A122C">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{"citationID":"i53tDpyI","properties":{"formattedCitation":"(Voss et al. 2013)","plainCitation":"(Voss et al. 2013)","noteIndex":0},"citationItems":[{"id":3629,"uris":["http://zotero.org/users/6128296/items/SVATBYP9"],"itemData":{"id":3629,"type":"article-journal","abstract":"The ocean's nitrogen cycle is driven by complex microbial transformations, including nitrogen fixation, assimilation, nitrification, anammox and denitrification. Dinitrogen is the most abundant form of nitrogen in sea water but only accessible by nitrogen-fixing microbes. Denitrification and nitrification are both regulated by oxygen concentrations and potentially produce nitrous oxide (N\n              2\n              O), a climate-relevant atmospheric trace gas. The world's oceans, including the coastal areas and upwelling areas, contribute about 30 per cent to the atmospheric N\n              2\n              O budget and are, therefore, a major source of this gas to the atmosphere. Human activities now add more nitrogen to the environment than is naturally fixed. More than half of the nitrogen reaches the coastal ocean via river input and atmospheric deposition, of which the latter affects even remote oceanic regions. A nitrogen budget for the coastal and open ocean, where inputs and outputs match rather well, is presented. Furthermore, predicted climate change will impact the expansion of the oceans' oxygen minimum zones, the productivity of surface waters and presumably other microbial processes, with unpredictable consequences for the cycling of nitrogen. Nitrogen cycling is closely intertwined with that of carbon, phosphorous and other biologically important elements via biological stoichiometric requirements. This linkage implies that human alterations of nitrogen cycling are likely to have major consequences for other biogeochemical processes and ecosystem functions and services.","container-title":"Philosophical Transactions of the Royal Society B: Biological Sciences","DOI":"10.1098/rstb.2013.0121","ISSN":"0962-8436, 1471-2970","issue":"1621","journalAbbreviation":"Phil. Trans. R. Soc. B","language":"en","page":"20130121","source":"DOI.org (Crossref)","title":"The marine nitrogen cycle: recent discoveries, uncertainties and the potential relevance of climate change","title-short":"The marine nitrogen cycle","volume":"368","author":[{"family":"Voss","given":""},{"family":"Bange","given":"Hermann W."},{"family":"Dippner","given":"Joachim W."},{"family":"Middelburg","given":"Jack J."},{"family":"Montoya","given":"Joseph P."},{"family":"Ward","given":"Bess"}],"issued":{"date-parts":[["2013",7,5]]}}}],"schema":"https://github.com/citation-style-language/schema/raw/master/csl-citation.json"} </w:instrText>
      </w:r>
      <w:r w:rsidR="00772674" w:rsidRPr="004A122C">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(Voss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772674" w:rsidRPr="004A122C">
        <w:rPr>
          <w:rFonts w:ascii="Times New Roman" w:hAnsi="Times New Roman" w:cs="Times New Roman"/>
          <w:sz w:val="24"/>
          <w:szCs w:val="24"/>
        </w:rPr>
        <w:fldChar w:fldCharType="end"/>
      </w:r>
      <w:r w:rsidR="004C33B3" w:rsidRPr="004A122C">
        <w:rPr>
          <w:rFonts w:ascii="Times New Roman" w:hAnsi="Times New Roman" w:cs="Times New Roman"/>
          <w:sz w:val="24"/>
          <w:szCs w:val="24"/>
        </w:rPr>
        <w:t xml:space="preserve"> yet increased stratification is set to favor streamlined, smaller-celled competitors </w:t>
      </w:r>
      <w:r w:rsidR="005C1316" w:rsidRPr="004A122C">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{"citationID":"0Vhyoe23","properties":{"formattedCitation":"(Henson et al. 2021; Knight and Morris 2020; Sall\\uc0\\u233{}e et al. 2021; Wang et al. 2023)","plainCitation":"(Henson et al. 2021; Knight and Morris 2020; Sallée et al. 2021; Wang et al. 2023)","noteIndex":0},"citationItems":[{"id":4150,"uris":["http://zotero.org/users/6128296/items/LLDD9BXM"],"itemData":{"id":4150,"type":"article-journal","abstract":"Abstract\n            The future response of marine ecosystem diversity to continued anthropogenic forcing is poorly constrained. Phytoplankton are a diverse set of organisms that form the base of the marine ecosystem. Currently, ocean biogeochemistry and ecosystem models used for climate change projections typically include only 2−3 phytoplankton types and are, therefore, too simple to adequately assess the potential for changes in plankton community structure. Here, we analyse a complex ecosystem model with 35 phytoplankton types to evaluate the changes in phytoplankton community composition, turnover and size structure over the 21st century. We find that the rate of turnover in the phytoplankton community becomes faster during this century, that is, the community structure becomes increasingly unstable in response to climate change. Combined with alterations to phytoplankton diversity, our results imply a loss of ecological resilience with likely knock-on effects on the productivity and functioning of the marine environment.","container-title":"Nature Communications","DOI":"10.1038/s41467-021-25699-w","ISSN":"2041-1723","issue":"1","journalAbbreviation":"Nat Commun","language":"en","page":"5372","source":"DOI.org (Crossref)","title":"Future phytoplankton diversity in a changing climate","volume":"12","author":[{"family":"Henson","given":""},{"family":"Cael","given":"B. B."},{"family":"Allen","given":"Stephanie R."},{"family":"Dutkiewicz","given":"Stephanie"}],"issued":{"date-parts":[["2021",9,10]]}}},{"id":3977,"uris":["http://zotero.org/users/6128296/items/C682ZITV"],"itemData":{"id":3977,"type":"article-journal","abstract":"Anthropogenic CO2 emissions are projected to lower the pH of the ocean 0.3 units by 2100. Previous studies suggested that Prochlorococcus and Synechococcus, the numerically dominant phytoplankton in the oceans, have different responses to elevated CO2 that may result in a dramatic shift in their relative abundances in future oceans. Here we showed that the exponential growth rates of these two genera respond to future CO2 conditions in a manner similar to other cyanobacteria, but Prochlorococcus strains had significantly lower realized growth rates under elevated CO2 regimes due to poor survival after exposure to fresh culture media. Despite this, a Synechococcus strain was unable to outcompete a Prochlorococcus strain in co-culture at elevated CO2. Under these conditions, Prochlorococcus’ poor response to elevated CO2 disappeared, and Prochlorococcus’ relative fitness showed negative frequency dependence, with both competitors having significant fitness advantages when initially rare. These experiments suggested that the two strains should be able to coexist indefinitely in co-culture despite sharing nearly identical nutritional requirements. We speculate that negative frequency dependence exists due to reductive Black Queen evolution that has resulted in a passively mutualistic relationship analogous to that connecting Prochlorococcus with the ‘helper’ heterotrophic microbes in its environment.","container-title":"Environmental Microbiolo</w:instrText>
      </w:r>
      <w:r w:rsidR="009D7443">
        <w:rPr>
          <w:rFonts w:ascii="Times New Roman" w:hAnsi="Times New Roman" w:cs="Times New Roman" w:hint="eastAsia"/>
          <w:sz w:val="24"/>
          <w:szCs w:val="24"/>
        </w:rPr>
        <w:instrText>gy","DOI":"10.1111/1462-2920.15277","ISSN":"1462-2912, 1462-2920","issue":"11","journalAbbreviation":"Environmental Microbiology","language":"en","page":"4876-4889","source":"DOI.org (Crossref)","title":"Co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culture with &lt;i&gt;Synechococcus&lt;/i&gt; facilitates gr</w:instrText>
      </w:r>
      <w:r w:rsidR="009D7443">
        <w:rPr>
          <w:rFonts w:ascii="Times New Roman" w:hAnsi="Times New Roman" w:cs="Times New Roman"/>
          <w:sz w:val="24"/>
          <w:szCs w:val="24"/>
        </w:rPr>
        <w:instrText xml:space="preserve">owth of &lt;i&gt;Prochlorococcus&lt;/i&gt; under ocean acidification conditions","volume":"22","author":[{"family":"Knight","given":""},{"family":"Morris","given":"J. Jeffrey"}],"issued":{"date-parts":[["2020",11]]}}},{"id":3993,"uris":["http://zotero.org/users/6128296/items/GQYVKEZC"],"itemData":{"id":3993,"type":"article-journal","abstract":"The surface mixed layer of the world ocean regulates global climate by controlling heat and carbon exchange between the atmosphere and the oceanic interior1–3. The mixed layer also shapes marine ecosystems by hosting most of the ocean’s primary production4 and providing the conduit for oxygenation of deep oceanic layers. Despite these important climatic and life-supporting roles, possible changes in the mixed layer during an era of global climate change remain uncertain. Here we use oceanographic observations to show that from 1970 to 2018 the density contrast across the base of the mixed layer increased and that the mixed layer itself became deeper. Using a physically based definition of upper-ocean stability that follows different dynamical regimes across the global ocean, we find that the summertime density contrast increased by 8.9 ± 2.7 per cent per decade (10−5–10−4 per second squared per decade, depending on region), more than six times greater than previous estimates. Whereas prior work has suggested that a thinner mixed layer should accompany a more stratified upper ocean5–7, we find instead that the summertime mixed layer deepened by 2.9 ± 0.5 per cent per decade, or several metres per decade (typically 5–10 metres per decade, depending on region). A detailed mechanistic interpretation is challenging, but the concurrent stratification and deepening of the mixed layer are related to an increase in stability associated with surface warming and high-latitude surface freshening8,9, accompanied by a wind-driven intensification of upper-ocean turbulence10,11. Our findings are based on a complex dataset with incomplete coverage of a vast area. Although our results are robust within a wide range of sensitivity analyses, important uncertainties remain, such as those related to sparse coverage in the early years of the 1970–2018 period. Nonetheless, our work calls for reconsideration of the drivers of ongoing shifts in marine primary production, and reveals stark changes in the world’s upper ocean over the past five decades.","container-title":"Nature","DOI":"10.1038/s41586-021-03303-x","ISSN":"0028-0836, 1476-4687","issue":"7851","journalAbbreviation":"Nature","language":"en","page":"592-598","source":"DOI.org (Crossref)","title":"Summertime increases in upper-ocean stratification and mixed-layer depth","volume":"591","author":[{"family":"Sallée","given":""},{"family":"Pellichero","given":"Violaine"},{"family":"Akhoudas","given":"Camille"},{"family":"Pauthenet","given":"Etienne"},{"family":"Vignes","given":"Lucie"},{"family":"Schmidtko","given":"Sunke"},{"family":"Garabato","given":"Alberto Naveira"},{"family":"Sutherland","given":"Peter"},{"family":"Kuusela","given":"Mikael"}],"issued":{"date-parts":[["2021",3,25]]}}},{"id":3991,"uris":["http://zotero.org/users/6128296/items/QAKG72QU"],"itemData":{"id":3991,"type":"article-journal","abstract":"Under the background of global warming, the area extent of the oligotrophic tropical oceans has growing due to increased water-column stratification over the past decades. Picophytoplankton is usually the most dominant phytoplankton group in oligotrophic tropical oceans and substantially contribute to carbon biomass and primary production three. Understanding how vertical stratification governs the community structure of picophyto­ plankton communities in oligotrophic tropical oceans is important for comprehensively understanding the plankton ecology and biogeochemical cycle in these areas. In this study, the distribution of the picophyto­ plankton communities in the eastern Indian Ocean (EIO) was investigated during a period of thermal stratifi­ cation in the spring of 2021. Prochlorococcus contributed most (54.9%) to picophytoplankton carbon biomass, followed by picoeukaryotes (38.5%) and Synechococcus (6.6%). Vertically, the three picophytoplankton groups showed quite different distribution pattern: the abundance of Synechococcus was highest in the surface layer, while Prochlorococcus and picoeukaryotes were usually located between 50 m and 100 m. The relationship be­ tween the abundance of picophytoplankton and environmental factors was analyzed, and the results revealed that picophytoplankton distribution was strongly correlated with the degree of vertical stratification of the water column. The density of Synechococcus was higher in strongly stratified waters, while Prochlorococcus was more abundant in regions of weaker stratification. This is mainly attributed to variation of physicochemical parameters such as nutrient structures and temperature resulted from water column stratification. Understanding the dis­ tribution patterns of these organisms and their relationship with stratification in the oligotrophic EIO is essential for comprehensive understanding on oligotrophic tropical ecosystem with increasing stratification in future.","container-title":"Marine Environmental Research","DOI":"10.1016/j.marenvres.2023.106074","ISSN":"01411136","journalAbbreviation":"Marine Environmental Research","language":"en","page":"106074","source":"DOI.org (Crossref)","title":"Water column stratification governs picophytoplankton community structure in the oligotrophic eastern Indian ocean","volume":"189","author":[{"family":"Wang","given":""},{"family":"Guo","given":"Shujin"},{"family":"Liang","given":"Junhua"},{"family":"Sun","given":"Xiaoxia"}],"issued":{"date-parts":[["2023",7]]}}}],"schema":"https://github.com/citation-style-language/schema/raw/master/csl-citation.json"} </w:instrText>
      </w:r>
      <w:r w:rsidR="005C1316" w:rsidRPr="004A122C">
        <w:rPr>
          <w:rFonts w:ascii="Times New Roman" w:hAnsi="Times New Roman" w:cs="Times New Roman"/>
          <w:sz w:val="24"/>
          <w:szCs w:val="24"/>
        </w:rPr>
        <w:fldChar w:fldCharType="separate"/>
      </w:r>
      <w:r w:rsidR="009D7443" w:rsidRPr="009D7443">
        <w:rPr>
          <w:rFonts w:ascii="Times New Roman" w:hAnsi="Times New Roman" w:cs="Times New Roman"/>
          <w:sz w:val="24"/>
        </w:rPr>
        <w:t xml:space="preserve">(Henson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xml:space="preserve">. 2021; Knight and Morris 2020; Sallée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xml:space="preserve">. 2021; Wang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2023)</w:t>
      </w:r>
      <w:r w:rsidR="005C1316" w:rsidRPr="004A122C">
        <w:rPr>
          <w:rFonts w:ascii="Times New Roman" w:hAnsi="Times New Roman" w:cs="Times New Roman"/>
          <w:sz w:val="24"/>
          <w:szCs w:val="24"/>
        </w:rPr>
        <w:fldChar w:fldCharType="end"/>
      </w:r>
      <w:r w:rsidR="005F63BA" w:rsidRPr="004A122C">
        <w:rPr>
          <w:rFonts w:ascii="Times New Roman" w:hAnsi="Times New Roman" w:cs="Times New Roman"/>
          <w:sz w:val="24"/>
          <w:szCs w:val="24"/>
        </w:rPr>
        <w:t xml:space="preserve">. </w:t>
      </w:r>
      <w:r w:rsidR="004C33B3" w:rsidRPr="004A122C">
        <w:rPr>
          <w:rFonts w:ascii="Times New Roman" w:hAnsi="Times New Roman" w:cs="Times New Roman"/>
          <w:sz w:val="24"/>
          <w:szCs w:val="24"/>
        </w:rPr>
        <w:t>CO</w:t>
      </w:r>
      <w:r w:rsidR="004C33B3" w:rsidRPr="00673F04">
        <w:rPr>
          <w:rFonts w:ascii="Times New Roman" w:hAnsi="Times New Roman" w:cs="Times New Roman"/>
          <w:sz w:val="24"/>
          <w:szCs w:val="24"/>
          <w:vertAlign w:val="subscript"/>
        </w:rPr>
        <w:t>2</w:t>
      </w:r>
      <w:r w:rsidR="004C33B3" w:rsidRPr="004A122C">
        <w:rPr>
          <w:rFonts w:ascii="Times New Roman" w:hAnsi="Times New Roman" w:cs="Times New Roman"/>
          <w:sz w:val="24"/>
          <w:szCs w:val="24"/>
        </w:rPr>
        <w:t xml:space="preserve"> concentration itself is</w:t>
      </w:r>
      <w:r w:rsidR="004C33B3" w:rsidRPr="003609FB">
        <w:rPr>
          <w:rFonts w:ascii="Times New Roman" w:hAnsi="Times New Roman" w:cs="Times New Roman"/>
          <w:sz w:val="24"/>
          <w:szCs w:val="24"/>
        </w:rPr>
        <w:t xml:space="preserve"> expected to exhibit contrasting controls on community members</w:t>
      </w:r>
      <w:r w:rsidR="005C1316" w:rsidRPr="003609FB">
        <w:rPr>
          <w:rFonts w:ascii="Times New Roman" w:hAnsi="Times New Roman" w:cs="Times New Roman"/>
          <w:sz w:val="24"/>
          <w:szCs w:val="24"/>
        </w:rPr>
        <w:t xml:space="preserve"> </w:t>
      </w:r>
      <w:r w:rsidR="005C131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{"citationID":"db5aMKdZ","properties":{"formattedCitation":"(Dutkiewicz et al. 2015; Knight and Morris 2020)","plainCitation":"(Dutkiewicz et al. 2015; Knight and Morris 2020)","noteIndex":0},"citationItems":[{"id":3188,"uris":["http://zotero.org/users/6128296/items/C5M8U2TV"],"itemData":{"id":3188,"type":"article-journal","abstract":"Phytoplankton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T."},{"family":"Berman-Frank","given":"Ilana"}],"issued":{"date-parts":[["2015",11]]}}},{"id":3977,"uris":["http://zotero.org/users/6128296/items/C682ZITV"],"itemData":{"id":3977,"type":"article-journal","abstract":"Anthropogenic CO2 emissions are projected to lower the pH of the ocean 0.3 units by 2100. Previous studies suggested that Prochlorococcus and Synechococcus, the numerically dominant phytoplankton in the oceans, have different responses to elevated CO2 that may result in a dramatic shift in their relative abundances in future oceans. Here we showed that the exponential growth rates of these two genera respond to future CO2 conditions in a manner similar to other cyanobacteria, but Prochlorococcus strains had significantly lower realized growth rates under elevated CO2 regimes due to poor survival after exposure to fresh culture media. Despite this, a Synechococcus strain was unable to outcompete a Prochlorococcus strain in co-culture at elevated CO2. Under these conditions, Prochlorococcus’ poor response to elevated CO2 disappeared, and Prochlorococcus’ relative fitness showed negative frequency dependence, with both competitors having significant fitness advantages when initially rare. These experiments suggested that the two strains should be able to coexist indefinitely in co-culture despite sharing nearly identical nutritional requirements. We speculate that negative frequency dependence exists due to reductive Black Queen evolution that has resulted in a passively mutualistic relationship analogous to that connecting Prochlorococcus with the ‘helper’ heterotrophic microbes in its environment.","container-title":"Environmental Microbiology","DOI":"10.1111/1462-2920.15277","ISSN":"1462-2912, 1</w:instrText>
      </w:r>
      <w:r w:rsidR="009D7443">
        <w:rPr>
          <w:rFonts w:ascii="Times New Roman" w:hAnsi="Times New Roman" w:cs="Times New Roman" w:hint="eastAsia"/>
          <w:sz w:val="24"/>
          <w:szCs w:val="24"/>
        </w:rPr>
        <w:instrText>462-2920","issue":"11","journalAbbreviation":"Environmental Microbiology","language":"en","page":"4876-4889","source":"DOI.org (Crossref)","title":"Co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culture with &lt;i&gt;Synechococcus&lt;/i&gt; facilitates growth of &lt;i&gt;Prochlorococcus&lt;/i&gt; under ocean acidification</w:instrText>
      </w:r>
      <w:r w:rsidR="009D7443">
        <w:rPr>
          <w:rFonts w:ascii="Times New Roman" w:hAnsi="Times New Roman" w:cs="Times New Roman"/>
          <w:sz w:val="24"/>
          <w:szCs w:val="24"/>
        </w:rPr>
        <w:instrText xml:space="preserve"> conditions","volume":"22","author":[{"family":"Knight","given":""},{"family":"Morris","given":"J. Jeffrey"}],"issued":{"date-parts":[["2020",11]]}}}],"schema":"https://github.com/citation-style-language/schema/raw/master/csl-citation.json"} </w:instrText>
      </w:r>
      <w:r w:rsidR="005C131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(Dutkiewicz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2015; Knight and Morris 2020)</w:t>
      </w:r>
      <w:r w:rsidR="005C1316" w:rsidRPr="003609FB">
        <w:rPr>
          <w:rFonts w:ascii="Times New Roman" w:hAnsi="Times New Roman" w:cs="Times New Roman"/>
          <w:sz w:val="24"/>
          <w:szCs w:val="24"/>
        </w:rPr>
        <w:fldChar w:fldCharType="end"/>
      </w:r>
      <w:r w:rsidR="00673F04">
        <w:rPr>
          <w:rFonts w:ascii="Times New Roman" w:hAnsi="Times New Roman" w:cs="Times New Roman"/>
          <w:sz w:val="24"/>
          <w:szCs w:val="24"/>
        </w:rPr>
        <w:t xml:space="preserve">. </w:t>
      </w:r>
      <w:r w:rsidR="004C33B3" w:rsidRPr="003609FB">
        <w:rPr>
          <w:rFonts w:ascii="Times New Roman" w:hAnsi="Times New Roman" w:cs="Times New Roman"/>
          <w:sz w:val="24"/>
          <w:szCs w:val="24"/>
        </w:rPr>
        <w:t>Despite various studies addressing this topic</w:t>
      </w:r>
      <w:r w:rsidR="005C1316" w:rsidRPr="003609FB">
        <w:rPr>
          <w:rFonts w:ascii="Times New Roman" w:hAnsi="Times New Roman" w:cs="Times New Roman"/>
          <w:sz w:val="24"/>
          <w:szCs w:val="24"/>
        </w:rPr>
        <w:t xml:space="preserve"> </w:t>
      </w:r>
      <w:r w:rsidR="005C131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{"citationID":"Juse7k52","properties":{"formattedCitation":"(Beman et al. 2011; Hennon et al. 2018; Hutchins and Fu 2017; Liao et al. 2019; Plattner et al. 2008; Sokolov et al. 2009; Wang et al. 2019)","plainCitation":"(Beman et al. 2011; Hennon et al. 2018; Hutchins and Fu 2017; Liao et al. 2019; Plattner et al. 2008; Sokolov et al. 2009; Wang et al. 2019)","noteIndex":0},"citationItems":[{"id":1670,"uris":["http://zotero.org/users/6128296/items/FPQP6Z9Q"],"itemData":{"id":1670,"type":"article-journal","abstract":"Ocean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T"}],"issued":{"date-parts":[["2018",2]]}}},{"id":1661,"uris":["http://zotero.org/users/6128296/items/W5C6RR5T"],"itemData":{"id":1661,"type":"article-journal","container-title":"Nature Microbiology","DOI":"10.1038/nmicrobiol.2017.58","ISSN":"2058-5276","issue":"6","journalAbbreviation":"Nat Microbiol","language":"en","page":"17058","source":"DOI.org (Crossref)","title":"Microorganisms and ocean global change","volume":"2","author":[{"family":"Hutchins","given":""},{"family":"Fu","given":""}],"issued":{"date-parts":[["2017",6]]}}},{"id":1762,"uris":["http://zotero.org/users/6128296/items/PXBLMLS9"],"itemData":{"id":1762,"type":"article-journal","container-title":"Frontiers in Physiology","DOI":"10.3389/fphys.2018.01967","ISSN":"1664-042X","journalAbbreviation":"Front. Physiol.","language":"en","page":"1967","source":"DOI.org (Crossref)","title":"Impact of Ocean Acidification on the Energy Metabolism and Antioxidant Responses of the Yesso Scallop (Patinopecten yessoensis)","volume":"9","author":[{"family":"Liao","given":""},{"family":"Yang","given":"Zujing"},{"family":"Dou","given":"Zheng"},{"family":"Sun","given":"Fanhua"},{"family":"Kou","given":"Sihua"},{"family":"Zhang","given":"Zhengrui"},{"family":"Huang","given":"Xiaoting"},{"family":"Bao","given":"Zhenmin"}],"issued":{"date-parts":[["2019",1,21]]}}},{"id":224,"uris":["http://zotero.org/users/6128296/items/P4N2HSF9"],"itemData":{"id":224,"type":"article-journal","abstract":"Eight earth system models of intermediate complexity (EMICs) are used to project climate change commitments for the recent Intergovernmental Panel on Climate Change’s (IPCC’s) Fourth Assessment Report (AR4). Simulations are run until the year 3000 A.D. and extend substantially farther into the future than conceptually similar simulations with atmosphere–ocean general circulation models (AOGCMs) coupled to carbon cycle models. In this paper the following are investigated: 1) the climate change commitment in response to stabilized greenhouse gases and stabilized total radiative forcing, 2) the climate change commitment in response to earlier CO2 emissions, and 3) emission trajectories for profiles leading to the stabilization of atmospheric CO2 and their uncertainties due to carbon cycle processes. Results over the twenty-first century compare reasonably well with results from AOGCMs, and the suite of EMICs proves well suited to complement more complex models. Substantial climate change commitments for sea level rise and global mean surface temperature increase after a stabilization of atmospheric greenhouse gases and radiative forcing in the year 2100 are identified. The additional warming by the year 3000 is 0.6–1.6 K for the low-CO2 IPCC Special Report on Emissions Scenarios (SRES) B1 scenario and 1.3–2.2 K for the high-CO2 SRES A2 scenario. Correspondingly, the post-2100 thermal expansion commitment is 0.3–1.1 m for SRES B1 and 0.5–2.2 m for SRES A2. Sea level continues to rise due to thermal expansion for several centuries after CO2 stabilization. In contrast, surface temperature changes slow down after a century. The meridional overturning circulation is weakened in all EMICs, but recovers to nearly initial values in all but one of the models after centuries for the scenarios considered. Emissions during the twenty-first century continue to impact atmospheric CO2 and climate even at year 3000. All models find that most of the anthropogenic carbon emissions are eventually taken up by the ocean (49%–62%) in year 3000, and that a substantial fraction (15%–28%) is still airborne even 900 yr after carbon emissions have ceased. Future stabilization of atmospheric CO2 and climate change requires a substantial reduction of CO2 emissions below present levels in all EMICs. This reduction needs to be substantially larger if carbon cycle–climate feedbacks are accounted for or if terrestrial CO2 fertilization is not operating. Large differences among EMICs are identified in both the response to increasing atmospheric CO2 and the response to climate change. This highlights the need for improved representations of carbon cycle processes in these models apart from the sensitivity to climate change. Sensitivity simulations with one single EMIC indicate that both carbon cycle and climate sensitivity related uncertainties on projected allowable emissions are substantial.","container-title":"Journal of Climate","DOI":"10.1175/2007JCLI1905.1","ISSN":"0894-8755, 1520-0442","issue":"12","journalAbbreviation":"J. Climate","language":"en","page":"2721-2751","source":"DOI.org (Crossref)","title":"Long-Term Climate Commitments Projected with Climate–Carbon Cycle Models","volume":"21","author":[{"family":"Plattner","given":""},{"family":"Knutti","given":"R."},{"family":"Joos","given":"F."},{"family":"Stocker","given":"T. F."},{"family":"Bloh","given":"W.","non-dropping-particle":"von"},{"family":"Brovkin","given":"V."},{"family":"Cameron","given":"D."},{"family":"Driesschaert","given":"E."},{"family":"Dutkiewicz","given":"S."},{"family":"Eby","given":"M."},{"family":"Edwards","given":"N. R."},{"family":"Fichefet","given":"T."},{"family":"Hargreaves","given":"J. C."},{"family":"Jones","given":"C. D."},{"family":"Loutre","given":"M. F."},{"family":"Matthews","given":"H. D."},{"family":"Mouchet","given":"A."},{"family":"Müller","given":"S. A."},{"family":"Nawrath","given":"S."},{"family":"Price","given":"A."},{"family":"Sokolov","given":"A."},{"family":"Strassmann","given":"K. M."},{"family":"Weaver","given":"A. J."}],"issued":{"date-parts":[["2008",6]]}}},{"id":229,"uris":["http://zotero.org/users/6128296/items/YAGAKT22"],"itemData":{"id":229,"type":"article-journal","abstract":"The MIT Integrated Global System Model is used to make probabilistic projections of climate change from 1861 to 2100. Since the model’s first projections were published in 2003 substantial improvements have been made to the model and improved estimates of the probability distributions of uncertain input parameters have become available. The new projections are considerably warmer than the 2003 projections, e.g., the median surface warming in 2091 to 2100 is 5.1oC compared to 2.4oC in the earlier study. Many changes contribute to the stronger warming; among the more important ones are taking into account the cooling in the second half of the 20th century due to volcanic eruptions for input parameter estimation and a more sophisticated method for projecting GDP growth which eliminated many low emission scenarios. However, if recently published data, suggesting stronger 20th century ocean warming, are used to determine the input climate parameters, the median projected warning at the end of the 21st century is only 4.1oC. Nevertheless all our simulations have a very small probability of warming less than 2.4oC, the lower bound of the IPCC AR4 projected likely range for the A1FI scenario, which has forcing very similar to our median projection. The probability distribution for the surface warming produced by our analysis is more symmetric than the distribution assumed by the IPCC due to a different feedback between the climate and the carbon cycle, resulting from a different treatment of the carbon-nitrogen interaction in the terrestrial ecosystem.","language":"en","page":"50","source":"Zotero","title":"Probabilistic forecast for 21st century climate based on uncertainties in emissions (without policy) and climate parameters","author":[{"family":"Sokolov","given":""},{"family":"Stone","given":"P"},{"family":"Forest","given":"C"},{"family":"Prinn","given":"R"},{"family":"Sarofim","given":"M"},{"family":"Webster","given":"M"},{"family":"Paltsev","given":"S"},{"family":"Schlosser","given":"C"},{"family":"Kicklighter","given":"D"},{"family":"Dutkiewicz","given":"S"},{"family":"Reilly","given":"J"},{"family":"Wang","given":"C"},{"family":"Felzer","given":"B"},{"family":"Jacoby","given":"H"}],"issued":{"date-parts":[["2009"]]}}},{"id":236,"uris":["http://zotero.org/users/6128296/items/M4VXCVU9"],"itemData":{"id":236,"type":"article-journal","container-title":"Nature","DOI":"10.1038/s41586-019-0911-2","ISSN":"0028-0836, 1476-4687","issue":"7743","journalAbbreviation":"Nature","language":"en","page":"205-211","source":"DOI.org (Crossref)","title":"Convergent estimates of marine nitrogen fixation","volume":"566","author":[{"family":"Wang","given":""},{"family":"Moore","given":"J. Keith"},{"family":"Martiny","given":"Adam C."},{"family":"Primeau","given":"François W."}],"issued":{"date-parts":[["2019",2]]}}}],"schema":"https://github.com/citation-style-language/schema/raw/master/csl-citation.json"} </w:instrText>
      </w:r>
      <w:r w:rsidR="005C1316"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(Beman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2011; Hennon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2018; Hutchins and Fu 2017; Liao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2019; Plattner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2008; Sokolov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2009; Wang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2019)</w:t>
      </w:r>
      <w:r w:rsidR="005C1316"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it is still unclear how climate change will affect oligotrophic waters and their </w:t>
      </w:r>
      <w:r w:rsidR="005F63BA" w:rsidRPr="003609FB">
        <w:rPr>
          <w:rFonts w:ascii="Times New Roman" w:hAnsi="Times New Roman" w:cs="Times New Roman"/>
          <w:sz w:val="24"/>
          <w:szCs w:val="24"/>
        </w:rPr>
        <w:t xml:space="preserve">microbial </w:t>
      </w:r>
      <w:r w:rsidR="004C33B3" w:rsidRPr="003609FB">
        <w:rPr>
          <w:rFonts w:ascii="Times New Roman" w:hAnsi="Times New Roman" w:cs="Times New Roman"/>
          <w:sz w:val="24"/>
          <w:szCs w:val="24"/>
        </w:rPr>
        <w:t xml:space="preserve">inhabitants. Therefore, understanding of the drivers that control the </w:t>
      </w:r>
      <w:r w:rsidR="00673F04">
        <w:rPr>
          <w:rFonts w:ascii="Times New Roman" w:hAnsi="Times New Roman" w:cs="Times New Roman"/>
          <w:sz w:val="24"/>
          <w:szCs w:val="24"/>
        </w:rPr>
        <w:t xml:space="preserve">microbial </w:t>
      </w:r>
      <w:r w:rsidR="004C33B3" w:rsidRPr="003609FB">
        <w:rPr>
          <w:rFonts w:ascii="Times New Roman" w:hAnsi="Times New Roman" w:cs="Times New Roman"/>
          <w:sz w:val="24"/>
          <w:szCs w:val="24"/>
        </w:rPr>
        <w:t xml:space="preserve">biomass of </w:t>
      </w:r>
      <w:r w:rsidR="00673F04">
        <w:rPr>
          <w:rFonts w:ascii="Times New Roman" w:hAnsi="Times New Roman" w:cs="Times New Roman"/>
          <w:sz w:val="24"/>
          <w:szCs w:val="24"/>
        </w:rPr>
        <w:t xml:space="preserve">the </w:t>
      </w:r>
      <w:r w:rsidR="004C33B3" w:rsidRPr="003609FB">
        <w:rPr>
          <w:rFonts w:ascii="Times New Roman" w:hAnsi="Times New Roman" w:cs="Times New Roman"/>
          <w:sz w:val="24"/>
          <w:szCs w:val="24"/>
        </w:rPr>
        <w:t xml:space="preserve">primary producers and their community members </w:t>
      </w:r>
      <w:r w:rsidR="001D0A57" w:rsidRPr="003609FB">
        <w:rPr>
          <w:rFonts w:ascii="Times New Roman" w:hAnsi="Times New Roman" w:cs="Times New Roman"/>
          <w:sz w:val="24"/>
          <w:szCs w:val="24"/>
        </w:rPr>
        <w:t>are applicable</w:t>
      </w:r>
      <w:r w:rsidR="004C33B3" w:rsidRPr="003609FB">
        <w:rPr>
          <w:rFonts w:ascii="Times New Roman" w:hAnsi="Times New Roman" w:cs="Times New Roman"/>
          <w:sz w:val="24"/>
          <w:szCs w:val="24"/>
        </w:rPr>
        <w:t xml:space="preserve"> to current theories about marine carbon and nutrient cycle </w:t>
      </w:r>
      <w:r w:rsidR="000021B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{"citationID":"2qLW392e","properties":{"formattedCitation":"(Martin et al. 1987)","plainCitation":"(Martin et al. 1987)","noteIndex":0},"citationItems":[{"id":1590,"uris":["http://zotero.org/users/6128296/items/YRKA5TIY"],"itemData":{"id":1590,"type":"article-journal","abstract":"Particulate organic carbon fluxes were measured with free-floating particle traps at nine locations during VERTEX and related studies. Examination of these data indicated that there was relatively little spatial variability in open ocean fluxes. To obtain mean rates representative of the oligotrophic environment, flux data from six stations were combined and fitted to a normalized power function, F = Flon (z/100)h; e.g. the open ocean composite C flux in mol m 2 y I = 1.53 (z/lO0) ~as8 with depth z in meters. It is shown that the vertical derivative of particulate fluxes may indicate solute regeneration rates, and accordingly regeneration rates for C, H and N were estimated. Oxygen utilization rates were also estimated under the assumption that 1.5, 1.0 and 0.25 moles of O~ were used for each mole of N, C and H regenerated, Regeneration ratios of these elements were depth-dependent. Open ocean primary productivities are estimated at 130 g C m 2 y ~ which rcsults in a global open ocean productivity of 42 Gt y 1. Organic C removal fom the surface of the ocean via particulate sinking (new production) is on the order of 6 Gt y J. Fifty percent of this C is regenerated in the upper 300 m of the water column. The ratio of new production (measured with traps) to total primary production (measured via 14C) is 0.14.","container-title":"Deep Sea Research Part A. Oceanographic Research Papers","DOI":"10.1016/0198-0149(87)90086-0","ISSN":"01980149","issue":"2","journalAbbreviation":"Deep Sea Research Part A. Oceanographic Research Papers","language":"en","page":"267-285","source":"DOI.org (Crossref)","title":"VERTEX: carbon cycling in the northeast Pacific","title-short":"VERTEX","volume":"34","author":[{"family":"Martin","given":""},{"family":"Knauer","given":"George A."},{"family":"Karl","given":"David M."},{"family":"Broenkow","given":"William W."}],"issued":{"date-parts":[["1987",2]]}}}],"schema":"https://github.com/citation-style-language/schema/raw/master/csl-citation.json"} </w:instrText>
      </w:r>
      <w:r w:rsidR="000021B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(Martin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1987)</w:t>
      </w:r>
      <w:r w:rsidR="000021B6"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2317E6" w:rsidRPr="003609FB">
        <w:rPr>
          <w:rFonts w:ascii="Times New Roman" w:hAnsi="Times New Roman" w:cs="Times New Roman"/>
          <w:sz w:val="24"/>
          <w:szCs w:val="24"/>
        </w:rPr>
        <w:t>and also</w:t>
      </w:r>
      <w:r w:rsidR="004C33B3" w:rsidRPr="003609FB">
        <w:rPr>
          <w:rFonts w:ascii="Times New Roman" w:hAnsi="Times New Roman" w:cs="Times New Roman"/>
          <w:sz w:val="24"/>
          <w:szCs w:val="24"/>
        </w:rPr>
        <w:t xml:space="preserve"> inform predictions </w:t>
      </w:r>
      <w:r w:rsidR="001D0A57" w:rsidRPr="003609FB">
        <w:rPr>
          <w:rFonts w:ascii="Times New Roman" w:hAnsi="Times New Roman" w:cs="Times New Roman"/>
          <w:sz w:val="24"/>
          <w:szCs w:val="24"/>
        </w:rPr>
        <w:t xml:space="preserve">about </w:t>
      </w:r>
      <w:r w:rsidR="004C33B3" w:rsidRPr="003609FB">
        <w:rPr>
          <w:rFonts w:ascii="Times New Roman" w:hAnsi="Times New Roman" w:cs="Times New Roman"/>
          <w:sz w:val="24"/>
          <w:szCs w:val="24"/>
        </w:rPr>
        <w:t xml:space="preserve">future oceanic conditions. </w:t>
      </w:r>
    </w:p>
    <w:p w14:paraId="7446A351" w14:textId="7DA69429" w:rsidR="004C33B3" w:rsidRPr="003609FB" w:rsidRDefault="004C33B3"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Genera like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t>
      </w:r>
      <w:proofErr w:type="spellStart"/>
      <w:r w:rsidRPr="00457A4C">
        <w:rPr>
          <w:rFonts w:ascii="Times New Roman" w:hAnsi="Times New Roman" w:cs="Times New Roman"/>
          <w:i/>
          <w:iCs/>
          <w:sz w:val="24"/>
          <w:szCs w:val="24"/>
        </w:rPr>
        <w:t>Alteromonas</w:t>
      </w:r>
      <w:proofErr w:type="spellEnd"/>
      <w:r w:rsidRPr="00457A4C">
        <w:rPr>
          <w:rFonts w:ascii="Times New Roman" w:hAnsi="Times New Roman" w:cs="Times New Roman"/>
          <w:i/>
          <w:iCs/>
          <w:sz w:val="24"/>
          <w:szCs w:val="24"/>
        </w:rPr>
        <w:t xml:space="preserve"> spp</w:t>
      </w:r>
      <w:r w:rsidRPr="003609FB">
        <w:rPr>
          <w:rFonts w:ascii="Times New Roman" w:hAnsi="Times New Roman" w:cs="Times New Roman"/>
          <w:sz w:val="24"/>
          <w:szCs w:val="24"/>
        </w:rPr>
        <w:t xml:space="preserve">. all grow together in the oligotrophic ocean, yet differ in their diel </w:t>
      </w:r>
      <w:r w:rsidR="00175D00">
        <w:rPr>
          <w:rFonts w:ascii="Times New Roman" w:hAnsi="Times New Roman" w:cs="Times New Roman"/>
          <w:sz w:val="24"/>
          <w:szCs w:val="24"/>
        </w:rPr>
        <w:t xml:space="preserve">(daily) and </w:t>
      </w:r>
      <w:r w:rsidRPr="003609FB">
        <w:rPr>
          <w:rFonts w:ascii="Times New Roman" w:hAnsi="Times New Roman" w:cs="Times New Roman"/>
          <w:sz w:val="24"/>
          <w:szCs w:val="24"/>
        </w:rPr>
        <w:t xml:space="preserve">seasonal spatial patterns </w:t>
      </w:r>
      <w:r w:rsidR="00C70AA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{"citationID":"Cq9tsG22","properties":{"formattedCitation":"(Biller, Berube, et al. 2015; Berube et al. 2015; Marie et al. 1997; Partensky, Hess, and Vaulot 1999; Sohm et al. 2016; Liu and Campbell 1995)","plainCitation":"(Biller, Berube, et al. 2015; Berube et al. 2015; Marie et al. 1997; Partensky, Hess, and Vaulot 1999; Sohm et al. 2016; Liu and Campbell 1995)","noteIndex":0},"citationItems":[{"id":195,"uris":["http://zotero.org/users/6128296/items/T8KNN5NA"],"itemData":{"id":195,"type":"article-journal","abstract":"The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W"}],"issued":{"date-parts":[["2015",5]]}}},{"id":703,"uris":["http://zotero.org/users/6128296/items/T4C2MEZ5"],"itemData":{"id":703,"type":"article-journal","container-title":"APPL. ENVIRON. MICROBIOL.","language":"en","page":"8","source":"Zotero","title":"Enumeration and Cell Cycle Analysis of Natural Populations of Marine Picoplankton by Flow Cytometry Using the Nucleic Acid Stain SYBR Green I","volume":"63","author":[{"family":"Marie","given":""},{"family":"Partensky","given":"Frederic"},{"family":"Jacquet","given":"Stephan"},{"family":"Vaulot","given":"Daniel"}],"issued":{"date-parts":[["1997"]]}}},{"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A"},{"family":"Rocap","given":"Gabrielle"}],"issued":{"date-parts":[["2016",2]]}}},{"id":3353,"uris":["http://zotero.org/users/6128296/items/9QSVW6IT"],"itemData":{"id":3353,"type":"article-journal","abstract":"A selective metabolic inhibitor method has been developed to estimate growth rates and mortalities due to protozoan grazing of the photoautotrophic prokaryotic picoplankton Prochlorococcus and Synechococcus. Laboratory and field experiments show that 1 mg m l l (final concentration) kanamycin inhibits the growth of Prochlorococcus and Synechococcus effectively and does not significantly affect protozoan grazing At Station ALOHA (22' 45' N, 158' W) 100 km north of Oahu, Hawaii, USA, growth rates of Prochlorococcus ranged from 0.4 to 0.5 d 1 within the surface mixed layer to about 0.1 d 1 at the bottom of the euphotic zone. Synechococcus grew faster, with a daily growth rate of up to 1.0d 1 in surface waters. Grazing mortalities varied for Prochlorococcus and Synechococcusfrom 20 to 116% and 43 to 87 % of growth rates, respectively. Growth generally exceeded grazing. Because of its high abundance (up to 2 x lo5cells m l l in the upper 100 m), Prochlorococcus contributes significantly to phytoplankton biomass and primary production in the subtropical North Pacific Ocean. At Station ALOHA in October 1993, integrated (0 to 175 m) carbon production due to Prochlorococcus was 382.2 mg C m 2 d l . In contrast, Synechococcus produced only 14.6 mg C m 2 d l .","container-title":"Marine Ecology Progress Series","language":"en","page":"11","source":"Zotero","title":"Growth and mortality rates of Prochlorococcus and Synechococcus measured with a selective inhibitor techniaue","volume":"116","author":[{"family":"Liu","given":""},{"family":"Campbell","given":"Lisa"}],"issued":{"date-parts":[["1995"]]}}}],"schema":"https://github.com/citation-style-language/schema/raw/master/csl-citation.json"} </w:instrText>
      </w:r>
      <w:r w:rsidR="00C70AA3"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2015; Marie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1997; </w:t>
      </w:r>
      <w:proofErr w:type="spellStart"/>
      <w:r w:rsidR="009D7443">
        <w:rPr>
          <w:rFonts w:ascii="Times New Roman" w:hAnsi="Times New Roman" w:cs="Times New Roman"/>
          <w:sz w:val="24"/>
          <w:szCs w:val="24"/>
        </w:rPr>
        <w:t>Partensky</w:t>
      </w:r>
      <w:proofErr w:type="spellEnd"/>
      <w:r w:rsidR="009D7443">
        <w:rPr>
          <w:rFonts w:ascii="Times New Roman" w:hAnsi="Times New Roman" w:cs="Times New Roman"/>
          <w:sz w:val="24"/>
          <w:szCs w:val="24"/>
        </w:rPr>
        <w:t xml:space="preserve">, Hess, and </w:t>
      </w:r>
      <w:proofErr w:type="spellStart"/>
      <w:r w:rsidR="009D7443">
        <w:rPr>
          <w:rFonts w:ascii="Times New Roman" w:hAnsi="Times New Roman" w:cs="Times New Roman"/>
          <w:sz w:val="24"/>
          <w:szCs w:val="24"/>
        </w:rPr>
        <w:t>Vaulot</w:t>
      </w:r>
      <w:proofErr w:type="spellEnd"/>
      <w:r w:rsidR="009D7443">
        <w:rPr>
          <w:rFonts w:ascii="Times New Roman" w:hAnsi="Times New Roman" w:cs="Times New Roman"/>
          <w:sz w:val="24"/>
          <w:szCs w:val="24"/>
        </w:rPr>
        <w:t xml:space="preserve"> 1999; Sohm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2016; Liu and Campbell 1995)</w:t>
      </w:r>
      <w:r w:rsidR="00C70AA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w:t>
      </w:r>
      <w:r w:rsidR="00175D00">
        <w:rPr>
          <w:rFonts w:ascii="Times New Roman" w:hAnsi="Times New Roman" w:cs="Times New Roman"/>
          <w:sz w:val="24"/>
          <w:szCs w:val="24"/>
        </w:rPr>
        <w:t xml:space="preserve">s well as </w:t>
      </w:r>
      <w:r w:rsidRPr="003609FB">
        <w:rPr>
          <w:rFonts w:ascii="Times New Roman" w:hAnsi="Times New Roman" w:cs="Times New Roman"/>
          <w:sz w:val="24"/>
          <w:szCs w:val="24"/>
        </w:rPr>
        <w:t xml:space="preserve">geographic range </w:t>
      </w:r>
      <w:r w:rsidR="00157DE3" w:rsidRPr="003609FB">
        <w:rPr>
          <w:rFonts w:ascii="Times New Roman" w:hAnsi="Times New Roman" w:cs="Times New Roman"/>
          <w:sz w:val="24"/>
          <w:szCs w:val="24"/>
        </w:rPr>
        <w:fldChar w:fldCharType="begin"/>
      </w:r>
      <w:r w:rsidR="00FC72F8">
        <w:rPr>
          <w:rFonts w:ascii="Times New Roman" w:hAnsi="Times New Roman" w:cs="Times New Roman"/>
          <w:sz w:val="24"/>
          <w:szCs w:val="24"/>
        </w:rPr>
        <w:instrText xml:space="preserve"> ADDIN ZOTERO_ITEM CSL_CITATION {"citationID":"W62W5eNW","properties":{"formattedCitation":"(Barton et al. 2010; Buitenhuis et al. 2012; Flombaum et al. 2013; Follows et al. 2007; Rippka et al. 2001; Sohm et al. 2016; Thompson et al. 2013; Thomson et al. 2010)","plainCitation":"(Barton et al. 2010; Buitenhuis et al. 2012; Flombaum et al. 2013; Follows et al. 2007; Rippka et al. 2001; Sohm et al. 2016; Thompson et al. 2013; Thomson et al. 2010)","noteIndex":0},"citationItems":[{"id":194,"uris":["http://zotero.org/users/6128296/items/F3BWRU7K"],"itemData":{"id":194,"type":"article-journal","abstract":"Spatial diversity gradients are a pervasive feature of life on Earth. We examined a global ocean circulation, biogeochemistry, and ecosystem model that indicated a decrease in phytoplankton diversity with increasing latitude, consistent with observations of many marine and terrestrial taxa. In the modeled subpolar oceans, seasonal variability of the environment led to competitive exclusion of phytoplankton with slower growth rates and lower diversity. The relatively weak seasonality of the stable subtropical and tropical oceans in the global model enabled long exclusion time scales and prolonged coexistence of multiple phytoplankton with comparable fitness. Superimposed on the decline in diversity seen from equator to pole were “hot spots” of enhanced diversity in some regions of energetic ocean circulation, which reflected lateral dispersal.","container-title":"Science","DOI":"10.1126/science.1184961","ISSN":"0036-8075, 1095-9203","issue":"5972","journalAbbreviation":"Science","language":"en","page":"1509-1511","source":"DOI.org (Crossref)","title":"Patterns of Diversity in Marine Phytoplankton","volume":"327","author":[{"family":"Barton","given":""},{"family":"Dutkiewicz","given":"S."},{"family":"Flierl","given":"G."},{"family":"Bragg","given":"J."},{"family":"Follows","given":"M. J."}],"issued":{"date-parts":[["2010",3,19]]}}},{"id":196,"uris":["http://zotero.org/users/6128296/items/RT965KH5"],"itemData":{"id":196,"type":"article-journal","abstract":"The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1684,"uris":["http://zotero.org/users/6128296/items/RKFHDG9F"],"itemData":{"id":1684,"type":"article-journal","abstract":"An in situ hybridization method was applied to the identiﬁcation of marine cyanobacteria assignable to the genus Prochlorococcus using horseradishperoxidase-labelled 16S rRNA-targeted oligonucleotide probes in combination with tyramide signal ampliﬁcation (TSA). With this method very bright signals were obtained, in contrast to hybridizations with oligonucleotides monolabelled with ﬂuorochromes, which failed to give positive signals. Genotype-speciﬁc oligonucleotides for high light (HL)- and low light (LL)adapted members of this genus were identiﬁed by 16S rRNA sequence analyses and their speciﬁcities conﬁrmed in whole-cell hybridizations with cultured strains of Prochlorococcus marinus Chisholm et al., 1992, Prochlorococcus sp. and Synechococcus sp. In situ hybridization of these genotype-speciﬁc probes to ﬁeld samples from stratiﬁed water bodies collected in the North Atlantic Ocean and the Red Sea allowed a rapid assessment of the abundance and spatial distribution of HL- and LL-adapted Prochlorococcus. In both oceanic regions the LL-adapted Prochlorococcus populations were localized in deeper water whereas the HL-adapted Prochlorococcus populations were not only distinct in each region but also exhibited strikingly different depth distributions, HLI being conﬁned to shallow water in the North Atlantic, in contrast to HLII, which was present throughout the water column in the Red Sea.","container-title":"Microbiology","DOI":"10.1099/00221287-147-7-1731","ISSN":"1350-0872, 1465-2080","issue":"7","language":"en","page":"1731-1744","source":"DOI.org (Crossref)","title":"Closely related Prochlorococcus genotypes show remarkably different depth distributions in two oceanic regions as revealed by in situ hybridization using 16S rRNA-targeted oligonucleotides","volume":"147","author":[{"family":"Rippka","given":""},{"family":"Amann","given":""},{"family":"Fuller","given":""},{"family":"Scanlan","given":""},{"family":"Schönhuber","given":""},{"family":"West","given":""},{"family":"Post","given":""}],"issued":{"date-parts":[["2001",7,1]]}}},{"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A"},{"family":"Rocap","given":"Gabrielle"}],"issued":{"date-parts":[["2016",2]]}}},{"id":2138,"uris":["http://zotero.org/users/6128296/items/YH8FZAL5"],"itemData":{"id":2138,"type":"article-journal","abstract":"The genus Prochlorococcus is globally abundant and dominates the total phytoplankton biomass and production in the oligotrophic ocean. The single species, Prochlorococcus marinus, comprises six named ecotypes. Our aim was to analyze the taxonomic structure of the genus Prochlorococcus. We analyzed the complete genomes of 13 cultured P. marinus type and reference strains by means of several genomic taxonomy tools (i.e., multilocus sequence analysis, amino acid identity, Karlin genomic signature, and genome to genome distance). In addition, we estimated the diversity of Prochlo rococcus species in over 100 marine metagenomes from all the major oceanic provinces. According to our careful taxonomic analysis, the 13 strains corresponded, in fact, to ten different Prochlorococcus species. This analysis establishes a new taxonomic framework for the genus Prochlorococcus. Further, the analysis of the metagenomic data suggests that, in total, there may only be 35 Prochlorococcus species in the world's oceans. We propose that the dearth of species observed in this study is driven by high selective pressures that limit diversification in the global ocean.","container-title":"Microbial Ecology","DOI":"10.1007/s00248-013-0270-8","ISSN":"0095-3628, 1432-184X","issue":"4","journalAbbreviation":"Microb Ecol","language":"en","page":"752-762","source":"DOI.org (Crossref)","title":"Genomic Taxonomy of the Genus Prochlorococcus","volume":"66","author":[{"family":"Thompson","given":""},{"family":"Silva","given":"Genivaldo G. Z."},{"family":"Vieira","given":"Nayra M."},{"family":"Edwards","given":"Robert"},{"family":"Vicente","given":"Ana Carolina P."},{"family":"Thompson","given":"Fabiano L."}],"issued":{"date-parts":[["2013",11]]}}},{"id":731,"uris":["http://zotero.org/users/6128296/items/9R6S5K4U"],"itemData":{"id":731,"type":"article-journal","abstract":"Our study, as part of the Baseline Research on Oceanography, Krill and the Environment, West (BROKEWest) survey, emphasised the vital role of sea-ice retreat and upwelling in controlling the distribution, abundance and composition of marine microbial communities in the seasonal ice zone (SIZ). Autoﬂuorescence or stains were used to detect the abundance of nanophytoplankton, heterotrophic nanoﬂagellates (HNF), virus like particles (VLP) and bacteria by ﬂow cytometry. Correlations among microbial concentrations were determined and cluster analysis was performed to group sites of similar microbial composition and abundance. Distance to sea ice was the primary determinant of nanophytoplankton abundance and nanophytoplankton contributed up to 84% of the phytoplankton carbon biomass where melting sea ice caused shallow summer mixed layer depths. To the north, nanophytoplankton abundance was generally low except adjacent to the Southern Boundary (SB). HNF and bacterial abundance was positively correlated with the abundance of nanophytoplankton. Cluster analysis identiﬁed 5 groups of sites over the BROKE-West survey area. Clusters 1-4 grouped sites of different successional maturity of the microbial community along the continuum between bloom formation and senescence. Maturity increased with distance from the sea ice and, in areas of upwelling, with time since the development of phytoplankton blooms. Sites in cluster 5 occurred at the northernmost extreme of the survey area and were typical of communities in high nutrient low chlorophyll (HNLC) waters of the permanent open-ocean zone (POOZ) where phytoplankton growth was matched by mortality and decomposition. Synoptic-scale studies in Antarctic waters are rare but provide vital information about the control of microbial productivity, abundance and distribution in the Southern Ocean. Our study, covering over 40% of the SIZ off East Antarctica, enhances our understanding of the synoptic-scale factors that determine the structure and function of the microbial loop.","container-title":"Deep Sea Research Part II: Topical Studies in Oceanography","DOI":"10.1016/j.dsr2.2008.10.040","ISSN":"09670645","issue":"9-10","journalAbbreviation":"Deep Sea Research Part II: Topical Studies in Oceanography","language":"en","page":"815-827","source":"DOI.org (Crossref)","title":"Distribution and abundance of marine microbes in the Southern Ocean between 30 and 80°E","volume":"57","author":[{"family":"Thomson","given":""},{"family":"Davidson","given":"Andrew T."},{"family":"Enden","given":"Rick","non-dropping-particle":"van den"},{"family":"Pearce","given":"Imojen"},{"family":"Seuront","given":"Laurent"},{"family":"Paterson","given":"James S."},{"family":"Williams","given":"Guy D."}],"issued":{"date-parts":[["2010",5]]}}}],"schema":"https://github.com/citation-style-language/schema/raw/master/csl-citation.json"} </w:instrText>
      </w:r>
      <w:r w:rsidR="00157DE3"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(Barton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2010; Buitenhuis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2012; </w:t>
      </w:r>
      <w:proofErr w:type="spellStart"/>
      <w:r w:rsidR="00BF4898">
        <w:rPr>
          <w:rFonts w:ascii="Times New Roman" w:hAnsi="Times New Roman" w:cs="Times New Roman"/>
          <w:sz w:val="24"/>
          <w:szCs w:val="24"/>
        </w:rPr>
        <w:t>Flombaum</w:t>
      </w:r>
      <w:proofErr w:type="spellEnd"/>
      <w:r w:rsidR="00BF4898">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2013; Follows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2007; </w:t>
      </w:r>
      <w:proofErr w:type="spellStart"/>
      <w:r w:rsidR="00BF4898">
        <w:rPr>
          <w:rFonts w:ascii="Times New Roman" w:hAnsi="Times New Roman" w:cs="Times New Roman"/>
          <w:sz w:val="24"/>
          <w:szCs w:val="24"/>
        </w:rPr>
        <w:t>Rippka</w:t>
      </w:r>
      <w:proofErr w:type="spellEnd"/>
      <w:r w:rsidR="00BF4898">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2001; Sohm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2016; Thompson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2013; Thomson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2010)</w:t>
      </w:r>
      <w:r w:rsidR="00157DE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generally outgrows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by ten-fold </w:t>
      </w:r>
      <w:r w:rsidR="00D426E7"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{"citationID":"Vw7UQyCj","properties":{"formattedCitation":"(Morris et al. 2011; Thompson et al. 2013)","plainCitation":"(Morris et al. 2011; Thompson et al. 2013)","noteIndex":0},"citationItems":[{"id":113,"uris":["http://zotero.org/users/6128296/items/PIIBXCZZ"],"itemData":{"id":113,"type":"article-journal","abstract":"The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R."}],"editor":[{"family":"Rodriguez-Valera","given":"Francisco"}],"issued":{"date-parts":[["2011",2,3]]}}},{"id":2138,"uris":["http://zotero.org/users/6128296/items/YH8FZAL5"],"itemData":{"id":2138,"type":"article-journal","abstract":"The genus Prochlorococcus is globally abundant and dominates the total phytoplankton biomass and production in the oligotrophic ocean. The single species, Prochlorococcus marinus, comprises six named ecotypes. Our aim was to analyze the taxonomic structure of the genus Prochlorococcus. We analyzed the complete genomes of 13 cultured P. marinus type and reference strains by means of several genomic taxonomy tools (i.e., multilocus sequence analysis, amino acid identity, Karlin genomic signature, and genome to genome distance). In addition, we estimated the diversity of Prochlo rococcus species in over 100 marine metagenomes from all the major oceanic provinces. According to our careful taxonomic analysis, the 13 strains corresponded, in fact, to ten different Prochlorococcus species. This analysis establishes a new taxonomic framework for the genus Prochlorococcus. Further, the analysis of the metagenomic data suggests that, in total, there may only be 35 Prochlorococcus species in the world's oceans. We propose that the dearth of species observed in this study is driven by high selective pressures that limit diversification in the global ocean.","container-title":"Microbial Ecology","DOI":"10.1007/s00248-013-0270-8","ISSN":"0095-3628, 1432-184X","issue":"4","journalAbbreviation":"Microb Ecol","language":"en","page":"752-762","source":"DOI.org (Crossref)","title":"Genomic Taxonomy of the Genus Prochlorococcus","volume":"66","author":[{"family":"Thompson","given":""},{"family":"Silva","given":"Genivaldo G. Z."},{"family":"Vieira","given":"Nayra M."},{"family":"Edwards","given":"Robert"},{"family":"Vicente","given":"Ana Carolina P."},{"family":"Thompson","given":"Fabiano L."}],"issued":{"date-parts":[["2013",11]]}}}],"schema":"https://github.com/citation-style-language/schema/raw/master/csl-citation.json"} </w:instrText>
      </w:r>
      <w:r w:rsidR="00D426E7"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2011; Thompson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2013)</w:t>
      </w:r>
      <w:r w:rsidR="00D426E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in oligotrophic waters</w:t>
      </w:r>
      <w:r w:rsidR="00FA1F10" w:rsidRPr="003609FB">
        <w:rPr>
          <w:rFonts w:ascii="Times New Roman" w:hAnsi="Times New Roman" w:cs="Times New Roman"/>
          <w:sz w:val="24"/>
          <w:szCs w:val="24"/>
        </w:rPr>
        <w:t>. P</w:t>
      </w:r>
      <w:r w:rsidRPr="003609FB">
        <w:rPr>
          <w:rFonts w:ascii="Times New Roman" w:hAnsi="Times New Roman" w:cs="Times New Roman"/>
          <w:sz w:val="24"/>
          <w:szCs w:val="24"/>
        </w:rPr>
        <w:t xml:space="preserve">resumably </w:t>
      </w:r>
      <w:r w:rsidR="00457A4C">
        <w:rPr>
          <w:rFonts w:ascii="Times New Roman" w:hAnsi="Times New Roman" w:cs="Times New Roman"/>
          <w:sz w:val="24"/>
          <w:szCs w:val="24"/>
        </w:rPr>
        <w:t xml:space="preserve">this is </w:t>
      </w:r>
      <w:r w:rsidRPr="003609FB">
        <w:rPr>
          <w:rFonts w:ascii="Times New Roman" w:hAnsi="Times New Roman" w:cs="Times New Roman"/>
          <w:sz w:val="24"/>
          <w:szCs w:val="24"/>
        </w:rPr>
        <w:t>due to its streamlined size</w:t>
      </w:r>
      <w:r w:rsidR="00EC3238">
        <w:rPr>
          <w:rFonts w:ascii="Times New Roman" w:hAnsi="Times New Roman" w:cs="Times New Roman"/>
          <w:sz w:val="24"/>
          <w:szCs w:val="24"/>
        </w:rPr>
        <w:t xml:space="preserve">, and associated benefits, </w:t>
      </w:r>
      <w:r w:rsidRPr="003609FB">
        <w:rPr>
          <w:rFonts w:ascii="Times New Roman" w:hAnsi="Times New Roman" w:cs="Times New Roman"/>
          <w:sz w:val="24"/>
          <w:szCs w:val="24"/>
        </w:rPr>
        <w:t xml:space="preserve">as compared to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C70AA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{"citationID":"O6Dundi1","properties":{"formattedCitation":"(Flombaum et al. 2013; Partensky, Hess, and Vaulot 1999)","plainCitation":"(Flombaum et al. 2013; Partensky, Hess, and Vaulot 1999)","noteIndex":0},"citationItems":[{"id":89,"uris":["http://zotero.org/users/6128296/items/MCUHQ8Y3"],"itemData":{"id":89,"type":"article-journal","container-title":"Proceedings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R."},{"family":"Vaulot","given":"D."}],"issued":{"date-parts":[["1999",3]]}}}],"schema":"https://github.com/citation-style-language/schema/raw/master/csl-citation.json"} </w:instrText>
      </w:r>
      <w:r w:rsidR="00C70AA3"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w:t>
      </w:r>
      <w:proofErr w:type="spellStart"/>
      <w:r w:rsidR="009D7443">
        <w:rPr>
          <w:rFonts w:ascii="Times New Roman" w:hAnsi="Times New Roman" w:cs="Times New Roman"/>
          <w:sz w:val="24"/>
          <w:szCs w:val="24"/>
        </w:rPr>
        <w:t>Flombaum</w:t>
      </w:r>
      <w:proofErr w:type="spellEnd"/>
      <w:r w:rsidR="009D744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2013; </w:t>
      </w:r>
      <w:proofErr w:type="spellStart"/>
      <w:r w:rsidR="009D7443">
        <w:rPr>
          <w:rFonts w:ascii="Times New Roman" w:hAnsi="Times New Roman" w:cs="Times New Roman"/>
          <w:sz w:val="24"/>
          <w:szCs w:val="24"/>
        </w:rPr>
        <w:t>Partensky</w:t>
      </w:r>
      <w:proofErr w:type="spellEnd"/>
      <w:r w:rsidR="009D7443">
        <w:rPr>
          <w:rFonts w:ascii="Times New Roman" w:hAnsi="Times New Roman" w:cs="Times New Roman"/>
          <w:sz w:val="24"/>
          <w:szCs w:val="24"/>
        </w:rPr>
        <w:t xml:space="preserve">, Hess, and </w:t>
      </w:r>
      <w:proofErr w:type="spellStart"/>
      <w:r w:rsidR="009D7443">
        <w:rPr>
          <w:rFonts w:ascii="Times New Roman" w:hAnsi="Times New Roman" w:cs="Times New Roman"/>
          <w:sz w:val="24"/>
          <w:szCs w:val="24"/>
        </w:rPr>
        <w:t>Vaulot</w:t>
      </w:r>
      <w:proofErr w:type="spellEnd"/>
      <w:r w:rsidR="009D7443">
        <w:rPr>
          <w:rFonts w:ascii="Times New Roman" w:hAnsi="Times New Roman" w:cs="Times New Roman"/>
          <w:sz w:val="24"/>
          <w:szCs w:val="24"/>
        </w:rPr>
        <w:t xml:space="preserve"> 1999)</w:t>
      </w:r>
      <w:r w:rsidR="00C70AA3" w:rsidRPr="003609FB">
        <w:rPr>
          <w:rFonts w:ascii="Times New Roman" w:hAnsi="Times New Roman" w:cs="Times New Roman"/>
          <w:sz w:val="24"/>
          <w:szCs w:val="24"/>
        </w:rPr>
        <w:fldChar w:fldCharType="end"/>
      </w:r>
      <w:r w:rsidRPr="003609FB">
        <w:rPr>
          <w:rFonts w:ascii="Times New Roman" w:hAnsi="Times New Roman" w:cs="Times New Roman"/>
          <w:sz w:val="24"/>
          <w:szCs w:val="24"/>
        </w:rPr>
        <w:t>.</w:t>
      </w:r>
      <w:r w:rsidR="00691D75">
        <w:rPr>
          <w:rFonts w:ascii="Times New Roman" w:hAnsi="Times New Roman" w:cs="Times New Roman"/>
          <w:sz w:val="24"/>
          <w:szCs w:val="24"/>
        </w:rPr>
        <w:t xml:space="preserve"> In laboratory culture however, it was not possible to mirror these microbial dynamics until </w:t>
      </w:r>
      <w:r w:rsidR="003B6488" w:rsidRPr="003609FB">
        <w:rPr>
          <w:rFonts w:ascii="Times New Roman" w:hAnsi="Times New Roman" w:cs="Times New Roman"/>
          <w:sz w:val="24"/>
          <w:szCs w:val="24"/>
        </w:rPr>
        <w:t>hydrogen peroxide (H</w:t>
      </w:r>
      <w:r w:rsidR="003B6488" w:rsidRPr="00351FC4">
        <w:rPr>
          <w:rFonts w:ascii="Times New Roman" w:hAnsi="Times New Roman" w:cs="Times New Roman"/>
          <w:sz w:val="24"/>
          <w:szCs w:val="24"/>
          <w:vertAlign w:val="subscript"/>
        </w:rPr>
        <w:t>2</w:t>
      </w:r>
      <w:r w:rsidR="003B6488" w:rsidRPr="003609FB">
        <w:rPr>
          <w:rFonts w:ascii="Times New Roman" w:hAnsi="Times New Roman" w:cs="Times New Roman"/>
          <w:sz w:val="24"/>
          <w:szCs w:val="24"/>
        </w:rPr>
        <w:t>O</w:t>
      </w:r>
      <w:r w:rsidR="003B6488" w:rsidRPr="00351FC4">
        <w:rPr>
          <w:rFonts w:ascii="Times New Roman" w:hAnsi="Times New Roman" w:cs="Times New Roman"/>
          <w:sz w:val="24"/>
          <w:szCs w:val="24"/>
          <w:vertAlign w:val="subscript"/>
        </w:rPr>
        <w:t>2</w:t>
      </w:r>
      <w:r w:rsidR="003B6488" w:rsidRPr="003609FB">
        <w:rPr>
          <w:rFonts w:ascii="Times New Roman" w:hAnsi="Times New Roman" w:cs="Times New Roman"/>
          <w:sz w:val="24"/>
          <w:szCs w:val="24"/>
        </w:rPr>
        <w:t xml:space="preserve">) </w:t>
      </w:r>
      <w:r w:rsidR="00691D75">
        <w:rPr>
          <w:rFonts w:ascii="Times New Roman" w:hAnsi="Times New Roman" w:cs="Times New Roman"/>
          <w:sz w:val="24"/>
          <w:szCs w:val="24"/>
        </w:rPr>
        <w:t xml:space="preserve">and heterotrophic bacteria were </w:t>
      </w:r>
      <w:r w:rsidR="003B6488">
        <w:rPr>
          <w:rFonts w:ascii="Times New Roman" w:hAnsi="Times New Roman" w:cs="Times New Roman"/>
          <w:sz w:val="24"/>
          <w:szCs w:val="24"/>
        </w:rPr>
        <w:t>introduced</w:t>
      </w:r>
      <w:r w:rsidR="00691D75">
        <w:rPr>
          <w:rFonts w:ascii="Times New Roman" w:hAnsi="Times New Roman" w:cs="Times New Roman"/>
          <w:sz w:val="24"/>
          <w:szCs w:val="24"/>
        </w:rPr>
        <w:t xml:space="preserve"> </w:t>
      </w:r>
      <w:r w:rsidR="00691D7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{"citationID":"ONoLMjDV","properties":{"formattedCitation":"(Calfee 2021; Morris et al. 2008)","plainCitation":"(Calfee 2021; Morris et al. 2008)","noteIndex":0},"citationItems":[{"id":3125,"uris":["http://zotero.org/users/6128296/items/4VSH9QLP"],"itemData":{"id":3125,"type":"thesis","abstract":"Prochlorococcus is a genus of extremely successful marine cyanobacteria. This success is realized through its pervasive biogeographical range and presence in almost all open ocean environments where it usually it the dominant phytoplankton. Limited capabilities of culturing and genetic manipulation of this organism have resulted in assumptions about this success overwhelmingly based on field observations. These studies have assumed adaptations for resource uptake and utilization in nutrient limited environments to cause dominance of Prochlorococcus over other photosynthetic microbes. In an attempt to definitively explain this through laboratory culture, we developed a culturing system to assay questions of nutrient limitation effects upon Prochlorococcus and its competitive ability based on nitrogen limited populations within the North Pacific Subtropical Gyre. We determined that competition for nitrogen did explain the population dynamics of Prochlorococcus and another cyanobacterium, Synechococcus, and were able to recreate their observed abundances in nitrogen limited laboratory culture. Interestingly this outcome could only be achieved through the inclusion of a heterotrophic bacterium, which facilitated the success of Prochlorococcus through complex crossfeeding interactions. In an effort to further explore the important microbial interactions influencing this dominant cyanobacterium, we developed an additional culturing system to determine if rival phytoplankton (Synechococcus and picoeukaryotes), with whom Prochlorococcus competes for nutrients, could protect Prochlorococcus from oxidative stress from hydrogen peroxide. These rivals successfully protected Prochlorococcus from mortality when cocultured at ecologically relevant abundances. Lastly we determined the affect of seasonal change on Prochlorococcus ecotypes and potential relationships between high-light and low-light adapted ecotypes and between ecotypes and abundant microbial phyla that varied seasonally. Herein we speculate on the overall importance of microbial interactions based on nutrient transformation and environmental conditioning to the ecology and biogeography of Prochlorococcus.","language":"en","publisher":"University of Tennessee","source":"Zotero","title":"Determining the Ecological and Physiological Factors Contributing to the Competitive Success of Prochlorococcus in the Oligotrophic Ocean","author":[{"family":"Calfee","given":""}],"issued":{"date-parts":[["2021",12]]}}},{"id":816,"uris":["http://zotero.org/users/6128296/items/B9D5DHBN"],"itemData":{"id":816,"type":"article-journal","container-title":"Applied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R."}],"issued":{"date-parts":[["2008",7,15]]}}}],"schema":"https://github.com/citation-style-language/schema/raw/master/csl-citation.json"} </w:instrText>
      </w:r>
      <w:r w:rsidR="00691D75">
        <w:rPr>
          <w:rFonts w:ascii="Times New Roman" w:hAnsi="Times New Roman" w:cs="Times New Roman"/>
          <w:sz w:val="24"/>
          <w:szCs w:val="24"/>
        </w:rPr>
        <w:fldChar w:fldCharType="separate"/>
      </w:r>
      <w:r w:rsidR="00691D75">
        <w:rPr>
          <w:rFonts w:ascii="Times New Roman" w:hAnsi="Times New Roman" w:cs="Times New Roman"/>
          <w:noProof/>
          <w:sz w:val="24"/>
          <w:szCs w:val="24"/>
        </w:rPr>
        <w:t xml:space="preserve">(Calfee 2021; Morris </w:t>
      </w:r>
      <w:r w:rsidR="00183222" w:rsidRPr="00183222">
        <w:rPr>
          <w:rFonts w:ascii="Times New Roman" w:hAnsi="Times New Roman" w:cs="Times New Roman"/>
          <w:i/>
          <w:iCs/>
          <w:sz w:val="24"/>
          <w:szCs w:val="24"/>
        </w:rPr>
        <w:t>et al</w:t>
      </w:r>
      <w:r w:rsidR="00691D75">
        <w:rPr>
          <w:rFonts w:ascii="Times New Roman" w:hAnsi="Times New Roman" w:cs="Times New Roman"/>
          <w:noProof/>
          <w:sz w:val="24"/>
          <w:szCs w:val="24"/>
        </w:rPr>
        <w:t>. 2008)</w:t>
      </w:r>
      <w:r w:rsidR="00691D75">
        <w:rPr>
          <w:rFonts w:ascii="Times New Roman" w:hAnsi="Times New Roman" w:cs="Times New Roman"/>
          <w:sz w:val="24"/>
          <w:szCs w:val="24"/>
        </w:rPr>
        <w:fldChar w:fldCharType="end"/>
      </w:r>
      <w:r w:rsidR="003B6488">
        <w:rPr>
          <w:rFonts w:ascii="Times New Roman" w:hAnsi="Times New Roman" w:cs="Times New Roman"/>
          <w:sz w:val="24"/>
          <w:szCs w:val="24"/>
        </w:rPr>
        <w:t xml:space="preserve">. It was shown that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’s streamlined form lacks the ability to survive alone in the concentrations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FC035D" w:rsidRPr="003609FB">
        <w:rPr>
          <w:rFonts w:ascii="Times New Roman" w:hAnsi="Times New Roman" w:cs="Times New Roman"/>
          <w:sz w:val="24"/>
          <w:szCs w:val="24"/>
        </w:rPr>
        <w:t xml:space="preserve">abiotically produced </w:t>
      </w:r>
      <w:r w:rsidRPr="003609FB">
        <w:rPr>
          <w:rFonts w:ascii="Times New Roman" w:hAnsi="Times New Roman" w:cs="Times New Roman"/>
          <w:sz w:val="24"/>
          <w:szCs w:val="24"/>
        </w:rPr>
        <w:t xml:space="preserve">in this environment </w:t>
      </w:r>
      <w:r w:rsidR="00C70AA3"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{"citationID":"QSVN0AXk","properties":{"formattedCitation":"(Morris 2011; Zinser 2018a)","plainCitation":"(Morris 2011; Zinser 2018a)","noteIndex":0},"citationItems":[{"id":3438,"uris":["http://zotero.org/users/6128296/items/QHAPA57S"],"itemData":{"id":3438,"type":"thesis","language":"en","publisher":"University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00C70AA3"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(Morris 2011; Zinser 2018a)</w:t>
      </w:r>
      <w:r w:rsidR="00C70AA3" w:rsidRPr="003609FB">
        <w:rPr>
          <w:rFonts w:ascii="Times New Roman" w:hAnsi="Times New Roman" w:cs="Times New Roman"/>
          <w:sz w:val="24"/>
          <w:szCs w:val="24"/>
        </w:rPr>
        <w:fldChar w:fldCharType="end"/>
      </w:r>
      <w:r w:rsidR="003B6488">
        <w:rPr>
          <w:rFonts w:ascii="Times New Roman" w:hAnsi="Times New Roman" w:cs="Times New Roman"/>
          <w:sz w:val="24"/>
          <w:szCs w:val="24"/>
        </w:rPr>
        <w:t xml:space="preserve"> </w:t>
      </w:r>
      <w:r w:rsidR="000B0B08">
        <w:rPr>
          <w:rFonts w:ascii="Times New Roman" w:hAnsi="Times New Roman" w:cs="Times New Roman"/>
          <w:sz w:val="24"/>
          <w:szCs w:val="24"/>
        </w:rPr>
        <w:t>likely</w:t>
      </w:r>
      <w:r w:rsidR="003B6488">
        <w:rPr>
          <w:rFonts w:ascii="Times New Roman" w:hAnsi="Times New Roman" w:cs="Times New Roman"/>
          <w:sz w:val="24"/>
          <w:szCs w:val="24"/>
        </w:rPr>
        <w:t xml:space="preserve"> due to its lack of </w:t>
      </w:r>
      <w:r w:rsidR="003B6488" w:rsidRPr="003609FB">
        <w:rPr>
          <w:rFonts w:ascii="Times New Roman" w:hAnsi="Times New Roman" w:cs="Times New Roman"/>
          <w:sz w:val="24"/>
          <w:szCs w:val="24"/>
        </w:rPr>
        <w:t>H</w:t>
      </w:r>
      <w:r w:rsidR="003B6488" w:rsidRPr="00351FC4">
        <w:rPr>
          <w:rFonts w:ascii="Times New Roman" w:hAnsi="Times New Roman" w:cs="Times New Roman"/>
          <w:sz w:val="24"/>
          <w:szCs w:val="24"/>
          <w:vertAlign w:val="subscript"/>
        </w:rPr>
        <w:t>2</w:t>
      </w:r>
      <w:r w:rsidR="003B6488" w:rsidRPr="003609FB">
        <w:rPr>
          <w:rFonts w:ascii="Times New Roman" w:hAnsi="Times New Roman" w:cs="Times New Roman"/>
          <w:sz w:val="24"/>
          <w:szCs w:val="24"/>
        </w:rPr>
        <w:t>O</w:t>
      </w:r>
      <w:r w:rsidR="003B6488" w:rsidRPr="00351FC4">
        <w:rPr>
          <w:rFonts w:ascii="Times New Roman" w:hAnsi="Times New Roman" w:cs="Times New Roman"/>
          <w:sz w:val="24"/>
          <w:szCs w:val="24"/>
          <w:vertAlign w:val="subscript"/>
        </w:rPr>
        <w:t>2</w:t>
      </w:r>
      <w:r w:rsidR="003B6488">
        <w:rPr>
          <w:rFonts w:ascii="Times New Roman" w:hAnsi="Times New Roman" w:cs="Times New Roman"/>
          <w:sz w:val="24"/>
          <w:szCs w:val="24"/>
          <w:vertAlign w:val="subscript"/>
        </w:rPr>
        <w:t xml:space="preserve"> </w:t>
      </w:r>
      <w:r w:rsidR="003B6488">
        <w:rPr>
          <w:rFonts w:ascii="Times New Roman" w:hAnsi="Times New Roman" w:cs="Times New Roman"/>
          <w:sz w:val="24"/>
          <w:szCs w:val="24"/>
        </w:rPr>
        <w:t>detoxifying catalase</w:t>
      </w:r>
      <w:r w:rsidR="003B5DF5">
        <w:rPr>
          <w:rFonts w:ascii="Times New Roman" w:hAnsi="Times New Roman" w:cs="Times New Roman"/>
          <w:sz w:val="24"/>
          <w:szCs w:val="24"/>
        </w:rPr>
        <w:t xml:space="preserve"> </w:t>
      </w:r>
      <w:r w:rsidR="003B5DF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{"citationID":"abo6VcVu","properties":{"formattedCitation":"(Harada et al. 2021; Bernroitner et al. 2009)","plainCitation":"(Harada et al. 2021; Bernroitner et al. 2009)","noteIndex":0},"citationItems":[{"id":4019,"uris":["http://zotero.org/users/6128296/items/H75NZL6B"],"itemData":{"id":4019,"type":"article-journal","abstract":"Knowledge on the evolution of antioxidant systems in cyanobacteria is crucial for elucidating the cause and consequence of the rise of atmospheric oxygen in the Earth’s history. In this study, to elucidate the origin and evolution of cyanobacterial antioxidant enzymes, we analyzed the occurrence of genes encoding four types of superoxide dismutases and three types of catalases in 85 complete cyanobacterial genomes, followed by phylogenetic analyses. We found that Fe superoxide dismutase (FeSOD), Mn superoxide dismutase (MnSOD), and Mn catalase (MnCat) are widely distributed among modern cyanobacteria, whereas CuZn superoxide dismutase (CuZnSOD), bifunctional catalase (KatG), and monofunctional catalase (KatE) are less common. Ni superoxide dismutase (NiSOD) is distributed among marine Prochlorococcus and Synechococcus species. Phylogenetic analyses suggested that bacterial MnSOD evolved from cambialistic Fe/MnSOD before the diversification of major bacterial lineages. The analyses suggested that FeSOD evolved from MnSOD before the origin of cyanobacteria. MnCat also evolved in the early stages of bacterial evolution, predating the emergence of cyanobacteria. KatG, KatE, and NiSOD appeared 2.3–2.5 billion years ago. Thus, almost all cyanobacterial antioxidant enzymes emerged before or during the rise of atmospheric oxygen. The loss and appearance of these enzymes in marine cyanobacteria may be also related to the change in the metal concentration induced by the increased oxygen concentration in the ocean.","container-title":"Journal of Molecular Evolution","DOI":"10.1007/s00239-021-10021-5","ISSN":"0022-2844, 1432-1432","issue":"8","journalAbbreviation":"J Mol Evol","language":"en","page":"527-543","source":"DOI.org (Crossref)","title":"Evolution of Superoxide Dismutases and Catalases in Cyanobacteria: Occurrence of the Antioxidant Enzyme Genes before the Rise of Atmospheric Oxygen","title-short":"Evolution of Superoxide Dismutases and Catalases in Cyanobacteria","volume":"89","author":[{"family":"Harada","given":""},{"family":"Akiyama","given":"Ayumi"},{"family":"Furukawa","given":"Ryutaro"},{"family":"Yokobori","given":"Shin-ichi"},{"family":"Tajika","given":"Eiichi"},{"family":"Yamagishi","given":"Akihiko"}],"issued":{"date-parts":[["2021",10]]}}},{"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3B5DF5">
        <w:rPr>
          <w:rFonts w:ascii="Times New Roman" w:hAnsi="Times New Roman" w:cs="Times New Roman"/>
          <w:sz w:val="24"/>
          <w:szCs w:val="24"/>
        </w:rPr>
        <w:fldChar w:fldCharType="separate"/>
      </w:r>
      <w:r w:rsidR="003B5DF5">
        <w:rPr>
          <w:rFonts w:ascii="Times New Roman" w:hAnsi="Times New Roman" w:cs="Times New Roman"/>
          <w:noProof/>
          <w:sz w:val="24"/>
          <w:szCs w:val="24"/>
        </w:rPr>
        <w:t xml:space="preserve">(Harada </w:t>
      </w:r>
      <w:r w:rsidR="00183222" w:rsidRPr="00183222">
        <w:rPr>
          <w:rFonts w:ascii="Times New Roman" w:hAnsi="Times New Roman" w:cs="Times New Roman"/>
          <w:i/>
          <w:iCs/>
          <w:sz w:val="24"/>
          <w:szCs w:val="24"/>
        </w:rPr>
        <w:t>et al</w:t>
      </w:r>
      <w:r w:rsidR="003B5DF5">
        <w:rPr>
          <w:rFonts w:ascii="Times New Roman" w:hAnsi="Times New Roman" w:cs="Times New Roman"/>
          <w:noProof/>
          <w:sz w:val="24"/>
          <w:szCs w:val="24"/>
        </w:rPr>
        <w:t xml:space="preserve">. 2021; Bernroitner </w:t>
      </w:r>
      <w:r w:rsidR="00183222" w:rsidRPr="00183222">
        <w:rPr>
          <w:rFonts w:ascii="Times New Roman" w:hAnsi="Times New Roman" w:cs="Times New Roman"/>
          <w:i/>
          <w:iCs/>
          <w:sz w:val="24"/>
          <w:szCs w:val="24"/>
        </w:rPr>
        <w:t>et al</w:t>
      </w:r>
      <w:r w:rsidR="003B5DF5">
        <w:rPr>
          <w:rFonts w:ascii="Times New Roman" w:hAnsi="Times New Roman" w:cs="Times New Roman"/>
          <w:noProof/>
          <w:sz w:val="24"/>
          <w:szCs w:val="24"/>
        </w:rPr>
        <w:t>. 2009)</w:t>
      </w:r>
      <w:r w:rsidR="003B5DF5">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Thus, </w:t>
      </w:r>
      <w:r w:rsidR="00691B65" w:rsidRPr="00691B65">
        <w:rPr>
          <w:rFonts w:ascii="Times New Roman" w:hAnsi="Times New Roman" w:cs="Times New Roman"/>
          <w:i/>
          <w:iCs/>
          <w:sz w:val="24"/>
          <w:szCs w:val="24"/>
        </w:rPr>
        <w:lastRenderedPageBreak/>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has evolved a dependence on catalase-positive microbes </w:t>
      </w:r>
      <w:r w:rsidR="00FC035D" w:rsidRPr="003609FB">
        <w:rPr>
          <w:rFonts w:ascii="Times New Roman" w:hAnsi="Times New Roman" w:cs="Times New Roman"/>
          <w:sz w:val="24"/>
          <w:szCs w:val="24"/>
        </w:rPr>
        <w:t>that share</w:t>
      </w:r>
      <w:r w:rsidRPr="003609FB">
        <w:rPr>
          <w:rFonts w:ascii="Times New Roman" w:hAnsi="Times New Roman" w:cs="Times New Roman"/>
          <w:sz w:val="24"/>
          <w:szCs w:val="24"/>
        </w:rPr>
        <w:t xml:space="preserve"> its environment, like </w:t>
      </w:r>
      <w:proofErr w:type="spellStart"/>
      <w:r w:rsidR="00691B65" w:rsidRPr="00691B65">
        <w:rPr>
          <w:rFonts w:ascii="Times New Roman" w:hAnsi="Times New Roman" w:cs="Times New Roman"/>
          <w:i/>
          <w:iCs/>
          <w:sz w:val="24"/>
          <w:szCs w:val="24"/>
        </w:rPr>
        <w:t>Synechococcus</w:t>
      </w:r>
      <w:proofErr w:type="spellEnd"/>
      <w:r w:rsidRPr="003B5DF5">
        <w:rPr>
          <w:rFonts w:ascii="Times New Roman" w:hAnsi="Times New Roman" w:cs="Times New Roman"/>
          <w:i/>
          <w:iCs/>
          <w:sz w:val="24"/>
          <w:szCs w:val="24"/>
        </w:rPr>
        <w:t xml:space="preserve"> </w:t>
      </w:r>
      <w:r w:rsidR="003B5DF5" w:rsidRPr="003B5DF5">
        <w:rPr>
          <w:rFonts w:ascii="Times New Roman" w:hAnsi="Times New Roman" w:cs="Times New Roman"/>
          <w:i/>
          <w:iCs/>
          <w:sz w:val="24"/>
          <w:szCs w:val="24"/>
        </w:rPr>
        <w:t>spp</w:t>
      </w:r>
      <w:r w:rsidR="003B5DF5">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Pr="003B5DF5">
        <w:rPr>
          <w:rFonts w:ascii="Times New Roman" w:hAnsi="Times New Roman" w:cs="Times New Roman"/>
          <w:i/>
          <w:iCs/>
          <w:sz w:val="24"/>
          <w:szCs w:val="24"/>
        </w:rPr>
        <w:t>Alteromonas</w:t>
      </w:r>
      <w:proofErr w:type="spellEnd"/>
      <w:r w:rsidR="003B5DF5">
        <w:rPr>
          <w:rFonts w:ascii="Times New Roman" w:hAnsi="Times New Roman" w:cs="Times New Roman"/>
          <w:i/>
          <w:iCs/>
          <w:sz w:val="24"/>
          <w:szCs w:val="24"/>
        </w:rPr>
        <w:t xml:space="preserve"> </w:t>
      </w:r>
      <w:proofErr w:type="spellStart"/>
      <w:r w:rsidR="003B5DF5">
        <w:rPr>
          <w:rFonts w:ascii="Times New Roman" w:hAnsi="Times New Roman" w:cs="Times New Roman"/>
          <w:i/>
          <w:iCs/>
          <w:sz w:val="24"/>
          <w:szCs w:val="24"/>
        </w:rPr>
        <w:t>spp</w:t>
      </w:r>
      <w:proofErr w:type="spellEnd"/>
      <w:r w:rsidRPr="003609FB">
        <w:rPr>
          <w:rFonts w:ascii="Times New Roman" w:hAnsi="Times New Roman" w:cs="Times New Roman"/>
          <w:sz w:val="24"/>
          <w:szCs w:val="24"/>
        </w:rPr>
        <w:t>, as show</w:t>
      </w:r>
      <w:r w:rsidR="00FC035D" w:rsidRPr="003609FB">
        <w:rPr>
          <w:rFonts w:ascii="Times New Roman" w:hAnsi="Times New Roman" w:cs="Times New Roman"/>
          <w:sz w:val="24"/>
          <w:szCs w:val="24"/>
        </w:rPr>
        <w:t>n</w:t>
      </w:r>
      <w:r w:rsidRPr="003609FB">
        <w:rPr>
          <w:rFonts w:ascii="Times New Roman" w:hAnsi="Times New Roman" w:cs="Times New Roman"/>
          <w:sz w:val="24"/>
          <w:szCs w:val="24"/>
        </w:rPr>
        <w:t xml:space="preserve"> in </w:t>
      </w:r>
      <w:r w:rsidR="00FC035D" w:rsidRPr="003609FB">
        <w:rPr>
          <w:rFonts w:ascii="Times New Roman" w:hAnsi="Times New Roman" w:cs="Times New Roman"/>
          <w:sz w:val="24"/>
          <w:szCs w:val="24"/>
        </w:rPr>
        <w:t>F</w:t>
      </w:r>
      <w:r w:rsidRPr="003609FB">
        <w:rPr>
          <w:rFonts w:ascii="Times New Roman" w:hAnsi="Times New Roman" w:cs="Times New Roman"/>
          <w:sz w:val="24"/>
          <w:szCs w:val="24"/>
        </w:rPr>
        <w:t xml:space="preserve">igure </w:t>
      </w:r>
      <w:r w:rsidR="00FC035D" w:rsidRPr="003609FB">
        <w:rPr>
          <w:rFonts w:ascii="Times New Roman" w:hAnsi="Times New Roman" w:cs="Times New Roman"/>
          <w:sz w:val="24"/>
          <w:szCs w:val="24"/>
        </w:rPr>
        <w:t>1.</w:t>
      </w:r>
      <w:r w:rsidRPr="003609FB">
        <w:rPr>
          <w:rFonts w:ascii="Times New Roman" w:hAnsi="Times New Roman" w:cs="Times New Roman"/>
          <w:sz w:val="24"/>
          <w:szCs w:val="24"/>
        </w:rPr>
        <w:t xml:space="preserve">1, to allow it to survive in mixed-culture communities and dominate production there </w:t>
      </w:r>
      <w:r w:rsidR="00C70AA3"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{"citationID":"2cqFYmDZ","properties":{"formattedCitation":"(Biller, Berube, et al. 2015; Berube et al. 2015; Morris et al. 2011; Morris, Lenski, and Zinser 2012)","plainCitation":"(Biller, Berube, et al. 2015; Berube et al. 2015; Morris et al. 2011; Morris, Lenski, and Zinser 2012)","noteIndex":0},"citationItems":[{"id":195,"uris":["http://zotero.org/users/6128296/items/T8KNN5NA"],"itemData":{"id":195,"type":"article-journal","abstract":"The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C70AA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 Morris, Lenski, and Zinser 2012)</w:t>
      </w:r>
      <w:r w:rsidR="00C70AA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40A64D3C" w14:textId="10FA8F45" w:rsidR="00E97C4E" w:rsidRPr="003609FB" w:rsidRDefault="004C33B3"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This dissertation </w:t>
      </w:r>
      <w:r w:rsidR="00FC035D" w:rsidRPr="003609FB">
        <w:rPr>
          <w:rFonts w:ascii="Times New Roman" w:hAnsi="Times New Roman" w:cs="Times New Roman"/>
          <w:sz w:val="24"/>
          <w:szCs w:val="24"/>
        </w:rPr>
        <w:t>investigates</w:t>
      </w:r>
      <w:r w:rsidRPr="003609FB">
        <w:rPr>
          <w:rFonts w:ascii="Times New Roman" w:hAnsi="Times New Roman" w:cs="Times New Roman"/>
          <w:sz w:val="24"/>
          <w:szCs w:val="24"/>
        </w:rPr>
        <w:t xml:space="preserve"> how these differing controls and the underlying mechanisms impact plankton community structure</w:t>
      </w:r>
      <w:r w:rsidR="00FC035D" w:rsidRPr="003609FB">
        <w:rPr>
          <w:rFonts w:ascii="Times New Roman" w:hAnsi="Times New Roman" w:cs="Times New Roman"/>
          <w:sz w:val="24"/>
          <w:szCs w:val="24"/>
        </w:rPr>
        <w:t>s</w:t>
      </w:r>
      <w:r w:rsidRPr="003609FB">
        <w:rPr>
          <w:rFonts w:ascii="Times New Roman" w:hAnsi="Times New Roman" w:cs="Times New Roman"/>
          <w:sz w:val="24"/>
          <w:szCs w:val="24"/>
        </w:rPr>
        <w:t xml:space="preserve"> in the open ocean</w:t>
      </w:r>
      <w:r w:rsidR="00FC035D" w:rsidRPr="003609FB">
        <w:rPr>
          <w:rFonts w:ascii="Times New Roman" w:hAnsi="Times New Roman" w:cs="Times New Roman"/>
          <w:sz w:val="24"/>
          <w:szCs w:val="24"/>
        </w:rPr>
        <w:t xml:space="preserve"> through contemporary computation modeling approaches</w:t>
      </w:r>
      <w:r w:rsidRPr="003609FB">
        <w:rPr>
          <w:rFonts w:ascii="Times New Roman" w:hAnsi="Times New Roman" w:cs="Times New Roman"/>
          <w:sz w:val="24"/>
          <w:szCs w:val="24"/>
        </w:rPr>
        <w:t>. Thus</w:t>
      </w:r>
      <w:r w:rsidR="006F69DF">
        <w:rPr>
          <w:rFonts w:ascii="Times New Roman" w:hAnsi="Times New Roman" w:cs="Times New Roman"/>
          <w:sz w:val="24"/>
          <w:szCs w:val="24"/>
        </w:rPr>
        <w:t>,</w:t>
      </w:r>
      <w:r w:rsidRPr="003609FB">
        <w:rPr>
          <w:rFonts w:ascii="Times New Roman" w:hAnsi="Times New Roman" w:cs="Times New Roman"/>
          <w:sz w:val="24"/>
          <w:szCs w:val="24"/>
        </w:rPr>
        <w:t xml:space="preserve"> </w:t>
      </w:r>
      <w:r w:rsidR="00FC035D" w:rsidRPr="003609FB">
        <w:rPr>
          <w:rFonts w:ascii="Times New Roman" w:hAnsi="Times New Roman" w:cs="Times New Roman"/>
          <w:sz w:val="24"/>
          <w:szCs w:val="24"/>
        </w:rPr>
        <w:t>we first</w:t>
      </w:r>
      <w:r w:rsidRPr="003609FB">
        <w:rPr>
          <w:rFonts w:ascii="Times New Roman" w:hAnsi="Times New Roman" w:cs="Times New Roman"/>
          <w:sz w:val="24"/>
          <w:szCs w:val="24"/>
        </w:rPr>
        <w:t xml:space="preserve"> review current knowledge on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 the ocean and how phytoplankton are currently known to differ in reaction with exogenous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FC035D" w:rsidRPr="003609FB">
        <w:rPr>
          <w:rFonts w:ascii="Times New Roman" w:hAnsi="Times New Roman" w:cs="Times New Roman"/>
          <w:sz w:val="24"/>
          <w:szCs w:val="24"/>
        </w:rPr>
        <w:t xml:space="preserve">Then we cover known models that simulate phytoplankton dynamics implicitly, via correlative representations, or explicitly, via trait parameterization, and known environmental toggles.  </w:t>
      </w:r>
    </w:p>
    <w:p w14:paraId="1E4FE0FC" w14:textId="77790CD3" w:rsidR="009A35A3" w:rsidRDefault="007445C6"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After reviewing the current knowledge of oceanic production of reactive oxygen species (ROS) like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global marine phytoplankton modeling efforts in relation to nutrient supplies, this dissertation will concentrate on the intersection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nutrient stresses on plankton dynamics. It will explore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influences on singular plankton (Chapter 2) before investigating how coculture interactions are augmented by differing </w:t>
      </w:r>
      <w:r w:rsidR="001345FD">
        <w:rPr>
          <w:rFonts w:ascii="Times New Roman" w:hAnsi="Times New Roman" w:cs="Times New Roman"/>
          <w:sz w:val="24"/>
          <w:szCs w:val="24"/>
        </w:rPr>
        <w:t>nitrogen (</w:t>
      </w:r>
      <w:r w:rsidRPr="003609FB">
        <w:rPr>
          <w:rFonts w:ascii="Times New Roman" w:hAnsi="Times New Roman" w:cs="Times New Roman"/>
          <w:sz w:val="24"/>
          <w:szCs w:val="24"/>
        </w:rPr>
        <w:t>N</w:t>
      </w:r>
      <w:r w:rsidR="001345FD">
        <w:rPr>
          <w:rFonts w:ascii="Times New Roman" w:hAnsi="Times New Roman" w:cs="Times New Roman"/>
          <w:sz w:val="24"/>
          <w:szCs w:val="24"/>
        </w:rPr>
        <w:t>)</w:t>
      </w:r>
      <w:r w:rsidRPr="003609FB">
        <w:rPr>
          <w:rFonts w:ascii="Times New Roman" w:hAnsi="Times New Roman" w:cs="Times New Roman"/>
          <w:sz w:val="24"/>
          <w:szCs w:val="24"/>
        </w:rPr>
        <w:t xml:space="preserve">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assumptions (Chapter 3). Trait space explaining the steady state concentration predictions of phytoplankton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further explored as a function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parameters. Trait differences are visualized in separate different biogeographical predictions for prominent phytoplankton via utilization of </w:t>
      </w:r>
      <w:r w:rsidR="001345FD">
        <w:rPr>
          <w:rFonts w:ascii="Times New Roman" w:hAnsi="Times New Roman" w:cs="Times New Roman"/>
          <w:sz w:val="24"/>
          <w:szCs w:val="24"/>
        </w:rPr>
        <w:t xml:space="preserve">microbial </w:t>
      </w:r>
      <w:r w:rsidRPr="003609FB">
        <w:rPr>
          <w:rFonts w:ascii="Times New Roman" w:hAnsi="Times New Roman" w:cs="Times New Roman"/>
          <w:sz w:val="24"/>
          <w:szCs w:val="24"/>
        </w:rPr>
        <w:t xml:space="preserve">trait </w:t>
      </w:r>
      <w:r w:rsidR="001345FD">
        <w:rPr>
          <w:rFonts w:ascii="Times New Roman" w:hAnsi="Times New Roman" w:cs="Times New Roman"/>
          <w:sz w:val="24"/>
          <w:szCs w:val="24"/>
        </w:rPr>
        <w:t xml:space="preserve">model </w:t>
      </w:r>
      <w:r w:rsidRPr="003609FB">
        <w:rPr>
          <w:rFonts w:ascii="Times New Roman" w:hAnsi="Times New Roman" w:cs="Times New Roman"/>
          <w:sz w:val="24"/>
          <w:szCs w:val="24"/>
        </w:rPr>
        <w:t>projections on top of a global circulation model (Chapter 4).</w:t>
      </w:r>
    </w:p>
    <w:p w14:paraId="69ABFF2F" w14:textId="77777777" w:rsidR="003D069F" w:rsidRPr="003609FB" w:rsidRDefault="003D069F" w:rsidP="003D069F">
      <w:pPr>
        <w:pStyle w:val="Heading2"/>
        <w:spacing w:line="360" w:lineRule="auto"/>
        <w:rPr>
          <w:sz w:val="24"/>
          <w:szCs w:val="24"/>
        </w:rPr>
      </w:pPr>
      <w:bookmarkStart w:id="2" w:name="_Toc173250008"/>
      <w:r w:rsidRPr="00B149A9">
        <w:t>Review</w:t>
      </w:r>
      <w:bookmarkEnd w:id="2"/>
    </w:p>
    <w:p w14:paraId="63F4FB5E" w14:textId="7A50511F" w:rsidR="009A35A3" w:rsidRDefault="003D069F" w:rsidP="003D069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Reactive oxygen species, and specifically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are constant threats to microbial cells in the aerobic environment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{"citationID":"wDNkneFT","properties":{"formattedCitation":"(Morris, Rose, and Lu 2022; Zinser 2018a; 2018a)","plainCitation":"(Morris, Rose, and Lu 2022; Zinser 2018a; 2018a)","noteIndex":0},"citationItems":[{"id":3443,"uris":["http://zotero.org/users/6128296/items/NAWLWA5Q"],"itemData":{"id":3443,"type":"article-journal","abstract":"Reactive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(Morris, Rose, and Lu 2022; Zinser 2018a; 2018a)</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Despite both being the primary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sink in marine systems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{"citationID":"OoeyAH9v","properties":{"formattedCitation":"(Morris, Rose, and Lu 2022; Zinser 2018a)","plainCitation":"(Morris, Rose, and Lu 2022; Zinser 2018a)","noteIndex":0},"citationItems":[{"id":3443,"uris":["http://zotero.org/users/6128296/items/NAWLWA5Q"],"itemData":{"id":3443,"type":"article-journal","abstract":"Reactive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(Morris, Rose, and Lu 2022; Zinser 2018a)</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having known differential affects plankton that grow in the surface ocean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{"citationID":"CkTxZPsH","properties":{"formattedCitation":"(Morris et al. 2011; Zinser 2018a; Morris, Rose, and Lu 2022)","plainCitation":"(Morris et al. 2011; Zinser 2018a; Morris, Rose, and Lu 2022)","noteIndex":0},"citationItems":[{"id":113,"uris":["http://zotero.org/users/6128296/items/PIIBXCZZ"],"itemData":{"id":113,"type":"article-journal","abstract":"The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(Morris </w:t>
      </w:r>
      <w:r w:rsidRPr="00183222">
        <w:rPr>
          <w:rFonts w:ascii="Times New Roman" w:hAnsi="Times New Roman" w:cs="Times New Roman"/>
          <w:i/>
          <w:iCs/>
          <w:sz w:val="24"/>
          <w:szCs w:val="24"/>
        </w:rPr>
        <w:t>et al</w:t>
      </w:r>
      <w:r>
        <w:rPr>
          <w:rFonts w:ascii="Times New Roman" w:hAnsi="Times New Roman" w:cs="Times New Roman"/>
          <w:sz w:val="24"/>
          <w:szCs w:val="24"/>
        </w:rPr>
        <w:t>. 2011; Zinser 2018a; Morris, Rose, and Lu 2022)</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currently no ocean microbial model accounts for the differential influence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on oceanic microbial abundances. Gyres where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is found </w:t>
      </w:r>
      <w:r>
        <w:rPr>
          <w:rFonts w:ascii="Times New Roman" w:hAnsi="Times New Roman" w:cs="Times New Roman"/>
          <w:sz w:val="24"/>
          <w:szCs w:val="24"/>
        </w:rPr>
        <w:t xml:space="preserve">to dominate numerically are defined by </w:t>
      </w:r>
      <w:r w:rsidRPr="003609FB">
        <w:rPr>
          <w:rFonts w:ascii="Times New Roman" w:hAnsi="Times New Roman" w:cs="Times New Roman"/>
          <w:sz w:val="24"/>
          <w:szCs w:val="24"/>
        </w:rPr>
        <w:t xml:space="preserve">harsh abiotic conditions like high incident light (up to 2000 </w:t>
      </w:r>
      <w:proofErr w:type="spellStart"/>
      <w:r w:rsidRPr="003609FB">
        <w:rPr>
          <w:rFonts w:ascii="Times New Roman" w:hAnsi="Times New Roman" w:cs="Times New Roman"/>
          <w:sz w:val="24"/>
          <w:szCs w:val="24"/>
        </w:rPr>
        <w:t>μmol</w:t>
      </w:r>
      <w:proofErr w:type="spellEnd"/>
      <w:r w:rsidRPr="003609FB">
        <w:rPr>
          <w:rFonts w:ascii="Times New Roman" w:hAnsi="Times New Roman" w:cs="Times New Roman"/>
          <w:sz w:val="24"/>
          <w:szCs w:val="24"/>
        </w:rPr>
        <w:t xml:space="preserve"> quanta m</w:t>
      </w:r>
      <w:r w:rsidRPr="006C66CE">
        <w:rPr>
          <w:rFonts w:ascii="Times New Roman" w:hAnsi="Times New Roman" w:cs="Times New Roman"/>
          <w:sz w:val="24"/>
          <w:szCs w:val="24"/>
          <w:vertAlign w:val="superscript"/>
        </w:rPr>
        <w:t>-2</w:t>
      </w:r>
      <w:r w:rsidRPr="003609FB">
        <w:rPr>
          <w:rFonts w:ascii="Times New Roman" w:hAnsi="Times New Roman" w:cs="Times New Roman"/>
          <w:sz w:val="24"/>
          <w:szCs w:val="24"/>
        </w:rPr>
        <w:t xml:space="preserve"> s</w:t>
      </w:r>
      <w:r w:rsidRPr="006C66CE">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at the surface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{"citationID":"yS4tIvsr","properties":{"formattedCitation":"(Morris et al. 2011; Zinser et al. 2007; Cooper et al. 1988)","plainCitation":"(Morris et al. 2011; Zinser et al. 2007; Cooper et al. 1988)","noteIndex":0},"citationItems":[{"id":113,"uris":["http://zotero.org/users/6128296/items/PIIBXCZZ"],"itemData":{"id":113,"type":"article-journal","abstract":"The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R."}],"editor":[{"family":"Rodriguez-Valera","given":"Francisco"}],"issued":{"date-parts":[["2011",2,3]]}}},{"id":1802,"uris":["http://zotero.org/users/6128296/items/R46RK846"],"itemData":{"id":1802,"type":"article-journal","abstract":"In a focused analysis of Prochlorococcus population structure in the western North Atlantic, we found that the relative abundances of ecotypes varied significantly with depth and, at seasonally stratified locations, with degree of vertical mixing. More limited regional variation was observed (e.g., Sargasso Sea, Gulf Stream, continental slope, and equatorial current), and local patchiness was minimal. Modeling of a combined North and South Atlantic data set revealed significant, independent effects of light and temperature on ecotype abundances, suggesting that they are key ecological determinants that establish the different habitat ranges of the physiologically and genetically distinct ecotypes. This was in sharp contrast with the genus Synechococcus, whose total abundance was related to light but did not vary in a predictable way with temperature. Comparisons of field abundances with growth characteristics of cultured isolates of Prochlorococcus suggested the presence of ecotypespecific thermal and light adaptations that could be responsible for the distinct distribution patterns of the four dominant ecotypes. Significantly, we discovered that one \"low-light-adapted\" ecotype, eNATL2A, can thrive in deeply mixed surface layers, whereas another, eMIT9313, cannot, even though they have the same growth optimum for (low) light.","container-title":"Limnology and Oceanography","DOI":"10.4319/lo.2007.52.5.2205","ISSN":"00243590","issue":"5","journalAbbreviation":"Limnol. Oceanogr.","language":"en","page":"2205-2220","source":"DOI.org (Crossref)","title":"Influence of light and temperature on Prochlorococcus ecotype distributions in the Atlantic Ocean","volume":"52","author":[{"family":"Zinser","given":""},{"family":"Johnson","given":"Zackary I."},{"family":"Coe","given":"Allison"},{"family":"Karaca","given":"Erdem"},{"family":"Veneziano","given":"Daniele"},{"family":"Chisholm","given":"Sallie W."}],"issued":{"date-parts":[["2007",9]]}}},{"id":2126,"uris":["http://zotero.org/users/6128296/items/GE23ETKX"],"itemData":{"id":2126,"type":"article-journal","container-title":"Environmental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(Morris </w:t>
      </w:r>
      <w:r w:rsidRPr="00183222">
        <w:rPr>
          <w:rFonts w:ascii="Times New Roman" w:hAnsi="Times New Roman" w:cs="Times New Roman"/>
          <w:i/>
          <w:iCs/>
          <w:sz w:val="24"/>
          <w:szCs w:val="24"/>
        </w:rPr>
        <w:t>et al</w:t>
      </w:r>
      <w:r>
        <w:rPr>
          <w:rFonts w:ascii="Times New Roman" w:hAnsi="Times New Roman" w:cs="Times New Roman"/>
          <w:sz w:val="24"/>
          <w:szCs w:val="24"/>
        </w:rPr>
        <w:t xml:space="preserve">. 2011; Zinser </w:t>
      </w:r>
      <w:r w:rsidRPr="00183222">
        <w:rPr>
          <w:rFonts w:ascii="Times New Roman" w:hAnsi="Times New Roman" w:cs="Times New Roman"/>
          <w:i/>
          <w:iCs/>
          <w:sz w:val="24"/>
          <w:szCs w:val="24"/>
        </w:rPr>
        <w:t>et al</w:t>
      </w:r>
      <w:r>
        <w:rPr>
          <w:rFonts w:ascii="Times New Roman" w:hAnsi="Times New Roman" w:cs="Times New Roman"/>
          <w:sz w:val="24"/>
          <w:szCs w:val="24"/>
        </w:rPr>
        <w:t xml:space="preserve">. 2007; Cooper </w:t>
      </w:r>
      <w:r w:rsidRPr="00183222">
        <w:rPr>
          <w:rFonts w:ascii="Times New Roman" w:hAnsi="Times New Roman" w:cs="Times New Roman"/>
          <w:i/>
          <w:iCs/>
          <w:sz w:val="24"/>
          <w:szCs w:val="24"/>
        </w:rPr>
        <w:t>et al</w:t>
      </w:r>
      <w:r>
        <w:rPr>
          <w:rFonts w:ascii="Times New Roman" w:hAnsi="Times New Roman" w:cs="Times New Roman"/>
          <w:sz w:val="24"/>
          <w:szCs w:val="24"/>
        </w:rPr>
        <w:t>. 1988)</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yearly maximum temperatures above 30</w:t>
      </w:r>
      <w:r w:rsidRPr="006C66CE">
        <w:rPr>
          <w:rFonts w:ascii="Times New Roman" w:hAnsi="Times New Roman" w:cs="Times New Roman"/>
          <w:sz w:val="24"/>
          <w:szCs w:val="24"/>
          <w:vertAlign w:val="superscript"/>
        </w:rPr>
        <w:t>o</w:t>
      </w:r>
      <w:r w:rsidRPr="003609FB">
        <w:rPr>
          <w:rFonts w:ascii="Times New Roman" w:hAnsi="Times New Roman" w:cs="Times New Roman"/>
          <w:sz w:val="24"/>
          <w:szCs w:val="24"/>
        </w:rPr>
        <w:t xml:space="preserve"> C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{"citationID":"ZB4itpPG","properties":{"formattedCitation":"(Martiny et al. 2009)","plainCitation":"(Martiny et al. 2009)","noteIndex":0},"citationItems":[{"id":2048,"uris":["http://zotero.org/users/6128296/items/4CETU56N"],"itemData":{"id":2048,"type":"article-journal","container-title":"Environmental Microbiology","DOI":"10.1111/j.1462-2920.2008.01803.x","ISSN":"14622912, 14622920","issue":"4","language":"en","page":"823-832","source":"DOI.org (Crossref)","title":"Taxonomic resolution, ecotypes and the biogeography of &lt;i&gt;Prochlorococcus&lt;/i&gt;","volume":"11","author":[{"family":"Martiny","given":""},{"family":"Tai","given":"Amos P. K."},{"family":"Veneziano","given":"Daniele"},{"family":"Primeau","given":"François"},{"family":"Chisholm","given":"Sallie W."}],"issued":{"date-parts":[["2009",4]]}}}],"schema":"https://github.com/citation-style-language/schema/raw/master/csl-citation.json"}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(Martiny </w:t>
      </w:r>
      <w:r w:rsidRPr="00183222">
        <w:rPr>
          <w:rFonts w:ascii="Times New Roman" w:hAnsi="Times New Roman" w:cs="Times New Roman"/>
          <w:i/>
          <w:iCs/>
          <w:sz w:val="24"/>
          <w:szCs w:val="24"/>
        </w:rPr>
        <w:t>et al</w:t>
      </w:r>
      <w:r>
        <w:rPr>
          <w:rFonts w:ascii="Times New Roman" w:hAnsi="Times New Roman" w:cs="Times New Roman"/>
          <w:sz w:val="24"/>
          <w:szCs w:val="24"/>
        </w:rPr>
        <w:t>. 2009)</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tbl>
      <w:tblPr>
        <w:tblW w:w="9360" w:type="dxa"/>
        <w:tblLook w:val="0000" w:firstRow="0" w:lastRow="0" w:firstColumn="0" w:lastColumn="0" w:noHBand="0" w:noVBand="0"/>
      </w:tblPr>
      <w:tblGrid>
        <w:gridCol w:w="9360"/>
      </w:tblGrid>
      <w:tr w:rsidR="009A35A3" w:rsidRPr="003609FB" w14:paraId="31506C6F" w14:textId="77777777" w:rsidTr="00A43D25">
        <w:trPr>
          <w:trHeight w:val="5760"/>
        </w:trPr>
        <w:tc>
          <w:tcPr>
            <w:tcW w:w="9360" w:type="dxa"/>
          </w:tcPr>
          <w:p w14:paraId="2784EBA2" w14:textId="213D91FA" w:rsidR="009A35A3" w:rsidRPr="003609FB" w:rsidRDefault="000B0B08" w:rsidP="00511118">
            <w:pPr>
              <w:pStyle w:val="Caption"/>
            </w:pPr>
            <w:r>
              <w:rPr>
                <w:noProof/>
              </w:rPr>
              <w:lastRenderedPageBreak/>
              <w:drawing>
                <wp:inline distT="0" distB="0" distL="0" distR="0" wp14:anchorId="5215E1DC" wp14:editId="67AAF02C">
                  <wp:extent cx="5930900" cy="3670300"/>
                  <wp:effectExtent l="0" t="0" r="0" b="0"/>
                  <wp:docPr id="32" name="Picture 32" descr="A diagram of a chemistry experi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diagram of a chemistry experiment&#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0900" cy="3670300"/>
                          </a:xfrm>
                          <a:prstGeom prst="rect">
                            <a:avLst/>
                          </a:prstGeom>
                        </pic:spPr>
                      </pic:pic>
                    </a:graphicData>
                  </a:graphic>
                </wp:inline>
              </w:drawing>
            </w:r>
          </w:p>
        </w:tc>
      </w:tr>
    </w:tbl>
    <w:p w14:paraId="58148D4D" w14:textId="36F6E957" w:rsidR="00F52F1E" w:rsidRDefault="00B00E90" w:rsidP="00511118">
      <w:pPr>
        <w:pStyle w:val="Caption"/>
      </w:pPr>
      <w:bookmarkStart w:id="3" w:name="_Toc173148366"/>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1</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1</w:t>
      </w:r>
      <w:r w:rsidR="00000000">
        <w:rPr>
          <w:noProof/>
        </w:rPr>
        <w:fldChar w:fldCharType="end"/>
      </w:r>
      <w:r>
        <w:t xml:space="preserve"> </w:t>
      </w:r>
      <w:r w:rsidRPr="008D1A16">
        <w:t xml:space="preserve">Concurrent monoculture or coculture dynamics for </w:t>
      </w:r>
      <w:r w:rsidRPr="00F52F1E">
        <w:rPr>
          <w:i/>
          <w:iCs/>
        </w:rPr>
        <w:t>Prochlorococcus</w:t>
      </w:r>
      <w:r w:rsidRPr="008D1A16">
        <w:t xml:space="preserve"> and </w:t>
      </w:r>
      <w:r w:rsidRPr="003609FB">
        <w:t>H</w:t>
      </w:r>
      <w:r w:rsidRPr="00351FC4">
        <w:rPr>
          <w:vertAlign w:val="subscript"/>
        </w:rPr>
        <w:t>2</w:t>
      </w:r>
      <w:r w:rsidRPr="003609FB">
        <w:t>O</w:t>
      </w:r>
      <w:r w:rsidRPr="00351FC4">
        <w:rPr>
          <w:vertAlign w:val="subscript"/>
        </w:rPr>
        <w:t>2</w:t>
      </w:r>
      <w:bookmarkEnd w:id="3"/>
    </w:p>
    <w:p w14:paraId="46F8377B" w14:textId="27B2925B" w:rsidR="009A35A3" w:rsidRPr="00F87806" w:rsidRDefault="00F52F1E" w:rsidP="00AB2160">
      <w:pPr>
        <w:spacing w:line="360" w:lineRule="auto"/>
        <w:rPr>
          <w:rFonts w:asciiTheme="majorBidi" w:hAnsiTheme="majorBidi"/>
          <w:sz w:val="24"/>
          <w:szCs w:val="24"/>
        </w:rPr>
      </w:pPr>
      <w:r w:rsidRPr="00C67687">
        <w:rPr>
          <w:rFonts w:ascii="Times New Roman" w:hAnsi="Times New Roman" w:cs="Times New Roman"/>
          <w:i/>
          <w:iCs/>
          <w:sz w:val="24"/>
          <w:szCs w:val="24"/>
        </w:rPr>
        <w:t>Prochlorococcus</w:t>
      </w:r>
      <w:r w:rsidRPr="00F52F1E">
        <w:rPr>
          <w:rFonts w:ascii="Times New Roman" w:hAnsi="Times New Roman" w:cs="Times New Roman"/>
          <w:sz w:val="24"/>
          <w:szCs w:val="24"/>
        </w:rPr>
        <w:t xml:space="preserve"> abundance (left) and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F52F1E">
        <w:rPr>
          <w:rFonts w:ascii="Times New Roman" w:hAnsi="Times New Roman" w:cs="Times New Roman"/>
          <w:sz w:val="24"/>
          <w:szCs w:val="24"/>
        </w:rPr>
        <w:t xml:space="preserve"> concentrations (right) in </w:t>
      </w:r>
      <w:r w:rsidR="00C67687">
        <w:rPr>
          <w:rFonts w:ascii="Times New Roman" w:hAnsi="Times New Roman" w:cs="Times New Roman"/>
          <w:sz w:val="24"/>
          <w:szCs w:val="24"/>
        </w:rPr>
        <w:t>batch cultures spiked with</w:t>
      </w:r>
      <w:r w:rsidRPr="00F52F1E">
        <w:rPr>
          <w:rFonts w:ascii="Times New Roman" w:hAnsi="Times New Roman" w:cs="Times New Roman"/>
          <w:sz w:val="24"/>
          <w:szCs w:val="24"/>
        </w:rPr>
        <w:t xml:space="preserve"> photochemical-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F52F1E">
        <w:rPr>
          <w:rFonts w:ascii="Times New Roman" w:hAnsi="Times New Roman" w:cs="Times New Roman"/>
          <w:sz w:val="24"/>
          <w:szCs w:val="24"/>
        </w:rPr>
        <w:t xml:space="preserve"> production via HEPES buffer either </w:t>
      </w:r>
      <w:r w:rsidR="00A94163">
        <w:rPr>
          <w:rFonts w:ascii="Times New Roman" w:hAnsi="Times New Roman" w:cs="Times New Roman"/>
          <w:sz w:val="24"/>
          <w:szCs w:val="24"/>
        </w:rPr>
        <w:t>in</w:t>
      </w:r>
      <w:r w:rsidRPr="00F52F1E">
        <w:rPr>
          <w:rFonts w:ascii="Times New Roman" w:hAnsi="Times New Roman" w:cs="Times New Roman"/>
          <w:sz w:val="24"/>
          <w:szCs w:val="24"/>
        </w:rPr>
        <w:t xml:space="preserve"> axenic </w:t>
      </w:r>
      <w:r w:rsidR="00A94163">
        <w:rPr>
          <w:rFonts w:ascii="Times New Roman" w:hAnsi="Times New Roman" w:cs="Times New Roman"/>
          <w:sz w:val="24"/>
          <w:szCs w:val="24"/>
        </w:rPr>
        <w:t>(</w:t>
      </w:r>
      <w:r w:rsidRPr="00F52F1E">
        <w:rPr>
          <w:rFonts w:ascii="Times New Roman" w:hAnsi="Times New Roman" w:cs="Times New Roman"/>
          <w:sz w:val="24"/>
          <w:szCs w:val="24"/>
        </w:rPr>
        <w:t>monoculture</w:t>
      </w:r>
      <w:r w:rsidR="00A94163">
        <w:rPr>
          <w:rFonts w:ascii="Times New Roman" w:hAnsi="Times New Roman" w:cs="Times New Roman"/>
          <w:sz w:val="24"/>
          <w:szCs w:val="24"/>
        </w:rPr>
        <w:t>)</w:t>
      </w:r>
      <w:r w:rsidRPr="00F52F1E">
        <w:rPr>
          <w:rFonts w:ascii="Times New Roman" w:hAnsi="Times New Roman" w:cs="Times New Roman"/>
          <w:sz w:val="24"/>
          <w:szCs w:val="24"/>
        </w:rPr>
        <w:t xml:space="preserve"> </w:t>
      </w:r>
      <w:r w:rsidR="00C67687">
        <w:rPr>
          <w:rFonts w:ascii="Times New Roman" w:hAnsi="Times New Roman" w:cs="Times New Roman"/>
          <w:sz w:val="24"/>
          <w:szCs w:val="24"/>
        </w:rPr>
        <w:t>assays</w:t>
      </w:r>
      <w:r w:rsidR="00C67687" w:rsidRPr="00F52F1E">
        <w:rPr>
          <w:rFonts w:ascii="Times New Roman" w:hAnsi="Times New Roman" w:cs="Times New Roman"/>
          <w:sz w:val="24"/>
          <w:szCs w:val="24"/>
        </w:rPr>
        <w:t xml:space="preserve"> (</w:t>
      </w:r>
      <w:r w:rsidRPr="00F52F1E">
        <w:rPr>
          <w:rFonts w:ascii="Times New Roman" w:hAnsi="Times New Roman" w:cs="Times New Roman"/>
          <w:sz w:val="24"/>
          <w:szCs w:val="24"/>
        </w:rPr>
        <w:t xml:space="preserve">a, red) or </w:t>
      </w:r>
      <w:r w:rsidR="00A94163">
        <w:rPr>
          <w:rFonts w:ascii="Times New Roman" w:hAnsi="Times New Roman" w:cs="Times New Roman"/>
          <w:i/>
          <w:iCs/>
          <w:sz w:val="24"/>
          <w:szCs w:val="24"/>
        </w:rPr>
        <w:t>coculture with</w:t>
      </w:r>
      <w:r w:rsidRPr="00F52F1E">
        <w:rPr>
          <w:rFonts w:ascii="Times New Roman" w:hAnsi="Times New Roman" w:cs="Times New Roman"/>
          <w:sz w:val="24"/>
          <w:szCs w:val="24"/>
        </w:rPr>
        <w:t xml:space="preserve"> </w:t>
      </w:r>
      <w:proofErr w:type="spellStart"/>
      <w:r w:rsidRPr="00F02A47">
        <w:rPr>
          <w:rFonts w:ascii="Times New Roman" w:hAnsi="Times New Roman" w:cs="Times New Roman"/>
          <w:i/>
          <w:iCs/>
          <w:sz w:val="24"/>
          <w:szCs w:val="24"/>
        </w:rPr>
        <w:t>Alteromonas</w:t>
      </w:r>
      <w:proofErr w:type="spellEnd"/>
      <w:r w:rsidR="00F02A47">
        <w:rPr>
          <w:rFonts w:ascii="Times New Roman" w:hAnsi="Times New Roman" w:cs="Times New Roman"/>
          <w:i/>
          <w:iCs/>
          <w:sz w:val="24"/>
          <w:szCs w:val="24"/>
        </w:rPr>
        <w:t>,</w:t>
      </w:r>
      <w:r w:rsidRPr="00F52F1E">
        <w:rPr>
          <w:rFonts w:ascii="Times New Roman" w:hAnsi="Times New Roman" w:cs="Times New Roman"/>
          <w:sz w:val="24"/>
          <w:szCs w:val="24"/>
        </w:rPr>
        <w:t xml:space="preserve"> </w:t>
      </w:r>
      <w:r w:rsidR="00F02A47">
        <w:rPr>
          <w:rFonts w:ascii="Times New Roman" w:hAnsi="Times New Roman" w:cs="Times New Roman"/>
          <w:sz w:val="24"/>
          <w:szCs w:val="24"/>
        </w:rPr>
        <w:t>a heterotrophic bacterial h</w:t>
      </w:r>
      <w:r w:rsidRPr="00F52F1E">
        <w:rPr>
          <w:rFonts w:ascii="Times New Roman" w:hAnsi="Times New Roman" w:cs="Times New Roman"/>
          <w:sz w:val="24"/>
          <w:szCs w:val="24"/>
        </w:rPr>
        <w:t>elper</w:t>
      </w:r>
      <w:r w:rsidR="00F02A47">
        <w:rPr>
          <w:rFonts w:ascii="Times New Roman" w:hAnsi="Times New Roman" w:cs="Times New Roman"/>
          <w:sz w:val="24"/>
          <w:szCs w:val="24"/>
        </w:rPr>
        <w:t>,</w:t>
      </w:r>
      <w:r w:rsidRPr="00F52F1E">
        <w:rPr>
          <w:rFonts w:ascii="Times New Roman" w:hAnsi="Times New Roman" w:cs="Times New Roman"/>
          <w:sz w:val="24"/>
          <w:szCs w:val="24"/>
        </w:rPr>
        <w:t xml:space="preserve"> </w:t>
      </w:r>
      <w:r w:rsidR="00FC06AF">
        <w:rPr>
          <w:rFonts w:ascii="Times New Roman" w:hAnsi="Times New Roman" w:cs="Times New Roman"/>
          <w:sz w:val="24"/>
          <w:szCs w:val="24"/>
        </w:rPr>
        <w:t>assays</w:t>
      </w:r>
      <w:r w:rsidR="00F87806">
        <w:rPr>
          <w:rFonts w:ascii="Times New Roman" w:hAnsi="Times New Roman" w:cs="Times New Roman"/>
          <w:sz w:val="24"/>
          <w:szCs w:val="24"/>
        </w:rPr>
        <w:t xml:space="preserve"> </w:t>
      </w:r>
      <w:r w:rsidRPr="00F52F1E">
        <w:rPr>
          <w:rFonts w:ascii="Times New Roman" w:hAnsi="Times New Roman" w:cs="Times New Roman"/>
          <w:sz w:val="24"/>
          <w:szCs w:val="24"/>
        </w:rPr>
        <w:t xml:space="preserve">(b, blue). </w:t>
      </w:r>
      <w:r w:rsidR="00E06133">
        <w:rPr>
          <w:rFonts w:ascii="Times New Roman" w:hAnsi="Times New Roman" w:cs="Times New Roman"/>
          <w:sz w:val="24"/>
          <w:szCs w:val="24"/>
        </w:rPr>
        <w:t xml:space="preserve">(HEPES buffer </w:t>
      </w:r>
      <w:r w:rsidR="00E06133" w:rsidRPr="003609FB">
        <w:rPr>
          <w:rFonts w:ascii="Times New Roman" w:hAnsi="Times New Roman" w:cs="Times New Roman"/>
          <w:sz w:val="24"/>
          <w:szCs w:val="24"/>
        </w:rPr>
        <w:t>H</w:t>
      </w:r>
      <w:r w:rsidR="00E06133" w:rsidRPr="00351FC4">
        <w:rPr>
          <w:rFonts w:ascii="Times New Roman" w:hAnsi="Times New Roman" w:cs="Times New Roman"/>
          <w:sz w:val="24"/>
          <w:szCs w:val="24"/>
          <w:vertAlign w:val="subscript"/>
        </w:rPr>
        <w:t>2</w:t>
      </w:r>
      <w:r w:rsidR="00E06133" w:rsidRPr="003609FB">
        <w:rPr>
          <w:rFonts w:ascii="Times New Roman" w:hAnsi="Times New Roman" w:cs="Times New Roman"/>
          <w:sz w:val="24"/>
          <w:szCs w:val="24"/>
        </w:rPr>
        <w:t>O</w:t>
      </w:r>
      <w:r w:rsidR="00E06133" w:rsidRPr="00351FC4">
        <w:rPr>
          <w:rFonts w:ascii="Times New Roman" w:hAnsi="Times New Roman" w:cs="Times New Roman"/>
          <w:sz w:val="24"/>
          <w:szCs w:val="24"/>
          <w:vertAlign w:val="subscript"/>
        </w:rPr>
        <w:t>2</w:t>
      </w:r>
      <w:r w:rsidR="00E06133">
        <w:rPr>
          <w:rFonts w:ascii="Times New Roman" w:hAnsi="Times New Roman" w:cs="Times New Roman"/>
          <w:sz w:val="24"/>
          <w:szCs w:val="24"/>
          <w:vertAlign w:val="subscript"/>
        </w:rPr>
        <w:t xml:space="preserve"> </w:t>
      </w:r>
      <w:r w:rsidR="00E06133">
        <w:rPr>
          <w:rFonts w:ascii="Times New Roman" w:hAnsi="Times New Roman" w:cs="Times New Roman"/>
          <w:sz w:val="24"/>
          <w:szCs w:val="24"/>
        </w:rPr>
        <w:t xml:space="preserve">production is shown in Appendix A, section A3.) </w:t>
      </w:r>
      <w:r w:rsidRPr="00F52F1E">
        <w:rPr>
          <w:rFonts w:ascii="Times New Roman" w:hAnsi="Times New Roman" w:cs="Times New Roman"/>
          <w:sz w:val="24"/>
          <w:szCs w:val="24"/>
        </w:rPr>
        <w:t>The monoculture (a) and coculture (b) dynamics</w:t>
      </w:r>
      <w:r w:rsidR="00A94163">
        <w:rPr>
          <w:rFonts w:ascii="Times New Roman" w:hAnsi="Times New Roman" w:cs="Times New Roman"/>
          <w:sz w:val="24"/>
          <w:szCs w:val="24"/>
        </w:rPr>
        <w:t xml:space="preserve"> shown in representative bubble diagrams of a and b are below data plots. The bubble </w:t>
      </w:r>
      <w:r w:rsidR="00F87806">
        <w:rPr>
          <w:rFonts w:ascii="Times New Roman" w:hAnsi="Times New Roman" w:cs="Times New Roman"/>
          <w:sz w:val="24"/>
          <w:szCs w:val="24"/>
        </w:rPr>
        <w:t>diagrams</w:t>
      </w:r>
      <w:r w:rsidRPr="00F52F1E">
        <w:rPr>
          <w:rFonts w:ascii="Times New Roman" w:hAnsi="Times New Roman" w:cs="Times New Roman"/>
          <w:sz w:val="24"/>
          <w:szCs w:val="24"/>
        </w:rPr>
        <w:t xml:space="preserve"> are </w:t>
      </w:r>
      <w:r w:rsidR="00A94163" w:rsidRPr="00F52F1E">
        <w:rPr>
          <w:rFonts w:ascii="Times New Roman" w:hAnsi="Times New Roman" w:cs="Times New Roman"/>
          <w:sz w:val="24"/>
          <w:szCs w:val="24"/>
        </w:rPr>
        <w:t>assumed</w:t>
      </w:r>
      <w:r w:rsidRPr="00F52F1E">
        <w:rPr>
          <w:rFonts w:ascii="Times New Roman" w:hAnsi="Times New Roman" w:cs="Times New Roman"/>
          <w:sz w:val="24"/>
          <w:szCs w:val="24"/>
        </w:rPr>
        <w:t xml:space="preserve"> </w:t>
      </w:r>
      <w:r w:rsidR="00A94163">
        <w:rPr>
          <w:rFonts w:ascii="Times New Roman" w:hAnsi="Times New Roman" w:cs="Times New Roman"/>
          <w:sz w:val="24"/>
          <w:szCs w:val="24"/>
        </w:rPr>
        <w:t xml:space="preserve">to </w:t>
      </w:r>
      <w:r w:rsidR="00F87806">
        <w:rPr>
          <w:rFonts w:ascii="Times New Roman" w:hAnsi="Times New Roman" w:cs="Times New Roman"/>
          <w:sz w:val="24"/>
          <w:szCs w:val="24"/>
        </w:rPr>
        <w:t>represent</w:t>
      </w:r>
      <w:r w:rsidR="00A94163">
        <w:rPr>
          <w:rFonts w:ascii="Times New Roman" w:hAnsi="Times New Roman" w:cs="Times New Roman"/>
          <w:sz w:val="24"/>
          <w:szCs w:val="24"/>
        </w:rPr>
        <w:t xml:space="preserve"> the mechanisms </w:t>
      </w:r>
      <w:r w:rsidR="00F87806">
        <w:rPr>
          <w:rFonts w:ascii="Times New Roman" w:hAnsi="Times New Roman" w:cs="Times New Roman"/>
          <w:sz w:val="24"/>
          <w:szCs w:val="24"/>
        </w:rPr>
        <w:t xml:space="preserve">on </w:t>
      </w:r>
      <w:r w:rsidR="00A94163">
        <w:rPr>
          <w:rFonts w:ascii="Times New Roman" w:hAnsi="Times New Roman" w:cs="Times New Roman"/>
          <w:sz w:val="24"/>
          <w:szCs w:val="24"/>
        </w:rPr>
        <w:t xml:space="preserve">which the </w:t>
      </w:r>
      <w:r w:rsidRPr="00F52F1E">
        <w:rPr>
          <w:rFonts w:ascii="Times New Roman" w:hAnsi="Times New Roman" w:cs="Times New Roman"/>
          <w:sz w:val="24"/>
          <w:szCs w:val="24"/>
        </w:rPr>
        <w:t>corresponding dynamics</w:t>
      </w:r>
      <w:r w:rsidR="00F87806">
        <w:rPr>
          <w:rFonts w:ascii="Times New Roman" w:hAnsi="Times New Roman" w:cs="Times New Roman"/>
          <w:sz w:val="24"/>
          <w:szCs w:val="24"/>
        </w:rPr>
        <w:t xml:space="preserve"> (a, red or b, blue) depend.</w:t>
      </w:r>
      <w:r w:rsidR="00444443">
        <w:rPr>
          <w:rFonts w:ascii="Times New Roman" w:hAnsi="Times New Roman" w:cs="Times New Roman"/>
          <w:sz w:val="24"/>
          <w:szCs w:val="24"/>
        </w:rPr>
        <w:t xml:space="preserve"> </w:t>
      </w:r>
      <w:r w:rsidR="00F87806">
        <w:rPr>
          <w:rFonts w:ascii="Times New Roman" w:hAnsi="Times New Roman" w:cs="Times New Roman"/>
          <w:sz w:val="24"/>
          <w:szCs w:val="24"/>
        </w:rPr>
        <w:t xml:space="preserve">Computational modeling concerning </w:t>
      </w:r>
      <w:r w:rsidR="00F87806" w:rsidRPr="00A94163">
        <w:rPr>
          <w:rFonts w:ascii="Times" w:hAnsi="Times" w:cs="Times New Roman"/>
          <w:i/>
          <w:iCs/>
          <w:color w:val="000000" w:themeColor="text1"/>
          <w:sz w:val="24"/>
          <w:szCs w:val="24"/>
        </w:rPr>
        <w:t>Prochlorococcus</w:t>
      </w:r>
      <w:r w:rsidR="00F87806">
        <w:rPr>
          <w:rFonts w:ascii="Times New Roman" w:hAnsi="Times New Roman" w:cs="Times New Roman"/>
          <w:sz w:val="24"/>
          <w:szCs w:val="24"/>
        </w:rPr>
        <w:t xml:space="preserve"> without (a, red) or with (b, blue) </w:t>
      </w:r>
      <w:r w:rsidR="00F87806" w:rsidRPr="00F52F1E">
        <w:rPr>
          <w:rFonts w:ascii="Times New Roman" w:hAnsi="Times New Roman" w:cs="Times New Roman"/>
          <w:sz w:val="24"/>
          <w:szCs w:val="24"/>
        </w:rPr>
        <w:t xml:space="preserve">a helper microbe (like </w:t>
      </w:r>
      <w:proofErr w:type="spellStart"/>
      <w:r w:rsidR="00F87806" w:rsidRPr="00F02A47">
        <w:rPr>
          <w:rFonts w:ascii="Times New Roman" w:hAnsi="Times New Roman" w:cs="Times New Roman"/>
          <w:i/>
          <w:iCs/>
          <w:sz w:val="24"/>
          <w:szCs w:val="24"/>
        </w:rPr>
        <w:t>Alteromonas</w:t>
      </w:r>
      <w:proofErr w:type="spellEnd"/>
      <w:r w:rsidR="00F87806" w:rsidRPr="00F02A47">
        <w:rPr>
          <w:rFonts w:ascii="Times New Roman" w:hAnsi="Times New Roman" w:cs="Times New Roman"/>
          <w:i/>
          <w:iCs/>
          <w:sz w:val="24"/>
          <w:szCs w:val="24"/>
        </w:rPr>
        <w:t>)</w:t>
      </w:r>
      <w:r w:rsidR="00F87806" w:rsidRPr="00F52F1E">
        <w:rPr>
          <w:rFonts w:ascii="Times New Roman" w:hAnsi="Times New Roman" w:cs="Times New Roman"/>
          <w:sz w:val="24"/>
          <w:szCs w:val="24"/>
        </w:rPr>
        <w:t xml:space="preserve"> to act as a </w:t>
      </w:r>
      <w:r w:rsidR="00F87806" w:rsidRPr="003609FB">
        <w:rPr>
          <w:rFonts w:ascii="Times New Roman" w:hAnsi="Times New Roman" w:cs="Times New Roman"/>
          <w:sz w:val="24"/>
          <w:szCs w:val="24"/>
        </w:rPr>
        <w:t>H</w:t>
      </w:r>
      <w:r w:rsidR="00F87806" w:rsidRPr="00351FC4">
        <w:rPr>
          <w:rFonts w:ascii="Times New Roman" w:hAnsi="Times New Roman" w:cs="Times New Roman"/>
          <w:sz w:val="24"/>
          <w:szCs w:val="24"/>
          <w:vertAlign w:val="subscript"/>
        </w:rPr>
        <w:t>2</w:t>
      </w:r>
      <w:r w:rsidR="00F87806" w:rsidRPr="003609FB">
        <w:rPr>
          <w:rFonts w:ascii="Times New Roman" w:hAnsi="Times New Roman" w:cs="Times New Roman"/>
          <w:sz w:val="24"/>
          <w:szCs w:val="24"/>
        </w:rPr>
        <w:t>O</w:t>
      </w:r>
      <w:r w:rsidR="00F87806" w:rsidRPr="00351FC4">
        <w:rPr>
          <w:rFonts w:ascii="Times New Roman" w:hAnsi="Times New Roman" w:cs="Times New Roman"/>
          <w:sz w:val="24"/>
          <w:szCs w:val="24"/>
          <w:vertAlign w:val="subscript"/>
        </w:rPr>
        <w:t>2</w:t>
      </w:r>
      <w:r w:rsidR="00F87806" w:rsidRPr="00F52F1E">
        <w:rPr>
          <w:rFonts w:ascii="Times New Roman" w:hAnsi="Times New Roman" w:cs="Times New Roman"/>
          <w:sz w:val="24"/>
          <w:szCs w:val="24"/>
        </w:rPr>
        <w:t xml:space="preserve"> sin</w:t>
      </w:r>
      <w:r w:rsidR="00F87806">
        <w:rPr>
          <w:rFonts w:ascii="Times New Roman" w:hAnsi="Times New Roman" w:cs="Times New Roman"/>
          <w:sz w:val="24"/>
          <w:szCs w:val="24"/>
        </w:rPr>
        <w:t xml:space="preserve">k, is based </w:t>
      </w:r>
      <w:r w:rsidR="00F87806" w:rsidRPr="00F87806">
        <w:rPr>
          <w:rFonts w:asciiTheme="majorBidi" w:hAnsiTheme="majorBidi"/>
          <w:sz w:val="24"/>
          <w:szCs w:val="24"/>
        </w:rPr>
        <w:t>upon the H</w:t>
      </w:r>
      <w:r w:rsidR="00F87806" w:rsidRPr="00F87806">
        <w:rPr>
          <w:rFonts w:asciiTheme="majorBidi" w:hAnsiTheme="majorBidi"/>
          <w:sz w:val="24"/>
          <w:szCs w:val="24"/>
          <w:vertAlign w:val="subscript"/>
        </w:rPr>
        <w:t>2</w:t>
      </w:r>
      <w:r w:rsidR="00F87806" w:rsidRPr="00F87806">
        <w:rPr>
          <w:rFonts w:asciiTheme="majorBidi" w:hAnsiTheme="majorBidi"/>
          <w:sz w:val="24"/>
          <w:szCs w:val="24"/>
        </w:rPr>
        <w:t>O</w:t>
      </w:r>
      <w:r w:rsidR="00F87806" w:rsidRPr="00F87806">
        <w:rPr>
          <w:rFonts w:asciiTheme="majorBidi" w:hAnsiTheme="majorBidi"/>
          <w:sz w:val="24"/>
          <w:szCs w:val="24"/>
          <w:vertAlign w:val="subscript"/>
        </w:rPr>
        <w:t>2</w:t>
      </w:r>
      <w:r w:rsidR="00F87806">
        <w:rPr>
          <w:rFonts w:asciiTheme="majorBidi" w:hAnsiTheme="majorBidi"/>
          <w:sz w:val="24"/>
          <w:szCs w:val="24"/>
        </w:rPr>
        <w:t xml:space="preserve"> diffusional interactions shown within this figure. </w:t>
      </w:r>
      <w:r w:rsidR="00F87806">
        <w:rPr>
          <w:rFonts w:ascii="Times New Roman" w:hAnsi="Times New Roman" w:cs="Times New Roman"/>
          <w:sz w:val="24"/>
          <w:szCs w:val="24"/>
        </w:rPr>
        <w:t xml:space="preserve">These assumptions </w:t>
      </w:r>
      <w:r w:rsidR="00A94163">
        <w:rPr>
          <w:rFonts w:ascii="Times New Roman" w:hAnsi="Times New Roman" w:cs="Times New Roman"/>
          <w:sz w:val="24"/>
          <w:szCs w:val="24"/>
        </w:rPr>
        <w:t xml:space="preserve">are continued through this dissertation. </w:t>
      </w:r>
      <w:r w:rsidR="00C67687" w:rsidRPr="00F52F1E">
        <w:rPr>
          <w:rFonts w:ascii="Times New Roman" w:hAnsi="Times New Roman" w:cs="Times New Roman"/>
          <w:sz w:val="24"/>
          <w:szCs w:val="24"/>
        </w:rPr>
        <w:t>(</w:t>
      </w:r>
      <w:r w:rsidR="00A94163" w:rsidRPr="00F52F1E">
        <w:rPr>
          <w:rFonts w:ascii="Times New Roman" w:hAnsi="Times New Roman" w:cs="Times New Roman"/>
          <w:sz w:val="24"/>
          <w:szCs w:val="24"/>
        </w:rPr>
        <w:t>Adapted</w:t>
      </w:r>
      <w:r w:rsidR="00C67687" w:rsidRPr="00F52F1E">
        <w:rPr>
          <w:rFonts w:ascii="Times New Roman" w:hAnsi="Times New Roman" w:cs="Times New Roman"/>
          <w:sz w:val="24"/>
          <w:szCs w:val="24"/>
        </w:rPr>
        <w:t xml:space="preserve"> from Zinser (2018b) with data from Morris 2011).</w:t>
      </w:r>
    </w:p>
    <w:p w14:paraId="34A9A821" w14:textId="1D53706C" w:rsidR="009A35A3" w:rsidRDefault="009A35A3" w:rsidP="00AB2160">
      <w:pPr>
        <w:spacing w:line="360" w:lineRule="auto"/>
        <w:ind w:firstLine="720"/>
        <w:rPr>
          <w:rFonts w:ascii="Times New Roman" w:hAnsi="Times New Roman" w:cs="Times New Roman"/>
          <w:sz w:val="24"/>
          <w:szCs w:val="24"/>
        </w:rPr>
      </w:pPr>
    </w:p>
    <w:p w14:paraId="54D226A7" w14:textId="5E964243" w:rsidR="00625D39" w:rsidRDefault="00625D39" w:rsidP="00AB2160">
      <w:pPr>
        <w:spacing w:line="360" w:lineRule="auto"/>
        <w:rPr>
          <w:rFonts w:ascii="Times New Roman" w:hAnsi="Times New Roman" w:cs="Times New Roman"/>
          <w:sz w:val="24"/>
          <w:szCs w:val="24"/>
        </w:rPr>
      </w:pPr>
    </w:p>
    <w:p w14:paraId="4578F016" w14:textId="77777777" w:rsidR="000B5994" w:rsidRPr="003609FB" w:rsidRDefault="000B5994" w:rsidP="00AB2160">
      <w:pPr>
        <w:spacing w:line="360" w:lineRule="auto"/>
        <w:rPr>
          <w:rFonts w:ascii="Times New Roman" w:hAnsi="Times New Roman" w:cs="Times New Roman"/>
          <w:sz w:val="24"/>
          <w:szCs w:val="24"/>
        </w:rPr>
      </w:pPr>
    </w:p>
    <w:p w14:paraId="161DE4CE" w14:textId="76451875" w:rsidR="003D069F" w:rsidRDefault="00F17DAA" w:rsidP="003D069F">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and daily reactive oxygen species production </w:t>
      </w:r>
      <w:r>
        <w:rPr>
          <w:rFonts w:ascii="Times New Roman" w:hAnsi="Times New Roman" w:cs="Times New Roman"/>
          <w:sz w:val="24"/>
          <w:szCs w:val="24"/>
        </w:rPr>
        <w:t xml:space="preserve">from biotic and abiotic sources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{"citationID":"mYvXH9Xe","properties":{"formattedCitation":"(Blot et al. 2011; Cooper et al. 1988; Imlay 2003; Nishiyama, Allakhverdiev, and Murata 2006)","plainCitation":"(Blot et al. 2011; Cooper et al. 1988; Imlay 2003; Nishiyama, Allakhverdiev, and Murata 2006)","noteIndex":0},"citationItems":[{"id":1774,"uris":["http://zotero.org/users/6128296/items/94JSCQPW"],"itemData":{"id":1774,"type":"article-journal","abstract":"Marine Synechococcus undergo a wide range of environmental stressors, especially high and variable irradiance, which may induce oxidative stress through the generation of reactive oxygen species (ROS). While light and ROS could act synergistically on the impairment of photosynthesis, inducing photodamage and inhibiting photosystem II repair, acclimation to high irradiance is also thought to confer resistance to other stressors. To identify the respective roles of light and ROS in the photoinhibition process and detect a possible light-driven tolerance to oxidative stress, we compared the photophysiological and transcriptomic responses of Synechococcus sp. WH7803 acclimated to low light (LL) or high light (HL) to oxidative stress, induced by hydrogen peroxide (H2O2) or methylviologen. While photosynthetic activity was much more affected in HL than in LL cells, only HL cells were able to recover growth and photosynthesis after the addition of 25 mM H2O2. Depending upon light conditions and H2O2 concentration, the latter oxidizing agent induced photosystem II inactivation through both direct damage to the reaction centers and inhibition of its repair cycle. Although the global transcriptome response appeared similar in LL and HL cells, some processes were specifically induced in HL cells that seemingly helped them withstand oxidative stress, including enhancement of photoprotection and ROS detoxification, repair of ROS-driven damage, and regulation of redox state. Detection of putative LexA binding sites allowed the identification of the putative LexA regulon, which was downregulated in HL compared with LL cells but up-regulated by oxidative stress under both growth irradiances.","container-title":"Plant Physiology","DOI":"10.1104/pp.111.174714","ISSN":"0032-0889, 1532-2548","issue":"4","journalAbbreviation":"Plant Physiol.","language":"en","page":"1934-1954","source":"DOI.org (Crossref)","title":"Light History Influences the Response of the Marine Cyanobacterium &lt;i&gt;Synechococcus&lt;/i&gt; sp. WH7803 to Oxidative Stress","volume":"156","author":[{"family":"Blot","given":""},{"family":"Mella-Flores","given":"Daniella"},{"family":"Six","given":"Christophe"},{"family":"Le Corguillé","given":"Gildas"},{"family":"Boutte","given":"Christophe"},{"family":"Peyrat","given":"Anne"},{"family":"Monnier","given":"Annabelle"},{"family":"Ratin","given":"Morgane"},{"family":"Gourvil","given":"Priscillia"},{"family":"Campbell","given":"Douglas A."},{"family":"Garczarek","given":"Laurence"}],"issued":{"date-parts":[["2011",8]]}}},{"id":2126,"uris":["http://zotero.org/users/6128296/items/GE23ETKX"],"itemData":{"id":2126,"type":"article-journal","container-title":"Environmental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Damage","volume":"57","author":[{"family":"Imlay","given":""}],"issued":{"date-parts":[["2003",10]]}}},{"id":1915,"uris":["http://zotero.org/users/6128296/items/Y4G6MPMZ"],"itemData":{"id":1915,"type":"article-journal","abstract":"Inhibition of the activity of photosystem II (PSII) under strong light is referred to as photoinhibition. This phenomenon is due to the imbalance between the rate of photodamage to PSII and the rate of the repair of damaged PSII. Photodamage is initiated by the direct effects of light on the oxygen-evolving complex and, thus, photodamage to PSII is unavoidable. Studies of the effects of oxidative stress on photodamage and subsequent repair have revealed that reactive oxygen species (ROS) act primarily by inhibiting the repair of photodamaged PSII and not by damaging PSII directly. Thus, strong light has two distinct effects on PSII; it damages PSII directly and it inhibits the repair of PSII via production of ROS. Investigations of the ROS-induced inhibition of repair have demonstrated that ROS suppress the synthesis de novo of proteins and, in particular, of the D1 protein, that are required for the repair of PSII. Moreover, a primary target for inhibition by ROS appears to be the elongation step of translation. Inhibition of the repair of PSII by ROS is accelerated by the deceleration of the Calvin cycle that occurs when the availability of CO2 is limited. In this review, we present a new paradigm for the action of ROS in photoinhibition.","container-title":"Biochimica et Biophysica Acta (BBA) - Bioenergetics","DOI":"10.1016/j.bbabio.2006.05.013","ISSN":"00052728","issue":"7","journalAbbreviation":"Biochimica et Biophysica Acta (BBA) - Bioenergetics","language":"en","page":"742-749","source":"DOI.org (Crossref)","title":"A new paradigm for the action of reactive oxygen species in the photoinhibition of photosystem II","volume":"1757","author":[{"family":"Nishiyama","given":""},{"family":"Allakhverdiev","given":"Suleyman I."},{"family":"Murata","given":"Norio"}],"issued":{"date-parts":[["2006",7]]}}}],"schema":"https://github.com/citation-style-language/schema/raw/master/csl-citation.json"}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(Blot </w:t>
      </w:r>
      <w:r w:rsidRPr="00183222">
        <w:rPr>
          <w:rFonts w:ascii="Times New Roman" w:hAnsi="Times New Roman" w:cs="Times New Roman"/>
          <w:i/>
          <w:iCs/>
          <w:sz w:val="24"/>
          <w:szCs w:val="24"/>
        </w:rPr>
        <w:t>et al</w:t>
      </w:r>
      <w:r>
        <w:rPr>
          <w:rFonts w:ascii="Times New Roman" w:hAnsi="Times New Roman" w:cs="Times New Roman"/>
          <w:sz w:val="24"/>
          <w:szCs w:val="24"/>
        </w:rPr>
        <w:t xml:space="preserve">. 2011; Cooper </w:t>
      </w:r>
      <w:r w:rsidRPr="00183222">
        <w:rPr>
          <w:rFonts w:ascii="Times New Roman" w:hAnsi="Times New Roman" w:cs="Times New Roman"/>
          <w:i/>
          <w:iCs/>
          <w:sz w:val="24"/>
          <w:szCs w:val="24"/>
        </w:rPr>
        <w:t>et al</w:t>
      </w:r>
      <w:r>
        <w:rPr>
          <w:rFonts w:ascii="Times New Roman" w:hAnsi="Times New Roman" w:cs="Times New Roman"/>
          <w:sz w:val="24"/>
          <w:szCs w:val="24"/>
        </w:rPr>
        <w:t xml:space="preserve">. 1988; Imlay 2003; Nishiyama, </w:t>
      </w:r>
      <w:proofErr w:type="spellStart"/>
      <w:r>
        <w:rPr>
          <w:rFonts w:ascii="Times New Roman" w:hAnsi="Times New Roman" w:cs="Times New Roman"/>
          <w:sz w:val="24"/>
          <w:szCs w:val="24"/>
        </w:rPr>
        <w:t>Allakhverdiev</w:t>
      </w:r>
      <w:proofErr w:type="spellEnd"/>
      <w:r>
        <w:rPr>
          <w:rFonts w:ascii="Times New Roman" w:hAnsi="Times New Roman" w:cs="Times New Roman"/>
          <w:sz w:val="24"/>
          <w:szCs w:val="24"/>
        </w:rPr>
        <w:t>, and Murata 2006)</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Temperature has been studied in relation to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community structure, with </w:t>
      </w:r>
      <w:proofErr w:type="spellStart"/>
      <w:r w:rsidR="003D069F" w:rsidRPr="00691B65">
        <w:rPr>
          <w:rFonts w:ascii="Times New Roman" w:hAnsi="Times New Roman" w:cs="Times New Roman"/>
          <w:i/>
          <w:iCs/>
          <w:sz w:val="24"/>
          <w:szCs w:val="24"/>
        </w:rPr>
        <w:t>Synechococcus</w:t>
      </w:r>
      <w:proofErr w:type="spellEnd"/>
      <w:r w:rsidR="003D069F" w:rsidRPr="003609FB">
        <w:rPr>
          <w:rFonts w:ascii="Times New Roman" w:hAnsi="Times New Roman" w:cs="Times New Roman"/>
          <w:sz w:val="24"/>
          <w:szCs w:val="24"/>
        </w:rPr>
        <w:t xml:space="preserve"> shown to dominate </w:t>
      </w:r>
      <w:r w:rsidR="003D069F" w:rsidRPr="00691B65">
        <w:rPr>
          <w:rFonts w:ascii="Times New Roman" w:hAnsi="Times New Roman" w:cs="Times New Roman"/>
          <w:i/>
          <w:iCs/>
          <w:sz w:val="24"/>
          <w:szCs w:val="24"/>
        </w:rPr>
        <w:t>Prochlorococcus</w:t>
      </w:r>
      <w:r w:rsidR="003D069F" w:rsidRPr="003609FB">
        <w:rPr>
          <w:rFonts w:ascii="Times New Roman" w:hAnsi="Times New Roman" w:cs="Times New Roman"/>
          <w:sz w:val="24"/>
          <w:szCs w:val="24"/>
        </w:rPr>
        <w:t xml:space="preserve"> in the colder </w:t>
      </w:r>
      <w:r w:rsidR="003D069F" w:rsidRPr="003609FB">
        <w:rPr>
          <w:rFonts w:ascii="Times New Roman" w:hAnsi="Times New Roman" w:cs="Times New Roman"/>
          <w:sz w:val="24"/>
          <w:szCs w:val="24"/>
        </w:rPr>
        <w:fldChar w:fldCharType="begin"/>
      </w:r>
      <w:r w:rsidR="003D069F">
        <w:rPr>
          <w:rFonts w:ascii="Times New Roman" w:hAnsi="Times New Roman" w:cs="Times New Roman"/>
          <w:sz w:val="24"/>
          <w:szCs w:val="24"/>
        </w:rPr>
        <w:instrText xml:space="preserve"> ADDIN ZOTERO_ITEM CSL_CITATION {"citationID":"5w8HkVnz","properties":{"formattedCitation":"(Sohm et al. 2016)","plainCitation":"(Sohm et al. 2016)","noteIndex":0},"citationItems":[{"id":227,"uris":["http://zotero.org/users/6128296/items/NGMVWDDF"],"itemData":{"id":227,"type":"article-journal","container-title":"The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A"},{"family":"Rocap","given":"Gabrielle"}],"issued":{"date-parts":[["2016",2]]}}}],"schema":"https://github.com/citation-style-language/schema/raw/master/csl-citation.json"} </w:instrText>
      </w:r>
      <w:r w:rsidR="003D069F" w:rsidRPr="003609FB">
        <w:rPr>
          <w:rFonts w:ascii="Times New Roman" w:hAnsi="Times New Roman" w:cs="Times New Roman"/>
          <w:sz w:val="24"/>
          <w:szCs w:val="24"/>
        </w:rPr>
        <w:fldChar w:fldCharType="separate"/>
      </w:r>
      <w:r w:rsidR="003D069F">
        <w:rPr>
          <w:rFonts w:ascii="Times New Roman" w:hAnsi="Times New Roman" w:cs="Times New Roman"/>
          <w:sz w:val="24"/>
          <w:szCs w:val="24"/>
        </w:rPr>
        <w:t xml:space="preserve">(Sohm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2016)</w:t>
      </w:r>
      <w:r w:rsidR="003D069F" w:rsidRPr="003609FB">
        <w:rPr>
          <w:rFonts w:ascii="Times New Roman" w:hAnsi="Times New Roman" w:cs="Times New Roman"/>
          <w:sz w:val="24"/>
          <w:szCs w:val="24"/>
        </w:rPr>
        <w:fldChar w:fldCharType="end"/>
      </w:r>
      <w:r w:rsidR="003D069F" w:rsidRPr="003609FB">
        <w:rPr>
          <w:rFonts w:ascii="Times New Roman" w:hAnsi="Times New Roman" w:cs="Times New Roman"/>
          <w:sz w:val="24"/>
          <w:szCs w:val="24"/>
        </w:rPr>
        <w:t xml:space="preserve">, more eutrophic waters </w:t>
      </w:r>
      <w:r w:rsidR="003D069F" w:rsidRPr="003609FB">
        <w:rPr>
          <w:rFonts w:ascii="Times New Roman" w:hAnsi="Times New Roman" w:cs="Times New Roman"/>
          <w:sz w:val="24"/>
          <w:szCs w:val="24"/>
        </w:rPr>
        <w:fldChar w:fldCharType="begin"/>
      </w:r>
      <w:r w:rsidR="003D069F">
        <w:rPr>
          <w:rFonts w:ascii="Times New Roman" w:hAnsi="Times New Roman" w:cs="Times New Roman"/>
          <w:sz w:val="24"/>
          <w:szCs w:val="24"/>
        </w:rPr>
        <w:instrText xml:space="preserve"> ADDIN ZOTERO_ITEM CSL_CITATION {"citationID":"IHLlSKik","properties":{"formattedCitation":"(Flombaum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3D069F" w:rsidRPr="003609FB">
        <w:rPr>
          <w:rFonts w:ascii="Times New Roman" w:hAnsi="Times New Roman" w:cs="Times New Roman"/>
          <w:sz w:val="24"/>
          <w:szCs w:val="24"/>
        </w:rPr>
        <w:fldChar w:fldCharType="separate"/>
      </w:r>
      <w:r w:rsidR="003D069F">
        <w:rPr>
          <w:rFonts w:ascii="Times New Roman" w:hAnsi="Times New Roman" w:cs="Times New Roman"/>
          <w:sz w:val="24"/>
          <w:szCs w:val="24"/>
        </w:rPr>
        <w:t>(</w:t>
      </w:r>
      <w:proofErr w:type="spellStart"/>
      <w:r w:rsidR="003D069F">
        <w:rPr>
          <w:rFonts w:ascii="Times New Roman" w:hAnsi="Times New Roman" w:cs="Times New Roman"/>
          <w:sz w:val="24"/>
          <w:szCs w:val="24"/>
        </w:rPr>
        <w:t>Flombaum</w:t>
      </w:r>
      <w:proofErr w:type="spellEnd"/>
      <w:r w:rsidR="003D069F">
        <w:rPr>
          <w:rFonts w:ascii="Times New Roman" w:hAnsi="Times New Roman" w:cs="Times New Roman"/>
          <w:sz w:val="24"/>
          <w:szCs w:val="24"/>
        </w:rPr>
        <w:t xml:space="preserve">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2013)</w:t>
      </w:r>
      <w:r w:rsidR="003D069F" w:rsidRPr="003609FB">
        <w:rPr>
          <w:rFonts w:ascii="Times New Roman" w:hAnsi="Times New Roman" w:cs="Times New Roman"/>
          <w:sz w:val="24"/>
          <w:szCs w:val="24"/>
        </w:rPr>
        <w:fldChar w:fldCharType="end"/>
      </w:r>
      <w:r w:rsidR="003D069F" w:rsidRPr="003609FB">
        <w:rPr>
          <w:rFonts w:ascii="Times New Roman" w:hAnsi="Times New Roman" w:cs="Times New Roman"/>
          <w:sz w:val="24"/>
          <w:szCs w:val="24"/>
        </w:rPr>
        <w:t xml:space="preserve">. Light has been shown to coincide with temperature as the main determinant between </w:t>
      </w:r>
      <w:r w:rsidR="003D069F" w:rsidRPr="00691B65">
        <w:rPr>
          <w:rFonts w:ascii="Times New Roman" w:hAnsi="Times New Roman" w:cs="Times New Roman"/>
          <w:i/>
          <w:iCs/>
          <w:sz w:val="24"/>
          <w:szCs w:val="24"/>
        </w:rPr>
        <w:t>Prochlorococcus</w:t>
      </w:r>
      <w:r w:rsidR="003D069F" w:rsidRPr="003609FB">
        <w:rPr>
          <w:rFonts w:ascii="Times New Roman" w:hAnsi="Times New Roman" w:cs="Times New Roman"/>
          <w:sz w:val="24"/>
          <w:szCs w:val="24"/>
        </w:rPr>
        <w:t xml:space="preserve"> ecotype niche differentiation </w:t>
      </w:r>
      <w:r w:rsidR="003D069F" w:rsidRPr="003609FB">
        <w:rPr>
          <w:rFonts w:ascii="Times New Roman" w:hAnsi="Times New Roman" w:cs="Times New Roman"/>
          <w:sz w:val="24"/>
          <w:szCs w:val="24"/>
        </w:rPr>
        <w:fldChar w:fldCharType="begin"/>
      </w:r>
      <w:r w:rsidR="003D069F">
        <w:rPr>
          <w:rFonts w:ascii="Times New Roman" w:hAnsi="Times New Roman" w:cs="Times New Roman"/>
          <w:sz w:val="24"/>
          <w:szCs w:val="24"/>
        </w:rPr>
        <w:instrText xml:space="preserve"> ADDIN ZOTERO_ITEM CSL_CITATION {"citationID":"av8w9WbH","properties":{"formattedCitation":"(Martiny et al. 2009; Rippka et al. 2001)","plainCitation":"(Martiny et al. 2009; Rippka et al. 2001)","noteIndex":0},"citationItems":[{"id":2048,"uris":["http://zotero.org/users/6128296/items/4CETU56N"],"itemData":{"id":2048,"type":"article-journal","container-title":"Environmental Microbiology","DOI":"10.1111/j.1462-2920.2008.01803.x","ISSN":"14622912, 14622920","issue":"4","language":"en","page":"823-832","source":"DOI.org (Crossref)","title":"Taxonomic resolution, ecotypes and the biogeography of &lt;i&gt;Prochlorococcus&lt;/i&gt;","volume":"11","author":[{"family":"Martiny","given":""},{"family":"Tai","given":"Amos P. K."},{"family":"Veneziano","given":"Daniele"},{"family":"Primeau","given":"François"},{"family":"Chisholm","given":"Sallie W."}],"issued":{"date-parts":[["2009",4]]}}},{"id":1684,"uris":["http://zotero.org/users/6128296/items/RKFHDG9F"],"itemData":{"id":1684,"type":"article-journal","abstract":"An in situ hybridization method was applied to the identiﬁcation of marine cyanobacteria assignable to the genus Prochlorococcus using horseradishperoxidase-labelled 16S rRNA-targeted oligonucleotide probes in combination with tyramide signal ampliﬁcation (TSA). With this method very bright signals were obtained, in contrast to hybridizations with oligonucleotides monolabelled with ﬂuorochromes, which failed to give positive signals. Genotype-speciﬁc oligonucleotides for high light (HL)- and low light (LL)adapted members of this genus were identiﬁed by 16S rRNA sequence analyses and their speciﬁcities conﬁrmed in whole-cell hybridizations with cultured strains of Prochlorococcus marinus Chisholm et al., 1992, Prochlorococcus sp. and Synechococcus sp. In situ hybridization of these genotype-speciﬁc probes to ﬁeld samples from stratiﬁed water bodies collected in the North Atlantic Ocean and the Red Sea allowed a rapid assessment of the abundance and spatial distribution of HL- and LL-adapted Prochlorococcus. In both oceanic regions the LL-adapted Prochlorococcus populations were localized in deeper water whereas the HL-adapted Prochlorococcus populations were not only distinct in each region but also exhibited strikingly different depth distributions, HLI being conﬁned to shallow water in the North Atlantic, in contrast to HLII, which was present throughout the water column in the Red Sea.","container-title":"Microbiology","DOI":"10.1099/00221287-147-7-1731","ISSN":"1350-0872, 1465-2080","issue":"7","language":"en","page":"1731-1744","source":"DOI.org (Crossref)","title":"Closely related Prochlorococcus genotypes show remarkably different depth distributions in two oceanic regions as revealed by in situ hybridization using 16S rRNA-targeted oligonucleotides","volume":"147","author":[{"family":"Rippka","given":""},{"family":"Amann","given":""},{"family":"Fuller","given":""},{"family":"Scanlan","given":""},{"family":"Schönhuber","given":""},{"family":"West","given":""},{"family":"Post","given":""}],"issued":{"date-parts":[["2001",7,1]]}}}],"schema":"https://github.com/citation-style-language/schema/raw/master/csl-citation.json"} </w:instrText>
      </w:r>
      <w:r w:rsidR="003D069F" w:rsidRPr="003609FB">
        <w:rPr>
          <w:rFonts w:ascii="Times New Roman" w:hAnsi="Times New Roman" w:cs="Times New Roman"/>
          <w:sz w:val="24"/>
          <w:szCs w:val="24"/>
        </w:rPr>
        <w:fldChar w:fldCharType="separate"/>
      </w:r>
      <w:r w:rsidR="003D069F">
        <w:rPr>
          <w:rFonts w:ascii="Times New Roman" w:hAnsi="Times New Roman" w:cs="Times New Roman"/>
          <w:sz w:val="24"/>
          <w:szCs w:val="24"/>
        </w:rPr>
        <w:t xml:space="preserve">(Martiny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xml:space="preserve">. 2009; </w:t>
      </w:r>
      <w:proofErr w:type="spellStart"/>
      <w:r w:rsidR="003D069F">
        <w:rPr>
          <w:rFonts w:ascii="Times New Roman" w:hAnsi="Times New Roman" w:cs="Times New Roman"/>
          <w:sz w:val="24"/>
          <w:szCs w:val="24"/>
        </w:rPr>
        <w:t>Rippka</w:t>
      </w:r>
      <w:proofErr w:type="spellEnd"/>
      <w:r w:rsidR="003D069F">
        <w:rPr>
          <w:rFonts w:ascii="Times New Roman" w:hAnsi="Times New Roman" w:cs="Times New Roman"/>
          <w:sz w:val="24"/>
          <w:szCs w:val="24"/>
        </w:rPr>
        <w:t xml:space="preserve">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2001)</w:t>
      </w:r>
      <w:r w:rsidR="003D069F" w:rsidRPr="003609FB">
        <w:rPr>
          <w:rFonts w:ascii="Times New Roman" w:hAnsi="Times New Roman" w:cs="Times New Roman"/>
          <w:sz w:val="24"/>
          <w:szCs w:val="24"/>
        </w:rPr>
        <w:fldChar w:fldCharType="end"/>
      </w:r>
      <w:r w:rsidR="003D069F" w:rsidRPr="003609FB">
        <w:rPr>
          <w:rFonts w:ascii="Times New Roman" w:hAnsi="Times New Roman" w:cs="Times New Roman"/>
          <w:sz w:val="24"/>
          <w:szCs w:val="24"/>
        </w:rPr>
        <w:t xml:space="preserve"> and as a regulator of </w:t>
      </w:r>
      <w:proofErr w:type="spellStart"/>
      <w:r w:rsidR="003D069F" w:rsidRPr="00691B65">
        <w:rPr>
          <w:rFonts w:ascii="Times New Roman" w:hAnsi="Times New Roman" w:cs="Times New Roman"/>
          <w:i/>
          <w:iCs/>
          <w:sz w:val="24"/>
          <w:szCs w:val="24"/>
        </w:rPr>
        <w:t>Synechococcus</w:t>
      </w:r>
      <w:proofErr w:type="spellEnd"/>
      <w:r w:rsidR="003D069F" w:rsidRPr="003609FB">
        <w:rPr>
          <w:rFonts w:ascii="Times New Roman" w:hAnsi="Times New Roman" w:cs="Times New Roman"/>
          <w:sz w:val="24"/>
          <w:szCs w:val="24"/>
        </w:rPr>
        <w:t xml:space="preserve"> growth, as </w:t>
      </w:r>
      <w:proofErr w:type="spellStart"/>
      <w:r w:rsidR="003D069F" w:rsidRPr="00691B65">
        <w:rPr>
          <w:rFonts w:ascii="Times New Roman" w:hAnsi="Times New Roman" w:cs="Times New Roman"/>
          <w:i/>
          <w:iCs/>
          <w:sz w:val="24"/>
          <w:szCs w:val="24"/>
        </w:rPr>
        <w:t>Synechococcus</w:t>
      </w:r>
      <w:proofErr w:type="spellEnd"/>
      <w:r w:rsidR="003D069F" w:rsidRPr="003609FB">
        <w:rPr>
          <w:rFonts w:ascii="Times New Roman" w:hAnsi="Times New Roman" w:cs="Times New Roman"/>
          <w:sz w:val="24"/>
          <w:szCs w:val="24"/>
        </w:rPr>
        <w:t xml:space="preserve"> is resigned to the shallower depths than </w:t>
      </w:r>
      <w:r w:rsidR="003D069F" w:rsidRPr="00691B65">
        <w:rPr>
          <w:rFonts w:ascii="Times New Roman" w:hAnsi="Times New Roman" w:cs="Times New Roman"/>
          <w:i/>
          <w:iCs/>
          <w:sz w:val="24"/>
          <w:szCs w:val="24"/>
        </w:rPr>
        <w:t>Prochlorococcus</w:t>
      </w:r>
      <w:r w:rsidR="003D069F" w:rsidRPr="003609FB">
        <w:rPr>
          <w:rFonts w:ascii="Times New Roman" w:hAnsi="Times New Roman" w:cs="Times New Roman"/>
          <w:sz w:val="24"/>
          <w:szCs w:val="24"/>
        </w:rPr>
        <w:t xml:space="preserve"> </w:t>
      </w:r>
      <w:r w:rsidR="003D069F" w:rsidRPr="003609FB">
        <w:rPr>
          <w:rFonts w:ascii="Times New Roman" w:hAnsi="Times New Roman" w:cs="Times New Roman"/>
          <w:sz w:val="24"/>
          <w:szCs w:val="24"/>
        </w:rPr>
        <w:fldChar w:fldCharType="begin"/>
      </w:r>
      <w:r w:rsidR="003D069F">
        <w:rPr>
          <w:rFonts w:ascii="Times New Roman" w:hAnsi="Times New Roman" w:cs="Times New Roman"/>
          <w:sz w:val="24"/>
          <w:szCs w:val="24"/>
        </w:rPr>
        <w:instrText xml:space="preserve"> ADDIN ZOTERO_ITEM CSL_CITATION {"citationID":"pQz4qiSV","properties":{"formattedCitation":"(Biller, Berube, et al. 2015; Berube et al. 2015; Zinser et al. 2007)","plainCitation":"(Biller, Berube, et al. 2015; Berube et al. 2015; Zinser et al. 2007)","noteIndex":0},"citationItems":[{"id":195,"uris":["http://zotero.org/users/6128296/items/T8KNN5NA"],"itemData":{"id":195,"type":"article-journal","abstract":"The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W"}],"issued":{"date-parts":[["2015",5]]}}},{"id":1802,"uris":["http://zotero.org/users/6128296/items/R46RK846"],"itemData":{"id":1802,"type":"article-journal","abstract":"In a focused analysis of Prochlorococcus population structure in the western North Atlantic, we found that the relative abundances of ecotypes varied significantly with depth and, at seasonally stratified locations, with degree of vertical mixing. More limited regional variation was observed (e.g., Sargasso Sea, Gulf Stream, continental slope, and equatorial current), and local patchiness was minimal. Modeling of a combined North and South Atlantic data set revealed significant, independent effects of light and temperature on ecotype abundances, suggesting that they are key ecological determinants that establish the different habitat ranges of the physiologically and genetically distinct ecotypes. This was in sharp contrast with the genus Synechococcus, whose total abundance was related to light but did not vary in a predictable way with temperature. Comparisons of field abundances with growth characteristics of cultured isolates of Prochlorococcus suggested the presence of ecotypespecific thermal and light adaptations that could be responsible for the distinct distribution patterns of the four dominant ecotypes. Significantly, we discovered that one \"low-light-adapted\" ecotype, eNATL2A, can thrive in deeply mixed surface layers, whereas another, eMIT9313, cannot, even though they have the same growth optimum for (low) light.","container-title":"Limnology and Oceanography","DOI":"10.4319/lo.2007.52.5.2205","ISSN":"00243590","issue":"5","journalAbbreviation":"Limnol. Oceanogr.","language":"en","page":"2205-2220","source":"DOI.org (Crossref)","title":"Influence of light and temperature on Prochlorococcus ecotype distributions in the Atlantic Ocean","volume":"52","author":[{"family":"Zinser","given":""},{"family":"Johnson","given":"Zackary I."},{"family":"Coe","given":"Allison"},{"family":"Karaca","given":"Erdem"},{"family":"Veneziano","given":"Daniele"},{"family":"Chisholm","given":"Sallie W."}],"issued":{"date-parts":[["2007",9]]}}}],"schema":"https://github.com/citation-style-language/schema/raw/master/csl-citation.json"} </w:instrText>
      </w:r>
      <w:r w:rsidR="003D069F" w:rsidRPr="003609FB">
        <w:rPr>
          <w:rFonts w:ascii="Times New Roman" w:hAnsi="Times New Roman" w:cs="Times New Roman"/>
          <w:sz w:val="24"/>
          <w:szCs w:val="24"/>
        </w:rPr>
        <w:fldChar w:fldCharType="separate"/>
      </w:r>
      <w:r w:rsidR="003D069F">
        <w:rPr>
          <w:rFonts w:ascii="Times New Roman" w:hAnsi="Times New Roman" w:cs="Times New Roman"/>
          <w:sz w:val="24"/>
          <w:szCs w:val="24"/>
        </w:rPr>
        <w:t xml:space="preserve">(Biller, Berube,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xml:space="preserve">. 2015; Berube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xml:space="preserve">. 2015; Zinser </w:t>
      </w:r>
      <w:r w:rsidR="003D069F" w:rsidRPr="00183222">
        <w:rPr>
          <w:rFonts w:ascii="Times New Roman" w:hAnsi="Times New Roman" w:cs="Times New Roman"/>
          <w:i/>
          <w:iCs/>
          <w:sz w:val="24"/>
          <w:szCs w:val="24"/>
        </w:rPr>
        <w:t>et al</w:t>
      </w:r>
      <w:r w:rsidR="003D069F">
        <w:rPr>
          <w:rFonts w:ascii="Times New Roman" w:hAnsi="Times New Roman" w:cs="Times New Roman"/>
          <w:sz w:val="24"/>
          <w:szCs w:val="24"/>
        </w:rPr>
        <w:t>. 2007)</w:t>
      </w:r>
      <w:r w:rsidR="003D069F" w:rsidRPr="003609FB">
        <w:rPr>
          <w:rFonts w:ascii="Times New Roman" w:hAnsi="Times New Roman" w:cs="Times New Roman"/>
          <w:sz w:val="24"/>
          <w:szCs w:val="24"/>
        </w:rPr>
        <w:fldChar w:fldCharType="end"/>
      </w:r>
      <w:r w:rsidR="003D069F" w:rsidRPr="003609FB">
        <w:rPr>
          <w:rFonts w:ascii="Times New Roman" w:hAnsi="Times New Roman" w:cs="Times New Roman"/>
          <w:sz w:val="24"/>
          <w:szCs w:val="24"/>
        </w:rPr>
        <w:t>.</w:t>
      </w:r>
    </w:p>
    <w:p w14:paraId="4A853342" w14:textId="2DEA71D6" w:rsidR="00E864C6" w:rsidRPr="003609FB" w:rsidRDefault="004C33B3" w:rsidP="003D069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Concepts from resource competition theory </w:t>
      </w:r>
      <w:r w:rsidR="0039349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{"citationID":"MzxpyLp1","properties":{"formattedCitation":"(Grover 1997; Tilman 1982; 1977; Hardin 1960)","plainCitation":"(Grover 1997; Tilman 1982; 1977; Hardin 1960)","noteIndex":0},"citationItems":[{"id":193,"uris":["http://zotero.org/users/6128296/items/6QA3SKQK"],"itemData":{"id":193,"type":"book","abstract":"Resources are entities which contribute positively to population growth, and are consumed in the process. They may be classified as biotic or abiotic: the former are capable of reproduction, but the latter are not. Supply processes for biotic resources are potentially complex, but in many cases, the dynamics of abiotic resources are adequately described by simple expressions of mass conservation. Such mass-balance properties characterize systems for which all resource transformations are budgeted. At equilibrium, a population's loss rate determines its resource demand, and in many simple models of abiotic resources, the equilibrium is stable. Biotic consumer-resource interactions may have unstable equilibria or mUltiple equilibria. When an equilibrium is stable and unique, resource availability goes to a long-term value R*, which can be calculated from the population's resource-dependent growth function and its loss rate. This number is a synthetic parameter summarizing much biology in an informative way. Competition refers to mutually negative interactions among two or more individuals or populations. At the population level, such mutually negative interactions cause reductions in growth rates. This phenomenon can arise from consumption of the same resources, whence the term resource competition. The well-known Lotka-Volterra equations of competition describe the population phenomenon of competition, but attempts to relate their parameters to mechanisms of resource utilization have not been wholly successful. An alternative approach, taken in this book, is to build towards an understanding of the phenomenon of competition from an elementary knowledge of resource consumption and resourcedependent population growth.","event-place":"Boston, MA","ISBN":"978-1-4613-7939-3","language":"en","note":"OCLC: 869862774","publisher":"Springer US","publisher-place":"Boston, MA","source":"Open WorldCat","title":"Resource Competition","author":[{"family":"Grover","given":""}],"issued":{"date-parts":[["1997"]]}}},{"id":1560,"uris":["http://zotero.org/users/6128296/items/77X327JA"],"itemData":{"id":1560,"type":"book","title":"Resource Competition and Community Structure.","volume":"Volume 17","author":[{"family":"Tilman","given":""}],"issued":{"date-parts":[["1982"]]}}},{"id":1365,"uris":["http://zotero.org/users/6128296/items/EMYPH4YJ"],"itemData":{"id":1365,"type":"article-journal","abstract":"The results of 76 long-term competition experiments between two species of freshwater algae (Asterionellaformosa and Cyclotella meneghiniana) grown along a resource gradient agree with the predictions of two different models of resource competition. Both models are based on the functional resource-utilization response of each species to limiting resources. The Monod model and the Variable Internal Stores model of competition made similar predictions. Asterionella was observed to be competitively dominant when both species were phosphate limited; Cyclotella was dominant when both species were silicate limited; and both species stably coexisted when each species was growthrate limited by a different resource. Almost 75% of the variance in the relative abundances of these two species along a natural silicate-phosphate gradient in Lake Michigan is explained by the Monod model. Key words: Competition models; diatoms; functional response; Michaelis-Menten; Monod; phosphate; resource competition; resource gradient; resource utilization; silicate.","container-title":"Ecology","DOI":"10.2307/1935608","ISSN":"00129658","issue":"2","language":"en","page":"338-348","source":"DOI.org (Crossref)","title":"Resource Competition between Plankton Algae: An Experimental and Theoretical Approach","title-short":"Resource Competition between Plankton Algae","volume":"58","author":[{"family":"Tilman","given":""}],"issued":{"date-parts":[["1977",3]]}}},{"id":206,"uris":["http://zotero.org/users/6128296/items/72GSA8QA"],"itemData":{"id":206,"type":"article-journal","container-title":"Science","DOI":"10.1126/science.131.3409.1292","ISSN":"0036-8075, 1095-9203","issue":"3409","journalAbbreviation":"Science","language":"en","page":"1292-1297","source":"DOI.org (Crossref)","title":"The Competitive Exclusion Principle","volume":"131","author":[{"family":"Hardin","given":""}],"issued":{"date-parts":[["1960",4,29]]}}}],"schema":"https://github.com/citation-style-language/schema/raw/master/csl-citation.json"} </w:instrText>
      </w:r>
      <w:r w:rsidR="00393494"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(Grover 1997; Tilman 1982; 1977; Hardin 1960)</w:t>
      </w:r>
      <w:r w:rsidR="00393494"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are often used to explain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dominance in nutrient-deplete water. Its streamlined size allows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to have a higher surface area to volume ratio than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indicating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has both a lower requirement for membrane-constructing molecules (like phospho</w:t>
      </w:r>
      <w:r w:rsidR="00207616">
        <w:rPr>
          <w:rFonts w:ascii="Times New Roman" w:hAnsi="Times New Roman" w:cs="Times New Roman"/>
          <w:sz w:val="24"/>
          <w:szCs w:val="24"/>
        </w:rPr>
        <w:t>lipids</w:t>
      </w:r>
      <w:r w:rsidRPr="003609FB">
        <w:rPr>
          <w:rFonts w:ascii="Times New Roman" w:hAnsi="Times New Roman" w:cs="Times New Roman"/>
          <w:sz w:val="24"/>
          <w:szCs w:val="24"/>
        </w:rPr>
        <w:t>) and an increased ability to uptake essential nutrients from the environment</w:t>
      </w:r>
      <w:r w:rsidR="00C950D8" w:rsidRPr="003609FB">
        <w:rPr>
          <w:rFonts w:ascii="Times New Roman" w:hAnsi="Times New Roman" w:cs="Times New Roman"/>
          <w:sz w:val="24"/>
          <w:szCs w:val="24"/>
        </w:rPr>
        <w:t xml:space="preserve"> </w:t>
      </w:r>
      <w:r w:rsidR="00C950D8"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{"citationID":"TOPi6OPM","properties":{"formattedCitation":"(Beaulieu et al. 2008; Ward et al. 2017; 2012; Moore and Chisholm 1999; Edwards et al. 2012)","plainCitation":"(Beaulieu et al. 2008; Ward et al. 2017; 2012; Moore and Chisholm 1999; Edwards et al. 2012)","noteIndex":0},"citationItems":[{"id":78,"uris":["http://zotero.org/users/6128296/items/WYCDC92Q"],"itemData":{"id":78,"type":"article-journal","abstract":"Across eukaryotes phenotypic correlations with genome size are thought to scale from genome size effects on cell size. However, for plants the genome/cell size link has only been thoroughly documented within ploidy series and small subsets of herbaceous species.","container-title":"New Phytologist","DOI":"10.1111/j.1469-8137.2008.02528.x","ISSN":"0028646X, 14698137","issue":"4","language":"en","page":"975-986","source":"DOI.org (Crossref)","title":"Genome size is a strong predictor of cell size and stomatal density in angiosperms","volume":"179","author":[{"family":"Beaulieu","given":""},{"family":"Leitch","given":"Ilia J."},{"family":"Patel","given":"Sunil"},{"family":"Pendharkar","given":"Arjun"},{"family":"Knight","given":"Charles A."}],"issued":{"date-parts":[["2008",9]]}}},{"id":1379,"uris":["http://zotero.org/users/6128296/items/9ZUCAS55"],"itemData":{"id":1379,"type":"article-journal","abstract":"Rates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id":237,"uris":["http://zotero.org/users/6128296/items/ITNRJJCA"],"itemData":{"id":237,"type":"article-journal","abstract":"We present a model of diverse phytoplankton and zooplankton populations embedded in a global ocean circulation model. Physiological and ecological traits of the organisms are constrained by relationships with cell size. The model qualitatively reproduces global distributions of nutrients, biomass, and primary productivity, and captures the power-law relationship between cell size and numerical density, which has realistic slopes of between 21.3 and 20.8. We use the model to explore the global structure of marine ecosystems, highlighting the importance of both nutrient and grazer controls. The model suggests that zooplankton : phytoplankton (Z : P) biomass ratios may vary from an order of 0.1 in the oligotrophic gyres to an order of 10 in upwelling and highlatitude regions. Global estimates of the strength of bottom-up and top-down controls within plankton size classes suggest that these large-scale gradients in Z : P ratios are driven by a shift from strong bottom-up, nutrient limitation in the oligotrophic gyres to the dominance of top-down, grazing controls in more productive regions.","container-title":"Limnology and Oceanography","DOI":"10.4319/lo.2012.57.6.1877","ISSN":"00243590","issue":"6","journalAbbreviation":"Limnol. Oceanogr.","language":"en","page":"1877-1891","source":"DOI.org (Crossref)","title":"A size-structured food-web model for the global ocean","volume":"57","author":[{"family":"Ward","given":"B. A."},{"family":"Dutkiewicz","given":"S."},{"family":"Jahn","given":"O."},{"family":"Follows","given":"M. J."}],"issued":{"date-parts":[["2012",11]]}}},{"id":1511,"uris":["http://zotero.org/users/6128296/items/D3CKQPIK"],"itemData":{"id":1511,"type":"article-journal","abstract":"Cultured isolates of Prochlorococcus from the Mediterranean Sea (MED4) and Sargasso Sea (SS120) have been shown to have dramatically different pigment composition and growth rate responses when grown over a range of irradiances. Moreover, analyses of ﬁeld populations in the North Atlantic have shown that distinct ecotypes can coexist in the same water column. These and other observations have led to the hypothesis that Prochlorococcus is comprised of genetically distinct ecotypes that collectively expand the range of light intensities over which the genus can thrive. In this paper, we explore this hypothesis by comparing the photophysiology of 10 different Prochlorococcus isolates from diverse oceanographic regimes. We found that the 10 isolates could be grouped into two loose clusters based on their growth response to varying light intensity and their chlorophyll b/a2 (Chl b/a2) ratios. Although both groups photoacclimate when grown over a range of light intensities, isolates with distinctly higher Chl b/a2 ratios (high B/A ecotype) reach maximal growth rates at lower irradiances (Ik,g), have high growth efﬁciencies (</w:instrText>
      </w:r>
      <w:r w:rsidR="009D7443">
        <w:rPr>
          <w:rFonts w:ascii="Segoe UI Symbol" w:hAnsi="Segoe UI Symbol" w:cs="Segoe UI Symbol"/>
          <w:sz w:val="24"/>
          <w:szCs w:val="24"/>
        </w:rPr>
        <w:instrText>␣</w:instrText>
      </w:r>
      <w:r w:rsidR="009D7443">
        <w:rPr>
          <w:rFonts w:ascii="Times New Roman" w:hAnsi="Times New Roman" w:cs="Times New Roman"/>
          <w:sz w:val="24"/>
          <w:szCs w:val="24"/>
        </w:rPr>
        <w:instrText>g), and are inhibited in growth at irradiances where isolates with low Chl b/a2 ratios (low B/A ecotype) are growing maximally. High Chl b/a2 ratios resulted in higher spectrally weighted average Chl a2-speciﬁc absorption coefﬁcient (a¯*chl), Chl a2-speciﬁc light-harvesting efﬁciency (</w:instrText>
      </w:r>
      <w:r w:rsidR="009D7443">
        <w:rPr>
          <w:rFonts w:ascii="Segoe UI Symbol" w:hAnsi="Segoe UI Symbol" w:cs="Segoe UI Symbol"/>
          <w:sz w:val="24"/>
          <w:szCs w:val="24"/>
        </w:rPr>
        <w:instrText>␣</w:instrText>
      </w:r>
      <w:r w:rsidR="009D7443">
        <w:rPr>
          <w:rFonts w:ascii="Times New Roman" w:hAnsi="Times New Roman" w:cs="Times New Roman"/>
          <w:sz w:val="24"/>
          <w:szCs w:val="24"/>
        </w:rPr>
        <w:instrText xml:space="preserve">chla), and quantum yield (␾m) under low growth irradiances for the isolates of the high B/A ecotype relative to the others. The distinction between the high and low B/A ecotypes is supported by molecular phylogenies constructed using the 16S ribosomal ribonucleic acid (rRNA) gene. The physiological differences between the ecotypes most likely result in different relative distributions in a given water column and in ﬂuctuations in their relative abundances as a function of seasonal dynamics and watercolumn stability.","container-title":"Limnology and Oceanography","DOI":"10.4319/lo.1999.44.3.0628","ISSN":"00243590","issue":"3","journalAbbreviation":"Limnol. Oceanogr.","language":"en","page":"628-638","source":"DOI.org (Crossref)","title":"Photophysiology of the marine cyanobacterium Prochlorococcus: Ecotypic differences among cultured isolates","title-short":"Photophysiology of the marine cyanobacterium Prochlorococcus","volume":"44","author":[{"family":"Moore","given":""},{"family":"Chisholm","given":"Sallie W."}],"issued":{"date-parts":[["1999",5]]}}},{"id":4031,"uris":["http://zotero.org/users/6128296/items/RH6MM6NJ"],"itemData":{"id":4031,"type":"article-journal","abstract":"Nutrient utilization traits can be used to link the ecophysiology of phytoplankton to population dynamic models and the structure of communities across environmental gradients. Here we analyze a comprehensive literature compilation of four traits: maximum nutrient uptake rate; the half-saturation constant for nutrient uptake; the minimum subsistence quota, measured for nitrate and phosphate; and maximum growth rate. We also use these traits to analyze two composite traits, uptake affinity and scaled uptake affinity. All traits tend to increase with cell volume, except for scaled uptake affinity and maximum growth rate, which tend to decline with cell volume. Most scaling relationships are the same for freshwater and marine species, although important differences exist. Most traits differ on average between major taxa, but between-taxon variation is nearly always due to between-taxon variation in volume. There is some evidence for between-trait correlations that could constrain trait evolution, but these correlations are difficult to disentangle from correlation driven by cell volume. These results should enhance the parameterization of models that use size or taxonomic group to structure physiological variation in phytoplankton communities.","container-title":"Limnology and Oceanography","DOI":"10.4319/lo.2012.57.2.0554","ISSN":"0024-3590, 1939-5590","issue":"2","journalAbbreviation":"Limnology &amp; Oceanography","language":"en","page":"554-566","source":"DOI.org (Crossref)","title":"Allometric scaling and taxonomic variation in nutrient utilization traits and maximum growth rate of phytoplankton","volume":"57","author":[{"family":"Edwards","given":""},{"family":"Thomas","given":"Mridul K."},{"family":"Klausmeier","given":"Christopher A."},{"family":"Litchman","given":"Elena"}],"issued":{"date-parts":[["2012",3]]}}}],"schema":"https://github.com/citation-style-language/schema/raw/master/csl-citation.json"} </w:instrText>
      </w:r>
      <w:r w:rsidR="00C950D8"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(Beaulieu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2008;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2017; 2012; Moore and Chisholm 1999; Edwards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2012)</w:t>
      </w:r>
      <w:r w:rsidR="00C950D8" w:rsidRPr="003609FB">
        <w:rPr>
          <w:rFonts w:ascii="Times New Roman" w:hAnsi="Times New Roman" w:cs="Times New Roman"/>
          <w:sz w:val="24"/>
          <w:szCs w:val="24"/>
        </w:rPr>
        <w:fldChar w:fldCharType="end"/>
      </w:r>
      <w:r w:rsidR="00C950D8" w:rsidRPr="003609FB">
        <w:rPr>
          <w:rFonts w:ascii="Times New Roman" w:hAnsi="Times New Roman" w:cs="Times New Roman"/>
          <w:sz w:val="24"/>
          <w:szCs w:val="24"/>
        </w:rPr>
        <w:t xml:space="preserve">. </w:t>
      </w:r>
      <w:r w:rsidR="00E864C6" w:rsidRPr="003609FB">
        <w:rPr>
          <w:rFonts w:ascii="Times New Roman" w:hAnsi="Times New Roman" w:cs="Times New Roman"/>
          <w:sz w:val="24"/>
          <w:szCs w:val="24"/>
        </w:rPr>
        <w:t xml:space="preserve">Competition theory categorizes organisms into either </w:t>
      </w:r>
      <w:r w:rsidR="000946FA">
        <w:rPr>
          <w:rFonts w:ascii="Times New Roman" w:hAnsi="Times New Roman" w:cs="Times New Roman"/>
          <w:sz w:val="24"/>
          <w:szCs w:val="24"/>
        </w:rPr>
        <w:t>‘</w:t>
      </w:r>
      <w:r w:rsidR="00E864C6" w:rsidRPr="000946FA">
        <w:rPr>
          <w:rFonts w:ascii="Times New Roman" w:hAnsi="Times New Roman" w:cs="Times New Roman"/>
          <w:i/>
          <w:iCs/>
          <w:sz w:val="24"/>
          <w:szCs w:val="24"/>
        </w:rPr>
        <w:t>r</w:t>
      </w:r>
      <w:r w:rsidR="000946FA">
        <w:rPr>
          <w:rFonts w:ascii="Times New Roman" w:hAnsi="Times New Roman" w:cs="Times New Roman"/>
          <w:i/>
          <w:iCs/>
          <w:sz w:val="24"/>
          <w:szCs w:val="24"/>
        </w:rPr>
        <w:t>’</w:t>
      </w:r>
      <w:r w:rsidR="00E864C6" w:rsidRPr="000946FA">
        <w:rPr>
          <w:rFonts w:ascii="Times New Roman" w:hAnsi="Times New Roman" w:cs="Times New Roman"/>
          <w:i/>
          <w:iCs/>
          <w:sz w:val="24"/>
          <w:szCs w:val="24"/>
        </w:rPr>
        <w:t xml:space="preserve"> </w:t>
      </w:r>
      <w:r w:rsidR="00E864C6" w:rsidRPr="003609FB">
        <w:rPr>
          <w:rFonts w:ascii="Times New Roman" w:hAnsi="Times New Roman" w:cs="Times New Roman"/>
          <w:sz w:val="24"/>
          <w:szCs w:val="24"/>
        </w:rPr>
        <w:t xml:space="preserve">or </w:t>
      </w:r>
      <w:r w:rsidR="000946FA">
        <w:rPr>
          <w:rFonts w:ascii="Times New Roman" w:hAnsi="Times New Roman" w:cs="Times New Roman"/>
          <w:sz w:val="24"/>
          <w:szCs w:val="24"/>
        </w:rPr>
        <w:t>‘</w:t>
      </w:r>
      <w:r w:rsidR="00E864C6" w:rsidRPr="000946FA">
        <w:rPr>
          <w:rFonts w:ascii="Times New Roman" w:hAnsi="Times New Roman" w:cs="Times New Roman"/>
          <w:i/>
          <w:iCs/>
          <w:sz w:val="24"/>
          <w:szCs w:val="24"/>
        </w:rPr>
        <w:t>k</w:t>
      </w:r>
      <w:r w:rsidR="000946FA">
        <w:rPr>
          <w:rFonts w:ascii="Times New Roman" w:hAnsi="Times New Roman" w:cs="Times New Roman"/>
          <w:i/>
          <w:iCs/>
          <w:sz w:val="24"/>
          <w:szCs w:val="24"/>
        </w:rPr>
        <w:t>’</w:t>
      </w:r>
      <w:r w:rsidR="00E864C6" w:rsidRPr="003609FB">
        <w:rPr>
          <w:rFonts w:ascii="Times New Roman" w:hAnsi="Times New Roman" w:cs="Times New Roman"/>
          <w:sz w:val="24"/>
          <w:szCs w:val="24"/>
        </w:rPr>
        <w:t xml:space="preserve"> strategists, based on the carrying capacity, </w:t>
      </w:r>
      <w:r w:rsidR="00E864C6" w:rsidRPr="000946FA">
        <w:rPr>
          <w:rFonts w:ascii="Times New Roman" w:hAnsi="Times New Roman" w:cs="Times New Roman"/>
          <w:i/>
          <w:iCs/>
          <w:sz w:val="24"/>
          <w:szCs w:val="24"/>
        </w:rPr>
        <w:t>k</w:t>
      </w:r>
      <w:r w:rsidR="00E864C6" w:rsidRPr="003609FB">
        <w:rPr>
          <w:rFonts w:ascii="Times New Roman" w:hAnsi="Times New Roman" w:cs="Times New Roman"/>
          <w:sz w:val="24"/>
          <w:szCs w:val="24"/>
        </w:rPr>
        <w:t xml:space="preserve">, or net growth rate , </w:t>
      </w:r>
      <w:r w:rsidR="00E864C6" w:rsidRPr="000946FA">
        <w:rPr>
          <w:rFonts w:ascii="Times New Roman" w:hAnsi="Times New Roman" w:cs="Times New Roman"/>
          <w:i/>
          <w:iCs/>
          <w:sz w:val="24"/>
          <w:szCs w:val="24"/>
        </w:rPr>
        <w:t>r</w:t>
      </w:r>
      <w:r w:rsidR="00E864C6" w:rsidRPr="003609FB">
        <w:rPr>
          <w:rFonts w:ascii="Times New Roman" w:hAnsi="Times New Roman" w:cs="Times New Roman"/>
          <w:sz w:val="24"/>
          <w:szCs w:val="24"/>
        </w:rPr>
        <w:t xml:space="preserve"> </w:t>
      </w:r>
      <w:r w:rsidR="00C950D8"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{"citationID":"DuxG7c7z","properties":{"formattedCitation":"(Pianka 1970)","plainCitation":"(Pianka 1970)","noteIndex":0},"citationItems":[{"id":1612,"uris":["http://zotero.org/users/6128296/items/2U2WPN2E"],"itemData":{"id":1612,"type":"article-journal","container-title":"The American Naturalist","DOI":"10.1086/282697","ISSN":"0003-0147, 1537-5323","issue":"940","journalAbbreviation":"The American Naturalist","language":"en","page":"592-597","source":"DOI.org (Crossref)","title":"On r- and K-Selection","volume":"104","author":[{"family":"Pianka","given":""}],"issued":{"date-parts":[["1970",11]]}}}],"schema":"https://github.com/citation-style-language/schema/raw/master/csl-citation.json"} </w:instrText>
      </w:r>
      <w:r w:rsidR="00C950D8"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(Pianka 1970)</w:t>
      </w:r>
      <w:r w:rsidR="00C950D8"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Leading to the organization of groups defined to compete with others by either maximizing the ability to grow quickly (by maximizing their maximum growth rate value, and </w:t>
      </w:r>
      <w:r w:rsidR="00E864C6" w:rsidRPr="000946FA">
        <w:rPr>
          <w:rFonts w:ascii="Times New Roman" w:hAnsi="Times New Roman" w:cs="Times New Roman"/>
          <w:i/>
          <w:iCs/>
          <w:sz w:val="24"/>
          <w:szCs w:val="24"/>
        </w:rPr>
        <w:t>k</w:t>
      </w:r>
      <w:r w:rsidR="00E864C6" w:rsidRPr="003609FB">
        <w:rPr>
          <w:rFonts w:ascii="Times New Roman" w:hAnsi="Times New Roman" w:cs="Times New Roman"/>
          <w:sz w:val="24"/>
          <w:szCs w:val="24"/>
        </w:rPr>
        <w:t xml:space="preserve">) like diatoms </w:t>
      </w:r>
      <w:r w:rsidR="00CA5AD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{"citationID":"595CyXPy","properties":{"formattedCitation":"(Kirchman 2016)","plainCitation":"(Kirchman 2016)","noteIndex":0},"citationItems":[{"id":697,"uris":["http://zotero.org/users/6128296/items/JZHWCZUG"],"itemData":{"id":697,"type":"article-journal","abstract":"A microbe’s growth rate helps to set its ecological success and its contribution to food web dynamics and biogeochemical processes. Growth rates at the community level are constrained by biomass and trophic interactions among bacteria, phytoplankton, and their grazers. Phytoplankton growth rates are approximately 1 d−1, whereas most heterotrophic bacteria grow slowly, close to 0.1 d−1; only a few taxa can grow ten times as fast. Data from 16S rRNA and other approaches are used to speculate about the growth rate and the life history strategy of SAR11, the most abundant clade of heterotrophic bacteria in the oceans. These strategies are also explored using genomic data. Although the methods and data are imperfect, the available data can be used to set limits on growth rates and thus on the timescale for changes in the composition and structure of microbial communities.","container-title":"Annual Review of Marine Science","DOI":"10.1146/annurev-marine-122414-033938","ISSN":"1941-1405, 1941-0611","issue":"1","journalAbbreviation":"Annu. Rev. Mar. Sci.","language":"en","page":"285-309","source":"DOI.org (Crossref)","title":"Growth Rates of Microbes in the Oceans","volume":"8","author":[{"family":"Kirchman","given":""}],"issued":{"date-parts":[["2016",1,3]]}}}],"schema":"https://github.com/citation-style-language/schema/raw/master/csl-citation.json"} </w:instrText>
      </w:r>
      <w:r w:rsidR="00CA5AD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(Kirchman 2016)</w:t>
      </w:r>
      <w:r w:rsidR="00CA5ADA"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or maximizing the ability to take up nutrients (by minimizing their nutrient affinity value, and </w:t>
      </w:r>
      <w:r w:rsidR="00E864C6" w:rsidRPr="000946FA">
        <w:rPr>
          <w:rFonts w:ascii="Times New Roman" w:hAnsi="Times New Roman" w:cs="Times New Roman"/>
          <w:i/>
          <w:iCs/>
          <w:sz w:val="24"/>
          <w:szCs w:val="24"/>
        </w:rPr>
        <w:t>r</w:t>
      </w:r>
      <w:r w:rsidR="00E864C6" w:rsidRPr="003609FB">
        <w:rPr>
          <w:rFonts w:ascii="Times New Roman" w:hAnsi="Times New Roman" w:cs="Times New Roman"/>
          <w:sz w:val="24"/>
          <w:szCs w:val="24"/>
        </w:rPr>
        <w:t>)</w:t>
      </w:r>
      <w:r w:rsidR="00783950">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w:t>
      </w:r>
      <w:r w:rsidR="000771B4">
        <w:rPr>
          <w:rFonts w:ascii="Times New Roman" w:hAnsi="Times New Roman" w:cs="Times New Roman"/>
          <w:i/>
          <w:iCs/>
          <w:sz w:val="24"/>
          <w:szCs w:val="24"/>
        </w:rPr>
        <w:t>s</w:t>
      </w:r>
      <w:r w:rsidR="00E864C6" w:rsidRPr="003609FB">
        <w:rPr>
          <w:rFonts w:ascii="Times New Roman" w:hAnsi="Times New Roman" w:cs="Times New Roman"/>
          <w:sz w:val="24"/>
          <w:szCs w:val="24"/>
        </w:rPr>
        <w:t xml:space="preserve"> is a classic example of the latter </w:t>
      </w:r>
      <w:r w:rsidR="00D5545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{"citationID":"VIbn0Dqr","properties":{"formattedCitation":"(Armstrong and McGehee 1980; Pianka 1970; Treusch et al. 2009)","plainCitation":"(Armstrong and McGehee 1980; Pianka 1970; Treusch et al. 2009)","noteIndex":0},"citationItems":[{"id":77,"uris":["http://zotero.org/users/6128296/items/6XSUJZRT"],"itemData":{"id":77,"type":"article-journal","abstract":"Koch (1974b) was the first to point out via computer simulation that two species could coexist on one biotic resource. This coexistence occurred along what appeared to be a periodic orbit, not at an equilibrium point. The coexistence of two species on one biotic resource was later confirmed analytically (McGehee and Armstrong 1977) and expanded to the case of n species coexisting on one biotic resource (Zicarelli 1975). In this section we provide insight into the mechanism behind this coexistence. We will present an intuitive look at why the coexistence depends both on the nonlinearity of the growth functions ui and on the lack of system equilibrium. Those who desire complete proofs should consult the papers of McGehee and Armstrong (1977) and Zicarelli (1975).","container-title":"Am. Nat. 1980.","language":"en","page":"151-170","source":"Zotero","title":"Competitive Exclusion","volume":"Vol. 115,","author":[{"family":"Armstrong","given":""},{"family":"McGehee","given":"Richard"}],"issued":{"date-parts":[["1980"]]}}},{"id":1612,"uris":["http://zotero.org/users/6128296/items/2U2WPN2E"],"itemData":{"id":1612,"type":"article-journal","container-title":"The American Naturalist","DOI":"10.1086/282697","ISSN":"0003-0147, 1537-5323","issue":"940","journalAbbreviation":"The American Naturalist","language":"en","page":"592-597","source":"DOI.org (Crossref)","title":"On r- and K-Selection","volume":"104","author":[{"family":"Pianka","given":""}],"issued":{"date-parts":[["1970",11]]}}},{"id":127,"uris":["http://zotero.org/users/6128296/items/2HXG63IP"],"itemData":{"id":127,"type":"article-journal","container-title":"The ISME Journal","DOI":"10.1038/ismej.2009.60","ISSN":"1751-7362, 1751-7370","issue":"10","journalAbbreviation":"ISME J","language":"en","page":"1148-1163","source":"DOI.org (Crossref)","title":"Seasonality and vertical structure of microbial communities in an ocean gyre","volume":"3","author":[{"family":"Treusch","given":""},{"family":"Vergin","given":"Kevin L"},{"family":"Finlay","given":"Liam A"},{"family":"Donatz","given":"Michael G"},{"family":"Burton","given":"Robert M"},{"family":"Carlson","given":"Craig A"},{"family":"Giovannoni","given":"Stephen J"}],"issued":{"date-parts":[["2009",10]]}}}],"schema":"https://github.com/citation-style-language/schema/raw/master/csl-citation.json"} </w:instrText>
      </w:r>
      <w:r w:rsidR="00D5545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(Armstrong and McGehee 1980; Pianka 1970; Treusch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2009)</w:t>
      </w:r>
      <w:r w:rsidR="00D55455"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While it is clear that </w:t>
      </w:r>
      <w:r w:rsidR="00691B65" w:rsidRPr="00691B65">
        <w:rPr>
          <w:rFonts w:ascii="Times New Roman" w:hAnsi="Times New Roman" w:cs="Times New Roman"/>
          <w:i/>
          <w:iCs/>
          <w:sz w:val="24"/>
          <w:szCs w:val="24"/>
        </w:rPr>
        <w:t>Prochlorococcus</w:t>
      </w:r>
      <w:r w:rsidR="00E864C6" w:rsidRPr="003609FB">
        <w:rPr>
          <w:rFonts w:ascii="Times New Roman" w:hAnsi="Times New Roman" w:cs="Times New Roman"/>
          <w:sz w:val="24"/>
          <w:szCs w:val="24"/>
        </w:rPr>
        <w:t xml:space="preserve"> is streamlined for ammoni</w:t>
      </w:r>
      <w:r w:rsidR="00FF1941">
        <w:rPr>
          <w:rFonts w:ascii="Times New Roman" w:hAnsi="Times New Roman" w:cs="Times New Roman"/>
          <w:sz w:val="24"/>
          <w:szCs w:val="24"/>
        </w:rPr>
        <w:t>um</w:t>
      </w:r>
      <w:r w:rsidR="00E864C6" w:rsidRPr="003609FB">
        <w:rPr>
          <w:rFonts w:ascii="Times New Roman" w:hAnsi="Times New Roman" w:cs="Times New Roman"/>
          <w:sz w:val="24"/>
          <w:szCs w:val="24"/>
        </w:rPr>
        <w:t xml:space="preserve"> use </w:t>
      </w:r>
      <w:r w:rsidR="002267D6"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{"citationID":"eUCWfIiJ","properties":{"formattedCitation":"(Garcia-Fernandez, de Marsac, and Diez 2004)","plainCitation":"(Garcia-Fernandez, de Marsac, and Diez 2004)","noteIndex":0},"citationItems":[{"id":92,"uris":["http://zotero.org/users/6128296/items/NBRTUMCT"],"itemData":{"id":92,"type":"article-journal","container-title":"Microbiology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T.","non-dropping-particle":"de"},{"family":"Diez","given":"J."}],"issued":{"date-parts":[["2004",12,1]]}}}],"schema":"https://github.com/citation-style-language/schema/raw/master/csl-citation.json"} </w:instrText>
      </w:r>
      <w:r w:rsidR="002267D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(Garcia-Fernandez, de Marsac, and Diez 2004)</w:t>
      </w:r>
      <w:r w:rsidR="002267D6"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nitrogen is a constant constraint on growth </w:t>
      </w:r>
      <w:r w:rsidR="002267D6"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{"citationID":"RAaaYiAr","properties":{"formattedCitation":"(Biller, Berube, et al. 2015; Berube et al. 2015; Bristow et al. 2017)","plainCitation":"(Biller, Berube, et al. 2015; Berube et al. 2015; Bristow et al. 2017)","noteIndex":0},"citationItems":[{"id":195,"uris":["http://zotero.org/users/6128296/items/T8KNN5NA"],"itemData":{"id":195,"type":"article-journal","abstract":"The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W"}],"issued":{"date-parts":[["2015",5]]}}},{"id":1672,"uris":["http://zotero.org/users/6128296/items/VLJ2EQFT"],"itemData":{"id":1672,"type":"article-journal","abstract":"Phytoplankton form the basis of the marine food web and are responsible for approximately half of global carbon dioxide (CO2) fixation (~ 50 Pg of carbon per year). Thus, these microscopic, photosynthetic organisms are vital in controlling the atmospheric CO2 concentration and Earth’s climate. Phytoplankton are dependent on sunlight and their CO2-fixation activity is therefore restricted to the upper, sunlit surface ocean (that is, the euphotic zone). CO2 usually does not limit phytoplankton growth due to its high concentration in seawater. However, the vast majority of oceanic surface waters are depleted in inorganic nitrogen, phosphorus, iron and/or silica; nutrients that limit primary production in the ocean (Figure 1). Phytoplankton growth is mainly supported by either the recycling of nutrients or by reintroduction of nutrients from deeper waters by mixing. A small percentage of primary production, though, is fueled by ‘external’ or ‘new’ nutrients and it is these nutrients that determine the amount of carbon that can be sequestered long term in the deep ocean. For most nutrients such as phosphorus, iron, and silica, the external supply is limited to atmospheric deposition and/or coastal and riverine inputs, whereas their main sink is the sedimentation of particulate matter. Nitrogen, however, has an additional, biological source, the fixation of N2 gas, as well as biological sinks via the processes of denitrification and anammox.","container-title":"Current Biology","DOI":"10.1016/j.cub.2017.03.030","ISSN":"09609822","issue":"11","journalAbbreviation":"Current Biology","language":"en","page":"R474-R478","source":"DOI.org (Crossref)","title":"Nutrients that limit growth in the ocean","volume":"27","author":[{"family":"Bristow","given":""},{"family":"Mohr","given":"Wiebke"},{"family":"Ahmerkamp","given":"Soeren"},{"family":"Kuypers","given":"Marcel M.M."}],"issued":{"date-parts":[["2017",6]]}}}],"schema":"https://github.com/citation-style-language/schema/raw/master/csl-citation.json"} </w:instrText>
      </w:r>
      <w:r w:rsidR="002267D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Bristow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w:t>
      </w:r>
      <w:r w:rsidR="002267D6"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as nitrogen composes 7% of microbial cell mass in proteins and nucleic material</w:t>
      </w:r>
      <w:r w:rsidR="00E22D85">
        <w:rPr>
          <w:rFonts w:ascii="Times New Roman" w:hAnsi="Times New Roman" w:cs="Times New Roman"/>
          <w:sz w:val="24"/>
          <w:szCs w:val="24"/>
        </w:rPr>
        <w:t>,</w:t>
      </w:r>
      <w:r w:rsidR="00E864C6" w:rsidRPr="003609FB">
        <w:rPr>
          <w:rFonts w:ascii="Times New Roman" w:hAnsi="Times New Roman" w:cs="Times New Roman"/>
          <w:sz w:val="24"/>
          <w:szCs w:val="24"/>
        </w:rPr>
        <w:t xml:space="preserve"> while phosphorus generally composes 1%  </w:t>
      </w:r>
      <w:r w:rsidR="007F712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{"citationID":"sGWmr3aO","properties":{"formattedCitation":"(Krumhardt et al. 2013)","plainCitation":"(Krumhardt et al. 2013)","noteIndex":0},"citationItems":[{"id":1504,"uris":["http://zotero.org/users/6128296/items/2PVJZDNA"],"itemData":{"id":1504,"type":"article-journal","abstract":"Summary Recent measurements of natural populations of the marine cyanobacterium Prochlorococcus indicate this numerically dominant phototroph assimilates phosphorus (P) at significant rates in P-limited oceanic regions. To better understand uptake capabilities of Prochlorococcus under different P stress conditions, uptake kinetic experiments were performed on Prochlorococcus MED4 grown in P-limited chemostats and batch cultures. Our results indicate that MED4 has a small cell-specific Vmax but a high specific affinity (aP) for P, making it competitive with other marine cyanobacteria at low P concentrations. Additionally, MED4 regulates its uptake kinetics in response to P stress by significantly increasing Vmax and aP for both inorganic and organic P (PO4 and ATP). The Michaelis–Menten constant, KM, for PO4 remained constant under different P stress conditions, whereas the KM for ATP was higher when cells were stressed for PO4, pointing to additional processes involved in uptake of ATP. MED4 cleaves the PO4 moieties from ATP, likely with a 5 '-nucleotidaselike enzyme rather than alkaline phosphatase. MED4 exhibited distinct physiological differences between cells under steady-state P limitation versus those transitioning from P-replete to P-starved conditions. Thus, MED4 employs a variety of strategies to deal with changing P sources in the oceans and displays complexity in P stress acclimation and regulatory mechanisms.","container-title":"Environmental Microbiology","DOI":"10.1111/1462-2920.12079","ISSN":"14622912","issue":"7","journalAbbreviation":"Environ Microbiol","language":"en","page":"2114-2128","source":"DOI.org (Crossref)","title":"Effects of phosphorus starvation versus limitation on the marine cyanobacterium &lt;i&gt;Prochlorococcus&lt;/i&gt; MED4 I: uptake physiology: Phosphorus uptake of &lt;i&gt;Prochlorococcus&lt;/i&gt;","title-short":"Effects of phosphorus starvation versus limitation on the marine cyanobacterium &lt;i&gt;Prochlorococcus&lt;/i&gt; MED4 I","volume":"15","author":[{"family":"Krumhardt","given":""},{"family":"Callnan","given":"Kate"},{"family":"Roache-Johnson","given":"Kathryn"},{"family":"Swett","given":"Tammy"},{"family":"Robinson","given":"Daniela"},{"family":"Reistetter","given":"Emily Nahas"},{"family":"Saunders","given":"Jaclyn K."},{"family":"Rocap","given":"Gabrielle"},{"family":"Moore","given":"Lisa R."}],"issued":{"date-parts":[["2013",7]]}}}],"schema":"https://github.com/citation-style-language/schema/raw/master/csl-citation.json"} </w:instrText>
      </w:r>
      <w:r w:rsidR="007F712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(Krumhardt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7F712F"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w:t>
      </w:r>
      <w:r w:rsidR="00E22D85">
        <w:rPr>
          <w:rFonts w:ascii="Times New Roman" w:hAnsi="Times New Roman" w:cs="Times New Roman"/>
          <w:sz w:val="24"/>
          <w:szCs w:val="24"/>
        </w:rPr>
        <w:t xml:space="preserve"> </w:t>
      </w:r>
      <w:r w:rsidR="00E864C6" w:rsidRPr="003609FB">
        <w:rPr>
          <w:rFonts w:ascii="Times New Roman" w:hAnsi="Times New Roman" w:cs="Times New Roman"/>
          <w:sz w:val="24"/>
          <w:szCs w:val="24"/>
        </w:rPr>
        <w:t xml:space="preserve">This means that </w:t>
      </w:r>
      <w:r w:rsidR="000771B4">
        <w:rPr>
          <w:rFonts w:ascii="Times New Roman" w:hAnsi="Times New Roman" w:cs="Times New Roman"/>
          <w:sz w:val="24"/>
          <w:szCs w:val="24"/>
        </w:rPr>
        <w:t>for a microbe that is streamlined for growth</w:t>
      </w:r>
      <w:r w:rsidR="00E22D85">
        <w:rPr>
          <w:rFonts w:ascii="Times New Roman" w:hAnsi="Times New Roman" w:cs="Times New Roman"/>
          <w:sz w:val="24"/>
          <w:szCs w:val="24"/>
        </w:rPr>
        <w:t>, further streamlining or</w:t>
      </w:r>
      <w:r w:rsidR="000771B4">
        <w:rPr>
          <w:rFonts w:ascii="Times New Roman" w:hAnsi="Times New Roman" w:cs="Times New Roman"/>
          <w:sz w:val="24"/>
          <w:szCs w:val="24"/>
        </w:rPr>
        <w:t xml:space="preserve"> the evolutionary </w:t>
      </w:r>
      <w:r w:rsidR="00E864C6" w:rsidRPr="003609FB">
        <w:rPr>
          <w:rFonts w:ascii="Times New Roman" w:hAnsi="Times New Roman" w:cs="Times New Roman"/>
          <w:sz w:val="24"/>
          <w:szCs w:val="24"/>
        </w:rPr>
        <w:t xml:space="preserve">cutting a protein </w:t>
      </w:r>
      <w:r w:rsidR="000771B4">
        <w:rPr>
          <w:rFonts w:ascii="Times New Roman" w:hAnsi="Times New Roman" w:cs="Times New Roman"/>
          <w:sz w:val="24"/>
          <w:szCs w:val="24"/>
        </w:rPr>
        <w:t>from one’s genetic repertoire</w:t>
      </w:r>
      <w:r w:rsidR="00E22D85">
        <w:rPr>
          <w:rFonts w:ascii="Times New Roman" w:hAnsi="Times New Roman" w:cs="Times New Roman"/>
          <w:sz w:val="24"/>
          <w:szCs w:val="24"/>
        </w:rPr>
        <w:t>,</w:t>
      </w:r>
      <w:r w:rsidR="000771B4">
        <w:rPr>
          <w:rFonts w:ascii="Times New Roman" w:hAnsi="Times New Roman" w:cs="Times New Roman"/>
          <w:sz w:val="24"/>
          <w:szCs w:val="24"/>
        </w:rPr>
        <w:t xml:space="preserve"> </w:t>
      </w:r>
      <w:r w:rsidR="00E864C6" w:rsidRPr="003609FB">
        <w:rPr>
          <w:rFonts w:ascii="Times New Roman" w:hAnsi="Times New Roman" w:cs="Times New Roman"/>
          <w:sz w:val="24"/>
          <w:szCs w:val="24"/>
        </w:rPr>
        <w:t>is arguably more advantageous than</w:t>
      </w:r>
      <w:r w:rsidR="00E22D85">
        <w:rPr>
          <w:rFonts w:ascii="Times New Roman" w:hAnsi="Times New Roman" w:cs="Times New Roman"/>
          <w:sz w:val="24"/>
          <w:szCs w:val="24"/>
        </w:rPr>
        <w:t xml:space="preserve"> cutting a single</w:t>
      </w:r>
      <w:r w:rsidR="00E864C6" w:rsidRPr="003609FB">
        <w:rPr>
          <w:rFonts w:ascii="Times New Roman" w:hAnsi="Times New Roman" w:cs="Times New Roman"/>
          <w:sz w:val="24"/>
          <w:szCs w:val="24"/>
        </w:rPr>
        <w:t xml:space="preserve"> gene</w:t>
      </w:r>
      <w:r w:rsidR="000772DA">
        <w:rPr>
          <w:rFonts w:ascii="Times New Roman" w:hAnsi="Times New Roman" w:cs="Times New Roman"/>
          <w:sz w:val="24"/>
          <w:szCs w:val="24"/>
        </w:rPr>
        <w:t xml:space="preserve">, as </w:t>
      </w:r>
      <w:r w:rsidR="00421F07">
        <w:rPr>
          <w:rFonts w:ascii="Times New Roman" w:hAnsi="Times New Roman" w:cs="Times New Roman"/>
          <w:sz w:val="24"/>
          <w:szCs w:val="24"/>
        </w:rPr>
        <w:t xml:space="preserve">nitrogenous </w:t>
      </w:r>
      <w:r w:rsidR="000771B4">
        <w:rPr>
          <w:rFonts w:ascii="Times New Roman" w:hAnsi="Times New Roman" w:cs="Times New Roman"/>
          <w:sz w:val="24"/>
          <w:szCs w:val="24"/>
        </w:rPr>
        <w:t xml:space="preserve">molecular construction and maintenance costs for proteins are considered alongside the molecular and spatial costs of gene storage and replication as well </w:t>
      </w:r>
      <w:r w:rsidR="0028159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{"citationID":"UVsTdnnp","properties":{"formattedCitation":"(Lynch and Marinov 2015; Read et al. 2017)","plainCitation":"(Lynch and Marinov 2015; Read et al. 2017)","noteIndex":0},"citationItems":[{"id":103,"uris":["http://zotero.org/users/6128296/items/8EWRVDPN"],"itemData":{"id":103,"type":"article-journal","container-title":"Proceedings of the National Academy of Sciences","DOI":"10.1073/pnas.1514974112","ISSN":"0027-8424, 1091-6490","journalAbbreviation":"Proc Natl Acad Sci USA","language":"en","page":"201514974","source":"DOI.org (Crossref)","title":"The bioenergetic costs of a gene","author":[{"family":"Lynch","given":""},{"family":"Marinov","given":"Georgi K."}],"issued":{"date-parts":[["2015",11,2]]}}},{"id":1951,"uris":["http://zotero.org/users/6128296/items/83IPDWVJ"],"itemData":{"id":1951,"type":"article-journal","abstract":"Prochlorococcus is a globally abundant marine cyanobacterium with many adaptations that reduce cellular nutrient requirements, facilitating growth in its nutrient-poor environment. One such genomic adaptation is the preferential utilization of amino acids containing fewer N-atoms, which minimizes cellular nitrogen requirements. We predicted that transcriptional regulation might further reduce cellular N budgets during transient N limitation. To explore this, we compared transcription start sites (TSSs) in Prochlorococcus MED4 under N-deprived and N-replete conditions. Of 64 genes with primary and internal TSSs in both conditions, N-deprived cells initiated transcription downstream of primary TSSs more frequently than N-replete cells. Additionally, 117 genes with only an internal TSS demonstrated increased internal transcription under N-deprivation. These shortened transcripts encode predicted proteins with an average of 21% less N content compared to full-length transcripts. We hypothesized that low translation rates, which afford greater control over protein abundances, would be beneficial to relatively slow-growing organisms like Prochlorococcus. Consistent with this idea, we found that Prochlorococcus exhibits greater usage of glycine–glycine motifs, which causes translational pausing, when compared to faster growing microbes. Our findings indicate that structural changes occur within the Prochlorococcus MED4 transcriptome during N-deprivation, potentially altering the size and structure of proteins expressed under nutrient limitation.","container-title":"The ISME Journal","DOI":"10.1038/ismej.2017.88","ISSN":"1751-7362, 1751-7370","issue":"10","journalAbbreviation":"ISME J","language":"en","page":"2267-2278","source":"DOI.org (Crossref)","title":"Nitrogen cost minimization is promoted by structural changes in the transcriptome of N-deprived Prochlorococcus cells","volume":"11","author":[{"family":"Read","given":""},{"family":"Berube","given":"Paul M"},{"family":"Biller","given":"Steven J"},{"family":"Neveux","given":"Iva"},{"family":"Cubillos-Ruiz","given":"Andres"},{"family":"Chisholm","given":"Sallie W"},{"family":"Grzymski","given":"Joseph J"}],"issued":{"date-parts":[["2017",10]]}}}],"schema":"https://github.com/citation-style-language/schema/raw/master/csl-citation.json"} </w:instrText>
      </w:r>
      <w:r w:rsidR="0028159B"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(Lynch and Marinov 2015; Read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w:t>
      </w:r>
      <w:r w:rsidR="0028159B"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w:t>
      </w:r>
      <w:r w:rsidR="00F32DE0" w:rsidRPr="00F32DE0">
        <w:rPr>
          <w:rFonts w:ascii="Times" w:hAnsi="Times" w:cs="Times New Roman"/>
          <w:i/>
          <w:iCs/>
          <w:color w:val="000000" w:themeColor="text1"/>
          <w:sz w:val="24"/>
          <w:szCs w:val="24"/>
        </w:rPr>
        <w:t>Prochlorococcus</w:t>
      </w:r>
      <w:r w:rsidR="00F32DE0">
        <w:rPr>
          <w:rFonts w:ascii="Times New Roman" w:hAnsi="Times New Roman" w:cs="Times New Roman"/>
          <w:sz w:val="24"/>
          <w:szCs w:val="24"/>
        </w:rPr>
        <w:t xml:space="preserve"> has been </w:t>
      </w:r>
      <w:r w:rsidR="00F32DE0">
        <w:rPr>
          <w:rFonts w:ascii="Times New Roman" w:hAnsi="Times New Roman" w:cs="Times New Roman"/>
          <w:sz w:val="24"/>
          <w:szCs w:val="24"/>
        </w:rPr>
        <w:lastRenderedPageBreak/>
        <w:t>noted to be especially streamlined genetically and physically</w:t>
      </w:r>
      <w:r w:rsidR="0088074D">
        <w:rPr>
          <w:rFonts w:ascii="Times New Roman" w:hAnsi="Times New Roman" w:cs="Times New Roman"/>
          <w:sz w:val="24"/>
          <w:szCs w:val="24"/>
        </w:rPr>
        <w:t xml:space="preserve"> </w:t>
      </w:r>
      <w:r w:rsidR="0088074D">
        <w:rPr>
          <w:rFonts w:ascii="Times New Roman" w:hAnsi="Times New Roman" w:cs="Times New Roman"/>
          <w:sz w:val="24"/>
          <w:szCs w:val="24"/>
        </w:rPr>
        <w:fldChar w:fldCharType="begin"/>
      </w:r>
      <w:r w:rsidR="00B6526E">
        <w:rPr>
          <w:rFonts w:ascii="Times New Roman" w:hAnsi="Times New Roman" w:cs="Times New Roman"/>
          <w:sz w:val="24"/>
          <w:szCs w:val="24"/>
        </w:rPr>
        <w:instrText xml:space="preserve"> ADDIN ZOTERO_ITEM CSL_CITATION {"citationID":"anIwtuXC","properties":{"formattedCitation":"(Garcia-Fernandez, de Marsac, and Diez 2004; Avrani and Lindell 2015; Chisholm 2017; Zinser and Martiny 2023; Partensky and Garczarek 2010)","plainCitation":"(Garcia-Fernandez, de Marsac, and Diez 2004; Avrani and Lindell 2015; Chisholm 2017; Zinser and Martiny 2023; Partensky and Garczarek 2010)","noteIndex":0},"citationItems":[{"id":92,"uris":["http://zotero.org/users/6128296/items/NBRTUMCT"],"itemData":{"id":92,"type":"article-journal","container-title":"Microbiology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T.","non-dropping-particle":"de"},{"family":"Diez","given":"J."}],"issued":{"date-parts":[["2004",12,1]]}}},{"id":4108,"uris":["http://zotero.org/users/6128296/items/3SIDK52I"],"itemData":{"id":4108,"type":"article-journal","abstract":"Significance\n            \n              High abundances of the important primary producing cyanobacterium,\n              Prochlorococcus\n              , and its parasitic phages, inhabit vast expanses of the world’s oceans. Their coexistence is facilitated by genetic diversity that has led to an assortment of\n              Prochlorococcus\n              subpopulations with differences in susceptibility and resistance to co-occurring phages. Here, we investigated the fate of recently emerging phage-resistant\n              Prochlorococcus\n              strains. We found that genetic diversification increases, as these strains evolve toward an improved growth rate and reduced resistance range, leading to phenotypes intermediary between the original susceptible and initial resistant strains. These findings suggest a continual increase in the combinatorial interactions between\n              Prochlorococcus\n              and its phages and that the oceans are populated with rapidly growing\n              Prochlorococcus\n              cells with varying degrees of phage resistance.\n            \n          , \n            \n              Prochlorococcus\n              is an abundant marine cyanobacterium that grows rapidly in the environment and contributes significantly to global primary production. This cyanobacterium coexists with many cyanophages in the oceans, likely aided by resistance to numerous co-occurring phages. Spontaneous resistance occurs frequently in\n              Prochlorococcus\n              and is often accompanied by a pleiotropic fitness cost manifested as either a reduced growth rate or enhanced infection by other phages. Here, we assessed the fate of a number of phage-resistant\n              Prochlorococcus\n              strains, focusing on those with a high fitness cost. We found that phage-resistant strains continued evolving toward an improved growth rate and a narrower resistance range, resulting in lineages with phenotypes intermediate between those of ancestral susceptible wild-type and initial resistant substrains. Changes in growth rate and resistance range often occurred in independent events, leading to a decoupling of the selection pressures acting on these phenotypes. These changes were largely the result of additional, compensatory mutations in noncore genes located in genomic islands, although genetic reversions were also observed. Additionally, a mutator strain was identified. The similarity of the evolutionary pathway followed by multiple independent resistant cultures and clones suggests they undergo a predictable evolutionary pathway. This process serves to increase both genetic diversity and infection permutations in\n              Prochlorococcus\n              populations, further augmenting the complexity of the interaction network between\n              Prochlorococcus\n              and its phages in nature. Last, our findings provide an explanation for the apparent paradox of a multitude of resistant\n              Prochlorococcus\n              cells in nature that are growing close to their maximal intrinsic growth rates.","container-title":"Proceedings of the National Academy of Sciences","DOI":"10.1073/pnas.1420347112","ISSN":"0027-8424, 1091-6490","issue":"17","journalAbbreviation":"Proc. Natl. Acad. Sci. U.S.A.","language":"en","source":"DOI.org (Crossref)","title":"Convergent evolution toward an improved growth rate and a reduced resistance range in &lt;i&gt;Prochlorococcus&lt;/i&gt; strains resistant to phage","URL":"https://pnas.org/doi/full/10.1073/pnas.1420347112","volume":"112","author":[{"family":"Avrani","given":""},{"family":"Lindell","given":"Debbie"}],"accessed":{"date-parts":[["2024",2,2]]},"issued":{"date-parts":[["2015",4,28]]}}},{"id":4078,"uris":["http://zotero.org/users/6128296/items/MFD9JT3W"],"itemData":{"id":4078,"type":"article-journal","container-title":"Current Biology","DOI":"10.1016/j.cub.2017.02.043","ISSN":"09609822","issue":"11","journalAbbreviation":"Current Biology","language":"en","page":"R447-R448","source":"DOI.org (Crossref)","title":"Prochlorococcus","volume":"27","author":[{"family":"Chisholm","given":""}],"issued":{"date-parts":[["2017",6]]}}},{"id":6667,"uris":["http://zotero.org/users/6128296/items/GNQZ58HZ"],"itemData":{"id":6667,"type":"chapter","abstract":"Abstract\n            \n              Pro.chlor.o.coc.cus. Gr. prep.\n              pro\n              , before, primitive; Gr. masc. adj. chlôros green; Gr. masc. n.\n              kokkos\n              , grain or kernel; N.L. masc. n.\n              Prochlorococcus\n              , primitive green kernel (cell).\n            \n            Cyanobacteriota / Cyanophyceae / “Synechococcales” / Synechococcaceae / Prochlorococcus\n            \n              The genus\n              Prochlorococcus\n              currently includes the species\n              Prochlorococcus marinus\n              . Cells are oxygenic photoautotrophs that lack phycobilisomes.\n              Prochlorococcus\n              is prototrophic, requiring no organic substrates for g</w:instrText>
      </w:r>
      <w:r w:rsidR="00B6526E">
        <w:rPr>
          <w:rFonts w:ascii="Times New Roman" w:hAnsi="Times New Roman" w:cs="Times New Roman" w:hint="eastAsia"/>
          <w:sz w:val="24"/>
          <w:szCs w:val="24"/>
        </w:rPr>
        <w:instrText>rowth, although some strains can import several types of organic carbon. Cells do not fix dinitrogen. Cells are small non</w:instrText>
      </w:r>
      <w:r w:rsidR="00B6526E">
        <w:rPr>
          <w:rFonts w:ascii="Times New Roman" w:hAnsi="Times New Roman" w:cs="Times New Roman" w:hint="eastAsia"/>
          <w:sz w:val="24"/>
          <w:szCs w:val="24"/>
        </w:rPr>
        <w:instrText>‐</w:instrText>
      </w:r>
      <w:r w:rsidR="00B6526E">
        <w:rPr>
          <w:rFonts w:ascii="Times New Roman" w:hAnsi="Times New Roman" w:cs="Times New Roman" w:hint="eastAsia"/>
          <w:sz w:val="24"/>
          <w:szCs w:val="24"/>
        </w:rPr>
        <w:instrText>motile cocci that possess no known extracellular appendages. The major core lipids of cell membranes are sulfolipids and glycolipids.</w:instrText>
      </w:r>
      <w:r w:rsidR="00B6526E">
        <w:rPr>
          <w:rFonts w:ascii="Times New Roman" w:hAnsi="Times New Roman" w:cs="Times New Roman"/>
          <w:sz w:val="24"/>
          <w:szCs w:val="24"/>
        </w:rPr>
        <w:instrText xml:space="preserve">\n              Prochlorococcus\n              is strictly marine and numerically dominates the phytoplankton community in the oligotrophic region of the ocean.\n            \n            \n              DNA G + C content (mol%)\n              : 31–51.\n            \n            \n              Type species\n              :\n              Prochlorococcus marinus\n              Chisholm et al. 1992, VL79.","container-title":"Bergey's Manual of Systematics of Archaea and Bacteria","edition":"1","ISBN":"978-1-118-96060-8","language":"en","note":"DOI: 10.1002/9781118960608.gbm00420.pub2","page":"1-18","publisher":"Wiley","source":"DOI.org (Crossref)","title":"&lt;i&gt;Prochlorococcus&lt;/i&gt;","URL":"https://onlinelibrary.wiley.com/doi/10.1002/9781118960608.gbm00420.pub2","editor":[{"family":"Whitman","given":"William B."}],"author":[{"family":"Zinser","given":""},{"family":"Martiny","given":"Adam C."}],"accessed":{"date-parts":[["2024",4,23]]},"issued":{"date-parts":[["2023",10,30]]}}},{"id":2095,"uris":["http://zotero.org/users/6128296/items/MGSFTWLC"],"itemData":{"id":2095,"type":"article-journal","abstract":"Prochlorococcus is the key phytoplanktonic organism of tropical gyres, large ocean regions that are depleted of the essential macronutrients needed for photosynthesis and cell growth. This cyanobacterium has adapted itself to oligotrophy by minimizing the resources necessary for life through a drastic reduction of cell and genome sizes. This rarely observed strategy in freeliving organisms has conferred on Prochlorococcus a considerable advantage over other phototrophs, including its closest relative Synechococcus, for life in this vast yet little variable ecosystem. However, this strategy seems to reach its limits in the upper layer of the S Paciﬁc gyre, the most oligotrophic region of the world ocean. By losing some important genes and/or functions during evolution, Prochlorococcus has seemingly become dependent on co-occurring microorganisms. In this review, we present some of the recent advances in the ecology, biology, and evolution of Prochlorococcus, which because of its ecological importance and tiny genome is rapidly imposing itself as a model organism in environmental microbiology.","container-title":"Annual Review of Marine Science","DOI":"10.1146/annurev-marine-120308-081034","ISSN":"1941-1405, 1941-0611","issue":"1","journalAbbreviation":"Annu. Rev. Mar. Sci.","language":"en","page":"305-331","source":"DOI.org (Crossref)","title":"&lt;i&gt;Prochlorococcus&lt;/i&gt; : Advantages and Limits of Minimalism","title-short":"&lt;i&gt;Prochlorococcus&lt;/i&gt;","volume":"2","author":[{"family":"Partensky","given":""},{"family":"Garczarek","given":"Laurence"}],"issued":{"date-parts":[["2010",1]]}}}],"schema":"https://github.com/citation-style-language/schema/raw/master/csl-citation.json"} </w:instrText>
      </w:r>
      <w:r w:rsidR="0088074D">
        <w:rPr>
          <w:rFonts w:ascii="Times New Roman" w:hAnsi="Times New Roman" w:cs="Times New Roman"/>
          <w:sz w:val="24"/>
          <w:szCs w:val="24"/>
        </w:rPr>
        <w:fldChar w:fldCharType="separate"/>
      </w:r>
      <w:r w:rsidR="00B6526E">
        <w:rPr>
          <w:rFonts w:ascii="Times New Roman" w:hAnsi="Times New Roman" w:cs="Times New Roman"/>
          <w:noProof/>
          <w:sz w:val="24"/>
          <w:szCs w:val="24"/>
        </w:rPr>
        <w:t>(Garcia-Fernandez, de Marsac, and Diez 2004; Avrani and Lindell 2015; Chisholm 2017; Zinser and Martiny 2023; Partensky and Garczarek 2010)</w:t>
      </w:r>
      <w:r w:rsidR="0088074D">
        <w:rPr>
          <w:rFonts w:ascii="Times New Roman" w:hAnsi="Times New Roman" w:cs="Times New Roman"/>
          <w:sz w:val="24"/>
          <w:szCs w:val="24"/>
        </w:rPr>
        <w:fldChar w:fldCharType="end"/>
      </w:r>
      <w:r w:rsidR="00F32DE0">
        <w:rPr>
          <w:rFonts w:ascii="Times New Roman" w:hAnsi="Times New Roman" w:cs="Times New Roman"/>
          <w:sz w:val="24"/>
          <w:szCs w:val="24"/>
        </w:rPr>
        <w:t xml:space="preserve">, meaning that it likely strategically cut genes, and associated </w:t>
      </w:r>
      <w:r w:rsidR="00DC3763">
        <w:rPr>
          <w:rFonts w:ascii="Times New Roman" w:hAnsi="Times New Roman" w:cs="Times New Roman"/>
          <w:sz w:val="24"/>
          <w:szCs w:val="24"/>
        </w:rPr>
        <w:t>proteins</w:t>
      </w:r>
      <w:r w:rsidR="00F32DE0">
        <w:rPr>
          <w:rFonts w:ascii="Times New Roman" w:hAnsi="Times New Roman" w:cs="Times New Roman"/>
          <w:sz w:val="24"/>
          <w:szCs w:val="24"/>
        </w:rPr>
        <w:t xml:space="preserve"> and functions, from </w:t>
      </w:r>
      <w:r w:rsidR="00DC3763">
        <w:rPr>
          <w:rFonts w:ascii="Times New Roman" w:hAnsi="Times New Roman" w:cs="Times New Roman"/>
          <w:sz w:val="24"/>
          <w:szCs w:val="24"/>
        </w:rPr>
        <w:t>various</w:t>
      </w:r>
      <w:r w:rsidR="00F32DE0">
        <w:rPr>
          <w:rFonts w:ascii="Times New Roman" w:hAnsi="Times New Roman" w:cs="Times New Roman"/>
          <w:sz w:val="24"/>
          <w:szCs w:val="24"/>
        </w:rPr>
        <w:t xml:space="preserve"> </w:t>
      </w:r>
      <w:r w:rsidR="00DC3763">
        <w:rPr>
          <w:rFonts w:ascii="Times New Roman" w:hAnsi="Times New Roman" w:cs="Times New Roman"/>
          <w:sz w:val="24"/>
          <w:szCs w:val="24"/>
        </w:rPr>
        <w:t>areas</w:t>
      </w:r>
      <w:r w:rsidR="00F32DE0">
        <w:rPr>
          <w:rFonts w:ascii="Times New Roman" w:hAnsi="Times New Roman" w:cs="Times New Roman"/>
          <w:sz w:val="24"/>
          <w:szCs w:val="24"/>
        </w:rPr>
        <w:t xml:space="preserve"> of cellular life</w:t>
      </w:r>
      <w:r w:rsidR="00DC3763">
        <w:rPr>
          <w:rFonts w:ascii="Times New Roman" w:hAnsi="Times New Roman" w:cs="Times New Roman"/>
          <w:sz w:val="24"/>
          <w:szCs w:val="24"/>
        </w:rPr>
        <w:t xml:space="preserve"> </w:t>
      </w:r>
      <w:r w:rsidR="00DC3763">
        <w:rPr>
          <w:rFonts w:ascii="Times New Roman" w:hAnsi="Times New Roman" w:cs="Times New Roman"/>
          <w:sz w:val="24"/>
          <w:szCs w:val="24"/>
        </w:rPr>
        <w:fldChar w:fldCharType="begin"/>
      </w:r>
      <w:r w:rsidR="00DC3763">
        <w:rPr>
          <w:rFonts w:ascii="Times New Roman" w:hAnsi="Times New Roman" w:cs="Times New Roman"/>
          <w:sz w:val="24"/>
          <w:szCs w:val="24"/>
        </w:rPr>
        <w:instrText xml:space="preserve"> ADDIN ZOTERO_ITEM CSL_CITATION {"citationID":"YdiHBx76","properties":{"formattedCitation":"(Kettler et al. 2007; Morris, Lenski, and Zinser 2012)","plainCitation":"(Kettler et al. 2007; Morris, Lenski, and Zinser 2012)","noteIndex":0},"citationItems":[{"id":1963,"uris":["http://zotero.org/users/6128296/items/7CLYAHLM"],"itemData":{"id":1963,"type":"article-journal","container-title":"PLoS Genetics","issue":"12","language":"en","page":"14","source":"Zotero","title":"Patterns and Implications of Gene Gain and Loss in the Evolution of Prochlorococcus","volume":"3","author":[{"family":"Kettler","given":""},{"family":"Martiny","given":"Adam C"},{"family":"Huang","given":"Katherine"},{"family":"Zucker","given":"Jeremy"},{"family":"Coleman","given":"Maureen L"},{"family":"Rodrigue","given":"Sebastien"},{"family":"Chen","given":"Feng"},{"family":"Lapidus","given":"Alla"},{"family":"Ferriera","given":"Steven"},{"family":"Johnson","given":"Justin"},{"family":"Steglich","given":"Claudia"},{"family":"Church","given":"George M"},{"family":"Richardson","given":"Paul"},{"family":"Chisholm","given":"Sallie W"}],"issued":{"date-parts":[["2007"]]}}},{"id":114,"uris":["http://zotero.org/users/6128296/items/RAQDXC7K"],"itemData":{"id":114,"type":"article-journal","abstract":"Reductive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DC3763">
        <w:rPr>
          <w:rFonts w:ascii="Times New Roman" w:hAnsi="Times New Roman" w:cs="Times New Roman"/>
          <w:sz w:val="24"/>
          <w:szCs w:val="24"/>
        </w:rPr>
        <w:fldChar w:fldCharType="separate"/>
      </w:r>
      <w:r w:rsidR="00DC3763">
        <w:rPr>
          <w:rFonts w:ascii="Times New Roman" w:hAnsi="Times New Roman" w:cs="Times New Roman"/>
          <w:noProof/>
          <w:sz w:val="24"/>
          <w:szCs w:val="24"/>
        </w:rPr>
        <w:t xml:space="preserve">(Kettler </w:t>
      </w:r>
      <w:r w:rsidR="00183222" w:rsidRPr="00183222">
        <w:rPr>
          <w:rFonts w:ascii="Times New Roman" w:hAnsi="Times New Roman" w:cs="Times New Roman"/>
          <w:i/>
          <w:iCs/>
          <w:sz w:val="24"/>
          <w:szCs w:val="24"/>
        </w:rPr>
        <w:t>et al</w:t>
      </w:r>
      <w:r w:rsidR="00DC3763">
        <w:rPr>
          <w:rFonts w:ascii="Times New Roman" w:hAnsi="Times New Roman" w:cs="Times New Roman"/>
          <w:noProof/>
          <w:sz w:val="24"/>
          <w:szCs w:val="24"/>
        </w:rPr>
        <w:t>. 2007; Morris, Lenski, and Zinser 2012)</w:t>
      </w:r>
      <w:r w:rsidR="00DC3763">
        <w:rPr>
          <w:rFonts w:ascii="Times New Roman" w:hAnsi="Times New Roman" w:cs="Times New Roman"/>
          <w:sz w:val="24"/>
          <w:szCs w:val="24"/>
        </w:rPr>
        <w:fldChar w:fldCharType="end"/>
      </w:r>
      <w:r w:rsidR="00F32DE0">
        <w:rPr>
          <w:rFonts w:ascii="Times New Roman" w:hAnsi="Times New Roman" w:cs="Times New Roman"/>
          <w:sz w:val="24"/>
          <w:szCs w:val="24"/>
        </w:rPr>
        <w:t xml:space="preserve">. </w:t>
      </w:r>
      <w:r w:rsidR="00E864C6" w:rsidRPr="003609FB">
        <w:rPr>
          <w:rFonts w:ascii="Times New Roman" w:hAnsi="Times New Roman" w:cs="Times New Roman"/>
          <w:sz w:val="24"/>
          <w:szCs w:val="24"/>
        </w:rPr>
        <w:t xml:space="preserve">For example, high light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E864C6" w:rsidRPr="00B6526E">
        <w:rPr>
          <w:rFonts w:ascii="Times New Roman" w:hAnsi="Times New Roman" w:cs="Times New Roman"/>
          <w:i/>
          <w:iCs/>
          <w:sz w:val="24"/>
          <w:szCs w:val="24"/>
        </w:rPr>
        <w:t>spp</w:t>
      </w:r>
      <w:r w:rsidR="00E864C6" w:rsidRPr="003609FB">
        <w:rPr>
          <w:rFonts w:ascii="Times New Roman" w:hAnsi="Times New Roman" w:cs="Times New Roman"/>
          <w:sz w:val="24"/>
          <w:szCs w:val="24"/>
        </w:rPr>
        <w:t xml:space="preserve">. form fewer photosystem subunits presumably to decrease nitrogen constraint in the higher light conditions </w:t>
      </w:r>
      <w:r w:rsidR="0028159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{"citationID":"s01SwBsd","properties":{"formattedCitation":"(MacGregor-Chatwin et al. 2019)","plainCitation":"(MacGregor-Chatwin et al. 2019)","noteIndex":0},"citationItems":[{"id":4459,"uris":["http://zotero.org/users/6128296/items/XVBMFGIT"],"itemData":{"id":4459,"type":"article-journal","container-title":"Nature Plants","DOI":"10.1038/s41477-019-0475-z","ISSN":"2055-0278","issue":"8","journalAbbreviation":"Nat. Plants","language":"en","page":"879-889","source":"DOI.org (Crossref)","title":"Membrane organization of photosystem I complexes in the most abundant phototroph on Earth","volume":"5","author":[{"family":"MacGregor-Chatwin","given":""},{"family":"Jackson","given":"P. J."},{"family":"Sener","given":"M."},{"family":"Chidgey","given":"J. W."},{"family":"Hitchcock","given":"A."},{"family":"Qian","given":"P."},{"family":"Mayneord","given":"G. E."},{"family":"Johnson","given":"M. P."},{"family":"Luthey-Schulten","given":"Z."},{"family":"Dickman","given":"M. J."},{"family":"Scanlan","given":"D. J."},{"family":"Hunter","given":"C. N."}],"issued":{"date-parts":[["2019",7,22]]}}}],"schema":"https://github.com/citation-style-language/schema/raw/master/csl-citation.json"} </w:instrText>
      </w:r>
      <w:r w:rsidR="0028159B"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(MacGregor-Chatwin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2019)</w:t>
      </w:r>
      <w:r w:rsidR="0028159B" w:rsidRPr="003609FB">
        <w:rPr>
          <w:rFonts w:ascii="Times New Roman" w:hAnsi="Times New Roman" w:cs="Times New Roman"/>
          <w:sz w:val="24"/>
          <w:szCs w:val="24"/>
        </w:rPr>
        <w:fldChar w:fldCharType="end"/>
      </w:r>
      <w:r w:rsidR="00E864C6" w:rsidRPr="003609FB">
        <w:rPr>
          <w:rFonts w:ascii="Times New Roman" w:hAnsi="Times New Roman" w:cs="Times New Roman"/>
          <w:sz w:val="24"/>
          <w:szCs w:val="24"/>
        </w:rPr>
        <w:t xml:space="preserve"> while they also have cut all </w:t>
      </w:r>
      <w:r w:rsidR="00F32DE0">
        <w:rPr>
          <w:rFonts w:ascii="Times New Roman" w:hAnsi="Times New Roman" w:cs="Times New Roman"/>
          <w:sz w:val="24"/>
          <w:szCs w:val="24"/>
        </w:rPr>
        <w:t xml:space="preserve">genes for </w:t>
      </w:r>
      <w:proofErr w:type="spellStart"/>
      <w:r w:rsidR="00E864C6" w:rsidRPr="003609FB">
        <w:rPr>
          <w:rFonts w:ascii="Times New Roman" w:hAnsi="Times New Roman" w:cs="Times New Roman"/>
          <w:sz w:val="24"/>
          <w:szCs w:val="24"/>
        </w:rPr>
        <w:t>phycobilosomes</w:t>
      </w:r>
      <w:proofErr w:type="spellEnd"/>
      <w:r w:rsidR="00F32DE0">
        <w:rPr>
          <w:rFonts w:ascii="Times New Roman" w:hAnsi="Times New Roman" w:cs="Times New Roman"/>
          <w:sz w:val="24"/>
          <w:szCs w:val="24"/>
        </w:rPr>
        <w:t xml:space="preserve"> from their genome over the span of their evolution</w:t>
      </w:r>
      <w:r w:rsidR="00E864C6" w:rsidRPr="003609FB">
        <w:rPr>
          <w:rFonts w:ascii="Times New Roman" w:hAnsi="Times New Roman" w:cs="Times New Roman"/>
          <w:sz w:val="24"/>
          <w:szCs w:val="24"/>
        </w:rPr>
        <w:t xml:space="preserve"> </w:t>
      </w:r>
      <w:r w:rsidR="003F7C0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{"citationID":"EeIrIp0a","properties":{"formattedCitation":"(Ulloa et al. 2021; Urbach et al. 1998)","plainCitation":"(Ulloa et al. 2021; Urbach et al. 1998)","noteIndex":0},"citationItems":[{"id":4003,"uris":["http://zotero.org/users/6128296/items/9ER9RFU8"],"itemData":{"id":4003,"type":"article-journal","abstract":"Significance\n            \n              The marine unicellular cyanobacterium\n              Prochlorococcus\n              is the most abundant photosynthetic organism on Earth. Members of this genus are classically thought to be adapted to high-oxygen and nutrient-poor ocean conditions, with a principle divergence between high-light and low-light ecotypes. We show that the most basal\n              Prochlorococcus\n              lineages are adapted to the low-oxygen, low-light, and high-nutrient conditions found in the dimly illuminated waters of anoxic marine zones. The most basal lineages have retained phycobilisomes as light-harvesting antennae—a characteristic of most other cyanobacteria—whose loss was thought to define all\n              Prochlorococcus\n              . As oxygenic photosynthesis drove ocean oxidation in the ancient Earth, oxygen appears to have played as much a role as light and nutrients in driving\n              Prochlorococcus\n              evolution.\n            \n          , \n            \n              Marine picocyanobacteria of the genus\n              Prochlorococcus\n              are the most abundant photosynthetic organisms in the modern ocean, where they exert a profound influence on elemental cycling and energy flow. The use of transmembrane chlorophyll complexes instead of phycobilisomes as light-harvesting antennae is considered a defining attribute of\n              Prochlorococcus\n              . Its ecology and evolution are understood in terms of light, temperature, and nutrients. Here, we report single-cell genomic information on previously uncharacterized phylogenetic lineages of this genus from nutrient-rich anoxic waters of the eastern tropical North and South Pacific Ocean. The most basal lineages exhibit optical and genotypic properties of phycobilisome-containing cyanobacteria, indicating that the characteristic light-harvesting antenna of the group is not an ancestral attribute. Additionally, we found that all the indigenous lineages analyzed encode genes for pigment biosynthesis under oxygen-limited conditions, a trait shared with other freshwater and coastal marine cyanobacteria. Our findings thus suggest that\n              Prochlorococcus\n              diverged from other cyanobacteria under low-oxygen conditions before transitioning from phycobilisomes to transmembrane chlorophyll complexes and may have contributed to the oxidation of the ancient ocean.","container-title":"Proceedings of the National Academy of Sciences","DOI":"10.1073/pnas.2025638118","ISSN":"0027-8424, 1091-6490","issue":"11","journalAbbreviation":"Proc. Natl. Acad. Sci. U.S.A.","language":"en","page":"e2025638118","source":"DOI.org (Crossref)","title":"The cyanobacterium &lt;i&gt;Prochlorococcus&lt;/i&gt; has divergent light-harvesting antennae and may have evolved in a low-oxygen ocean","volume":"118","author":[{"family":"Ulloa","given":""},{"family":"Henríquez-Castillo","given":"Carlos"},{"family":"Ramírez-Flandes","given":"Salvador"},{"family":"Plominsky","given":"Alvaro M."},{"family":"Murillo","given":"Alejandro A."},{"family":"Morgan-Lang","given":"Connor"},{"family":"Hallam","given":"Steven J."},{"family":"Stepanauskas","given":"Ramunas"}],"issued":{"date-parts":[["2021",3,16]]}}},{"id":4016,"uris":["http://zotero.org/users/6128296/items/MHCTGEGG"],"itemData":{"id":4016,"type":"article-journal","container-title":"Journal of Molecular Evolution","DOI":"10.1007/PL00006294","ISSN":"0022-2844","issue":"2","journalAbbreviation":"J Mol Evol","language":"en","page":"188-201","source":"DOI.org (Crossref)","title":"Rapid Diversification of Marine Picophytoplankton with Dissimilar Light-Harvesting Structures Inferred from Sequences of Prochlorococcus and Synechococcus (Cyanobacteria)","volume":"46","author":[{"family":"Urbach","given":""},{"family":"Scanlan","given":"David J."},{"family":"Distel","given":"Daniel L."},{"family":"Waterbury","given":"John B."},{"family":"Chisholm","given":"Sallie W."}],"issued":{"date-parts":[["1998",2]]}}}],"schema":"https://github.com/citation-style-language/schema/raw/master/csl-citation.json"} </w:instrText>
      </w:r>
      <w:r w:rsidR="003F7C0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(Ulloa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2021; Urbach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1998)</w:t>
      </w:r>
      <w:r w:rsidR="003F7C03" w:rsidRPr="003609FB">
        <w:rPr>
          <w:rFonts w:ascii="Times New Roman" w:hAnsi="Times New Roman" w:cs="Times New Roman"/>
          <w:sz w:val="24"/>
          <w:szCs w:val="24"/>
        </w:rPr>
        <w:fldChar w:fldCharType="end"/>
      </w:r>
      <w:r w:rsidR="00F32DE0">
        <w:rPr>
          <w:rFonts w:ascii="Times New Roman" w:hAnsi="Times New Roman" w:cs="Times New Roman"/>
          <w:sz w:val="24"/>
          <w:szCs w:val="24"/>
        </w:rPr>
        <w:t xml:space="preserve">. It is key to note </w:t>
      </w:r>
      <w:r w:rsidR="00E864C6" w:rsidRPr="003609FB">
        <w:rPr>
          <w:rFonts w:ascii="Times New Roman" w:hAnsi="Times New Roman" w:cs="Times New Roman"/>
          <w:sz w:val="24"/>
          <w:szCs w:val="24"/>
        </w:rPr>
        <w:t xml:space="preserve">that </w:t>
      </w:r>
      <w:r w:rsidR="00F32DE0">
        <w:rPr>
          <w:rFonts w:ascii="Times New Roman" w:hAnsi="Times New Roman" w:cs="Times New Roman"/>
          <w:sz w:val="24"/>
          <w:szCs w:val="24"/>
        </w:rPr>
        <w:t xml:space="preserve">these proteins </w:t>
      </w:r>
      <w:r w:rsidR="00E864C6" w:rsidRPr="003609FB">
        <w:rPr>
          <w:rFonts w:ascii="Times New Roman" w:hAnsi="Times New Roman" w:cs="Times New Roman"/>
          <w:sz w:val="24"/>
          <w:szCs w:val="24"/>
        </w:rPr>
        <w:t xml:space="preserve">are known to be especially nitrogen and metal heavy </w:t>
      </w:r>
      <w:r w:rsidR="003F7C03"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{"citationID":"erePtLrz","properties":{"formattedCitation":"(Barynin et al. 2001; Brill and Williams 1961)","plainCitation":"(Barynin et al. 2001; Brill and Williams 1961)","noteIndex":0},"citationItems":[{"id":3057,"uris":["http://zotero.org/users/6128296/items/H374IG4C"],"itemData":{"id":3057,"type":"article-journal","abstract":"Background: Catalases are important antioxidant metalloenzymes that catalyze disproportionation of hydrogen peroxide, forming dioxygen and water. Two families of catalases are known, one having a heme cofactor, and the other, a structurally distinct family containing nonheme manganese. We have solved the structure of the mesophilic manganese catalase from Lactobacillus plantarum and its azide-inhibited complex.","container-title":"Elsevier Science : Structure","language":"en","page":"725–738,","source":"Zotero","title":"Crystal Structure of Manganese Catalase from Lactobacillus plantarum","volume":"Vol. 9","author":[{"family":"Barynin","given":""},{"family":"Whittaker","given":"Mei M"},{"family":"Antonyuk","given":"Svetlana V"},{"family":"Lamzin","given":"Victor S"},{"family":"Harrison","given":"Pauline M"},{"family":"Artymiuk","given":"Peter J"},{"family":"Whittaker","given":"James W"}],"issued":{"date-parts":[["2001"]]}}},{"id":3987,"uris":["http://zotero.org/users/6128296/items/REFH6LIT"],"itemData":{"id":3987,"type":"article-journal","container-title":"Biochemical Journal","DOI":"10.1042/bj0780253","ISSN":"0306-3283","issue":"2","language":"en","page":"253-262","source":"DOI.org (Crossref)","title":"Primary compounds of catalase and peroxidase","volume":"78","author":[{"family":"Brill","given":""},{"family":"Williams","given":"R. J. P."}],"issued":{"date-parts":[["1961",2,1]]}}}],"schema":"https://github.com/citation-style-language/schema/raw/master/csl-citation.json"} </w:instrText>
      </w:r>
      <w:r w:rsidR="003F7C0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(Barynin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2001; Brill and Williams 1961)</w:t>
      </w:r>
      <w:r w:rsidR="003F7C03" w:rsidRPr="003609FB">
        <w:rPr>
          <w:rFonts w:ascii="Times New Roman" w:hAnsi="Times New Roman" w:cs="Times New Roman"/>
          <w:sz w:val="24"/>
          <w:szCs w:val="24"/>
        </w:rPr>
        <w:fldChar w:fldCharType="end"/>
      </w:r>
      <w:r w:rsidR="00F32DE0">
        <w:rPr>
          <w:rFonts w:ascii="Times New Roman" w:hAnsi="Times New Roman" w:cs="Times New Roman"/>
          <w:sz w:val="24"/>
          <w:szCs w:val="24"/>
        </w:rPr>
        <w:t xml:space="preserve">, similar to catalase proteins </w:t>
      </w:r>
      <w:r w:rsidR="00F32DE0">
        <w:rPr>
          <w:rFonts w:ascii="Times New Roman" w:hAnsi="Times New Roman" w:cs="Times New Roman"/>
          <w:sz w:val="24"/>
          <w:szCs w:val="24"/>
        </w:rPr>
        <w:fldChar w:fldCharType="begin"/>
      </w:r>
      <w:r w:rsidR="00F32DE0">
        <w:rPr>
          <w:rFonts w:ascii="Times New Roman" w:hAnsi="Times New Roman" w:cs="Times New Roman"/>
          <w:sz w:val="24"/>
          <w:szCs w:val="24"/>
        </w:rPr>
        <w:instrText xml:space="preserve"> ADDIN ZOTERO_ITEM CSL_CITATION {"citationID":"wAn3sQvS","properties":{"formattedCitation":"(Chelikani, Fita, and Loewen 2004; Barynin et al. 2001)","plainCitation":"(Chelikani, Fita, and Loewen 2004; Barynin et al. 2001)","noteIndex":0},"citationItems":[{"id":3139,"uris":["http://zotero.org/users/6128296/items/TTNFG3TL"],"itemData":{"id":3139,"type":"article-journal","abstract":"Abstract. More than 300 catalase sequences are now available, divided among monofunctional catalases (&gt; 225), bifunctional catalase-peroxidases (&gt; 50) and manganese-containing catalases (&gt; 25). When combined with the recent appearance of crystal structures from at least two representatives from each of these groups (nine from the monofunctional catalases), valuable insights into the catalatic reaction mechanism in its various forms and into catalase evolution have been gained. The structures have revealed an unusually large number of modifiCMLS, Cell. Mol. Life Sci. 61 (2004) 192 – 208 1420-682X/04/020192-17 DOI 10.1007/s00018-003-3206-5 © Birkhäuser Verlag, Basel, 2004 CMLS Cellular and Molecular Life Sciences cations unique to catalases, a result of interacting with reactive oxygen species. Biochemical and physiological characterization of catalases from many different organisms has revealed a surprisingly wide range of catalatic efficiencies, despite similar sequences. Catalase gene expression in micro-organisms generally is controlled either by sensors of reactive oxygen species or by growth phase regulons, although the detailed mechanisms vary considerably.","container-title":"Cellular and Molecular Life Sciences (CMLS)","DOI":"10.1007/s00018-003-3206-5","ISSN":"1420-682X, 1420-9071","issue":"2","journalAbbreviation":"Cellular and Molecular Life Sciences (CMLS)","language":"en","page":"192-208","source":"DOI.org (Crossref)","title":"Diversity of structures and properties among catalases","volume":"61","author":[{"family":"Chelikani","given":""},{"family":"Fita","given":"I."},{"family":"Loewen","given":"P. C."}],"issued":{"date-parts":[["2004",1,1]]}}},{"id":3057,"uris":["http://zotero.org/users/6128296/items/H374IG4C"],"itemData":{"id":3057,"type":"article-journal","abstract":"Background: Catalases are important antioxidant metalloenzymes that catalyze disproportionation of hydrogen peroxide, forming dioxygen and water. Two families of catalases are known, one having a heme cofactor, and the other, a structurally distinct family containing nonheme manganese. We have solved the structure of the mesophilic manganese catalase from Lactobacillus plantarum and its azide-inhibited complex.","container-title":"Elsevier Science : Structure","language":"en","page":"725–738,","source":"Zotero","title":"Crystal Structure of Manganese Catalase from Lactobacillus plantarum","volume":"Vol. 9","author":[{"family":"Barynin","given":""},{"family":"Whittaker","given":"Mei M"},{"family":"Antonyuk","given":"Svetlana V"},{"family":"Lamzin","given":"Victor S"},{"family":"Harrison","given":"Pauline M"},{"family":"Artymiuk","given":"Peter J"},{"family":"Whittaker","given":"James W"}],"issued":{"date-parts":[["2001"]]}}}],"schema":"https://github.com/citation-style-language/schema/raw/master/csl-citation.json"} </w:instrText>
      </w:r>
      <w:r w:rsidR="00F32DE0">
        <w:rPr>
          <w:rFonts w:ascii="Times New Roman" w:hAnsi="Times New Roman" w:cs="Times New Roman"/>
          <w:sz w:val="24"/>
          <w:szCs w:val="24"/>
        </w:rPr>
        <w:fldChar w:fldCharType="separate"/>
      </w:r>
      <w:r w:rsidR="00F32DE0">
        <w:rPr>
          <w:rFonts w:ascii="Times New Roman" w:hAnsi="Times New Roman" w:cs="Times New Roman"/>
          <w:noProof/>
          <w:sz w:val="24"/>
          <w:szCs w:val="24"/>
        </w:rPr>
        <w:t xml:space="preserve">(Chelikani, Fita, and Loewen 2004; Barynin </w:t>
      </w:r>
      <w:r w:rsidR="00183222" w:rsidRPr="00183222">
        <w:rPr>
          <w:rFonts w:ascii="Times New Roman" w:hAnsi="Times New Roman" w:cs="Times New Roman"/>
          <w:i/>
          <w:iCs/>
          <w:sz w:val="24"/>
          <w:szCs w:val="24"/>
        </w:rPr>
        <w:t>et al</w:t>
      </w:r>
      <w:r w:rsidR="00F32DE0">
        <w:rPr>
          <w:rFonts w:ascii="Times New Roman" w:hAnsi="Times New Roman" w:cs="Times New Roman"/>
          <w:noProof/>
          <w:sz w:val="24"/>
          <w:szCs w:val="24"/>
        </w:rPr>
        <w:t>. 2001)</w:t>
      </w:r>
      <w:r w:rsidR="00F32DE0">
        <w:rPr>
          <w:rFonts w:ascii="Times New Roman" w:hAnsi="Times New Roman" w:cs="Times New Roman"/>
          <w:sz w:val="24"/>
          <w:szCs w:val="24"/>
        </w:rPr>
        <w:fldChar w:fldCharType="end"/>
      </w:r>
      <w:r w:rsidR="00F32DE0">
        <w:rPr>
          <w:rFonts w:ascii="Times New Roman" w:hAnsi="Times New Roman" w:cs="Times New Roman"/>
          <w:sz w:val="24"/>
          <w:szCs w:val="24"/>
        </w:rPr>
        <w:t xml:space="preserve">. Thus </w:t>
      </w:r>
      <w:r w:rsidR="00F32DE0" w:rsidRPr="00F32DE0">
        <w:rPr>
          <w:rFonts w:ascii="Times" w:hAnsi="Times" w:cs="Times New Roman"/>
          <w:i/>
          <w:iCs/>
          <w:color w:val="000000" w:themeColor="text1"/>
          <w:sz w:val="24"/>
          <w:szCs w:val="24"/>
        </w:rPr>
        <w:t>Prochlorococcu</w:t>
      </w:r>
      <w:r w:rsidR="00F32DE0">
        <w:rPr>
          <w:rFonts w:ascii="Times" w:hAnsi="Times" w:cs="Times New Roman"/>
          <w:i/>
          <w:iCs/>
          <w:color w:val="000000" w:themeColor="text1"/>
          <w:sz w:val="24"/>
          <w:szCs w:val="24"/>
        </w:rPr>
        <w:t>s</w:t>
      </w:r>
      <w:r w:rsidR="00F32DE0" w:rsidRPr="00F32DE0">
        <w:rPr>
          <w:rFonts w:ascii="Times" w:hAnsi="Times" w:cs="Times New Roman"/>
          <w:color w:val="000000" w:themeColor="text1"/>
          <w:sz w:val="24"/>
          <w:szCs w:val="24"/>
        </w:rPr>
        <w:t xml:space="preserve"> may have ‘lost’</w:t>
      </w:r>
      <w:r w:rsidR="00CE5667">
        <w:rPr>
          <w:rFonts w:ascii="Times" w:hAnsi="Times" w:cs="Times New Roman"/>
          <w:color w:val="000000" w:themeColor="text1"/>
          <w:sz w:val="24"/>
          <w:szCs w:val="24"/>
        </w:rPr>
        <w:t xml:space="preserve"> or ‘cut’</w:t>
      </w:r>
      <w:r w:rsidR="00844BBC">
        <w:rPr>
          <w:rFonts w:ascii="Times" w:hAnsi="Times" w:cs="Times New Roman"/>
          <w:color w:val="000000" w:themeColor="text1"/>
          <w:sz w:val="24"/>
          <w:szCs w:val="24"/>
        </w:rPr>
        <w:t xml:space="preserve"> the </w:t>
      </w:r>
      <w:r w:rsidR="00477B22">
        <w:rPr>
          <w:rFonts w:ascii="Times" w:hAnsi="Times" w:cs="Times New Roman"/>
          <w:color w:val="000000" w:themeColor="text1"/>
          <w:sz w:val="24"/>
          <w:szCs w:val="24"/>
        </w:rPr>
        <w:t xml:space="preserve">genes for </w:t>
      </w:r>
      <w:proofErr w:type="spellStart"/>
      <w:r w:rsidR="00F32DE0">
        <w:rPr>
          <w:rFonts w:ascii="Times" w:hAnsi="Times" w:cs="Times New Roman"/>
          <w:color w:val="000000" w:themeColor="text1"/>
          <w:sz w:val="24"/>
          <w:szCs w:val="24"/>
        </w:rPr>
        <w:t>phycobilosomes</w:t>
      </w:r>
      <w:proofErr w:type="spellEnd"/>
      <w:r w:rsidR="00F32DE0" w:rsidRPr="00F32DE0">
        <w:rPr>
          <w:rFonts w:ascii="Times" w:hAnsi="Times" w:cs="Times New Roman"/>
          <w:color w:val="000000" w:themeColor="text1"/>
          <w:sz w:val="24"/>
          <w:szCs w:val="24"/>
        </w:rPr>
        <w:t xml:space="preserve"> and catalase</w:t>
      </w:r>
      <w:r w:rsidR="00477B22">
        <w:rPr>
          <w:rFonts w:ascii="Times" w:hAnsi="Times" w:cs="Times New Roman"/>
          <w:color w:val="000000" w:themeColor="text1"/>
          <w:sz w:val="24"/>
          <w:szCs w:val="24"/>
        </w:rPr>
        <w:t xml:space="preserve"> </w:t>
      </w:r>
      <w:r w:rsidR="00F32DE0">
        <w:rPr>
          <w:rFonts w:ascii="Times" w:hAnsi="Times" w:cs="Times New Roman"/>
          <w:color w:val="000000" w:themeColor="text1"/>
          <w:sz w:val="24"/>
          <w:szCs w:val="24"/>
        </w:rPr>
        <w:t xml:space="preserve">to minimize ‘wasted’ genetic space </w:t>
      </w:r>
      <w:r w:rsidR="00DC3763">
        <w:rPr>
          <w:rFonts w:ascii="Times" w:hAnsi="Times" w:cs="Times New Roman"/>
          <w:color w:val="000000" w:themeColor="text1"/>
          <w:sz w:val="24"/>
          <w:szCs w:val="24"/>
        </w:rPr>
        <w:fldChar w:fldCharType="begin"/>
      </w:r>
      <w:r w:rsidR="00DC3763">
        <w:rPr>
          <w:rFonts w:ascii="Times" w:hAnsi="Times" w:cs="Times New Roman"/>
          <w:color w:val="000000" w:themeColor="text1"/>
          <w:sz w:val="24"/>
          <w:szCs w:val="24"/>
        </w:rPr>
        <w:instrText xml:space="preserve"> ADDIN ZOTERO_ITEM CSL_CITATION {"citationID":"iaX72olu","properties":{"formattedCitation":"(Morris, Lenski, and Zinser 2012; Morris, Papoulis, and Lenski 2014)","plainCitation":"(Morris, Lenski, and Zinser 2012; Morris, Papoulis, and Lenski 2014)","noteIndex":0},"citationItems":[{"id":114,"uris":["http://zotero.org/users/6128296/items/RAQDXC7K"],"itemData":{"id":114,"type":"article-journal","abstract":"Reductive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809,"uris":["http://zotero.org/users/6128296/items/24U3N932"],"itemData":{"id":809,"type":"article-journal","container-title":"Evolution","DOI":"10.1111/evo.12485","ISSN":"00143820","issue":"10","journalAbbreviation":"Evolution","language":"en","page":"2960-2971","source":"DOI.org (Crossref)","title":"COEXISTENCE OF EVOLVING BACTERIA STABILIZED BY A SHARED BLACK QUEEN FUNCTION: EXPERIMENTAL EVOLUTION OF A BLACK QUEEN COMMUNITY","title-short":"COEXISTENCE OF EVOLVING BACTERIA STABILIZED BY A SHARED BLACK QUEEN FUNCTION","volume":"68","author":[{"family":"Morris","given":""},{"family":"Papoulis","given":"Spiridon E."},{"family":"Lenski","given":"Richard E."}],"issued":{"date-parts":[["2014",10]]}}}],"schema":"https://github.com/citation-style-language/schema/raw/master/csl-citation.json"} </w:instrText>
      </w:r>
      <w:r w:rsidR="00DC3763">
        <w:rPr>
          <w:rFonts w:ascii="Times" w:hAnsi="Times" w:cs="Times New Roman"/>
          <w:color w:val="000000" w:themeColor="text1"/>
          <w:sz w:val="24"/>
          <w:szCs w:val="24"/>
        </w:rPr>
        <w:fldChar w:fldCharType="separate"/>
      </w:r>
      <w:r w:rsidR="00DC3763">
        <w:rPr>
          <w:rFonts w:ascii="Times" w:hAnsi="Times" w:cs="Times New Roman"/>
          <w:noProof/>
          <w:color w:val="000000" w:themeColor="text1"/>
          <w:sz w:val="24"/>
          <w:szCs w:val="24"/>
        </w:rPr>
        <w:t>(Morris, Lenski, and Zinser 2012; Morris, Papoulis, and Lenski 2014)</w:t>
      </w:r>
      <w:r w:rsidR="00DC3763">
        <w:rPr>
          <w:rFonts w:ascii="Times" w:hAnsi="Times" w:cs="Times New Roman"/>
          <w:color w:val="000000" w:themeColor="text1"/>
          <w:sz w:val="24"/>
          <w:szCs w:val="24"/>
        </w:rPr>
        <w:fldChar w:fldCharType="end"/>
      </w:r>
      <w:r w:rsidR="00DC3763">
        <w:rPr>
          <w:rFonts w:ascii="Times" w:hAnsi="Times" w:cs="Times New Roman"/>
          <w:color w:val="000000" w:themeColor="text1"/>
          <w:sz w:val="24"/>
          <w:szCs w:val="24"/>
        </w:rPr>
        <w:t xml:space="preserve"> </w:t>
      </w:r>
      <w:r w:rsidR="00F32DE0">
        <w:rPr>
          <w:rFonts w:ascii="Times" w:hAnsi="Times" w:cs="Times New Roman"/>
          <w:color w:val="000000" w:themeColor="text1"/>
          <w:sz w:val="24"/>
          <w:szCs w:val="24"/>
        </w:rPr>
        <w:t xml:space="preserve">and reduce the amount of cellular material required </w:t>
      </w:r>
      <w:r w:rsidR="00844BBC">
        <w:rPr>
          <w:rFonts w:ascii="Times" w:hAnsi="Times" w:cs="Times New Roman"/>
          <w:color w:val="000000" w:themeColor="text1"/>
          <w:sz w:val="24"/>
          <w:szCs w:val="24"/>
        </w:rPr>
        <w:t xml:space="preserve">for growth. Thus allowing survival of </w:t>
      </w:r>
      <w:r w:rsidR="00844BBC" w:rsidRPr="00844BBC">
        <w:rPr>
          <w:rFonts w:ascii="Times" w:hAnsi="Times" w:cs="Times New Roman"/>
          <w:i/>
          <w:iCs/>
          <w:color w:val="000000" w:themeColor="text1"/>
          <w:sz w:val="24"/>
          <w:szCs w:val="24"/>
        </w:rPr>
        <w:t>Prochlorococcus</w:t>
      </w:r>
      <w:r w:rsidR="00844BBC">
        <w:rPr>
          <w:rFonts w:ascii="Times" w:hAnsi="Times" w:cs="Times New Roman"/>
          <w:color w:val="000000" w:themeColor="text1"/>
          <w:sz w:val="24"/>
          <w:szCs w:val="24"/>
        </w:rPr>
        <w:t xml:space="preserve"> </w:t>
      </w:r>
      <w:r w:rsidR="00F32DE0">
        <w:rPr>
          <w:rFonts w:ascii="Times" w:hAnsi="Times" w:cs="Times New Roman"/>
          <w:color w:val="000000" w:themeColor="text1"/>
          <w:sz w:val="24"/>
          <w:szCs w:val="24"/>
        </w:rPr>
        <w:t xml:space="preserve">over the course of </w:t>
      </w:r>
      <w:r w:rsidR="00844BBC">
        <w:rPr>
          <w:rFonts w:ascii="Times" w:hAnsi="Times" w:cs="Times New Roman"/>
          <w:color w:val="000000" w:themeColor="text1"/>
          <w:sz w:val="24"/>
          <w:szCs w:val="24"/>
        </w:rPr>
        <w:t xml:space="preserve">the </w:t>
      </w:r>
      <w:r w:rsidR="00D06BF5">
        <w:rPr>
          <w:rFonts w:ascii="Times" w:hAnsi="Times" w:cs="Times New Roman"/>
          <w:color w:val="000000" w:themeColor="text1"/>
          <w:sz w:val="24"/>
          <w:szCs w:val="24"/>
        </w:rPr>
        <w:t>cyanobacteria’s</w:t>
      </w:r>
      <w:r w:rsidR="00F32DE0">
        <w:rPr>
          <w:rFonts w:ascii="Times" w:hAnsi="Times" w:cs="Times New Roman"/>
          <w:color w:val="000000" w:themeColor="text1"/>
          <w:sz w:val="24"/>
          <w:szCs w:val="24"/>
        </w:rPr>
        <w:t xml:space="preserve"> 3.5 million year evolutionary spa</w:t>
      </w:r>
      <w:r w:rsidR="00D06BF5">
        <w:rPr>
          <w:rFonts w:ascii="Times" w:hAnsi="Times" w:cs="Times New Roman"/>
          <w:color w:val="000000" w:themeColor="text1"/>
          <w:sz w:val="24"/>
          <w:szCs w:val="24"/>
        </w:rPr>
        <w:t>n</w:t>
      </w:r>
      <w:r w:rsidR="00DC3763">
        <w:rPr>
          <w:rFonts w:ascii="Times" w:hAnsi="Times" w:cs="Times New Roman"/>
          <w:color w:val="000000" w:themeColor="text1"/>
          <w:sz w:val="24"/>
          <w:szCs w:val="24"/>
        </w:rPr>
        <w:t xml:space="preserve"> </w:t>
      </w:r>
      <w:r w:rsidR="00DC045F">
        <w:rPr>
          <w:rFonts w:ascii="Times" w:hAnsi="Times" w:cs="Times New Roman"/>
          <w:color w:val="000000" w:themeColor="text1"/>
          <w:sz w:val="24"/>
          <w:szCs w:val="24"/>
        </w:rPr>
        <w:t xml:space="preserve">in such low nutrient environments </w:t>
      </w:r>
      <w:r w:rsidR="00DC3763">
        <w:rPr>
          <w:rFonts w:ascii="Times" w:hAnsi="Times" w:cs="Times New Roman"/>
          <w:color w:val="000000" w:themeColor="text1"/>
          <w:sz w:val="24"/>
          <w:szCs w:val="24"/>
        </w:rPr>
        <w:fldChar w:fldCharType="begin"/>
      </w:r>
      <w:r w:rsidR="00DC3763">
        <w:rPr>
          <w:rFonts w:ascii="Times" w:hAnsi="Times" w:cs="Times New Roman"/>
          <w:color w:val="000000" w:themeColor="text1"/>
          <w:sz w:val="24"/>
          <w:szCs w:val="24"/>
        </w:rPr>
        <w:instrText xml:space="preserve"> ADDIN ZOTERO_ITEM CSL_CITATION {"citationID":"nh7D0Jt9","properties":{"formattedCitation":"(Zhang et al. 2021; Zamocky et al. 2012)","plainCitation":"(Zhang et al. 2021; Zamocky et al. 2012)","noteIndex":0},"citationItems":[{"id":4106,"uris":["http://zotero.org/users/6128296/items/T26DN7JR"],"itemData":{"id":4106,"type":"article-journal","abstract":"Prochlorococcus\n              are the most abundant photosynthetic organisms in the modern ocean. A massive DNA loss event occurred in their early evolutionary history, leading to highly reduced genomes in nearly all lineages, as well as enhanced efficiency in both nutrient uptake and light absorption. The environmental landscape that shaped this ancient genome reduction, however, remained unknown. Through careful molecular clock analyses, we established that this\n              Prochlorococcus\n              genome reduction occurred during the Neoproterozoic Snowball Earth climate catastrophe. The lethally low temperature and exceedingly dim light during the Snowball Earth event would have inhibited\n              Prochlorococcus\n              growth and proliferation, and caused severe population bottlenecks. These bottlenecks are recorded as an excess of deleterious mutations accumulated across genomic regions and inherited by descendant lineages.\n              Prochlorococcus\n              adaptation to extreme environmental conditions during Snowball Earth intervals can be inferred by tracing the evolutionary paths of genes that encode key metabolic potential. Key metabolic innovation includes modified lipopolysaccharide structure, strengthened peptidoglycan biosynthesis, the replacement of a sophisticated circadian clock with an hourglass-like mechanism that resets daily for dim light adaption and the adoption of ammonia diffusion as an efficient membrane transporter-independent mode of nitrogen acquisition. In this way, the Neoproterozoic Snowball Earth event may have altered the physiological characters of\n              Prochlorococcus\n              , shaping their ecologically vital role as the most abundant primary producers in the modern oceans.","container-title":"Proceedings of the Royal Society B: Biological Sciences","DOI":"10.1098/rspb.2021.1956","ISSN":"0962-8452, 1471-2954","issue":"1963","journalAbbreviation":"Proc. R. Soc. B.","language":"en","page":"20211956","source":"DOI.org (Crossref)","title":"Snowball Earth, population bottleneck and &lt;i&gt;Prochlorococcus&lt;/i&gt; evolution","volume":"288","author":[{"family":"Zhang","given":""},{"family":"Sun","given":"Ying"},{"family":"Zeng","given":"Qinglu"},{"family":"Crowe","given":"Sean A."},{"family":"Luo","given":"Haiwei"}],"issued":{"date-parts":[["2021",11,24]]}}},{"id":3281,"uris":["http://zotero.org/users/6128296/items/2XC7RVH7"],"itemData":{"id":3281,"type":"chapter","container-title":"Bioenergetic processes of cyanobacteria: from evolutionary singularity to ecological diversity","ISBN":"978-94-007-0388-9","language":"en","source":"DOI.org (Crossref)","title":"Chapter 7 Hydrogen Peroxide Degradation in Cyanobacteria and Chapter 23 Cyanobacterial Respiratory Electron Transport: Heme-Copper Oxidases and Their Electron Donors","URL":"http://choicereviews.org/review/10.5860/CHOICE.49-5658","volume":"49","author":[{"family":"Zamocky","given":""},{"family":"Bernroitner","given":"Margit"},{"family":"Peschek","given":"Günter A."},{"family":"Obinger","given":"Christian"},{"family":"Renger","given":"Gernot"}],"accessed":{"date-parts":[["2022",11,16]]},"issued":{"date-parts":[["2012",6,1]]}}}],"schema":"https://github.com/citation-style-language/schema/raw/master/csl-citation.json"} </w:instrText>
      </w:r>
      <w:r w:rsidR="00DC3763">
        <w:rPr>
          <w:rFonts w:ascii="Times" w:hAnsi="Times" w:cs="Times New Roman"/>
          <w:color w:val="000000" w:themeColor="text1"/>
          <w:sz w:val="24"/>
          <w:szCs w:val="24"/>
        </w:rPr>
        <w:fldChar w:fldCharType="separate"/>
      </w:r>
      <w:r w:rsidR="00DC3763">
        <w:rPr>
          <w:rFonts w:ascii="Times" w:hAnsi="Times" w:cs="Times New Roman"/>
          <w:noProof/>
          <w:color w:val="000000" w:themeColor="text1"/>
          <w:sz w:val="24"/>
          <w:szCs w:val="24"/>
        </w:rPr>
        <w:t xml:space="preserve">(Zhang </w:t>
      </w:r>
      <w:r w:rsidR="00183222" w:rsidRPr="00183222">
        <w:rPr>
          <w:rFonts w:ascii="Times New Roman" w:hAnsi="Times New Roman" w:cs="Times New Roman"/>
          <w:i/>
          <w:iCs/>
          <w:sz w:val="24"/>
          <w:szCs w:val="24"/>
        </w:rPr>
        <w:t>et al</w:t>
      </w:r>
      <w:r w:rsidR="00DC3763">
        <w:rPr>
          <w:rFonts w:ascii="Times" w:hAnsi="Times" w:cs="Times New Roman"/>
          <w:noProof/>
          <w:color w:val="000000" w:themeColor="text1"/>
          <w:sz w:val="24"/>
          <w:szCs w:val="24"/>
        </w:rPr>
        <w:t xml:space="preserve">. 2021; Zamocky </w:t>
      </w:r>
      <w:r w:rsidR="00183222" w:rsidRPr="00183222">
        <w:rPr>
          <w:rFonts w:ascii="Times New Roman" w:hAnsi="Times New Roman" w:cs="Times New Roman"/>
          <w:i/>
          <w:iCs/>
          <w:sz w:val="24"/>
          <w:szCs w:val="24"/>
        </w:rPr>
        <w:t>et al</w:t>
      </w:r>
      <w:r w:rsidR="00DC3763">
        <w:rPr>
          <w:rFonts w:ascii="Times" w:hAnsi="Times" w:cs="Times New Roman"/>
          <w:noProof/>
          <w:color w:val="000000" w:themeColor="text1"/>
          <w:sz w:val="24"/>
          <w:szCs w:val="24"/>
        </w:rPr>
        <w:t>. 2012)</w:t>
      </w:r>
      <w:r w:rsidR="00DC3763">
        <w:rPr>
          <w:rFonts w:ascii="Times" w:hAnsi="Times" w:cs="Times New Roman"/>
          <w:color w:val="000000" w:themeColor="text1"/>
          <w:sz w:val="24"/>
          <w:szCs w:val="24"/>
        </w:rPr>
        <w:fldChar w:fldCharType="end"/>
      </w:r>
      <w:r w:rsidR="00F32DE0">
        <w:rPr>
          <w:rFonts w:ascii="Times" w:hAnsi="Times" w:cs="Times New Roman"/>
          <w:color w:val="000000" w:themeColor="text1"/>
          <w:sz w:val="24"/>
          <w:szCs w:val="24"/>
        </w:rPr>
        <w:t xml:space="preserve">. </w:t>
      </w:r>
    </w:p>
    <w:p w14:paraId="2342F7A0" w14:textId="5E3FE73A" w:rsidR="004C33B3" w:rsidRDefault="00E864C6"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Competition theory</w:t>
      </w:r>
      <w:r w:rsidR="004C33B3" w:rsidRPr="003609FB">
        <w:rPr>
          <w:rFonts w:ascii="Times New Roman" w:hAnsi="Times New Roman" w:cs="Times New Roman"/>
          <w:sz w:val="24"/>
          <w:szCs w:val="24"/>
        </w:rPr>
        <w:t xml:space="preserve"> did not explain fully why </w:t>
      </w:r>
      <w:proofErr w:type="spellStart"/>
      <w:r w:rsidR="00691B65" w:rsidRPr="00691B65">
        <w:rPr>
          <w:rFonts w:ascii="Times New Roman" w:hAnsi="Times New Roman" w:cs="Times New Roman"/>
          <w:i/>
          <w:iCs/>
          <w:sz w:val="24"/>
          <w:szCs w:val="24"/>
        </w:rPr>
        <w:t>Synechococcus</w:t>
      </w:r>
      <w:proofErr w:type="spellEnd"/>
      <w:r w:rsidR="004C33B3" w:rsidRPr="003609FB">
        <w:rPr>
          <w:rFonts w:ascii="Times New Roman" w:hAnsi="Times New Roman" w:cs="Times New Roman"/>
          <w:sz w:val="24"/>
          <w:szCs w:val="24"/>
        </w:rPr>
        <w:t xml:space="preserve"> can continue to grow in the oligotrophic regions despite </w:t>
      </w:r>
      <w:r w:rsidR="00691B65" w:rsidRPr="00691B65">
        <w:rPr>
          <w:rFonts w:ascii="Times New Roman" w:hAnsi="Times New Roman" w:cs="Times New Roman"/>
          <w:i/>
          <w:iCs/>
          <w:sz w:val="24"/>
          <w:szCs w:val="24"/>
        </w:rPr>
        <w:t>Prochlorococcus</w:t>
      </w:r>
      <w:r w:rsidR="004C33B3" w:rsidRPr="003609FB">
        <w:rPr>
          <w:rFonts w:ascii="Times New Roman" w:hAnsi="Times New Roman" w:cs="Times New Roman"/>
          <w:sz w:val="24"/>
          <w:szCs w:val="24"/>
        </w:rPr>
        <w:t xml:space="preserve"> being better adapted for the nutrient conditions </w:t>
      </w:r>
      <w:r w:rsidR="00F333C6"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{"citationID":"py8fuXei","properties":{"formattedCitation":"(Hutchinson 1967)","plainCitation":"(Hutchinson 1967)","noteIndex":0},"citationItems":[{"id":97,"uris":["http://zotero.org/users/6128296/items/DLT5ZCEX"],"itemData":{"id":97,"type":"article-journal","language":"en","page":"10","source":"Zotero","title":"The Paradox of the Plankton","author":[{"family":"Hutchinson","given":""}],"issued":{"date-parts":[["1967"]]}}}],"schema":"https://github.com/citation-style-language/schema/raw/master/csl-citation.json"} </w:instrText>
      </w:r>
      <w:r w:rsidR="00F333C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(Hutchinson 1967)</w:t>
      </w:r>
      <w:r w:rsidR="00F333C6"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until recently when Masuda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FC0D28" w:rsidRPr="003609FB">
        <w:rPr>
          <w:rFonts w:ascii="Times New Roman" w:hAnsi="Times New Roman" w:cs="Times New Roman"/>
          <w:sz w:val="24"/>
          <w:szCs w:val="24"/>
        </w:rPr>
        <w:t>(2023)</w:t>
      </w:r>
      <w:r w:rsidR="004C33B3" w:rsidRPr="003609FB">
        <w:rPr>
          <w:rFonts w:ascii="Times New Roman" w:hAnsi="Times New Roman" w:cs="Times New Roman"/>
          <w:sz w:val="24"/>
          <w:szCs w:val="24"/>
        </w:rPr>
        <w:t xml:space="preserve"> quantitatively showed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4C33B3" w:rsidRPr="003609FB">
        <w:rPr>
          <w:rFonts w:ascii="Times New Roman" w:hAnsi="Times New Roman" w:cs="Times New Roman"/>
          <w:sz w:val="24"/>
          <w:szCs w:val="24"/>
        </w:rPr>
        <w:t xml:space="preserve"> are able to coexist </w:t>
      </w:r>
      <w:r w:rsidR="002D09F1">
        <w:rPr>
          <w:rFonts w:ascii="Times New Roman" w:hAnsi="Times New Roman" w:cs="Times New Roman"/>
          <w:sz w:val="24"/>
          <w:szCs w:val="24"/>
        </w:rPr>
        <w:t>by taking advantage of</w:t>
      </w:r>
      <w:r w:rsidR="004C33B3" w:rsidRPr="003609FB">
        <w:rPr>
          <w:rFonts w:ascii="Times New Roman" w:hAnsi="Times New Roman" w:cs="Times New Roman"/>
          <w:sz w:val="24"/>
          <w:szCs w:val="24"/>
        </w:rPr>
        <w:t xml:space="preserve"> the differences in ammonia and nitrate</w:t>
      </w:r>
      <w:r w:rsidR="002D09F1">
        <w:rPr>
          <w:rFonts w:ascii="Times New Roman" w:hAnsi="Times New Roman" w:cs="Times New Roman"/>
          <w:sz w:val="24"/>
          <w:szCs w:val="24"/>
        </w:rPr>
        <w:t xml:space="preserve"> concentrations</w:t>
      </w:r>
      <w:r w:rsidR="004C33B3" w:rsidRPr="003609FB">
        <w:rPr>
          <w:rFonts w:ascii="Times New Roman" w:hAnsi="Times New Roman" w:cs="Times New Roman"/>
          <w:sz w:val="24"/>
          <w:szCs w:val="24"/>
        </w:rPr>
        <w:t xml:space="preserve"> in the oligotrophic gyres</w:t>
      </w:r>
      <w:r w:rsidR="00F333C6" w:rsidRPr="003609FB">
        <w:rPr>
          <w:rFonts w:ascii="Times New Roman" w:hAnsi="Times New Roman" w:cs="Times New Roman"/>
          <w:sz w:val="24"/>
          <w:szCs w:val="24"/>
        </w:rPr>
        <w:t xml:space="preserve"> </w:t>
      </w:r>
      <w:r w:rsidR="002D09F1">
        <w:rPr>
          <w:rFonts w:ascii="Times New Roman" w:hAnsi="Times New Roman" w:cs="Times New Roman"/>
          <w:sz w:val="24"/>
          <w:szCs w:val="24"/>
        </w:rPr>
        <w:t xml:space="preserve">and genetic nitrogen usage </w:t>
      </w:r>
      <w:r w:rsidR="002D2200">
        <w:rPr>
          <w:rFonts w:ascii="Times New Roman" w:hAnsi="Times New Roman" w:cs="Times New Roman"/>
          <w:sz w:val="24"/>
          <w:szCs w:val="24"/>
        </w:rPr>
        <w:t>repertoire</w:t>
      </w:r>
      <w:r w:rsidR="002D09F1">
        <w:rPr>
          <w:rFonts w:ascii="Times New Roman" w:hAnsi="Times New Roman" w:cs="Times New Roman"/>
          <w:sz w:val="24"/>
          <w:szCs w:val="24"/>
        </w:rPr>
        <w:t xml:space="preserve"> </w:t>
      </w:r>
      <w:r w:rsidR="00F333C6"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{"citationID":"caZunFd2","properties":{"formattedCitation":"(Garcia-Fernandez, de Marsac, and Diez 2004)","plainCitation":"(Garcia-Fernandez, de Marsac, and Diez 2004)","noteIndex":0},"citationItems":[{"id":92,"uris":["http://zotero.org/users/6128296/items/NBRTUMCT"],"itemData":{"id":92,"type":"article-journal","container-title":"Microbiology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T.","non-dropping-particle":"de"},{"family":"Diez","given":"J."}],"issued":{"date-parts":[["2004",12,1]]}}}],"schema":"https://github.com/citation-style-language/schema/raw/master/csl-citation.json"} </w:instrText>
      </w:r>
      <w:r w:rsidR="00F333C6"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(Garcia-Fernandez, de Marsac, and Diez 2004)</w:t>
      </w:r>
      <w:r w:rsidR="00F333C6"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837C46">
        <w:rPr>
          <w:rFonts w:ascii="Times New Roman" w:hAnsi="Times New Roman" w:cs="Times New Roman"/>
          <w:sz w:val="24"/>
          <w:szCs w:val="24"/>
        </w:rPr>
        <w:t>Genetic and physical s</w:t>
      </w:r>
      <w:r w:rsidR="004C33B3" w:rsidRPr="003609FB">
        <w:rPr>
          <w:rFonts w:ascii="Times New Roman" w:hAnsi="Times New Roman" w:cs="Times New Roman"/>
          <w:sz w:val="24"/>
          <w:szCs w:val="24"/>
        </w:rPr>
        <w:t>treamlining offers the distinct trade-off that in cutting 'extraneous' genes in order to decrease cell size, the cell is reducing its ability to perform functions that could become necessary in a changing environment</w:t>
      </w:r>
      <w:r w:rsidR="00837C46">
        <w:rPr>
          <w:rFonts w:ascii="Times New Roman" w:hAnsi="Times New Roman" w:cs="Times New Roman"/>
          <w:sz w:val="24"/>
          <w:szCs w:val="24"/>
        </w:rPr>
        <w:t xml:space="preserve"> </w:t>
      </w:r>
      <w:r w:rsidR="00837C46">
        <w:rPr>
          <w:rFonts w:ascii="Times New Roman" w:hAnsi="Times New Roman" w:cs="Times New Roman"/>
          <w:sz w:val="24"/>
          <w:szCs w:val="24"/>
        </w:rPr>
        <w:fldChar w:fldCharType="begin"/>
      </w:r>
      <w:r w:rsidR="00837C46">
        <w:rPr>
          <w:rFonts w:ascii="Times New Roman" w:hAnsi="Times New Roman" w:cs="Times New Roman"/>
          <w:sz w:val="24"/>
          <w:szCs w:val="24"/>
        </w:rPr>
        <w:instrText xml:space="preserve"> ADDIN ZOTERO_ITEM CSL_CITATION {"citationID":"dHW4m3A5","properties":{"formattedCitation":"(Kettler et al. 2007; Swan et al. 2013; Giovannoni, Cameron Thrash, and Temperton 2014; Giovannoni et al. 2005)","plainCitation":"(Kettler et al. 2007; Swan et al. 2013; Giovannoni, Cameron Thrash, and Temperton 2014; Giovannoni et al. 2005)","noteIndex":0},"citationItems":[{"id":1963,"uris":["http://zotero.org/users/6128296/items/7CLYAHLM"],"itemData":{"id":1963,"type":"article-journal","container-title":"PLoS Genetics","issue":"12","language":"en","page":"14","source":"Zotero","title":"Patterns and Implications of Gene Gain and Loss in the Evolution of Prochlorococcus","volume":"3","author":[{"family":"Kettler","given":""},{"family":"Martiny","given":"Adam C"},{"family":"Huang","given":"Katherine"},{"family":"Zucker","given":"Jeremy"},{"family":"Coleman","given":"Maureen L"},{"family":"Rodrigue","given":"Sebastien"},{"family":"Chen","given":"Feng"},{"family":"Lapidus","given":"Alla"},{"family":"Ferriera","given":"Steven"},{"family":"Johnson","given":"Justin"},{"family":"Steglich","given":"Claudia"},{"family":"Church","given":"George M"},{"family":"Richardson","given":"Paul"},{"family":"Chisholm","given":"Sallie W"}],"issued":{"date-parts":[["2007"]]}}},{"id":2120,"uris":["http://zotero.org/users/6128296/items/K37MH78I"],"itemData":{"id":2120,"type":"article-journal","abstract":"Planktonic bacteria dominate surface ocean biomass and influence global biogeochemical processes, but remain poorly characterized owing to difficulties in cultivation. Using large-scale single cell genomics, we obtained insight into the genome content and biogeography of many bacterial lineages inhabiting the surface ocean. We found that, compared with existing cultures, natural bacterioplankton have smaller genomes, fewer gene duplications, and are depleted in guanine and cytosine, noncoding nucleotides, and genes encoding transcription, signal transduction, and noncytoplasmic proteins. These findings provide strong evidence that genome streamlining and oligotrophy are prevalent features among diverse, freeliving bacterioplankton, whereas existing laboratory cultures consist primarily of copiotrophs. The apparent ubiquity of metabolic specialization and mixotrophy, as predicted from single cell genomes, also may contribute to the difficulty in bacterioplankton cultivation. Using metagenome fragment recruitment against single cell genomes, we show that the global distribution of surface ocean bacterioplankton correlates with temperature and latitude and is not limited by dispersal at the time scales required for nucleotide substitution to exceed the current operational definition of bacterial species. Single cell genomes with highly similar small subunit rRNA gene sequences exhibited significant genomic and biogeographic variability, highlighting challenges in the interpretation of individual gene surveys and metagenome assemblies in environmental microbiology. Our study demonstrates the utility of single cell genomics for gaining an improved understanding of the composition and dynamics of natural microbial assemblages.","container-title":"Proceedings of the National Academy of Sciences","DOI":"10.1073/pnas.1304246110","ISSN":"0027-8424, 1091-6490","issue":"28","journalAbbreviation":"Proceedings of the National Academy of Sciences","language":"en","page":"11463-11468","source":"DOI.org (Crossref)","title":"Prevalent genome streamlining and latitudinal divergence of planktonic bacteria in the surface ocean","volume":"110","author":[{"family":"Swan","given":""},{"family":"Tupper","given":"B."},{"family":"Sczyrba","given":"A."},{"family":"Lauro","given":"F. M."},{"family":"Martinez-Garcia","given":"M."},{"family":"Gonzalez","given":"J. M."},{"family":"Luo","given":"H."},{"family":"Wright","given":"J. J."},{"family":"Landry","given":"Z. C."},{"family":"Hanson","given":"N. W."},{"family":"Thompson","given":"B. P."},{"family":"Poulton","given":"N. J."},{"family":"Schwientek","given":"P."},{"family":"Acinas","given":"S. G."},{"family":"Giovannoni","given":"S. J."},{"family":"Moran","given":"M. A."},{"family":"Hallam","given":"S. J."},{"family":"Cavicchioli","given":"R."},{"family":"Woyke","given":"T."},{"family":"Stepanauskas","given":"R."}],"issued":{"date-parts":[["2013",7,9]]}}},{"id":1217,"uris":["http://zotero.org/users/6128296/items/TM8BPJ2Z"],"itemData":{"id":1217,"type":"article-journal","abstract":"Whether a small cell, a small genome or a minimal set of chemical reactions with self-replicating properties, simplicity is beguiling. As Leonardo da Vinci reportedly said, ‘simplicity is the ultimate sophistication’. Two diverging views of simplicity have emerged in accounts of symbiotic and commensal bacteria and cosmopolitan free-living bacteria with small genomes. The small genomes of obligate insect endosymbionts have been attributed to genetic drift caused by small effective population sizes (Ne). In contrast, streamlining theory attributes small cells and genomes to selection for efficient use of nutrients in populations where Ne is large and nutrients limit growth. Regardless of the cause of genome reduction, lost coding potential eventually dictates loss of function. Consequences of reductive evolution in streamlined organisms include atypical patterns of prototrophy and the absence of common regulatory systems, which have been linked to difficulty in culturing these cells. Recent evidence from metagenomics suggests that streamlining is commonplace, may broadly explain the phenomenon of the uncultured microbial majority, and might also explain the highly interdependent (connected) behavior of many microbial ecosystems. Streamlining theory is belied by the observation that many successful bacteria are large cells with complex genomes. To fully appreciate streamlining, we must look to the life histories and adaptive strategies of cells, which impose minimum requirements for complexity that vary with niche.","container-title":"The ISME Journal","DOI":"10.1038/ismej.2014.60","ISSN":"1751-7362, 1751-7370","issue":"8","journalAbbreviation":"ISME J","language":"en","page":"1553-1565","source":"DOI.org (Crossref)","title":"Implications of streamlining theory for microbial ecology","volume":"8","author":[{"family":"Giovannoni","given":""},{"family":"Cameron Thrash","given":"J"},{"family":"Temperton","given":"Ben"}],"issued":{"date-parts":[["2014",8]]}}},{"id":3228,"uris":["http://zotero.org/users/6128296/items/ZLJ9JJTZ"],"itemData":{"id":3228,"type":"article-journal","abstract":"The SAR11 clade consists of very small, heterotrophic marine α-proteobacteria that are found throughout the oceans, where they account for about 25% of all microbial cells.\n              Pelagibacter ubique\n              , the first cultured member of this clade, has the smallest genome and encodes the smallest number of predicted open reading frames known for a free-living microorganism. In contrast to parasitic bacteria and archaea with small genomes,\n              P. ubique\n              has complete biosynthetic pathways for all 20 amino acids and all but a few cofactors.\n              P. ubique\n              has no pseudogenes, introns, transposons, extrachromosomal elements, or inteins; few paralogs; and the shortest intergenic spacers yet observed for any cell.","container-title":"Science","DOI":"10.1126/science.1114057","ISSN":"0036-8075, 1095-9203","issue":"5738","journalAbbreviation":"Science","language":"en","page":"1242-1245","source":"DOI.org (Crossref)","title":"Genome Streamlining in a Cosmopolitan Oceanic Bacterium","volume":"309","author":[{"family":"Giovannoni","given":""},{"family":"Tripp","given":"H. James"},{"family":"Givan","given":"Scott"},{"family":"Podar","given":"Mircea"},{"family":"Vergin","given":"Kevin L."},{"family":"Baptista","given":"Damon"},{"family":"Bibbs","given":"Lisa"},{"family":"Eads","given":"Jonathan"},{"family":"Richardson","given":"Toby H."},{"family":"Noordewier","given":"Michiel"},{"family":"Rappé","given":"Michael S."},{"family":"Short","given":"Jay M."},{"family":"Carrington","given":"James C."},{"family":"Mathur","given":"Eric J."}],"issued":{"date-parts":[["2005",8,19]]}}}],"schema":"https://github.com/citation-style-language/schema/raw/master/csl-citation.json"} </w:instrText>
      </w:r>
      <w:r w:rsidR="00837C46">
        <w:rPr>
          <w:rFonts w:ascii="Times New Roman" w:hAnsi="Times New Roman" w:cs="Times New Roman"/>
          <w:sz w:val="24"/>
          <w:szCs w:val="24"/>
        </w:rPr>
        <w:fldChar w:fldCharType="separate"/>
      </w:r>
      <w:r w:rsidR="00837C46">
        <w:rPr>
          <w:rFonts w:ascii="Times New Roman" w:hAnsi="Times New Roman" w:cs="Times New Roman"/>
          <w:noProof/>
          <w:sz w:val="24"/>
          <w:szCs w:val="24"/>
        </w:rPr>
        <w:t xml:space="preserve">(Kettler </w:t>
      </w:r>
      <w:r w:rsidR="00183222" w:rsidRPr="00183222">
        <w:rPr>
          <w:rFonts w:ascii="Times New Roman" w:hAnsi="Times New Roman" w:cs="Times New Roman"/>
          <w:i/>
          <w:iCs/>
          <w:sz w:val="24"/>
          <w:szCs w:val="24"/>
        </w:rPr>
        <w:t>et al</w:t>
      </w:r>
      <w:r w:rsidR="00837C46">
        <w:rPr>
          <w:rFonts w:ascii="Times New Roman" w:hAnsi="Times New Roman" w:cs="Times New Roman"/>
          <w:noProof/>
          <w:sz w:val="24"/>
          <w:szCs w:val="24"/>
        </w:rPr>
        <w:t xml:space="preserve">. 2007; Swan </w:t>
      </w:r>
      <w:r w:rsidR="00183222" w:rsidRPr="00183222">
        <w:rPr>
          <w:rFonts w:ascii="Times New Roman" w:hAnsi="Times New Roman" w:cs="Times New Roman"/>
          <w:i/>
          <w:iCs/>
          <w:sz w:val="24"/>
          <w:szCs w:val="24"/>
        </w:rPr>
        <w:t>et al</w:t>
      </w:r>
      <w:r w:rsidR="00837C46">
        <w:rPr>
          <w:rFonts w:ascii="Times New Roman" w:hAnsi="Times New Roman" w:cs="Times New Roman"/>
          <w:noProof/>
          <w:sz w:val="24"/>
          <w:szCs w:val="24"/>
        </w:rPr>
        <w:t xml:space="preserve">. 2013; Giovannoni, Cameron Thrash, and Temperton 2014; Giovannoni </w:t>
      </w:r>
      <w:r w:rsidR="00183222" w:rsidRPr="00183222">
        <w:rPr>
          <w:rFonts w:ascii="Times New Roman" w:hAnsi="Times New Roman" w:cs="Times New Roman"/>
          <w:i/>
          <w:iCs/>
          <w:sz w:val="24"/>
          <w:szCs w:val="24"/>
        </w:rPr>
        <w:t>et al</w:t>
      </w:r>
      <w:r w:rsidR="00837C46">
        <w:rPr>
          <w:rFonts w:ascii="Times New Roman" w:hAnsi="Times New Roman" w:cs="Times New Roman"/>
          <w:noProof/>
          <w:sz w:val="24"/>
          <w:szCs w:val="24"/>
        </w:rPr>
        <w:t>. 2005)</w:t>
      </w:r>
      <w:r w:rsidR="00837C46">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For example,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is smaller than </w:t>
      </w:r>
      <w:proofErr w:type="spellStart"/>
      <w:r w:rsidR="00691B65" w:rsidRPr="00691B65">
        <w:rPr>
          <w:rFonts w:ascii="Times New Roman" w:hAnsi="Times New Roman" w:cs="Times New Roman"/>
          <w:i/>
          <w:iCs/>
          <w:sz w:val="24"/>
          <w:szCs w:val="24"/>
        </w:rPr>
        <w:t>Synechococcus</w:t>
      </w:r>
      <w:proofErr w:type="spellEnd"/>
      <w:r w:rsidR="004C33B3" w:rsidRPr="003609FB">
        <w:rPr>
          <w:rFonts w:ascii="Times New Roman" w:hAnsi="Times New Roman" w:cs="Times New Roman"/>
          <w:sz w:val="24"/>
          <w:szCs w:val="24"/>
        </w:rPr>
        <w:t xml:space="preserve"> </w:t>
      </w:r>
      <w:r w:rsidR="00A8186E" w:rsidRPr="003609FB">
        <w:rPr>
          <w:rFonts w:ascii="Times New Roman" w:hAnsi="Times New Roman" w:cs="Times New Roman"/>
          <w:sz w:val="24"/>
          <w:szCs w:val="24"/>
        </w:rPr>
        <w:t>and thus</w:t>
      </w:r>
      <w:r w:rsidR="004C33B3" w:rsidRPr="003609FB">
        <w:rPr>
          <w:rFonts w:ascii="Times New Roman" w:hAnsi="Times New Roman" w:cs="Times New Roman"/>
          <w:sz w:val="24"/>
          <w:szCs w:val="24"/>
        </w:rPr>
        <w:t xml:space="preserve"> can acquire nutrients more efficiently</w:t>
      </w:r>
      <w:r w:rsidR="00313977" w:rsidRPr="003609FB">
        <w:rPr>
          <w:rFonts w:ascii="Times New Roman" w:hAnsi="Times New Roman" w:cs="Times New Roman"/>
          <w:sz w:val="24"/>
          <w:szCs w:val="24"/>
        </w:rPr>
        <w:t xml:space="preserve"> </w:t>
      </w:r>
      <w:r w:rsidR="00D50070"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{"citationID":"1XQPv2tU","properties":{"formattedCitation":"(Berube et al. 2018)","plainCitation":"(Berube et al. 2018)","noteIndex":0},"citationItems":[{"id":73,"uris":["http://zotero.org/users/6128296/items/7V52D87R"],"itemData":{"id":73,"type":"article-journal","abstract":"Prochlorococcus and Synechococcus are the dominant primary producers in marine ecosystems and perform a significant fraction of ocean carbon fixation. These cyanobacteria interact with a diverse microbial community that coexists with them. Comparative genomics of cultivated isolates has helped address questions regarding patterns of evolution and diversity among microbes, but the fraction that can be cultivated is miniscule compared to the diversity in the wild. To further probe the diversity of these groups and extend the utility of reference sequence databases, we report a data set of single cell genomes for 489 Prochlorococcus, 50 Synechococcus, 9 extracellular virus particles, and 190 additional microorganisms from a diverse range of bacterial, archaeal, and viral groups. Many of these uncultivated single cell genomes are derived from samples obtained on GEOTRACES cruises and at well-studied oceanographic stations, each with extensive suites of physical, chemical, and biological measurements. The genomic data reported here greatly increases the number of available Prochlorococcus genomes and will facilitate studies on evolutionary biology, microbial ecology, and biological oceanography.","container-title":"Scientific Data","DOI":"10.1038/sdata.2018.154","ISSN":"2052-4463","issue":"1","journalAbbreviation":"Sci Data","language":"en","page":"180154","source":"DOI.org (Crossref)","title":"Single cell genomes of Prochlorococcus, Synechococcus, and sympatric microbes from diverse marine environments","volume":"5","author":[{"family":"Berube","given":""},{"family":"Biller","given":"Steven J."},{"family":"Hackl","given":"Thomas"},{"family":"Hogle","given":"Shane L."},{"family":"Satinsky","given":"Brandon M."},{"family":"Becker","given":"Jamie W."},{"family":"Braakman","given":"Rogier"},{"family":"Collins","given":"Sara B."},{"family":"Kelly","given":"Libusha"},{"family":"Berta-Thompson","given":"Jessie"},{"family":"Coe","given":"Allison"},{"family":"Bergauer","given":"Kristin"},{"family":"Bouman","given":"Heather A."},{"family":"Browning","given":"Thomas J."},{"family":"De Corte","given":"Daniele"},{"family":"Hassler","given":"Christel"},{"family":"Hulata","given":"Yotam"},{"family":"Jacquot","given":"Jeremy E."},{"family":"Maas","given":"Elizabeth W."},{"family":"Reinthaler","given":"Thomas"},{"family":"Sintes","given":"Eva"},{"family":"Yokokawa","given":"Taichi"},{"family":"Lindell","given":"Debbie"},{"family":"Stepanauskas","given":"Ramunas"},{"family":"Chisholm","given":"Sallie W."}],"issued":{"date-parts":[["2018",12]]}}}],"schema":"https://github.com/citation-style-language/schema/raw/master/csl-citation.json"} </w:instrText>
      </w:r>
      <w:r w:rsidR="00D50070"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2018)</w:t>
      </w:r>
      <w:r w:rsidR="00D50070"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but also lacks the</w:t>
      </w:r>
      <w:r w:rsidR="00A25435" w:rsidRPr="003609FB">
        <w:rPr>
          <w:rFonts w:ascii="Times New Roman" w:hAnsi="Times New Roman" w:cs="Times New Roman"/>
          <w:sz w:val="24"/>
          <w:szCs w:val="24"/>
        </w:rPr>
        <w:t xml:space="preserve"> gene for </w:t>
      </w:r>
      <w:r w:rsidR="004C33B3" w:rsidRPr="003609FB">
        <w:rPr>
          <w:rFonts w:ascii="Times New Roman" w:hAnsi="Times New Roman" w:cs="Times New Roman"/>
          <w:sz w:val="24"/>
          <w:szCs w:val="24"/>
        </w:rPr>
        <w:t xml:space="preserve">most efficient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detoxifying enzyme in cyanobacteria, a </w:t>
      </w:r>
      <w:r w:rsidR="00010832" w:rsidRPr="003609FB">
        <w:rPr>
          <w:rFonts w:ascii="Times New Roman" w:hAnsi="Times New Roman" w:cs="Times New Roman"/>
          <w:sz w:val="24"/>
          <w:szCs w:val="24"/>
        </w:rPr>
        <w:t>bifunctional catalase-peroxidase</w:t>
      </w:r>
      <w:r w:rsidR="00010832" w:rsidRPr="00550BAC">
        <w:rPr>
          <w:rFonts w:ascii="Times New Roman" w:hAnsi="Times New Roman" w:cs="Times New Roman"/>
          <w:i/>
          <w:iCs/>
          <w:sz w:val="24"/>
          <w:szCs w:val="24"/>
        </w:rPr>
        <w:t xml:space="preserve"> </w:t>
      </w:r>
      <w:r w:rsidR="00010832">
        <w:rPr>
          <w:rFonts w:ascii="Times New Roman" w:hAnsi="Times New Roman" w:cs="Times New Roman"/>
          <w:i/>
          <w:iCs/>
          <w:sz w:val="24"/>
          <w:szCs w:val="24"/>
        </w:rPr>
        <w:t xml:space="preserve">, </w:t>
      </w:r>
      <w:proofErr w:type="spellStart"/>
      <w:r w:rsidR="004C33B3" w:rsidRPr="00550BAC">
        <w:rPr>
          <w:rFonts w:ascii="Times New Roman" w:hAnsi="Times New Roman" w:cs="Times New Roman"/>
          <w:i/>
          <w:iCs/>
          <w:sz w:val="24"/>
          <w:szCs w:val="24"/>
        </w:rPr>
        <w:t>katG</w:t>
      </w:r>
      <w:proofErr w:type="spellEnd"/>
      <w:r w:rsidR="004C33B3" w:rsidRPr="003609FB">
        <w:rPr>
          <w:rFonts w:ascii="Times New Roman" w:hAnsi="Times New Roman" w:cs="Times New Roman"/>
          <w:sz w:val="24"/>
          <w:szCs w:val="24"/>
        </w:rPr>
        <w:t xml:space="preserve"> </w:t>
      </w:r>
      <w:r w:rsidR="000F30F5" w:rsidRPr="003609FB">
        <w:rPr>
          <w:rFonts w:ascii="Times New Roman" w:hAnsi="Times New Roman" w:cs="Times New Roman"/>
          <w:sz w:val="24"/>
          <w:szCs w:val="24"/>
        </w:rPr>
        <w:fldChar w:fldCharType="begin"/>
      </w:r>
      <w:r w:rsidR="009C5E61">
        <w:rPr>
          <w:rFonts w:ascii="Times New Roman" w:hAnsi="Times New Roman" w:cs="Times New Roman"/>
          <w:sz w:val="24"/>
          <w:szCs w:val="24"/>
        </w:rPr>
        <w:instrText xml:space="preserve"> ADDIN ZOTERO_ITEM CSL_CITATION {"citationID":"Yjd7vZ7M","properties":{"formattedCitation":"(Bernroitner et al. 2009; Williams 1928; Keilin and Hartree 1943)","plainCitation":"(Bernroitner et al. 2009; Williams 1928; Keilin and Hartree 1943)","noteIndex":0},"citationItems":[{"id":1979,"uris":["http://zotero.org/users/6128296/items/UK4V58GU"],"itemData":{"id":1979,"type":"article-journal","abstract":"Cyanobacteria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A."},{"family":"Obinger","given":"Christian"}],"issued":{"date-parts":[["2009",2]]}}},{"id":4072,"uris":["http://zotero.org/users/6128296/items/QHBL5W7U"],"itemData":{"id":4072,"type":"article-journal","abstract":"1. The velocity of decomposition of hydrogen peroxide by catalase as a function of (a) concentration of catalase, (b) concentration of hydrogen peroxide, (c) hydrogen ion concentration, (d) temperature has been studied in an attempt to correlate these variables as far as possible. It is concluded that the reaction involves primarily adsorption of hydrogen peroxide at the catalase surface.\n            2. The decomposition of hydrogen peroxide by catalase is regarded as involving two reactions, namely, the catalytic decomposition of hydrogen peroxide, which is a maximum at the optimum pH 6.8 to 7.0, and the \"induced inactivation\" of catalase by the \"nascent\" oxygen produced by the hydrogen peroxide and still adhering to the catalase surface. This differs from the more generally accepted view, namely that the induced inactivation is due to the H2O2 itself. On the basis of the above view, a new interpretation is given to the equation of Yamasaki and the connection between the equations of Yamasaki and of Northrop is pointed out. It is shown that the velocity of induced inactivation is a minimum at the pH which is optimal for the decomposition of hydrogen peroxide.\n            3. The critical increment of the catalytic decomposition of hydrogen peroxide by catalase is of the order 3000 calories. The critical increment of induced inactivation is low in dilute hydrogen peroxide solutions but increases to a value of 30,000 calories in concentrated solutions of peroxide.","container-title":"Journal of General Physiology","DOI":"10.1085/jgp.11.4.309","ISSN":"1540-7748, 0022-1295","issue":"4","language":"en","page":"309-337","source":"DOI.org (Crossref)","title":"The decomposition of hydrogen peroxide by liver catalase","volume":"11","author":[{"family":"Williams","given":""}],"issued":{"date-parts":[["1928",3,20]]}}},{"id":4667,"uris":["http://zotero.org/users/6128296/items/J4NN2FTE"],"itemData":{"id":4667,"type":"article-journal","container-title":"Nature","DOI":"10.1038/152626a0","ISSN":"0028-0836, 1476-4687","issue":"3865","journalAbbreviation":"Nature","language":"en","page":"626-626","source":"DOI.org (Crossref)","title":"Decomposition of Hydrogen Peroxide by Catalase","volume":"152","author":[{"family":"Keilin","given":""},{"family":"Hartree","given":""}],"issued":{"date-parts":[["1943",11]]}}}],"schema":"https://github.com/citation-style-language/schema/raw/master/csl-citation.json"} </w:instrText>
      </w:r>
      <w:r w:rsidR="000F30F5"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w:t>
      </w:r>
      <w:proofErr w:type="spellStart"/>
      <w:r w:rsidR="009D7443">
        <w:rPr>
          <w:rFonts w:ascii="Times New Roman" w:hAnsi="Times New Roman" w:cs="Times New Roman"/>
          <w:sz w:val="24"/>
          <w:szCs w:val="24"/>
        </w:rPr>
        <w:t>Bernroitner</w:t>
      </w:r>
      <w:proofErr w:type="spellEnd"/>
      <w:r w:rsidR="009D744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2009; Williams 1928; Keilin and Hartree 1943)</w:t>
      </w:r>
      <w:r w:rsidR="000F30F5"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A8186E" w:rsidRPr="003609FB">
        <w:rPr>
          <w:rFonts w:ascii="Times New Roman" w:hAnsi="Times New Roman" w:cs="Times New Roman"/>
          <w:sz w:val="24"/>
          <w:szCs w:val="24"/>
        </w:rPr>
        <w:t>A</w:t>
      </w:r>
      <w:r w:rsidR="004C33B3" w:rsidRPr="003609FB">
        <w:rPr>
          <w:rFonts w:ascii="Times New Roman" w:hAnsi="Times New Roman" w:cs="Times New Roman"/>
          <w:sz w:val="24"/>
          <w:szCs w:val="24"/>
        </w:rPr>
        <w:t xml:space="preserve">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did not retain catalase, a key enzyme in the protection against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A8186E" w:rsidRPr="003609FB">
        <w:rPr>
          <w:rFonts w:ascii="Times New Roman" w:hAnsi="Times New Roman" w:cs="Times New Roman"/>
          <w:sz w:val="24"/>
          <w:szCs w:val="24"/>
        </w:rPr>
        <w:t xml:space="preserve"> </w:t>
      </w:r>
      <w:r w:rsidR="00FC701C"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{"citationID":"mDs2hdQt","properties":{"formattedCitation":"(Biller, Berube, et al. 2015; Berube et al. 2015, 20; Morris, Papoulis, and Lenski 2014)","plainCitation":"(Biller, Berube, et al. 2015; Berube et al. 2015, 20; Morris, Papoulis, and Lenski 2014)","noteIndex":0},"citationItems":[{"id":195,"uris":["http://zotero.org/users/6128296/items/T8KNN5NA"],"itemData":{"id":195,"type":"article-journal","abstract":"The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locator":"20"},{"id":809,"uris":["http://zotero.org/users/6128296/items/24U3N932"],"itemData":{"id":809,"type":"article-journal","container-title":"Evolution","DOI":"10.1111/evo.12485","ISSN":"00143820","issue":"10","journalAbbreviation":"Evolution","language":"en","page":"2960-2971","source":"DOI.org (Crossref)","title":"COEXISTENCE OF EVOLVING BACTERIA STABILIZED BY A SHARED BLACK QUEEN FUNCTION: EXPERIMENTAL EVOLUTION OF A BLACK QUEEN COMMUNITY","title-short":"COEXISTENCE OF EVOLVING BACTERIA STABILIZED BY A SHARED BLACK QUEEN FUNCTION","volume":"68","author":[{"family":"Morris","given":""},{"family":"Papoulis","given":"Spiridon E."},{"family":"Lenski","given":"Richard E."}],"issued":{"date-parts":[["2014",10]]}}}],"schema":"https://github.com/citation-style-language/schema/raw/master/csl-citation.json"} </w:instrText>
      </w:r>
      <w:r w:rsidR="00FC701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2015, 20; Morris, Papoulis, and Lenski 2014)</w:t>
      </w:r>
      <w:r w:rsidR="00FC701C"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lastRenderedPageBreak/>
        <w:t>Prochlorococcus</w:t>
      </w:r>
      <w:r w:rsidR="00691B65"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must rely on other cyanobacterial species (like </w:t>
      </w:r>
      <w:proofErr w:type="spellStart"/>
      <w:r w:rsidR="00691B65" w:rsidRPr="00691B65">
        <w:rPr>
          <w:rFonts w:ascii="Times New Roman" w:hAnsi="Times New Roman" w:cs="Times New Roman"/>
          <w:i/>
          <w:iCs/>
          <w:sz w:val="24"/>
          <w:szCs w:val="24"/>
        </w:rPr>
        <w:t>Synechococcus</w:t>
      </w:r>
      <w:proofErr w:type="spellEnd"/>
      <w:r w:rsidR="004C33B3" w:rsidRPr="003609FB">
        <w:rPr>
          <w:rFonts w:ascii="Times New Roman" w:hAnsi="Times New Roman" w:cs="Times New Roman"/>
          <w:sz w:val="24"/>
          <w:szCs w:val="24"/>
        </w:rPr>
        <w:t xml:space="preserve">) or heterotrophic bacteria (like </w:t>
      </w:r>
      <w:proofErr w:type="spellStart"/>
      <w:r w:rsidR="004C33B3" w:rsidRPr="00112F33">
        <w:rPr>
          <w:rFonts w:ascii="Times New Roman" w:hAnsi="Times New Roman" w:cs="Times New Roman"/>
          <w:i/>
          <w:iCs/>
          <w:sz w:val="24"/>
          <w:szCs w:val="24"/>
        </w:rPr>
        <w:t>Alteromonas</w:t>
      </w:r>
      <w:proofErr w:type="spellEnd"/>
      <w:r w:rsidR="004C33B3" w:rsidRPr="00112F33">
        <w:rPr>
          <w:rFonts w:ascii="Times New Roman" w:hAnsi="Times New Roman" w:cs="Times New Roman"/>
          <w:i/>
          <w:iCs/>
          <w:sz w:val="24"/>
          <w:szCs w:val="24"/>
        </w:rPr>
        <w:t xml:space="preserve"> spp</w:t>
      </w:r>
      <w:r w:rsidR="004C33B3" w:rsidRPr="003609FB">
        <w:rPr>
          <w:rFonts w:ascii="Times New Roman" w:hAnsi="Times New Roman" w:cs="Times New Roman"/>
          <w:sz w:val="24"/>
          <w:szCs w:val="24"/>
        </w:rPr>
        <w:t xml:space="preserve">.) in this environment for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detoxification function</w:t>
      </w:r>
      <w:r w:rsidR="00112F33">
        <w:rPr>
          <w:rFonts w:ascii="Times New Roman" w:hAnsi="Times New Roman" w:cs="Times New Roman"/>
          <w:sz w:val="24"/>
          <w:szCs w:val="24"/>
        </w:rPr>
        <w:t>.</w:t>
      </w:r>
    </w:p>
    <w:p w14:paraId="0D28B3FD" w14:textId="4306B5AF" w:rsidR="000B5994" w:rsidRDefault="00F52F1E" w:rsidP="003F6462">
      <w:pPr>
        <w:pStyle w:val="Heading3"/>
        <w:spacing w:line="360" w:lineRule="auto"/>
      </w:pPr>
      <w:bookmarkStart w:id="4" w:name="_Toc173250009"/>
      <w:r w:rsidRPr="003609FB">
        <w:t>H</w:t>
      </w:r>
      <w:r w:rsidRPr="00351FC4">
        <w:rPr>
          <w:vertAlign w:val="subscript"/>
        </w:rPr>
        <w:t>2</w:t>
      </w:r>
      <w:r w:rsidRPr="003609FB">
        <w:t>O</w:t>
      </w:r>
      <w:r w:rsidRPr="00351FC4">
        <w:rPr>
          <w:vertAlign w:val="subscript"/>
        </w:rPr>
        <w:t>2</w:t>
      </w:r>
      <w:r w:rsidR="004C33B3" w:rsidRPr="006F69DF">
        <w:t xml:space="preserve"> </w:t>
      </w:r>
      <w:r w:rsidR="00986683">
        <w:t>s</w:t>
      </w:r>
      <w:r w:rsidR="004C33B3" w:rsidRPr="006F69DF">
        <w:t xml:space="preserve">tress in </w:t>
      </w:r>
      <w:r w:rsidR="00986683">
        <w:t>p</w:t>
      </w:r>
      <w:r w:rsidR="004C33B3" w:rsidRPr="006F69DF">
        <w:t>hytoplankto</w:t>
      </w:r>
      <w:r w:rsidR="000B5994">
        <w:t>n</w:t>
      </w:r>
      <w:bookmarkEnd w:id="4"/>
    </w:p>
    <w:p w14:paraId="2D2E97D5" w14:textId="77777777" w:rsidR="003F6462" w:rsidRPr="003F6462" w:rsidRDefault="003F6462" w:rsidP="003F6462"/>
    <w:p w14:paraId="301F6957" w14:textId="0C7FEA43" w:rsidR="004C33B3" w:rsidRPr="00383FCD" w:rsidRDefault="004C33B3" w:rsidP="0048324A">
      <w:pPr>
        <w:widowControl w:val="0"/>
        <w:autoSpaceDE w:val="0"/>
        <w:autoSpaceDN w:val="0"/>
        <w:adjustRightInd w:val="0"/>
        <w:spacing w:line="360" w:lineRule="auto"/>
        <w:ind w:firstLine="720"/>
        <w:rPr>
          <w:rFonts w:ascii="Times New Roman" w:hAnsi="Times New Roman" w:cs="Times New Roman"/>
        </w:rPr>
      </w:pPr>
      <w:r w:rsidRPr="003609FB">
        <w:rPr>
          <w:rFonts w:ascii="Times New Roman" w:hAnsi="Times New Roman" w:cs="Times New Roman"/>
          <w:sz w:val="24"/>
          <w:szCs w:val="24"/>
        </w:rPr>
        <w:t>Reactive oxygen species (ROS) are an inevitable side effect of marine aerobic life</w:t>
      </w:r>
      <w:r w:rsidR="00984C03" w:rsidRPr="003609FB">
        <w:rPr>
          <w:rFonts w:ascii="Times New Roman" w:hAnsi="Times New Roman" w:cs="Times New Roman"/>
          <w:sz w:val="24"/>
          <w:szCs w:val="24"/>
        </w:rPr>
        <w:t xml:space="preserve"> </w:t>
      </w:r>
      <w:r w:rsidR="00984C03" w:rsidRPr="003609FB">
        <w:rPr>
          <w:rFonts w:ascii="Times New Roman" w:hAnsi="Times New Roman" w:cs="Times New Roman"/>
          <w:sz w:val="24"/>
          <w:szCs w:val="24"/>
        </w:rPr>
        <w:fldChar w:fldCharType="begin"/>
      </w:r>
      <w:r w:rsidR="00F61B3D">
        <w:rPr>
          <w:rFonts w:ascii="Times New Roman" w:hAnsi="Times New Roman" w:cs="Times New Roman"/>
          <w:sz w:val="24"/>
          <w:szCs w:val="24"/>
        </w:rPr>
        <w:instrText xml:space="preserve"> ADDIN ZOTERO_ITEM CSL_CITATION {"citationID":"iB66DjMv","properties":{"formattedCitation":"(Imlay 2013; Morris, Lenski, and Zinser 2012; Hansel and Diaz 2021; Diaz and Plummer 2018)","plainCitation":"(Imlay 2013; Morris, Lenski, and Zinser 2012; Hansel and Diaz 2021; Diaz and Plummer 2018)","noteIndex":0},"citationItems":[{"id":210,"uris":["http://zotero.org/users/6128296/items/JZFIEAMN"],"itemData":{"id":210,"type":"article-journal","abstract":"Oxic environments are hazardous. Molecular oxygen adventitiously abstracts electrons from many redox enzymes, continuously forming intracellular superoxide and hydrogen peroxide. These species can destroy the activities of metalloenzymes and the integrity of DNA, forcing organisms to protect themselves with scavenging enzymes and repair systems. Nevertheless, elevated levels of oxidants quickly poison bacteria, and both microbial competitors and hostile eukaryotic hosts exploit this vulnerability by assaulting these bacteria with peroxides or superoxide-forming antibiotics. In response, bacteria activate elegant adaptive strategies. In this Review, I summarize our current knowledge of oxidative stress in Escherichia coli, the model organism for which our understanding of damage and defence is most well developed.","container-title":"Nature Reviews Microbiology","DOI":"10.1038/nrmicro3032","ISSN":"1740-1526, 1740-1534","issue":"7","journalAbbreviation":"Nat Rev Microbiol","language":"en","page":"443-454","source":"DOI.org (Crossref)","title":"The molecular mechanisms and physiological consequences of oxidative stress: lessons from a model bacterium","title-short":"The molecular mechanisms and physiological consequences of oxidative stress","volume":"11","author":[{"family":"Imlay","given":""}],"issued":{"date-parts":[["2013",7]]}}},{"id":114,"uris":["http://zotero.org/users/6128296/items/RAQDXC7K"],"itemData":{"id":114,"type":"article-journal","abstract":"Reductive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R."}],"issued":{"date-parts":[["2012",3,23]]}}},{"id":4062,"uris":["http://zotero.org/users/6128296/items/KHPDPTRT"],"itemData":{"id":4062,"type":"article-journal","abstract":"Reactive oxygen species (ROS) are produced ubiquitously across the tree of life. Far from being synonymous with toxicity and harm, biological ROS production is increasingly recognized for its essential functions in signaling, growth, biological interactions, and physiochemical defense systems in a diversity of organisms, spanning microbes to mammals. Part of this shift in thinking can be attributed to the wide phylogenetic distribution of specialized mechanisms for ROS production, such as NADPH oxidases, which decouple intracellular and extracellular ROS pools by directly catalyzing the reduction of oxygen in the surrounding aqueous environment. Furthermore, biological ROS production contributes substantially to natural fluxes of ROS in the ocean, thereby influencing the fate of carbon, metals, oxygen, and climate-relevant gases. Here, we review the taxonomic diversity, mechanisms, and roles of extracellular ROS production in marine bacteria, phytoplankton, seaweeds, and corals, highlighting the ecological and biogeochemical influences of this fundamental and remarkably widespread process.","container-title":"Annual Review of Marine Science","DOI":"10.1146/annurev-marine-041320-102550","ISSN":"1941-1405, 1941-0611","issue":"1","journalAbbreviation":"Annu. Rev. Mar. Sci.","language":"en","page":"177-200","source":"DOI.org (Crossref)","title":"Production of Extracellular Reactive Oxygen Species by Marine Biota","volume":"13","author":[{"family":"Hansel","given":""},{"family":"Diaz","given":"Julia M."}],"issued":{"date-parts":[["2021",1,3]]}}},{"id":1796,"uris":["http://zotero.org/users/6128296/items/26WKQXFZ"],"itemData":{"id":1796,"type":"article-journal","abstract":"In aquatic environments, phytoplankton represent a major source of reactive oxygen species (ROS) such as superoxide and hydrogen peroxide. Many phytoplankton taxa also produce extracellular ROS under optimal growth conditions in culture. However, the physiological purpose of extracellular ROS production by phytoplankton and its wider significance to ecosystem-scale trophic interactions and biogeochemistry remain unclear. Here, we review the rates, taxonomic diversity, subcellular mechanisms and functions of extracellular superoxide and hydrogen peroxide production by phytoplankton with a view towards future research directions. Model eukaryotic phytoplankton and cyanobacteria produce extracellular superoxide and hydrogen peroxide at cell-normalized rates that span several orders of magnitude, both within and between taxa. The potential ecophysiological roles of extracellular ROS production are versatile and appear to be shared among diverse phytoplankton species, including ichthyotoxicity, allelopathy, growth promotion, and iron acquisition. Whereas extracellular hydrogen peroxide likely arises from a combination of intracellular and cell surface production mechanisms, extracellular superoxide is predominantly generated by specialized systems for transplasma membrane electron transport. Future insights into the molecular-level basis of extracellular ROS production, combined with existing high-sensitivity geochemical techniques for the direct quantification of ROS dynamics, will help unveil the ecophysiological and biogeochemical significance of phytoplankton-derived ROS in natural aquatic systems.","container-title":"Journal of Plankton Research","DOI":"10.1093/plankt/fby039","ISSN":"0142-7873, 1464-3774","language":"en","source":"DOI.org (Crossref)","title":"Production of extracellular reactive oxygen species by phytoplankton: past and future directions","title-short":"Production of extracellular reactive oxygen species by phytoplankton","URL":"https://academic.oup.com/plankt/advance-article/doi/10.1093/plankt/fby039/5107381","author":[{"family":"Diaz","given":""},{"family":"Plummer","given":"Sydney"}],"accessed":{"date-parts":[["2019",12,17]]},"issued":{"date-parts":[["2018",9,26]]}}}],"schema":"https://github.com/citation-style-language/schema/raw/master/csl-citation.json"} </w:instrText>
      </w:r>
      <w:r w:rsidR="00984C03" w:rsidRPr="003609FB">
        <w:rPr>
          <w:rFonts w:ascii="Times New Roman" w:hAnsi="Times New Roman" w:cs="Times New Roman"/>
          <w:sz w:val="24"/>
          <w:szCs w:val="24"/>
        </w:rPr>
        <w:fldChar w:fldCharType="separate"/>
      </w:r>
      <w:r w:rsidR="00F61B3D">
        <w:rPr>
          <w:rFonts w:ascii="Times New Roman" w:hAnsi="Times New Roman" w:cs="Times New Roman"/>
          <w:sz w:val="24"/>
          <w:szCs w:val="24"/>
        </w:rPr>
        <w:t>(Imlay 2013; Morris, Lenski, and Zinser 2012; Hansel and Diaz 2021; Diaz and Plummer 2018)</w:t>
      </w:r>
      <w:r w:rsidR="00984C0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162172">
        <w:rPr>
          <w:rFonts w:ascii="Times New Roman" w:hAnsi="Times New Roman" w:cs="Times New Roman"/>
          <w:sz w:val="24"/>
          <w:szCs w:val="24"/>
        </w:rPr>
        <w:t>ROS</w:t>
      </w:r>
      <w:r w:rsidRPr="003609FB">
        <w:rPr>
          <w:rFonts w:ascii="Times New Roman" w:hAnsi="Times New Roman" w:cs="Times New Roman"/>
          <w:sz w:val="24"/>
          <w:szCs w:val="24"/>
        </w:rPr>
        <w:t xml:space="preserve"> can arise from</w:t>
      </w:r>
      <w:r w:rsidR="00FC701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biotic processes like photosynthesis </w:t>
      </w:r>
      <w:r w:rsidR="00984C0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{"citationID":"gp7dXe7j","properties":{"formattedCitation":"(Banerjee et al. 2013; Mackey et al. 2013; Bailey and Grossman 2008)","plainCitation":"(Banerjee et al. 2013; Mackey et al. 2013; Bailey and Grossman 2008)","noteIndex":0},"citationItems":[{"id":3053,"uris":["http://zotero.org/users/6128296/items/2TATR5I8"],"itemData":{"id":3053,"type":"article-journal","abstract":"Reactive oxygen species (ROS) are inevitably generated as by-products of respiratory/photosynthetic electron transport in oxygenic photoautotrophs. Unless effectively scavenged, these ROS can damage all cellular components. The ﬁlamentous, heterocystous, nitrogen-ﬁxing strains of the cyanobacterium, Anabaena, serve as naturally abundant contributors of nitrogen biofertilizers in tropical rice paddy ﬁelds. Anabaena strains are known to tolerate several abiotic stresses, such as heat, UV, gamma radiation, desiccation, etc., that are known to generate ROS. ROS are detoxiﬁed by speciﬁc antioxidant enzymes like superoxide dismutases (SOD), catalases and peroxiredoxins. The genome of Anabaena PCC7120 encodes two SODs, two catalases and seven peroxiredoxins, indicating the presence of an elaborate antioxidant enzymatic machinery to defend its cellular components from ROS. This article summarizes recent ﬁndings and depicts important perspectives in oxidative stress management in Anabaena PCC7120.","container-title":"Photosynthesis Research","DOI":"10.1007/s11120-013-9929-8","ISSN":"0166-8595, 1573-5079","issue":"1-2","journalAbbreviation":"Photosynth Res","language":"en","page":"59-70","source":"DOI.org (Crossref)","title":"Oxidative stress management in the filamentous, heterocystous, diazotrophic cyanobacterium, Anabaena PCC7120","volume":"118","author":[{"family":"Banerjee","given":""},{"family":"Raghavan","given":"Prashanth S."},{"family":"Ballal","given":"Anand"},{"family":"Rajaram","given":"Hema"},{"family":"Apte","given":"S. K."}],"issued":{"date-parts":[["2013",11]]}}},{"id":3377,"uris":["http://zotero.org/users/6128296/items/AQBAVMHR"],"itemData":{"id":3377,"type":"article-journal","abstract":"In this study, we develop a mechanistic understanding of how temperature affects growth and photosynthesis in 10 geographically and physiologically diverse strains of Synechococcus spp. We found that Synechococcus spp. are able to regulate photochemistry over a range of temperatures by using state transitions and altering the abundance of photosynthetic proteins. These strategies minimize photosystem II (PSII) photodamage by keeping the photosynthetic electron transport chain (ETC), and hence PSII reaction centers, more oxidized. At temperatures that approach the optimal growth temperature of each strain when cellular demand for reduced nicotinamide adenine dinucleotide phosphate (NADPH) is greatest, the phycobilisome (PBS) antenna associates with PSII, increasing the flux of electrons into the ETC. By contrast, under low temperature, when slow growth lowers the demand for NADPH and linear ETC declines, the PBS associates with photosystem I. This favors oxidation of PSII and potential increase in cyclic electron flow. For Synechococcus sp. WH8102, growth at higher temperatures led to an increase in the abundance of PBS pigment proteins, as well as higher abundance of subunits of the PSII, photosystem I, and cytochrome b6f complexes. This would allow cells to increase photosynthetic electron flux to meet the metabolic requirement for NADPH during rapid growth. These PBS-based temperature acclimation strategies may underlie the larger geographic range of this group relative to Prochlorococcus spp., which lack a PBS.","container-title":"PLANT PHYSIOLOGY","DOI":"10.1104/pp.113.221937","ISSN":"0032-0889, 1532-2548","issue":"2","journalAbbreviation":"PLANT PHYSIOLOGY","language":"en","page":"815-829","source":"DOI.org (Crossref)","title":"Effect of Temperature on Photosynthesis and Growth in Marine Synechococcus spp.","volume":"163","author":[{"family":"Mackey","given":""},{"family":"Paytan","given":"A."},{"family":"Caldeira","given":"K."},{"family":"Grossman","given":"A. R."},{"family":"Moran","given":"D."},{"family":"McIlvin","given":"M."},{"family":"Saito","given":"M. A."}],"issued":{"date-parts":[["2013",10,1]]}}},{"id":4071,"uris":["http://zotero.org/users/6128296/items/AHW9LH4X"],"itemData":{"id":4071,"type":"article-journal","abstract":"To cope with a rapidly ﬂuctuating light environment, vascular plants and algae have evolved a photoprotective mechanism that serves to downregulate the transfer of excitation energy in the light-harvesting complexes to the photosynthetic reaction centers. This process dissipates excess excitation energy in the chlorophyll pigment bed by a nonradiative pathway. Since this pathway competes with and therefore quenches chlorophyll ﬂuoresence in a nonphotochemical manner, it has been termed Non-photochemical Quenching (NPQ). For many years, cyanobacteria were not considered capable of performing NPQ as a photoprotective mechanism. Instead, the redistribution of the phycobilisome (PBS) light-harvesting antenna between reaction centers by a process called state transitions was considered the major means of regulating the utilization of harvested light energy. Recently, it was demonstrated that cyanobacteria are able to use NPQ as one component of their photoprotective strategies. Cyanobacteria exhibit signiﬁcant NPQ during nutrient-replete growth, but it becomes a more prominent means of managing absorbed excitation energy when the cells experience iron starvation. Rapid progress in understanding the molecular mechanism of cyanobacterial NPQ has revealed a process that is very distinct from the functionally analogous process in plants and algae. Cyanobacterial NPQ involves the absorption of blue light by a carotenoid binding protein, termed the Orange Carotenoid Protein, and most likely involves quenching in the PBS core. In this study, we summarize work leading to the discovery of NPQ in cyanobacteria and the elucidation of molecular mechanisms associated with this important photoprotective process.","container-title":"Photochemistry and Photobiology","DOI":"10.1111/j.1751-1097.2008.00453.x","ISSN":"0031-8655, 1751-1097","issue":"6","journalAbbreviation":"Photochem &amp; Photobiology","language":"en","page":"1410-1420","source":"DOI.org (Crossref)","title":"Photoprotection in Cyanobacteria: Regulation of Light Harvesting &lt;sup&gt;†&lt;/sup&gt;","title-short":"Photoprotection in Cyanobacteria","volume":"84","author":[{"family":"Bailey","given":""},{"family":"Grossman","given":"Arthur"}],"issued":{"date-parts":[["2008",11]]}}}],"schema":"https://github.com/citation-style-language/schema/raw/master/csl-citation.json"} </w:instrText>
      </w:r>
      <w:r w:rsidR="00984C0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(Banerjee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2013; Mackey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 Bailey and Grossman 2008)</w:t>
      </w:r>
      <w:r w:rsidR="00984C03" w:rsidRPr="003609FB">
        <w:rPr>
          <w:rFonts w:ascii="Times New Roman" w:hAnsi="Times New Roman" w:cs="Times New Roman"/>
          <w:sz w:val="24"/>
          <w:szCs w:val="24"/>
        </w:rPr>
        <w:fldChar w:fldCharType="end"/>
      </w:r>
      <w:r w:rsidR="00984C03" w:rsidRPr="003609FB">
        <w:rPr>
          <w:rFonts w:ascii="Times New Roman" w:hAnsi="Times New Roman" w:cs="Times New Roman"/>
          <w:sz w:val="24"/>
          <w:szCs w:val="24"/>
        </w:rPr>
        <w:t xml:space="preserve"> </w:t>
      </w:r>
      <w:r w:rsidRPr="003609FB">
        <w:rPr>
          <w:rFonts w:ascii="Times New Roman" w:hAnsi="Times New Roman" w:cs="Times New Roman"/>
          <w:sz w:val="24"/>
          <w:szCs w:val="24"/>
        </w:rPr>
        <w:t>and respiration</w:t>
      </w:r>
      <w:r w:rsidR="00FC701C" w:rsidRPr="003609FB">
        <w:rPr>
          <w:rFonts w:ascii="Times New Roman" w:hAnsi="Times New Roman" w:cs="Times New Roman"/>
          <w:sz w:val="24"/>
          <w:szCs w:val="24"/>
        </w:rPr>
        <w:t xml:space="preserve"> </w:t>
      </w:r>
      <w:r w:rsidR="00FC701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{"citationID":"J6Yt5vis","properties":{"formattedCitation":"(Bond, Hansel, and Voelker 2020; Hayyan, Hashim, and AlNashef 2016; Seaver and Imlay 2001)","plainCitation":"(Bond, Hansel, and Voelker 2020; Hayyan, Hashim, and AlNashef 2016; Seaver and Imlay 2001)","noteIndex":0},"citationItems":[{"id":3090,"uris":["http://zotero.org/users/6128296/items/ZAPTPL7G"],"itemData":{"id":3090,"type":"article-journal","abstract":"Bacteria have been implicated as both a source and sink of hydrogen peroxide (H2O2), a reactive oxygen species which can both impact microbial growth and participate in the geochemical cycling of trace metals and carbon in natural waters. In this study, simultaneous H2O2 production and decay by twelve species of heterotrophic bacteria were evaluated in both batch and ﬂow-through incubations. While wide speciesto-species variability of cell-normalized H2O2 decay rate coefﬁcients [2 × 10−8 to 5 × 10−6 hr−1 (cell mL−1)−1] was observed, these rate coefﬁcients were relatively consistent for a given bacterial species. By contrast, observed production rates (below detection limit to 3 × 102 amol cell−1 hr−1) were more variable even for the same species. Variations based on incubation conditions in some bacterial strains suggest that external conditions may impact extracellular H2O2 levels either through increased extracellular production or leakage of intracellular H2O2. Comparison of H2O2 production rates to previously determined superoxide (O2−) production rates suggests that O2− and H2O2 production are not necessarily linked. Rates measured in this study indicate that bacteria could account for a majority of H2O2 decay observed in aqueous systems but likely only make a modest contribution to dark H2O2 production.","container-title":"Frontiers in Marine Science","DOI":"10.3389/fmars.2020.00072","ISSN":"2296-7745","journalAbbreviation":"Front. Mar. Sci.","language":"en","page":"72","source":"DOI.org (Crossref)","title":"Heterotrophic Bacteria Exhibit a Wide Range of Rates of Extracellular Production and Decay of Hydrogen Peroxide","volume":"7","author":[{"family":"Bond","given":""},{"family":"Hansel","given":"Colleen M."},{"family":"Voelker","given":"Bettina M."}],"issued":{"date-parts":[["2020",2,18]]}}},{"id":1496,"uris":["http://zotero.org/users/6128296/items/9TBQCTMC"],"itemData":{"id":1496,"type":"article-journal","container-title":"Chemical Reviews","DOI":"10.1021/acs.chemrev.5b00407","ISSN":"0009-2665, 1520-6890","issue":"5","journalAbbreviation":"Chem. Rev.","language":"en","page":"3029-3085","source":"DOI.org (Crossref)","title":"Superoxide Ion: Generation and Chemical Implications","title-short":"Superoxide Ion","volume":"116","author":[{"family":"Hayyan","given":""},{"family":"Hashim","given":"Mohd Ali"},{"family":"AlNashef","given":"Inas M."}],"issued":{"date-parts":[["2016",3,9]]}}},{"id":6669,"uris":["http://zotero.org/users/6128296/items/NUFBRLS3"],"itemData":{"id":6669,"type":"article-journal","abstract":"ABSTRACT\n            \n              Escherichia coli\n              generates about 14 μM hydrogen peroxide (H\n              2\n              O\n              2\n              ) per s when it grows exponentially in glucose medium. The steady-state intracellular concentration of H\n              2\n              O\n              2\n              depends on the rates at which this H\n              2\n              O\n              2\n              is dissipated by scavenging enzymes and by efflux from the cell. The rates of H\n              2\n              O\n              2\n              degradation by the two major scavenging enzymes, alkyl hydroperoxide reductase and catalase, were quantified. In order to estimate the rate of efflux, the permeability coefficient of membranes for H\n              2\n              O\n              2\n              was determined. The coefficient is 1.6 × 10\n              −3\n              cm/s, indicating that permeability is substantial but not unlimited. These data allowed internal H\n              2\n              O\n              2\n              fluxes and concentrations to be calculated. Under these growth conditions, Ahp scavenges the majority of the endogenous H\n              2\n              O\n              2\n              , with a small fraction degraded by catalase and virtually none persisting long enough to penetrate the membrane and exit the cell. The robust scavenging activity maintains the H\n              2\n              O\n              2\n              concentration inside glucose-grown cells at &lt;10\n              −7\n              M, substantially below the level (10\n              −6\n              M) at which toxicity is evident. When extracellular H\n              2\n              O\n              2\n              is present, its flux into the cell can be rapid, but the internal concentration may still be an order of magnitude lower than that outside. The presence of such gradients was confirmed in experiments that revealed different degrees of oxidative stress in cocultured scavenger-deficient mutants. The limited permeability of membranes to H\n              2\n              O\n              2\n              rationalizes the compartmentalization of scavenging systems and predicts that bacteria that excrete redox-cycling drugs do not experience the same H\n              2\n              O\n              2\n              dose that they impose on their competitors.","container-title":"Journal of Bacteriology","DOI":"10.1128/JB.183.24.7182-7189.2001","ISSN":"0021-9193, 1098-5530","issue":"24","journalAbbreviation":"J Bacteriol","language":"en","page":"7182-7189","source":"DOI.org (Crossref)","title":"Hydrogen Peroxide Fluxes and Compartmentalization inside Growing &lt;i&gt;Escherichia coli&lt;/i&gt;","volume":"183","author":[{"family":"Seaver","given":""},{"family":"Imlay","given":"James A."}],"issued":{"date-parts":[["2001",12,15]]}}}],"schema":"https://github.com/citation-style-language/schema/raw/master/csl-citation.json"} </w:instrText>
      </w:r>
      <w:r w:rsidR="00FC701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(Bond, Hansel, and Voelker 2020; Hayyan, Hashim, and </w:t>
      </w:r>
      <w:proofErr w:type="spellStart"/>
      <w:r w:rsidR="006C2922">
        <w:rPr>
          <w:rFonts w:ascii="Times New Roman" w:hAnsi="Times New Roman" w:cs="Times New Roman"/>
          <w:sz w:val="24"/>
          <w:szCs w:val="24"/>
        </w:rPr>
        <w:t>AlNashef</w:t>
      </w:r>
      <w:proofErr w:type="spellEnd"/>
      <w:r w:rsidR="006C2922">
        <w:rPr>
          <w:rFonts w:ascii="Times New Roman" w:hAnsi="Times New Roman" w:cs="Times New Roman"/>
          <w:sz w:val="24"/>
          <w:szCs w:val="24"/>
        </w:rPr>
        <w:t xml:space="preserve"> 2016; Seaver and Imlay 2001)</w:t>
      </w:r>
      <w:r w:rsidR="00FC701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as well as from abiotic processes such as photocatalytic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via sunlight </w:t>
      </w:r>
      <w:r w:rsidR="00984C03" w:rsidRPr="003609FB">
        <w:rPr>
          <w:rFonts w:ascii="Times New Roman" w:hAnsi="Times New Roman" w:cs="Times New Roman"/>
          <w:sz w:val="24"/>
          <w:szCs w:val="24"/>
        </w:rPr>
        <w:t xml:space="preserve">and dissolved organic carbon </w:t>
      </w:r>
      <w:r w:rsidR="00B63CD0"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{"citationID":"oJjLTscT","properties":{"formattedCitation":"(Cooper et al. 1988; Zinser 2018a; Morris, Rose, and Lu 2022)","plainCitation":"(Cooper et al. 1988; Zinser 2018a; Morris, Rose, and Lu 2022)","noteIndex":0},"citationItems":[{"id":2126,"uris":["http://zotero.org/users/6128296/items/GE23ETKX"],"itemData":{"id":2126,"type":"article-journal","container-title":"Environmental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L."},{"family":"Lu","given":"Zhiying"}],"issued":{"date-parts":[["2022",6]]}}}],"schema":"https://github.com/citation-style-language/schema/raw/master/csl-citation.json"} </w:instrText>
      </w:r>
      <w:r w:rsidR="00B63CD0"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(Cooper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1988; Zinser 2018a; Morris, Rose, and Lu 2022)</w:t>
      </w:r>
      <w:r w:rsidR="00B63CD0"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Short lived ROS like </w:t>
      </w:r>
      <w:proofErr w:type="gramStart"/>
      <w:r w:rsidRPr="003609FB">
        <w:rPr>
          <w:rFonts w:ascii="Times New Roman" w:hAnsi="Times New Roman" w:cs="Times New Roman"/>
          <w:sz w:val="24"/>
          <w:szCs w:val="24"/>
        </w:rPr>
        <w:t>OH</w:t>
      </w:r>
      <w:r w:rsidR="00256F15" w:rsidRPr="00256F15">
        <w:rPr>
          <w:rFonts w:ascii="Times New Roman" w:hAnsi="Times New Roman" w:cs="Times New Roman"/>
          <w:b/>
          <w:bCs/>
          <w:sz w:val="28"/>
          <w:szCs w:val="28"/>
          <w:vertAlign w:val="superscript"/>
        </w:rPr>
        <w:t>.</w:t>
      </w:r>
      <w:r w:rsidR="000C216A">
        <w:rPr>
          <w:rFonts w:ascii="Times New Roman" w:hAnsi="Times New Roman" w:cs="Times New Roman"/>
          <w:b/>
          <w:bCs/>
          <w:sz w:val="28"/>
          <w:szCs w:val="28"/>
          <w:vertAlign w:val="superscript"/>
        </w:rPr>
        <w:t>-</w:t>
      </w:r>
      <w:proofErr w:type="gramEnd"/>
      <w:r w:rsidRPr="003609FB">
        <w:rPr>
          <w:rFonts w:ascii="Times New Roman" w:hAnsi="Times New Roman" w:cs="Times New Roman"/>
          <w:sz w:val="24"/>
          <w:szCs w:val="24"/>
        </w:rPr>
        <w:t xml:space="preserve"> or O</w:t>
      </w:r>
      <w:r w:rsidRPr="00256F15">
        <w:rPr>
          <w:rFonts w:ascii="Times New Roman" w:hAnsi="Times New Roman" w:cs="Times New Roman"/>
          <w:sz w:val="24"/>
          <w:szCs w:val="24"/>
          <w:vertAlign w:val="subscript"/>
        </w:rPr>
        <w:t>2</w:t>
      </w:r>
      <w:r w:rsidR="000C216A" w:rsidRPr="007C74F2">
        <w:rPr>
          <w:rFonts w:ascii="Times New Roman" w:hAnsi="Times New Roman" w:cs="Times New Roman"/>
          <w:b/>
          <w:bCs/>
          <w:sz w:val="24"/>
          <w:szCs w:val="24"/>
          <w:vertAlign w:val="superscript"/>
        </w:rPr>
        <w:t>.-</w:t>
      </w:r>
      <w:r w:rsidR="00D157BE" w:rsidRPr="003609FB">
        <w:rPr>
          <w:rFonts w:ascii="Times New Roman" w:hAnsi="Times New Roman" w:cs="Times New Roman"/>
          <w:sz w:val="24"/>
          <w:szCs w:val="24"/>
        </w:rPr>
        <w:t>.</w:t>
      </w:r>
      <w:r w:rsidRPr="003609FB">
        <w:rPr>
          <w:rFonts w:ascii="Times New Roman" w:hAnsi="Times New Roman" w:cs="Times New Roman"/>
          <w:sz w:val="24"/>
          <w:szCs w:val="24"/>
        </w:rPr>
        <w:t xml:space="preserve"> are </w:t>
      </w:r>
      <w:r w:rsidR="003804F1">
        <w:rPr>
          <w:rFonts w:ascii="Times New Roman" w:hAnsi="Times New Roman" w:cs="Times New Roman"/>
          <w:sz w:val="24"/>
          <w:szCs w:val="24"/>
        </w:rPr>
        <w:t xml:space="preserve"> charged and thus more</w:t>
      </w:r>
      <w:r w:rsidRPr="003609FB">
        <w:rPr>
          <w:rFonts w:ascii="Times New Roman" w:hAnsi="Times New Roman" w:cs="Times New Roman"/>
          <w:sz w:val="24"/>
          <w:szCs w:val="24"/>
        </w:rPr>
        <w:t xml:space="preserve"> unstable </w:t>
      </w:r>
      <w:r w:rsidR="007D786F"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{"citationID":"9ArPfMIy","properties":{"formattedCitation":"(Cooper et al. 1988; Zinser 2018b; Morris, Rose, and Lu 2022)","plainCitation":"(Cooper et al. 1988; Zinser 2018b; Morris, Rose, and Lu 2022)","noteIndex":0},"citationItems":[{"id":2126,"uris":["http://zotero.org/users/6128296/items/GE23ETKX"],"itemData":{"id":2126,"type":"article-journal","container-title":"Environmental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L."},{"family":"Lu","given":"Zhiying"}],"issued":{"date-parts":[["2022",6]]}}}],"schema":"https://github.com/citation-style-language/schema/raw/master/csl-citation.json"} </w:instrText>
      </w:r>
      <w:r w:rsidR="007D786F"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(Cooper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1988; Zinser 2018b; Morris, Rose, and Lu 2022)</w:t>
      </w:r>
      <w:r w:rsidR="007D786F" w:rsidRPr="003609FB">
        <w:rPr>
          <w:rFonts w:ascii="Times New Roman" w:hAnsi="Times New Roman" w:cs="Times New Roman"/>
          <w:sz w:val="24"/>
          <w:szCs w:val="24"/>
        </w:rPr>
        <w:fldChar w:fldCharType="end"/>
      </w:r>
      <w:r w:rsidR="007D786F"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reactive </w:t>
      </w:r>
      <w:r w:rsidR="003804F1">
        <w:rPr>
          <w:rFonts w:ascii="Times New Roman" w:hAnsi="Times New Roman" w:cs="Times New Roman"/>
          <w:sz w:val="24"/>
          <w:szCs w:val="24"/>
        </w:rPr>
        <w:t>to than O</w:t>
      </w:r>
      <w:r w:rsidR="003804F1" w:rsidRPr="003804F1">
        <w:rPr>
          <w:rFonts w:ascii="Times New Roman" w:hAnsi="Times New Roman" w:cs="Times New Roman"/>
          <w:sz w:val="24"/>
          <w:szCs w:val="24"/>
          <w:vertAlign w:val="subscript"/>
        </w:rPr>
        <w:t>2</w:t>
      </w:r>
      <w:r w:rsidR="003804F1">
        <w:rPr>
          <w:rFonts w:ascii="Times New Roman" w:hAnsi="Times New Roman" w:cs="Times New Roman"/>
          <w:sz w:val="24"/>
          <w:szCs w:val="24"/>
        </w:rPr>
        <w:t xml:space="preserve"> or H</w:t>
      </w:r>
      <w:r w:rsidR="003804F1" w:rsidRPr="003804F1">
        <w:rPr>
          <w:rFonts w:ascii="Times New Roman" w:hAnsi="Times New Roman" w:cs="Times New Roman"/>
          <w:sz w:val="24"/>
          <w:szCs w:val="24"/>
          <w:vertAlign w:val="subscript"/>
        </w:rPr>
        <w:t>2</w:t>
      </w:r>
      <w:r w:rsidR="003804F1">
        <w:rPr>
          <w:rFonts w:ascii="Times New Roman" w:hAnsi="Times New Roman" w:cs="Times New Roman"/>
          <w:sz w:val="24"/>
          <w:szCs w:val="24"/>
        </w:rPr>
        <w:t>O</w:t>
      </w:r>
      <w:r w:rsidR="003804F1" w:rsidRPr="003804F1">
        <w:rPr>
          <w:rFonts w:ascii="Times New Roman" w:hAnsi="Times New Roman" w:cs="Times New Roman"/>
          <w:sz w:val="24"/>
          <w:szCs w:val="24"/>
          <w:vertAlign w:val="subscript"/>
        </w:rPr>
        <w:t>2</w:t>
      </w:r>
      <w:r w:rsidR="00453FC8">
        <w:rPr>
          <w:rFonts w:ascii="Times New Roman" w:hAnsi="Times New Roman" w:cs="Times New Roman"/>
          <w:sz w:val="24"/>
          <w:szCs w:val="24"/>
        </w:rPr>
        <w:t xml:space="preserve">; </w:t>
      </w:r>
      <w:r w:rsidR="003804F1">
        <w:rPr>
          <w:rFonts w:ascii="Times New Roman" w:hAnsi="Times New Roman" w:cs="Times New Roman"/>
          <w:sz w:val="24"/>
          <w:szCs w:val="24"/>
        </w:rPr>
        <w:t xml:space="preserve"> </w:t>
      </w:r>
      <w:r w:rsidR="00453FC8">
        <w:rPr>
          <w:rFonts w:ascii="Times New Roman" w:hAnsi="Times New Roman" w:cs="Times New Roman"/>
          <w:sz w:val="24"/>
          <w:szCs w:val="24"/>
        </w:rPr>
        <w:t>m</w:t>
      </w:r>
      <w:r w:rsidR="003804F1">
        <w:rPr>
          <w:rFonts w:ascii="Times New Roman" w:hAnsi="Times New Roman" w:cs="Times New Roman"/>
          <w:sz w:val="24"/>
          <w:szCs w:val="24"/>
        </w:rPr>
        <w:t xml:space="preserve">eaning </w:t>
      </w:r>
      <w:r w:rsidRPr="003609FB">
        <w:rPr>
          <w:rFonts w:ascii="Times New Roman" w:hAnsi="Times New Roman" w:cs="Times New Roman"/>
          <w:sz w:val="24"/>
          <w:szCs w:val="24"/>
        </w:rPr>
        <w:t xml:space="preserve">that unless </w:t>
      </w:r>
      <w:r w:rsidR="003804F1" w:rsidRPr="003609FB">
        <w:rPr>
          <w:rFonts w:ascii="Times New Roman" w:hAnsi="Times New Roman" w:cs="Times New Roman"/>
          <w:sz w:val="24"/>
          <w:szCs w:val="24"/>
        </w:rPr>
        <w:t>OH</w:t>
      </w:r>
      <w:r w:rsidR="003804F1" w:rsidRPr="00256F15">
        <w:rPr>
          <w:rFonts w:ascii="Times New Roman" w:hAnsi="Times New Roman" w:cs="Times New Roman"/>
          <w:b/>
          <w:bCs/>
          <w:sz w:val="28"/>
          <w:szCs w:val="28"/>
          <w:vertAlign w:val="superscript"/>
        </w:rPr>
        <w:t>.</w:t>
      </w:r>
      <w:r w:rsidR="007C74F2">
        <w:rPr>
          <w:rFonts w:ascii="Times New Roman" w:hAnsi="Times New Roman" w:cs="Times New Roman"/>
          <w:b/>
          <w:bCs/>
          <w:sz w:val="28"/>
          <w:szCs w:val="28"/>
          <w:vertAlign w:val="superscript"/>
        </w:rPr>
        <w:t>-</w:t>
      </w:r>
      <w:r w:rsidR="003804F1" w:rsidRPr="003609FB">
        <w:rPr>
          <w:rFonts w:ascii="Times New Roman" w:hAnsi="Times New Roman" w:cs="Times New Roman"/>
          <w:sz w:val="24"/>
          <w:szCs w:val="24"/>
        </w:rPr>
        <w:t xml:space="preserve"> or </w:t>
      </w:r>
      <w:r w:rsidR="007C74F2" w:rsidRPr="003609FB">
        <w:rPr>
          <w:rFonts w:ascii="Times New Roman" w:hAnsi="Times New Roman" w:cs="Times New Roman"/>
          <w:sz w:val="24"/>
          <w:szCs w:val="24"/>
        </w:rPr>
        <w:t>O</w:t>
      </w:r>
      <w:r w:rsidR="007C74F2" w:rsidRPr="00256F15">
        <w:rPr>
          <w:rFonts w:ascii="Times New Roman" w:hAnsi="Times New Roman" w:cs="Times New Roman"/>
          <w:sz w:val="24"/>
          <w:szCs w:val="24"/>
          <w:vertAlign w:val="subscript"/>
        </w:rPr>
        <w:t>2</w:t>
      </w:r>
      <w:r w:rsidR="007C74F2" w:rsidRPr="007C74F2">
        <w:rPr>
          <w:rFonts w:ascii="Times New Roman" w:hAnsi="Times New Roman" w:cs="Times New Roman"/>
          <w:b/>
          <w:bCs/>
          <w:sz w:val="24"/>
          <w:szCs w:val="24"/>
          <w:vertAlign w:val="superscript"/>
        </w:rPr>
        <w:t>.-</w:t>
      </w:r>
      <w:r w:rsidR="007C74F2">
        <w:rPr>
          <w:rFonts w:ascii="Times New Roman" w:hAnsi="Times New Roman" w:cs="Times New Roman"/>
          <w:sz w:val="24"/>
          <w:szCs w:val="24"/>
        </w:rPr>
        <w:t xml:space="preserve"> </w:t>
      </w:r>
      <w:r w:rsidRPr="003609FB">
        <w:rPr>
          <w:rFonts w:ascii="Times New Roman" w:hAnsi="Times New Roman" w:cs="Times New Roman"/>
          <w:sz w:val="24"/>
          <w:szCs w:val="24"/>
        </w:rPr>
        <w:t xml:space="preserve">are created in the cell, they do not pose a significant threat to microbial cell health </w:t>
      </w:r>
      <w:r w:rsidR="003804F1">
        <w:rPr>
          <w:rFonts w:ascii="Times New Roman" w:hAnsi="Times New Roman" w:cs="Times New Roman"/>
          <w:sz w:val="24"/>
          <w:szCs w:val="24"/>
        </w:rPr>
        <w:t>as they cannot easily cross the membrane and</w:t>
      </w:r>
      <w:r w:rsidR="003804F1" w:rsidRPr="003804F1">
        <w:rPr>
          <w:rFonts w:ascii="Times New Roman" w:hAnsi="Times New Roman" w:cs="Times New Roman"/>
          <w:sz w:val="24"/>
          <w:szCs w:val="24"/>
        </w:rPr>
        <w:t xml:space="preserve"> </w:t>
      </w:r>
      <w:r w:rsidR="003804F1">
        <w:rPr>
          <w:rFonts w:ascii="Times New Roman" w:hAnsi="Times New Roman" w:cs="Times New Roman"/>
          <w:sz w:val="24"/>
          <w:szCs w:val="24"/>
        </w:rPr>
        <w:t xml:space="preserve">generally react too quickly </w:t>
      </w:r>
      <w:r w:rsidR="007D786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{"citationID":"i8jVPVmB","properties":{"formattedCitation":"(Imlay 2003; 2013; Seaver and Imlay 2001; M\\uc0\\u246{}ller et al. 2019; Morris et al. 2011)","plainCitation":"(Imlay 2003; 2013; Seaver and Imlay 2001; Möller et al. 2019; Morris et al. 2011)","noteIndex":0},"citationItems":[{"id":209,"uris":["http://zotero.org/users/6128296/items/7TJQYIJA"],"itemData":{"id":209,"type":"article-journal","container-title":"Annual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Damage","volume":"57","author":[{"family":"Imlay","given":""}],"issued":{"date-parts":[["2003",10]]}}},{"id":210,"uris":["http://zotero.org/users/6128296/items/JZFIEAMN"],"itemData":{"id":210,"type":"article-journal","abstract":"Oxic environments are hazardous. Molecular oxygen adventitiously abstracts electrons from many redox enzymes, continuously forming intracellular superoxide and hydrogen peroxide. These species can destroy the activities of metalloenzymes and the integrity of DNA, forcing organisms to protect themselves with scavenging enzymes and repair systems. Nevertheless, elevated levels of oxidants quickly poison bacteria, and both microbial competitors and hostile eukaryotic hosts exploit this vulnerability by assaulting these bacteria with peroxides or superoxide-forming antibiotics. In response, bacteria activate elegant adaptive strategies. In this Review, I summarize our current knowledge of oxidative stress in Escherichia coli, the model organism for which our understanding of damage and defence is most well developed.","container-title":"Nature Reviews Microbiology","DOI":"10.1038/nrmicro3032","ISSN":"1740-1526, 1740-1534","issue":"7","journalAbbreviation":"Nat Rev Microbiol","language":"en","page":"443-454","source":"DOI.org (Crossref)","title":"The molecular mechanisms and physiological consequences of oxidative stress: lessons from a model bacterium","title-short":"The molecular mechanisms and physiological consequences of oxidative stress","volume":"11","author":[{"family":"Imlay","given":""}],"issued":{"date-parts":[["2013",7]]}}},{"id":6669,"uris":["http://zotero.org/users/6128296/items/NUFBRLS3"],"itemData":{"id":6669,"type":"article-journal","abstract":"ABSTRACT\n            \n              Escherichia coli\n              generates about 14 μM hydrogen peroxide (H\n              2\n              O\n              2\n              ) per s when it grows exponentially in glucose medium. The steady-state intracellular concentration of H\n              2\n              O\n              2\n              depends on the rates at which this H\n              2\n              O\n              2\n              is dissipated by scavenging enzymes and by efflux from the cell. The rates of H\n              2\n              O\n              2\n              degradation by the two major scavenging enzymes, alkyl hydroperoxide reductase and catalase, were quantified. In order to estimate the rate of efflux, the permeability coefficient of membranes for H\n              2\n              O\n              2\n              was determined. The coefficient is 1.6 × 10\n              −3\n              cm/s, indicating that permeability is substantial but not unlimited. These data allowed internal H\n              2\n              O\n              2\n              fluxes and concentrations to be calculated. Under these growth conditions, Ahp scavenges the majority of the endogenous H\n              2\n              O\n              2\n              , with a small fraction degraded by catalase and virtually none persisting long enough to penetrate the membrane and exit the cell. The robust scavenging activity maintains the H\n              2\n              O\n              2\n              concentration inside glucose-grown cells at &lt;10\n              −7\n              M, substantially below the level (10\n              −6\n              M) at which toxicity is evident. When extracellular H\n              2\n              O\n              2\n              is present, its flux into the cell can be rapid, but the internal concentration may still be an order of magnitude lower than that outside. The presence of such gradients was confirmed in experiments that revealed different degrees of oxidative stress in cocultured scavenger-deficient mutants. The limited permeability of membranes to H\n              2\n              O\n              2\n              rationalizes the compartmentalization of scavenging systems and predicts that bacteria that excrete redox-cycling drugs do not experience the same H\n              2\n              O\n              2\n              dose that they impose on their competitors.","container-title":"Journal of Bacteriology","DOI":"10.1128/JB.183.24.7182-7189.2001","ISSN":"0021-9193, 1098-5530","issue":"24","journalAbbreviation":"J Bacteriol","language":"en","page":"7182-7189","source":"DOI.org (Crossref)","title":"Hydrogen Peroxide Fluxes and Compartmentalization inside Growing &lt;i&gt;Escherichia coli&lt;/i&gt;","volume":"183","author":[{"family":"Seaver","given":""},{"family":"Imlay","given":"James A."}],"issued":{"date-parts":[["2001",12,15]]}}},{"id":4102,"uris":["http://zotero.org/users/6128296/items/IFIZUZAN"],"itemData":{"id":4102,"type":"chapter","container-title":"Bioactive Lipids in Health and Disease","event-place":"Cham","ISBN":"978-3-030-11487-9","language":"en","note":"collection-title: Advances in Experimental Medicine and Biology\nDOI: 10.1007/978-3-030-11488-6_1","page":"3-19","publisher":"Springer International Publishing","publisher-place":"Cham","source":"DOI.org (Crossref)","title":"Diffusion and Transport of Reactive Species Across Cell Membranes","URL":"http://link.springer.com/10.1007/978-3-030-11488-6_1","volume":"1127","editor":[{"family":"Trostchansky","given":""},{"family":"Rubbo","given":"Homero"}],"author":[{"family":"Möller","given":"Matias N."},{"family":"Cuevasanta","given":"Ernesto"},{"family":"Orrico","given":"Florencia"},{"family":"Lopez","given":"Ana C."},{"family":"Thomson","given":"Leonor"},{"family":"Denicola","given":"Ana"}],"accessed":{"date-parts":[["2024",2,2]]},"issued":{"date-parts":[["2019"]]}}},{"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7D786F"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(Imlay 2003; 2013; Seaver and Imlay 2001; Möller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2019; Morris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2011)</w:t>
      </w:r>
      <w:r w:rsidR="007D786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created down-stream of </w:t>
      </w:r>
      <w:r w:rsidR="007C74F2" w:rsidRPr="003609FB">
        <w:rPr>
          <w:rFonts w:ascii="Times New Roman" w:hAnsi="Times New Roman" w:cs="Times New Roman"/>
          <w:sz w:val="24"/>
          <w:szCs w:val="24"/>
        </w:rPr>
        <w:t>O</w:t>
      </w:r>
      <w:r w:rsidR="007C74F2" w:rsidRPr="00256F15">
        <w:rPr>
          <w:rFonts w:ascii="Times New Roman" w:hAnsi="Times New Roman" w:cs="Times New Roman"/>
          <w:sz w:val="24"/>
          <w:szCs w:val="24"/>
          <w:vertAlign w:val="subscript"/>
        </w:rPr>
        <w:t>2</w:t>
      </w:r>
      <w:r w:rsidR="007C74F2" w:rsidRPr="007C74F2">
        <w:rPr>
          <w:rFonts w:ascii="Times New Roman" w:hAnsi="Times New Roman" w:cs="Times New Roman"/>
          <w:b/>
          <w:bCs/>
          <w:sz w:val="24"/>
          <w:szCs w:val="24"/>
          <w:vertAlign w:val="superscript"/>
        </w:rPr>
        <w:t>.-</w:t>
      </w:r>
      <w:r w:rsidR="007C74F2">
        <w:rPr>
          <w:rFonts w:ascii="Times New Roman" w:hAnsi="Times New Roman" w:cs="Times New Roman"/>
          <w:sz w:val="24"/>
          <w:szCs w:val="24"/>
        </w:rPr>
        <w:t xml:space="preserve"> </w:t>
      </w:r>
      <w:r w:rsidRPr="003609FB">
        <w:rPr>
          <w:rFonts w:ascii="Times New Roman" w:hAnsi="Times New Roman" w:cs="Times New Roman"/>
          <w:sz w:val="24"/>
          <w:szCs w:val="24"/>
        </w:rPr>
        <w:t xml:space="preserve">reactions through the enzyme </w:t>
      </w:r>
      <w:r w:rsidR="003804F1">
        <w:rPr>
          <w:rFonts w:ascii="Times New Roman" w:hAnsi="Times New Roman" w:cs="Times New Roman"/>
          <w:sz w:val="24"/>
          <w:szCs w:val="24"/>
        </w:rPr>
        <w:t>s</w:t>
      </w:r>
      <w:r w:rsidRPr="003609FB">
        <w:rPr>
          <w:rFonts w:ascii="Times New Roman" w:hAnsi="Times New Roman" w:cs="Times New Roman"/>
          <w:sz w:val="24"/>
          <w:szCs w:val="24"/>
        </w:rPr>
        <w:t xml:space="preserve">uperoxide dismutase (SOD). It detoxifies </w:t>
      </w:r>
      <w:r w:rsidR="007C74F2" w:rsidRPr="003609FB">
        <w:rPr>
          <w:rFonts w:ascii="Times New Roman" w:hAnsi="Times New Roman" w:cs="Times New Roman"/>
          <w:sz w:val="24"/>
          <w:szCs w:val="24"/>
        </w:rPr>
        <w:t>O</w:t>
      </w:r>
      <w:r w:rsidR="007C74F2" w:rsidRPr="00256F15">
        <w:rPr>
          <w:rFonts w:ascii="Times New Roman" w:hAnsi="Times New Roman" w:cs="Times New Roman"/>
          <w:sz w:val="24"/>
          <w:szCs w:val="24"/>
          <w:vertAlign w:val="subscript"/>
        </w:rPr>
        <w:t>2</w:t>
      </w:r>
      <w:r w:rsidR="007C74F2" w:rsidRPr="007C74F2">
        <w:rPr>
          <w:rFonts w:ascii="Times New Roman" w:hAnsi="Times New Roman" w:cs="Times New Roman"/>
          <w:b/>
          <w:bCs/>
          <w:sz w:val="24"/>
          <w:szCs w:val="24"/>
          <w:vertAlign w:val="superscript"/>
        </w:rPr>
        <w:t>.-</w:t>
      </w:r>
      <w:r w:rsidR="007C74F2">
        <w:rPr>
          <w:rFonts w:ascii="Times New Roman" w:hAnsi="Times New Roman" w:cs="Times New Roman"/>
          <w:sz w:val="24"/>
          <w:szCs w:val="24"/>
        </w:rPr>
        <w:t xml:space="preserve"> </w:t>
      </w:r>
      <w:r w:rsidRPr="003609FB">
        <w:rPr>
          <w:rFonts w:ascii="Times New Roman" w:hAnsi="Times New Roman" w:cs="Times New Roman"/>
          <w:sz w:val="24"/>
          <w:szCs w:val="24"/>
        </w:rPr>
        <w:t xml:space="preserve">to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is found ubiquitously in aerobic microbes</w:t>
      </w:r>
      <w:r w:rsidR="007D786F" w:rsidRPr="003609FB">
        <w:rPr>
          <w:rFonts w:ascii="Times New Roman" w:hAnsi="Times New Roman" w:cs="Times New Roman"/>
          <w:sz w:val="24"/>
          <w:szCs w:val="24"/>
        </w:rPr>
        <w:t xml:space="preserve"> </w:t>
      </w:r>
      <w:r w:rsidR="007D786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{"citationID":"H0hDZvj2","properties":{"formattedCitation":"(Ighodaro and Akinloye 2018; Miller 2012)","plainCitation":"(Ighodaro and Akinloye 2018; Miller 2012)","noteIndex":0},"citationItems":[{"id":6674,"uris":["http://zotero.org/users/6128296/items/2CU4WY5C"],"itemData":{"id":6674,"type":"article-journal","abstract":"The body encloses a complex antioxidant defence grid that relies on endogenous enzymatic and nonenzymatic antioxidants. These molecules collectively act against free radicals to resist their damaging effects to vital biomolecules and ultimately body tissues. Based on their response to general free radical invasion, they can be categorized into ﬁrst, second, third and even fourth line defense antioxidants. The role and effectiveness of the ﬁrst line defense antioxidants which basically include superoxide dismutase (SOD), catalase (CAT) and glutathione peroxidase (GPX) is important and indispensable in the entire defense strategy of antioxidants, especially in reference to super oxide anion radical (*O2) which is perpetually generated in normal body metabolism, particularly through the mitochondrial energy production pathway (MEPP). A lot has been published concerning antioxidants and their signiﬁcance in preventing oxidative stress and the attendant cellular damage, howbeit with paucity of awareness on the fundamental role of SOD, CAT and GPX. The present review tends to articulate important information on SOD, CAT and GPX as ﬁrst line defense antioxidant enzymes.","container-title":"Alexandria Journal of Medicine","DOI":"10.1016/j.ajme.2017.09.001","ISSN":"2090-5068, 2090-5076","issue":"4","journalAbbreviation":"Alexandria Journal of Medicine","language":"en","page":"287-293","source":"DOI.org (Crossref)","title":"First line defence antioxidants-superoxide dismutase (SOD), catalase (CAT) and glutathione peroxidase (GPX): Their fundamental role in the entire antioxidant defence grid","title-short":"First line defence antioxidants-superoxide dismutase (SOD), catalase (CAT) and glutathione peroxidase (GPX)","volume":"54","author":[{"family":"Ighodaro","given":""},{"family":"Akinloye","given":""}],"issued":{"date-parts":[["2018",12,1]]}}},{"id":2072,"uris":["http://zotero.org/users/6128296/items/7XJI7TUG"],"itemData":{"id":2072,"type":"article-journal","abstract":"Superoxide dismutases (SODs) catalyze the de-activation of superoxide. SODs therefore acquired great importance as O2 became prevalent following the evolution of oxygenic photosynthesis. Thus the three forms of SOD provide intriguing insights into the evolution of the organisms and organelles that carry them today. Although ancient organisms employed Fe-dependent SODs, oxidation of the environment made Fe less bio-available, and more dangerous. Indeed, modern lineages make greater use of homologous Mn-dependent SODs. Our studies on the Fe-substituted MnSOD of Escherichia coli, as well as redox tuning in the FeSOD of E. coli shed light on how evolution accommodated differences between Fe and Mn that could affect SOD performance, in SOD proteins whose activity is specific to one or other metal ion.","container-title":"FEBS Letters","DOI":"10.1016/j.febslet.2011.10.048","ISSN":"00145793","issue":"5","language":"en","page":"585-595","source":"DOI.org (Crossref)","title":"Superoxide dismutases: Ancient enzymes and new insights","title-short":"Superoxide dismutases","volume":"586","author":[{"family":"Miller","given":""}],"issued":{"date-parts":[["2012",3,9]]}}}],"schema":"https://github.com/citation-style-language/schema/raw/master/csl-citation.json"} </w:instrText>
      </w:r>
      <w:r w:rsidR="007D786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(Ighodaro and </w:t>
      </w:r>
      <w:proofErr w:type="spellStart"/>
      <w:r w:rsidR="006C2922">
        <w:rPr>
          <w:rFonts w:ascii="Times New Roman" w:hAnsi="Times New Roman" w:cs="Times New Roman"/>
          <w:sz w:val="24"/>
          <w:szCs w:val="24"/>
        </w:rPr>
        <w:t>Akinloye</w:t>
      </w:r>
      <w:proofErr w:type="spellEnd"/>
      <w:r w:rsidR="006C2922">
        <w:rPr>
          <w:rFonts w:ascii="Times New Roman" w:hAnsi="Times New Roman" w:cs="Times New Roman"/>
          <w:sz w:val="24"/>
          <w:szCs w:val="24"/>
        </w:rPr>
        <w:t xml:space="preserve"> 2018; Miller 2012)</w:t>
      </w:r>
      <w:r w:rsidR="007D786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While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only contains one type</w:t>
      </w:r>
      <w:r w:rsidR="00876004" w:rsidRPr="003609FB">
        <w:rPr>
          <w:rFonts w:ascii="Times New Roman" w:hAnsi="Times New Roman" w:cs="Times New Roman"/>
          <w:sz w:val="24"/>
          <w:szCs w:val="24"/>
        </w:rPr>
        <w:t xml:space="preserve"> </w:t>
      </w:r>
      <w:r w:rsidR="003804F1">
        <w:rPr>
          <w:rFonts w:ascii="Times New Roman" w:hAnsi="Times New Roman" w:cs="Times New Roman"/>
          <w:sz w:val="24"/>
          <w:szCs w:val="24"/>
        </w:rPr>
        <w:t xml:space="preserve">of SOD </w:t>
      </w:r>
      <w:r w:rsidR="0087600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{"citationID":"eHeiRBIb","properties":{"formattedCitation":"(Latifi, Ruiz, and Zhang 2009)","plainCitation":"(Latifi, Ruiz, and Zhang 2009)","noteIndex":0},"citationItems":[{"id":213,"uris":["http://zotero.org/users/6128296/items/RFXPGDIL"],"itemData":{"id":213,"type":"article-journal","abstract":"Reactive oxygen species (ROS) are byproducts of aerobic metabolism and potent agents that cause oxidative damage. In oxygenic photosynthetic organisms such as cyanobacteria, ROS are inevitably generated by photosynthetic electron transport, especially when the intensity of light-driven electron transport outpaces the rate of electron consumption during CO2 ﬁxation. Because cyanobacteria in their natural habitat are often exposed to changing external conditions, such as drastic ﬂuctuations of light intensities, their ability to perceive ROS and to rapidly initiate antioxidant defences is crucial for their survival. This review summarizes recent ﬁndings and outlines important perspectives in this ﬁeld.","container-title":"FEMS Microbiology Reviews","DOI":"10.1111/j.1574-6976.2008.00134.x","ISSN":"1574-6976","issue":"2","journalAbbreviation":"FEMS Microbiol Rev","language":"en","page":"258-278","source":"DOI.org (Crossref)","title":"Oxidative stress in cyanobacteria","volume":"33","author":[{"family":"Latifi","given":""},{"family":"Ruiz","given":"Marion"},{"family":"Zhang","given":"Cheng-Cai"}],"issued":{"date-parts":[["2009",3]]}}}],"schema":"https://github.com/citation-style-language/schema/raw/master/csl-citation.json"} </w:instrText>
      </w:r>
      <w:r w:rsidR="00876004"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(Latifi, Ruiz, and Zhang 2009)</w:t>
      </w:r>
      <w:r w:rsidR="00876004"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other ocean microbes contain various SOD enzymes with different metallic centers thus giving a range of catalytic events across broader </w:t>
      </w:r>
      <w:r w:rsidR="00876004" w:rsidRPr="003609FB">
        <w:rPr>
          <w:rFonts w:ascii="Times New Roman" w:hAnsi="Times New Roman" w:cs="Times New Roman"/>
          <w:sz w:val="24"/>
          <w:szCs w:val="24"/>
        </w:rPr>
        <w:t>electron (e-)</w:t>
      </w:r>
      <w:r w:rsidRPr="003609FB">
        <w:rPr>
          <w:rFonts w:ascii="Times New Roman" w:hAnsi="Times New Roman" w:cs="Times New Roman"/>
          <w:sz w:val="24"/>
          <w:szCs w:val="24"/>
        </w:rPr>
        <w:t xml:space="preserve"> charge ranges </w:t>
      </w:r>
      <w:r w:rsidR="005F1DB4" w:rsidRPr="00383FCD">
        <w:rPr>
          <w:rFonts w:ascii="Times New Roman" w:hAnsi="Times New Roman" w:cs="Times New Roman"/>
          <w:sz w:val="24"/>
          <w:szCs w:val="24"/>
        </w:rPr>
        <w:fldChar w:fldCharType="begin"/>
      </w:r>
      <w:r w:rsidR="009D7443" w:rsidRPr="00383FCD">
        <w:rPr>
          <w:rFonts w:ascii="Times New Roman" w:hAnsi="Times New Roman" w:cs="Times New Roman"/>
          <w:sz w:val="24"/>
          <w:szCs w:val="24"/>
        </w:rPr>
        <w:instrText xml:space="preserve"> ADDIN ZOTERO_ITEM CSL_CITATION {"citationID":"x83Ga5LC","properties":{"formattedCitation":"(Boden et al. 2021; Miller 2012)","plainCitation":"(Boden et al. 2021; Miller 2012)","noteIndex":0},"citationItems":[{"id":4089,"uris":["http://zotero.org/users/6128296/items/9A2PLNEQ"],"itemData":{"id":4089,"type":"article-journal","abstract":"Abstract\n            The ancestors of cyanobacteria generated Earth’s first biogenic molecular oxygen, but how they dealt with oxidative stress remains unconstrained. Here we investigate when superoxide dismutase enzymes (SODs) capable of removing superoxide free radicals evolved and estimate when Cyanobacteria originated. Our Bayesian molecular clocks, calibrated with microfossils, predict that stem Cyanobacteria arose 3300–3600 million years ago. Shortly afterwards, we find phylogenetic evidence that ancestral cyanobacteria used SODs with copper and zinc cofactors (CuZnSOD) during the Archaean. By the Paleoproterozoic, they became genetically capable of using iron, nickel, and manganese as cofactors (FeSOD, NiSOD, and MnSOD respectively). The evolution of NiSOD is particularly intriguing because it corresponds with cyanobacteria’s invasion of the open ocean. Our analyses of metalloenzymes dealing with reactive oxygen species (ROS) now demonstrate that marine geochemical records alone may not predict patterns of metal usage by phototrophs from freshwater and terrestrial habitats.","container-title":"Nature Communications","DOI":"10.1038/s41467-021-24396-y","ISSN":"2041-1723","issue":"1","journalAbbreviation":"Nat Commun","language":"en","page":"4742","source":"DOI.org (Crossref)","title":"Timing the evolution of antioxidant enzymes in cyanobacteria","volume":"12","author":[{"family":"Boden","given":""},{"family":"Konhauser","given":"Kurt O."},{"family":"Robbins","given":"Leslie J."},{"family":"Sánchez-Baracaldo","given":"Patricia"}],"issued":{"date-parts":[["2021",8,6]]}}},{"id":2072,"uris":["http://zotero.org/users/6128296/items/7XJI7TUG"],"itemData":{"id":2072,"type":"article-journal","abstract":"Superoxide dismutases (SODs) catalyze the de-activation of superoxide. SODs therefore acquired great importance as O2 became prevalent following the evolution of oxygenic photosynthesis. Thus the three forms of SOD provide intriguing insights into the evolution of the organisms and organelles that carry them today. Although ancient organisms employed Fe-dependent SODs, oxidation of the environment made Fe less bio-available, and more dangerous. Indeed, modern lineages make greater use of homologous Mn-dependent SODs. Our studies on the Fe-substituted MnSOD of Escherichia coli, as well as redox tuning in the FeSOD of E. coli shed light on how evolution accommodated differences between Fe and Mn that could affect SOD performance, in SOD proteins whose activity is specific to one or other metal ion.","container-title":"FEBS Letters","DOI":"10.1016/j.febslet.2011.10.048","ISSN":"00145793","issue":"5","language":"en","page":"585-595","source":"DOI.org (Crossref)","title":"Superoxide dismutases: Ancient enzymes and new insights","title-short":"Superoxide dismutases","volume":"586","author":[{"family":"Miller","given":""}],"issued":{"date-parts":[["2012",3,9]]}}}],"schema":"https://github.com/citation-style-language/schema/raw/master/csl-citation.json"} </w:instrText>
      </w:r>
      <w:r w:rsidR="005F1DB4" w:rsidRPr="00383FCD">
        <w:rPr>
          <w:rFonts w:ascii="Times New Roman" w:hAnsi="Times New Roman" w:cs="Times New Roman"/>
          <w:sz w:val="24"/>
          <w:szCs w:val="24"/>
        </w:rPr>
        <w:fldChar w:fldCharType="separate"/>
      </w:r>
      <w:r w:rsidR="006C2922" w:rsidRPr="00383FCD">
        <w:rPr>
          <w:rFonts w:ascii="Times New Roman" w:hAnsi="Times New Roman" w:cs="Times New Roman"/>
          <w:sz w:val="24"/>
          <w:szCs w:val="24"/>
        </w:rPr>
        <w:t xml:space="preserve">(Boden </w:t>
      </w:r>
      <w:r w:rsidR="00183222" w:rsidRPr="00183222">
        <w:rPr>
          <w:rFonts w:ascii="Times New Roman" w:hAnsi="Times New Roman" w:cs="Times New Roman"/>
          <w:i/>
          <w:iCs/>
          <w:sz w:val="24"/>
          <w:szCs w:val="24"/>
        </w:rPr>
        <w:t>et al</w:t>
      </w:r>
      <w:r w:rsidR="006C2922" w:rsidRPr="00383FCD">
        <w:rPr>
          <w:rFonts w:ascii="Times New Roman" w:hAnsi="Times New Roman" w:cs="Times New Roman"/>
          <w:sz w:val="24"/>
          <w:szCs w:val="24"/>
        </w:rPr>
        <w:t>. 2021; Miller 2012)</w:t>
      </w:r>
      <w:r w:rsidR="005F1DB4" w:rsidRPr="00383FCD">
        <w:rPr>
          <w:rFonts w:ascii="Times New Roman" w:hAnsi="Times New Roman" w:cs="Times New Roman"/>
          <w:sz w:val="24"/>
          <w:szCs w:val="24"/>
        </w:rPr>
        <w:fldChar w:fldCharType="end"/>
      </w:r>
      <w:r w:rsidRPr="00383FCD">
        <w:rPr>
          <w:rFonts w:ascii="Times New Roman" w:hAnsi="Times New Roman" w:cs="Times New Roman"/>
          <w:sz w:val="24"/>
          <w:szCs w:val="24"/>
        </w:rPr>
        <w:t xml:space="preserve">. </w:t>
      </w:r>
      <w:r w:rsidR="00F52F1E" w:rsidRPr="00383FCD">
        <w:rPr>
          <w:rFonts w:ascii="Times New Roman" w:hAnsi="Times New Roman" w:cs="Times New Roman"/>
          <w:sz w:val="24"/>
          <w:szCs w:val="24"/>
        </w:rPr>
        <w:t>H</w:t>
      </w:r>
      <w:r w:rsidR="00F52F1E" w:rsidRPr="00383FCD">
        <w:rPr>
          <w:rFonts w:ascii="Times New Roman" w:hAnsi="Times New Roman" w:cs="Times New Roman"/>
          <w:sz w:val="24"/>
          <w:szCs w:val="24"/>
          <w:vertAlign w:val="subscript"/>
        </w:rPr>
        <w:t>2</w:t>
      </w:r>
      <w:r w:rsidR="00F52F1E" w:rsidRPr="00383FCD">
        <w:rPr>
          <w:rFonts w:ascii="Times New Roman" w:hAnsi="Times New Roman" w:cs="Times New Roman"/>
          <w:sz w:val="24"/>
          <w:szCs w:val="24"/>
        </w:rPr>
        <w:t>O</w:t>
      </w:r>
      <w:r w:rsidR="00F52F1E" w:rsidRPr="00383FCD">
        <w:rPr>
          <w:rFonts w:ascii="Times New Roman" w:hAnsi="Times New Roman" w:cs="Times New Roman"/>
          <w:sz w:val="24"/>
          <w:szCs w:val="24"/>
          <w:vertAlign w:val="subscript"/>
        </w:rPr>
        <w:t>2</w:t>
      </w:r>
      <w:r w:rsidRPr="00383FCD">
        <w:rPr>
          <w:rFonts w:ascii="Times New Roman" w:hAnsi="Times New Roman" w:cs="Times New Roman"/>
          <w:sz w:val="24"/>
          <w:szCs w:val="24"/>
        </w:rPr>
        <w:t xml:space="preserve"> also forms when electron transport, either through the photosystem, or the aerobic metabolic chain, gets overloaded from errant or excess electrons </w:t>
      </w:r>
      <w:proofErr w:type="spellStart"/>
      <w:r w:rsidR="004C2C2A" w:rsidRPr="00383FCD">
        <w:rPr>
          <w:rFonts w:ascii="Times New Roman" w:hAnsi="Times New Roman" w:cs="Times New Roman"/>
          <w:sz w:val="24"/>
          <w:szCs w:val="24"/>
        </w:rPr>
        <w:t>Aharonovich</w:t>
      </w:r>
      <w:proofErr w:type="spellEnd"/>
      <w:r w:rsidR="004C2C2A" w:rsidRPr="00383FCD">
        <w:rPr>
          <w:rFonts w:ascii="Times New Roman" w:hAnsi="Times New Roman" w:cs="Times New Roman"/>
          <w:sz w:val="24"/>
          <w:szCs w:val="24"/>
        </w:rPr>
        <w:t xml:space="preserve">, Sher, D., 2016. </w:t>
      </w:r>
      <w:r w:rsidR="002C0807" w:rsidRPr="00383FCD">
        <w:rPr>
          <w:rFonts w:ascii="Times New Roman" w:hAnsi="Times New Roman" w:cs="Times New Roman"/>
          <w:sz w:val="24"/>
          <w:szCs w:val="24"/>
        </w:rPr>
        <w:t xml:space="preserve">Thus creating </w:t>
      </w:r>
      <w:proofErr w:type="gramStart"/>
      <w:r w:rsidR="002C0807" w:rsidRPr="00383FCD">
        <w:rPr>
          <w:rFonts w:ascii="Times New Roman" w:hAnsi="Times New Roman" w:cs="Times New Roman"/>
          <w:b/>
          <w:bCs/>
          <w:sz w:val="24"/>
          <w:szCs w:val="24"/>
          <w:vertAlign w:val="superscript"/>
        </w:rPr>
        <w:t>-.</w:t>
      </w:r>
      <w:r w:rsidR="002C0807" w:rsidRPr="00383FCD">
        <w:rPr>
          <w:rFonts w:ascii="Times New Roman" w:hAnsi="Times New Roman" w:cs="Times New Roman"/>
          <w:sz w:val="24"/>
          <w:szCs w:val="24"/>
        </w:rPr>
        <w:t>OH</w:t>
      </w:r>
      <w:proofErr w:type="gramEnd"/>
      <w:r w:rsidR="002C0807" w:rsidRPr="00383FCD">
        <w:rPr>
          <w:rFonts w:ascii="Times New Roman" w:hAnsi="Times New Roman" w:cs="Times New Roman"/>
          <w:sz w:val="24"/>
          <w:szCs w:val="24"/>
        </w:rPr>
        <w:t xml:space="preserve"> or O</w:t>
      </w:r>
      <w:r w:rsidR="002C0807" w:rsidRPr="00383FCD">
        <w:rPr>
          <w:rFonts w:ascii="Times New Roman" w:hAnsi="Times New Roman" w:cs="Times New Roman"/>
          <w:sz w:val="24"/>
          <w:szCs w:val="24"/>
          <w:vertAlign w:val="subscript"/>
        </w:rPr>
        <w:t>2</w:t>
      </w:r>
      <w:r w:rsidR="002C0807" w:rsidRPr="00383FCD">
        <w:rPr>
          <w:rFonts w:ascii="Times New Roman" w:hAnsi="Times New Roman" w:cs="Times New Roman"/>
          <w:b/>
          <w:bCs/>
          <w:sz w:val="24"/>
          <w:szCs w:val="24"/>
          <w:vertAlign w:val="superscript"/>
        </w:rPr>
        <w:t>.-</w:t>
      </w:r>
      <w:r w:rsidR="002C0807" w:rsidRPr="00383FCD">
        <w:rPr>
          <w:rFonts w:ascii="Times New Roman" w:hAnsi="Times New Roman" w:cs="Times New Roman"/>
          <w:sz w:val="24"/>
          <w:szCs w:val="24"/>
        </w:rPr>
        <w:t xml:space="preserve"> that then damage cellular material or are detoxified to H</w:t>
      </w:r>
      <w:r w:rsidR="002C0807" w:rsidRPr="00383FCD">
        <w:rPr>
          <w:rFonts w:ascii="Times New Roman" w:hAnsi="Times New Roman" w:cs="Times New Roman"/>
          <w:sz w:val="24"/>
          <w:szCs w:val="24"/>
          <w:vertAlign w:val="subscript"/>
        </w:rPr>
        <w:t>2</w:t>
      </w:r>
      <w:r w:rsidR="002C0807" w:rsidRPr="00383FCD">
        <w:rPr>
          <w:rFonts w:ascii="Times New Roman" w:hAnsi="Times New Roman" w:cs="Times New Roman"/>
          <w:sz w:val="24"/>
          <w:szCs w:val="24"/>
        </w:rPr>
        <w:t>O</w:t>
      </w:r>
      <w:r w:rsidR="002C0807" w:rsidRPr="00383FCD">
        <w:rPr>
          <w:rFonts w:ascii="Times New Roman" w:hAnsi="Times New Roman" w:cs="Times New Roman"/>
          <w:sz w:val="24"/>
          <w:szCs w:val="24"/>
          <w:vertAlign w:val="subscript"/>
        </w:rPr>
        <w:t>2</w:t>
      </w:r>
      <w:r w:rsidR="002C0807" w:rsidRPr="00383FCD">
        <w:rPr>
          <w:rFonts w:ascii="Times New Roman" w:hAnsi="Times New Roman" w:cs="Times New Roman"/>
          <w:sz w:val="24"/>
          <w:szCs w:val="24"/>
        </w:rPr>
        <w:t>.</w:t>
      </w:r>
      <w:r w:rsidR="002C0807">
        <w:rPr>
          <w:rFonts w:ascii="Times New Roman" w:hAnsi="Times New Roman" w:cs="Times New Roman"/>
          <w:sz w:val="24"/>
          <w:szCs w:val="24"/>
        </w:rPr>
        <w:t xml:space="preserve"> </w:t>
      </w:r>
      <w:r w:rsidR="004C2C2A" w:rsidRPr="00383FCD">
        <w:rPr>
          <w:rFonts w:ascii="Times New Roman" w:hAnsi="Times New Roman" w:cs="Times New Roman"/>
          <w:sz w:val="24"/>
          <w:szCs w:val="24"/>
        </w:rPr>
        <w:t>Transcriptional response</w:t>
      </w:r>
      <w:r w:rsidR="002C0807">
        <w:rPr>
          <w:rFonts w:ascii="Times New Roman" w:hAnsi="Times New Roman" w:cs="Times New Roman"/>
          <w:sz w:val="24"/>
          <w:szCs w:val="24"/>
        </w:rPr>
        <w:t>s</w:t>
      </w:r>
      <w:r w:rsidR="004C2C2A" w:rsidRPr="00383FCD">
        <w:rPr>
          <w:rFonts w:ascii="Times New Roman" w:hAnsi="Times New Roman" w:cs="Times New Roman"/>
          <w:sz w:val="24"/>
          <w:szCs w:val="24"/>
        </w:rPr>
        <w:t xml:space="preserve"> of Prochlorococcus to co-culture with a marine </w:t>
      </w:r>
      <w:proofErr w:type="spellStart"/>
      <w:r w:rsidR="004C2C2A" w:rsidRPr="002C0807">
        <w:rPr>
          <w:rFonts w:ascii="Times New Roman" w:hAnsi="Times New Roman" w:cs="Times New Roman"/>
          <w:i/>
          <w:iCs/>
          <w:sz w:val="24"/>
          <w:szCs w:val="24"/>
        </w:rPr>
        <w:t>Alteromonas</w:t>
      </w:r>
      <w:proofErr w:type="spellEnd"/>
      <w:r w:rsidR="002C0807">
        <w:rPr>
          <w:rFonts w:ascii="Times New Roman" w:hAnsi="Times New Roman" w:cs="Times New Roman"/>
          <w:sz w:val="24"/>
          <w:szCs w:val="24"/>
        </w:rPr>
        <w:t xml:space="preserve"> indicate</w:t>
      </w:r>
      <w:r w:rsidR="004C2C2A" w:rsidRPr="00383FCD">
        <w:rPr>
          <w:rFonts w:ascii="Times New Roman" w:hAnsi="Times New Roman" w:cs="Times New Roman"/>
          <w:sz w:val="24"/>
          <w:szCs w:val="24"/>
        </w:rPr>
        <w:t xml:space="preserve"> </w:t>
      </w:r>
      <w:r w:rsidR="002C0807" w:rsidRPr="002C0807">
        <w:rPr>
          <w:rFonts w:ascii="Times" w:hAnsi="Times" w:cs="Times New Roman"/>
          <w:i/>
          <w:iCs/>
          <w:color w:val="000000" w:themeColor="text1"/>
          <w:sz w:val="24"/>
          <w:szCs w:val="24"/>
        </w:rPr>
        <w:t>Prochlorococcus</w:t>
      </w:r>
      <w:r w:rsidR="002C0807">
        <w:rPr>
          <w:rFonts w:ascii="Times New Roman" w:hAnsi="Times New Roman" w:cs="Times New Roman"/>
          <w:sz w:val="24"/>
          <w:szCs w:val="24"/>
        </w:rPr>
        <w:t xml:space="preserve">  interacts differentially with </w:t>
      </w:r>
      <w:r w:rsidR="0048324A">
        <w:rPr>
          <w:rFonts w:ascii="Times New Roman" w:hAnsi="Times New Roman" w:cs="Times New Roman"/>
          <w:sz w:val="24"/>
          <w:szCs w:val="24"/>
        </w:rPr>
        <w:t>separate</w:t>
      </w:r>
      <w:r w:rsidR="004C2C2A" w:rsidRPr="00383FCD">
        <w:rPr>
          <w:rFonts w:ascii="Times New Roman" w:hAnsi="Times New Roman" w:cs="Times New Roman"/>
          <w:sz w:val="24"/>
          <w:szCs w:val="24"/>
        </w:rPr>
        <w:t xml:space="preserve"> strains and </w:t>
      </w:r>
      <w:r w:rsidR="002C0807">
        <w:rPr>
          <w:rFonts w:ascii="Times New Roman" w:hAnsi="Times New Roman" w:cs="Times New Roman"/>
          <w:sz w:val="24"/>
          <w:szCs w:val="24"/>
        </w:rPr>
        <w:t>these differences may involve</w:t>
      </w:r>
      <w:r w:rsidR="004C2C2A" w:rsidRPr="00383FCD">
        <w:rPr>
          <w:rFonts w:ascii="Times New Roman" w:hAnsi="Times New Roman" w:cs="Times New Roman"/>
          <w:sz w:val="24"/>
          <w:szCs w:val="24"/>
        </w:rPr>
        <w:t xml:space="preserve"> </w:t>
      </w:r>
      <w:r w:rsidR="002C0807">
        <w:rPr>
          <w:rFonts w:ascii="Times New Roman" w:hAnsi="Times New Roman" w:cs="Times New Roman"/>
          <w:sz w:val="24"/>
          <w:szCs w:val="24"/>
        </w:rPr>
        <w:t>putative</w:t>
      </w:r>
      <w:r w:rsidR="004C2C2A" w:rsidRPr="00383FCD">
        <w:rPr>
          <w:rFonts w:ascii="Times New Roman" w:hAnsi="Times New Roman" w:cs="Times New Roman"/>
          <w:sz w:val="24"/>
          <w:szCs w:val="24"/>
        </w:rPr>
        <w:t xml:space="preserve"> </w:t>
      </w:r>
      <w:r w:rsidR="00383FCD" w:rsidRPr="00383FCD">
        <w:rPr>
          <w:rFonts w:ascii="Times New Roman" w:hAnsi="Times New Roman" w:cs="Times New Roman"/>
          <w:sz w:val="24"/>
          <w:szCs w:val="24"/>
        </w:rPr>
        <w:t xml:space="preserve">info </w:t>
      </w:r>
      <w:r w:rsidR="002C0807">
        <w:rPr>
          <w:rFonts w:ascii="Times New Roman" w:hAnsi="Times New Roman" w:cs="Times New Roman"/>
          <w:sz w:val="24"/>
          <w:szCs w:val="24"/>
        </w:rPr>
        <w:t xml:space="preserve">or ROS </w:t>
      </w:r>
      <w:r w:rsidR="00383FCD" w:rsidRPr="00383FCD">
        <w:rPr>
          <w:rFonts w:ascii="Times New Roman" w:hAnsi="Times New Roman" w:cs="Times New Roman"/>
          <w:sz w:val="24"/>
          <w:szCs w:val="24"/>
        </w:rPr>
        <w:t xml:space="preserve">chemicals </w:t>
      </w:r>
      <w:r w:rsidR="005F1DB4" w:rsidRPr="00383FCD">
        <w:rPr>
          <w:rFonts w:ascii="Times New Roman" w:hAnsi="Times New Roman" w:cs="Times New Roman"/>
          <w:sz w:val="24"/>
          <w:szCs w:val="24"/>
        </w:rPr>
        <w:fldChar w:fldCharType="begin"/>
      </w:r>
      <w:r w:rsidR="009D7443" w:rsidRPr="00383FCD">
        <w:rPr>
          <w:rFonts w:ascii="Times New Roman" w:hAnsi="Times New Roman" w:cs="Times New Roman"/>
          <w:sz w:val="24"/>
          <w:szCs w:val="24"/>
        </w:rPr>
        <w:instrText xml:space="preserve"> ADDIN ZOTERO_ITEM CSL_CITATION {"citationID":"DsuZtnFX","properties":{"formattedCitation":"(Imlay 2013; 2003; Zamocky et al. 2012)","plainCitation":"(Imlay 2013; 2003; Zamocky et al. 2012)","noteIndex":0},"citationItems":[{"id":210,"uris":["http://zotero.org/users/6128296/items/JZFIEAMN"],"itemData":{"id":210,"type":"article-journal","abstract":"Oxic environments are hazardous. Molecular oxygen adventitiously abstracts electrons from many redox enzymes, continuously forming intracellular superoxide and hydrogen peroxide. These species can destroy the activities of metalloenzymes and the integrity of DNA, forcing organisms to protect themselves with scavenging enzymes and repair systems. Nevertheless, elevated levels of oxidants quickly poison bacteria, and both microbial competitors and hostile eukaryotic hosts exploit this vulnerability by assaulting these bacteria with peroxides or superoxide-forming antibiotics. In response, bacteria activate elegant adaptive strategies. In this Review, I summarize our current knowledge of oxidative stress in Escherichia coli, the model organism for which our understanding of damage and defence is most well developed.","container-title":"Nature Reviews Microbiology","DOI":"10.1038/nrmicro3032","ISSN":"1740-1526, 1740-1534","issue":"7","journalAbbreviation":"Nat Rev Microbiol","language":"en","page":"443-454","source":"DOI.org (Crossref)","title":"The molecular mechanisms and physiological consequences of oxidative stress: lessons from a model bacterium","title-short":"The molecular mechanisms and physiological consequences of oxidative stress","volume":"11","author":[{"family":"Imlay","given":""}],"issued":{"date-parts":[["2013",7]]}}},{"id":209,"uris":["http://zotero.org/users/6128296/items/7TJQYIJA"],"itemData":{"id":209,"type":"article-journal","container-title":"Annual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Damage","volume":"57","author":[{"family":"Imlay","given":""}],"issued":{"date-parts":[["2003",10]]}}},{"id":3281,"uris":["http://zotero.org/users/6128296/items/2XC7RVH7"],"itemData":{"id":3281,"type":"chapter","container-title":"Bioenergetic processes of cyanobacteria: from evolutionary singularity to ecological diversity","ISBN":"978-94-007-0388-9","language":"en","source":"DOI.org (Crossref)","title":"Chapter 7 Hydrogen Peroxide Degradation in Cyanobacteria and Chapter 23 Cyanobacterial Respiratory Electron Transport: Heme-Copper Oxidases and Their Electron Donors","URL":"http://choicereviews.org/review/10.5860/CHOICE.49-5658","volume":"49","author":[{"family":"Zamocky","given":""},{"family":"Bernroitner","given":"Margit"},{"family":"Peschek","given":"Günter A."},{"family":"Obinger","given":"Christian"},{"family":"Renger","given":"Gernot"}],"accessed":{"date-parts":[["2022",11,16]]},"issued":{"date-parts":[["2012",6,1]]}}}],"schema":"https://github.com/citation-style-language/schema/raw/master/csl-citation.json"} </w:instrText>
      </w:r>
      <w:r w:rsidR="005F1DB4" w:rsidRPr="00383FCD">
        <w:rPr>
          <w:rFonts w:ascii="Times New Roman" w:hAnsi="Times New Roman" w:cs="Times New Roman"/>
          <w:sz w:val="24"/>
          <w:szCs w:val="24"/>
        </w:rPr>
        <w:fldChar w:fldCharType="separate"/>
      </w:r>
      <w:r w:rsidR="006C2922" w:rsidRPr="00383FCD">
        <w:rPr>
          <w:rFonts w:ascii="Times New Roman" w:hAnsi="Times New Roman" w:cs="Times New Roman"/>
          <w:sz w:val="24"/>
          <w:szCs w:val="24"/>
        </w:rPr>
        <w:t xml:space="preserve">(Imlay 2013; 2003; </w:t>
      </w:r>
      <w:proofErr w:type="spellStart"/>
      <w:r w:rsidR="006C2922" w:rsidRPr="00383FCD">
        <w:rPr>
          <w:rFonts w:ascii="Times New Roman" w:hAnsi="Times New Roman" w:cs="Times New Roman"/>
          <w:sz w:val="24"/>
          <w:szCs w:val="24"/>
        </w:rPr>
        <w:t>Zamocky</w:t>
      </w:r>
      <w:proofErr w:type="spellEnd"/>
      <w:r w:rsidR="006C2922" w:rsidRPr="00383FCD">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sidRPr="00383FCD">
        <w:rPr>
          <w:rFonts w:ascii="Times New Roman" w:hAnsi="Times New Roman" w:cs="Times New Roman"/>
          <w:sz w:val="24"/>
          <w:szCs w:val="24"/>
        </w:rPr>
        <w:t>. 2012)</w:t>
      </w:r>
      <w:r w:rsidR="005F1DB4" w:rsidRPr="00383FCD">
        <w:rPr>
          <w:rFonts w:ascii="Times New Roman" w:hAnsi="Times New Roman" w:cs="Times New Roman"/>
          <w:sz w:val="24"/>
          <w:szCs w:val="24"/>
        </w:rPr>
        <w:fldChar w:fldCharType="end"/>
      </w:r>
      <w:r w:rsidRPr="00383FCD">
        <w:rPr>
          <w:rFonts w:ascii="Times New Roman" w:hAnsi="Times New Roman" w:cs="Times New Roman"/>
          <w:sz w:val="24"/>
          <w:szCs w:val="24"/>
        </w:rPr>
        <w:t xml:space="preserve">. </w:t>
      </w:r>
    </w:p>
    <w:p w14:paraId="16AE8568" w14:textId="474F69E9" w:rsidR="004C33B3" w:rsidRPr="003609FB" w:rsidRDefault="001318A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Extracellular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however, can persist in the environment for hours </w:t>
      </w:r>
      <w:r w:rsidR="00916359"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{"citationID":"8bJz30kk","properties":{"formattedCitation":"(Zinser 2018a; 2013; Petasne and Zika 1997; Avery et al. 2005)","plainCitation":"(Zinser 2018a; 2013; Petasne and Zika 1997; Avery et al. 2005)","noteIndex":0},"citationItems":[{"id":133,"uris":["http://zotero.org/users/6128296/items/RGJ6RK2K"],"itemData":{"id":133,"type":"article-journal","abstract":"Hydrogen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media","volume":"49","author":[{"family":"Zinser","given":""}],"issued":{"date-parts":[["2013",12]]}}},{"id":3485,"uris":["http://zotero.org/users/6128296/items/2NT33Z6Q"],"itemData":{"id":3485,"type":"article-journal","abstract":"Hydrogen peroxide is ubiquitous in the surface mixed layer of the ocean and is an important chemical intermediate of aerobic systems. Due to its reactive nature and numerous chemical redox processes, H,O, decomposition has been suggested to occur mainly through abiotic pathways involving various seawater constituents. Its decomposition rates in natural seawater show considerable spatial variability and generally obey first order kinetics with half-lives ranging from less than 10 hours in coastal waters to greater than 120 hours in surface waters of the open ocean. This study demonstrates that hydrogen peroxide decomposition in natural seawater appears primarily to be biologically mediated by microorganisms less than lpm diameter. Cultured microorganisms added to seawater, especially the prokaryotes Vibrio pelagius and Syncchococcus sp. were very efficient mediators of H,O, decomposition.","container-title":"Marine Chemistry","DOI":"10.1016/S0304-4203(96)00072-2","ISSN":"03044203","issue":"3-4","journalAbbreviation":"Marine Chemistry","language":"en","page":"215-225","source":"DOI.org (Crossref)","title":"Hydrogen peroxide lifetimes in south Florida coastal and offshore waters","volume":"56","author":[{"family":"Petasne","given":""},{"family":"Zika","given":"Rod G."}],"issued":{"date-parts":[["1997",3]]}}},{"id":3113,"uris":["http://zotero.org/users/6128296/items/GY7VGVSC"],"itemData":{"id":3113,"type":"article-journal","abstract":"Hydrogen peroxide concentrations, production rates and decomposition rates were measured during each of two 3-week cruises in August 1999 and March 2000 at the Bermuda Atlantic Time Series Station. Patterns of variation in the concentrations of hydrogen peroxide in surface seawater at BATS were drastically different in August of 1999 compared with March of 2000. In August, hydrogen peroxide concentrations were primarily controlled by input from rain, whereas in March, they were controlled by photochemical processes and showed diurnal variations. The highest concentrations in surface water in August followed rain events, whereas in March, they occurred at approximately 1400 after rapid photochemical production. This production in March was followed by an equally rapid loss of H2O2, probably driven by a secondary photochemical process, then by much slower decline at night. The combination of photochemical production and consumption processes resulted in a steady-state system over a 24-h period in March but not August. The dark decomposition of surface water hydrogen peroxide incubated in storage experiments was the same during both August and March and followed first order kinetics with a rate constant of 0.009 hÀ 1. This was in remarkably good agreement with the decay of the atmospheric hydrogen peroxide signal in surface seawater observed in August. The comparable rate constant for deep water from 200 m was about one-third of that for BATS surface seawater in March. Because filtered seawater had lower production rates than unfiltered seawater from the same depth, biological production may contribute to surface seawater hydrogen peroxide at BATS during the March spring plankton bloom, but it is not the dominant source.","container-title":"Marine Chemistry","DOI":"10.1016/j.marchem.2005.03.006","ISSN":"03044203","issue":"3-4","journalAbbreviation":"Marine Chemistry","language":"en","page":"236-244","source":"DOI.org (Crossref)","title":"Hydrogen peroxide at the Bermuda Atlantic Time Series Station: Temporal variability of seawater hydrogen peroxide","title-short":"Hydrogen peroxide at the Bermuda Atlantic Time Series Station","volume":"97","author":[{"family":"Avery","given":""},{"family":"Cooper","given":"William J."},{"family":"Kieber","given":"Robert J."},{"family":"Willey","given":"Joan D."}],"issued":{"date-parts":[["2005",12]]}}}],"schema":"https://github.com/citation-style-language/schema/raw/master/csl-citation.json"} </w:instrText>
      </w:r>
      <w:r w:rsidR="00916359"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(Zinser 2018a; 2013; </w:t>
      </w:r>
      <w:proofErr w:type="spellStart"/>
      <w:r w:rsidR="00BF4898">
        <w:rPr>
          <w:rFonts w:ascii="Times New Roman" w:hAnsi="Times New Roman" w:cs="Times New Roman"/>
          <w:sz w:val="24"/>
          <w:szCs w:val="24"/>
        </w:rPr>
        <w:t>Petasne</w:t>
      </w:r>
      <w:proofErr w:type="spellEnd"/>
      <w:r w:rsidR="00BF4898">
        <w:rPr>
          <w:rFonts w:ascii="Times New Roman" w:hAnsi="Times New Roman" w:cs="Times New Roman"/>
          <w:sz w:val="24"/>
          <w:szCs w:val="24"/>
        </w:rPr>
        <w:t xml:space="preserve"> and Zika 1997; Avery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2005)</w:t>
      </w:r>
      <w:r w:rsidR="00916359"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as abiotic decomposition is relatively slow and </w:t>
      </w:r>
      <w:r w:rsidRPr="003609FB">
        <w:rPr>
          <w:rFonts w:ascii="Times New Roman" w:hAnsi="Times New Roman" w:cs="Times New Roman"/>
          <w:sz w:val="24"/>
          <w:szCs w:val="24"/>
        </w:rPr>
        <w:lastRenderedPageBreak/>
        <w:t xml:space="preserve">largely dominated by thermal decomposition </w:t>
      </w:r>
      <w:r w:rsidR="00916359"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{"citationID":"9eGrEZSE","properties":{"formattedCitation":"(Hong et al. 2009)","plainCitation":"(Hong et al. 2009)","noteIndex":0},"citationItems":[{"id":4254,"uris":["http://zotero.org/users/6128296/items/GF7WNPD6"],"itemData":{"id":4254,"type":"article-journal","container-title":"The Journal of Physical Chemistry A","DOI":"10.1021/jp907219f","ISSN":"1089-5639, 1520-5215","issue":"46","journalAbbreviation":"J. Phys. Chem. A","language":"en","page":"12919-12925","source":"DOI.org (Crossref)","title":"Hydrogen Peroxide Decomposition Rate: A Shock Tube Study Using Tunable Laser Absorption of H &lt;sub&gt;2&lt;/sub&gt; O near 2.5 μm","title-short":"Hydrogen Peroxide Decomposition Rate","volume":"113","author":[{"family":"Hong","given":""},{"family":"Farooq","given":"Aamir"},{"family":"Barbour","given":"Ethan A."},{"family":"Davidson","given":"David F."},{"family":"Hanson","given":"Ronald K."}],"issued":{"date-parts":[["2009",11,19]]}}}],"schema":"https://github.com/citation-style-language/schema/raw/master/csl-citation.json"} </w:instrText>
      </w:r>
      <w:r w:rsidR="00916359"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(Hong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2009)</w:t>
      </w:r>
      <w:r w:rsidR="00916359"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Extracellular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can cross the cellular membrane as it is uncharged and dipolar, similar to water molecules </w:t>
      </w:r>
      <w:r w:rsidR="00916359"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{"citationID":"FW0TRFzT","properties":{"formattedCitation":"(Tjell and Almdal 2018)","plainCitation":"(Tjell and Almdal 2018)","noteIndex":0},"citationItems":[{"id":4125,"uris":["http://zotero.org/users/6128296/items/UYREI4CZ"],"itemData":{"id":4125,"type":"article-journal","abstract":"In our efforts to design an optical sensor for hydrogen peroxide, we have realized the importance of knowing/ controlling the diffusion of hydrogen peroxide to the indicator, especially in the case of an irreversible indicator. Since we found little literature data, we decided to test the permeability of hydrogen peroxide in commercially available polymers, focusing on the polyurethanes HydroMed™ and HydroThane™, which are commonly used for immobilization matrices in optical sensors. Measured values are between 5.12 10−9 ± 8.50 10−10 and 2.25 10−6 ± 1.00 10−7 cm2 s−1.","container-title":"Sensing and Bio-Sensing Research","DOI":"10.1016/j.sbsr.2018.10.001","ISSN":"22141804","journalAbbreviation":"Sensing and Bio-Sensing Research","language":"en","page":"35-39","source":"DOI.org (Crossref)","title":"Diffusion rate of hydrogen peroxide through water-swelled polyurethane membranes","volume":"21","author":[{"family":"Tjell","given":""},{"family":"Almdal","given":"Kristoffer"}],"issued":{"date-parts":[["2018",11]]}}}],"schema":"https://github.com/citation-style-language/schema/raw/master/csl-citation.json"} </w:instrText>
      </w:r>
      <w:r w:rsidR="00916359"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r w:rsidR="006C2922" w:rsidRPr="003804F1">
        <w:rPr>
          <w:rFonts w:ascii="Times New Roman" w:hAnsi="Times New Roman" w:cs="Times New Roman"/>
          <w:sz w:val="24"/>
          <w:szCs w:val="24"/>
        </w:rPr>
        <w:t xml:space="preserve">Tjell and Almdal </w:t>
      </w:r>
      <w:r w:rsidR="006C2922">
        <w:rPr>
          <w:rFonts w:ascii="Times New Roman" w:hAnsi="Times New Roman" w:cs="Times New Roman"/>
          <w:sz w:val="24"/>
          <w:szCs w:val="24"/>
        </w:rPr>
        <w:t>2018)</w:t>
      </w:r>
      <w:r w:rsidR="00916359" w:rsidRPr="003609FB">
        <w:rPr>
          <w:rFonts w:ascii="Times New Roman" w:hAnsi="Times New Roman" w:cs="Times New Roman"/>
          <w:sz w:val="24"/>
          <w:szCs w:val="24"/>
        </w:rPr>
        <w:fldChar w:fldCharType="end"/>
      </w:r>
      <w:r w:rsidRPr="003609FB">
        <w:rPr>
          <w:rFonts w:ascii="Times New Roman" w:hAnsi="Times New Roman" w:cs="Times New Roman"/>
          <w:sz w:val="24"/>
          <w:szCs w:val="24"/>
        </w:rPr>
        <w:t>.</w:t>
      </w:r>
      <w:r w:rsidR="001509F3">
        <w:rPr>
          <w:rFonts w:ascii="Times New Roman" w:hAnsi="Times New Roman" w:cs="Times New Roman"/>
          <w:sz w:val="24"/>
          <w:szCs w:val="24"/>
        </w:rPr>
        <w:t xml:space="preserve"> While</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important in iron and other key trace metal charge cycling,</w:t>
      </w:r>
      <w:r w:rsidR="00D63520"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if </w:t>
      </w:r>
      <w:r w:rsidR="001509F3">
        <w:rPr>
          <w:rFonts w:ascii="Times New Roman" w:hAnsi="Times New Roman" w:cs="Times New Roman"/>
          <w:sz w:val="24"/>
          <w:szCs w:val="24"/>
        </w:rPr>
        <w:t xml:space="preserve">it is </w:t>
      </w:r>
      <w:r w:rsidRPr="003609FB">
        <w:rPr>
          <w:rFonts w:ascii="Times New Roman" w:hAnsi="Times New Roman" w:cs="Times New Roman"/>
          <w:sz w:val="24"/>
          <w:szCs w:val="24"/>
        </w:rPr>
        <w:t>not detoxified</w:t>
      </w:r>
      <w:r w:rsidR="001509F3">
        <w:rPr>
          <w:rFonts w:ascii="Times New Roman" w:hAnsi="Times New Roman" w:cs="Times New Roman"/>
          <w:sz w:val="24"/>
          <w:szCs w:val="24"/>
        </w:rPr>
        <w:t>,</w:t>
      </w:r>
      <w:r w:rsidRPr="003609FB">
        <w:rPr>
          <w:rFonts w:ascii="Times New Roman" w:hAnsi="Times New Roman" w:cs="Times New Roman"/>
          <w:sz w:val="24"/>
          <w:szCs w:val="24"/>
        </w:rPr>
        <w:t xml:space="preserve"> </w:t>
      </w:r>
      <w:r w:rsidR="001509F3" w:rsidRPr="003609FB">
        <w:rPr>
          <w:rFonts w:ascii="Times New Roman" w:hAnsi="Times New Roman" w:cs="Times New Roman"/>
          <w:sz w:val="24"/>
          <w:szCs w:val="24"/>
        </w:rPr>
        <w:t>H</w:t>
      </w:r>
      <w:r w:rsidR="001509F3" w:rsidRPr="00351FC4">
        <w:rPr>
          <w:rFonts w:ascii="Times New Roman" w:hAnsi="Times New Roman" w:cs="Times New Roman"/>
          <w:sz w:val="24"/>
          <w:szCs w:val="24"/>
          <w:vertAlign w:val="subscript"/>
        </w:rPr>
        <w:t>2</w:t>
      </w:r>
      <w:r w:rsidR="001509F3" w:rsidRPr="003609FB">
        <w:rPr>
          <w:rFonts w:ascii="Times New Roman" w:hAnsi="Times New Roman" w:cs="Times New Roman"/>
          <w:sz w:val="24"/>
          <w:szCs w:val="24"/>
        </w:rPr>
        <w:t>O</w:t>
      </w:r>
      <w:r w:rsidR="001509F3"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1509F3">
        <w:rPr>
          <w:rFonts w:ascii="Times New Roman" w:hAnsi="Times New Roman" w:cs="Times New Roman"/>
          <w:sz w:val="24"/>
          <w:szCs w:val="24"/>
        </w:rPr>
        <w:t>interacts</w:t>
      </w:r>
      <w:r w:rsidRPr="003609FB">
        <w:rPr>
          <w:rFonts w:ascii="Times New Roman" w:hAnsi="Times New Roman" w:cs="Times New Roman"/>
          <w:sz w:val="24"/>
          <w:szCs w:val="24"/>
        </w:rPr>
        <w:t xml:space="preserve"> and damages </w:t>
      </w:r>
      <w:r w:rsidR="001509F3">
        <w:rPr>
          <w:rFonts w:ascii="Times New Roman" w:hAnsi="Times New Roman" w:cs="Times New Roman"/>
          <w:sz w:val="24"/>
          <w:szCs w:val="24"/>
        </w:rPr>
        <w:t xml:space="preserve">lipids, </w:t>
      </w:r>
      <w:r w:rsidRPr="003609FB">
        <w:rPr>
          <w:rFonts w:ascii="Times New Roman" w:hAnsi="Times New Roman" w:cs="Times New Roman"/>
          <w:sz w:val="24"/>
          <w:szCs w:val="24"/>
        </w:rPr>
        <w:t xml:space="preserve">DNA, proteins, and cellular material </w:t>
      </w:r>
      <w:r w:rsidR="00AE566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{"citationID":"6npVUGhr","properties":{"formattedCitation":"(Imlay 2003; Latifi, Ruiz, and Zhang 2009; Morris 2011)","plainCitation":"(Imlay 2003; Latifi, Ruiz, and Zhang 2009; Morris 2011)","noteIndex":0},"citationItems":[{"id":209,"uris":["http://zotero.org/users/6128296/items/7TJQYIJA"],"itemData":{"id":209,"type":"article-journal","container-title":"Annual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Damage","volume":"57","author":[{"family":"Imlay","given":""}],"issued":{"date-parts":[["2003",10]]}}},{"id":213,"uris":["http://zotero.org/users/6128296/items/RFXPGDIL"],"itemData":{"id":213,"type":"article-journal","abstract":"Reactive oxygen species (ROS) are byproducts of aerobic metabolism and potent agents that cause oxidative damage. In oxygenic photosynthetic organisms such as cyanobacteria, ROS are inevitably generated by photosynthetic electron transport, especially when the intensity of light-driven electron transport outpaces the rate of electron consumption during CO2 ﬁxation. Because cyanobacteria in their natural habitat are often exposed to changing external conditions, such as drastic ﬂuctuations of light intensities, their ability to perceive ROS and to rapidly initiate antioxidant defences is crucial for their survival. This review summarizes recent ﬁndings and outlines important perspectives in this ﬁeld.","container-title":"FEMS Microbiology Reviews","DOI":"10.1111/j.1574-6976.2008.00134.x","ISSN":"1574-6976","issue":"2","journalAbbreviation":"FEMS Microbiol Rev","language":"en","page":"258-278","source":"DOI.org (Crossref)","title":"Oxidative stress in cyanobacteria","volume":"33","author":[{"family":"Latifi","given":""},{"family":"Ruiz","given":"Marion"},{"family":"Zhang","given":"Cheng-Cai"}],"issued":{"date-parts":[["2009",3]]}}},{"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AE566B"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(Imlay 2003; Latifi, Ruiz, and Zhang 2009; Morris 2011)</w:t>
      </w:r>
      <w:r w:rsidR="00AE566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492C16">
        <w:rPr>
          <w:rFonts w:ascii="Times New Roman" w:hAnsi="Times New Roman" w:cs="Times New Roman"/>
          <w:sz w:val="24"/>
          <w:szCs w:val="24"/>
        </w:rPr>
        <w:t>These damages may compile l</w:t>
      </w:r>
      <w:r w:rsidR="00492C16" w:rsidRPr="003609FB">
        <w:rPr>
          <w:rFonts w:ascii="Times New Roman" w:hAnsi="Times New Roman" w:cs="Times New Roman"/>
          <w:sz w:val="24"/>
          <w:szCs w:val="24"/>
        </w:rPr>
        <w:t xml:space="preserve">eading to cellular death </w:t>
      </w:r>
      <w:r w:rsidR="00492C16">
        <w:rPr>
          <w:rFonts w:ascii="Times New Roman" w:hAnsi="Times New Roman" w:cs="Times New Roman"/>
          <w:sz w:val="24"/>
          <w:szCs w:val="24"/>
        </w:rPr>
        <w:fldChar w:fldCharType="begin"/>
      </w:r>
      <w:r w:rsidR="00492C16">
        <w:rPr>
          <w:rFonts w:ascii="Times New Roman" w:hAnsi="Times New Roman" w:cs="Times New Roman"/>
          <w:sz w:val="24"/>
          <w:szCs w:val="24"/>
        </w:rPr>
        <w:instrText xml:space="preserve"> ADDIN ZOTERO_ITEM CSL_CITATION {"citationID":"9Sb3ulFn","properties":{"formattedCitation":"(Laloi and Havaux 2015; Imlay 2003; Curtin, Donovan, and Cotter 2002)","plainCitation":"(Laloi and Havaux 2015; Imlay 2003; Curtin, Donovan, and Cotter 2002)","noteIndex":0},"citationItems":[{"id":1505,"uris":["http://zotero.org/users/6128296/items/DD8AMVFS"],"itemData":{"id":1505,"type":"article-journal","abstract":"The production of reactive oxygen species (ROS) is an unavoidable consequence of oxygenic photosynthesis. Singlet oxygen (1O2) is a highly reactive species to which has been attributed a major destructive role during the execution of ROS-induced cell death in photosynthetic tissues exposed to excess light. The study of the speciﬁc biological activity of 1O2 in plants has been hindered by its high reactivity and short lifetime, the concurrent production of other ROS under photooxidative stress, and limited in vivo detection methods. However, during the last 15 years, the isolation and characterization of two 1O2-overproducing mutants in Arabidopsis thaliana, ﬂu and ch1, has allowed the identiﬁcation of genetically controlled 1O2 cell death pathways and a 1O2 acclimation pathway that are triggered at sub-cytotoxic concentrations of 1O2. The study of ﬂu has revealed the control of cell death by the plastid proteins EXECUTER (EX)1 and EX2. In ch1, oxidized derivatives of β-carotene, such as β-cyclocitral and dihydroactinidiolide, have been identiﬁed as important upstream messengers in the 1O2 signaling pathway that leads to stress acclimation. In both the ﬂu and ch1 mutants, phytohormones act as important promoters or inhibitors of cell death. In particular, jasmonate has emerged as a key player in the decision between acclimation and cell death in response to 1O2. Although the ﬂu and ch1 mutants show many similarities, especially regarding their gene expression proﬁles, key differences, such as EXECUTER-independent cell death in ch1, have also been observed and will need further investigation to be fully understood.","container-title":"Frontiers in Plant Science","DOI":"10.3389/fpls.2015.00039","ISSN":"1664-462X","journalAbbreviation":"Front. Plant Sci.","language":"en","source":"DOI.org (Crossref)","title":"Key players of singlet oxygen-induced cell death in plants","URL":"http://journal.frontiersin.org/Article/10.3389/fpls.2015.00039/abstract","volume":"6","author":[{"family":"Laloi","given":""},{"family":"Havaux","given":"Michel"}],"accessed":{"date-parts":[["2019",11,23]]},"issued":{"date-parts":[["2015",2,4]]}}},{"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Damage","volume":"57","author":[{"family":"Imlay","given":""}],"issued":{"date-parts":[["2003",10]]}}},{"id":1486,"uris":["http://zotero.org/users/6128296/items/EDZ5CN76"],"itemData":{"id":1486,"type":"article-journal","abstract":"Cells are constantly generating reactive oxygen species (ROS) during aerobic metabolism. As a consequence, each cell is equipped with an extensive antioxidant defence system to combat excessive production of ROS. Oxidative stress occurs in cells when the generation of ROS overwhelms the cell’s natural antioxidant defences. There is a growing consensus that oxidative stress and the redox state of a cell plays a pivotal role in regulating apoptosis, a tightly controlled form of cell death in which a cell partakes in its own demise. More recently, a role for reactive nitrogen species (RNI) as both positive and negative regulators of cell death has been established. This review describes the major sources of ROS and RNI in a cell, the control of cell death by these species and the role of antioxidants as regulators of oxidative stress and apoptosis. Finally, the various methods that can be employed in establishing a role for both ROS and RNI in apoptosis will be discussed with particular emphasis on their intracellular detection. D 2002 Published by Elsevier Science B.V.","container-title":"Journal of Immunological Methods","DOI":"10.1016/S0022-1759(02)00070-4","ISSN":"00221759","issue":"1-2","journalAbbreviation":"Journal of Immunological Methods","language":"en","page":"49-72","source":"DOI.org (Crossref)","title":"Regulation and measurement of oxidative stress in apoptosis","volume":"265","author":[{"family":"Curtin","given":""},{"family":"Donovan","given":"Maryanne"},{"family":"Cotter","given":"Thomas G"}],"issued":{"date-parts":[["2002",7]]}}}],"schema":"https://github.com/citation-style-language/schema/raw/master/csl-citation.json"} </w:instrText>
      </w:r>
      <w:r w:rsidR="00492C16">
        <w:rPr>
          <w:rFonts w:ascii="Times New Roman" w:hAnsi="Times New Roman" w:cs="Times New Roman"/>
          <w:sz w:val="24"/>
          <w:szCs w:val="24"/>
        </w:rPr>
        <w:fldChar w:fldCharType="separate"/>
      </w:r>
      <w:r w:rsidR="00492C16">
        <w:rPr>
          <w:rFonts w:ascii="Times New Roman" w:hAnsi="Times New Roman" w:cs="Times New Roman"/>
          <w:noProof/>
          <w:sz w:val="24"/>
          <w:szCs w:val="24"/>
        </w:rPr>
        <w:t>(Laloi and Havaux 2015; Imlay 2003; Curtin, Donovan, and Cotter 2002)</w:t>
      </w:r>
      <w:r w:rsidR="00492C16">
        <w:rPr>
          <w:rFonts w:ascii="Times New Roman" w:hAnsi="Times New Roman" w:cs="Times New Roman"/>
          <w:sz w:val="24"/>
          <w:szCs w:val="24"/>
        </w:rPr>
        <w:fldChar w:fldCharType="end"/>
      </w:r>
      <w:r w:rsidR="00492C16">
        <w:rPr>
          <w:rFonts w:ascii="Times New Roman" w:hAnsi="Times New Roman" w:cs="Times New Roman"/>
          <w:sz w:val="24"/>
          <w:szCs w:val="24"/>
        </w:rPr>
        <w:t>.</w:t>
      </w:r>
      <w:r w:rsidR="00492C16" w:rsidRPr="003609FB">
        <w:rPr>
          <w:rFonts w:ascii="Times New Roman" w:hAnsi="Times New Roman" w:cs="Times New Roman"/>
          <w:sz w:val="24"/>
          <w:szCs w:val="24"/>
        </w:rPr>
        <w:t xml:space="preserve"> </w:t>
      </w:r>
    </w:p>
    <w:p w14:paraId="27147F87" w14:textId="5C850185" w:rsidR="007E666D" w:rsidRDefault="00F52F1E"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is created </w:t>
      </w:r>
      <w:r w:rsidR="00C56493" w:rsidRPr="003609FB">
        <w:rPr>
          <w:rFonts w:ascii="Times New Roman" w:hAnsi="Times New Roman" w:cs="Times New Roman"/>
          <w:sz w:val="24"/>
          <w:szCs w:val="24"/>
        </w:rPr>
        <w:t xml:space="preserve">abiotically </w:t>
      </w:r>
      <w:r w:rsidR="004C33B3" w:rsidRPr="003609FB">
        <w:rPr>
          <w:rFonts w:ascii="Times New Roman" w:hAnsi="Times New Roman" w:cs="Times New Roman"/>
          <w:sz w:val="24"/>
          <w:szCs w:val="24"/>
        </w:rPr>
        <w:t xml:space="preserve">from extracellular chromatic dissolved organic material capturing electrons </w:t>
      </w:r>
      <w:r w:rsidR="00A1265C">
        <w:rPr>
          <w:rFonts w:ascii="Times New Roman" w:hAnsi="Times New Roman" w:cs="Times New Roman"/>
          <w:sz w:val="24"/>
          <w:szCs w:val="24"/>
        </w:rPr>
        <w:t xml:space="preserve">displayed by </w:t>
      </w:r>
      <w:r w:rsidR="00A3728D">
        <w:rPr>
          <w:rFonts w:ascii="Times New Roman" w:hAnsi="Times New Roman" w:cs="Times New Roman"/>
          <w:sz w:val="24"/>
          <w:szCs w:val="24"/>
        </w:rPr>
        <w:t>ultraviolet (</w:t>
      </w:r>
      <w:r w:rsidR="004C33B3" w:rsidRPr="003609FB">
        <w:rPr>
          <w:rFonts w:ascii="Times New Roman" w:hAnsi="Times New Roman" w:cs="Times New Roman"/>
          <w:sz w:val="24"/>
          <w:szCs w:val="24"/>
        </w:rPr>
        <w:t>UV</w:t>
      </w:r>
      <w:r w:rsidR="00A3728D">
        <w:rPr>
          <w:rFonts w:ascii="Times New Roman" w:hAnsi="Times New Roman" w:cs="Times New Roman"/>
          <w:sz w:val="24"/>
          <w:szCs w:val="24"/>
        </w:rPr>
        <w:t>)</w:t>
      </w:r>
      <w:r w:rsidR="004C33B3" w:rsidRPr="003609FB">
        <w:rPr>
          <w:rFonts w:ascii="Times New Roman" w:hAnsi="Times New Roman" w:cs="Times New Roman"/>
          <w:sz w:val="24"/>
          <w:szCs w:val="24"/>
        </w:rPr>
        <w:t xml:space="preserve"> and visible light in the surface ocean</w:t>
      </w:r>
      <w:r w:rsidR="004C377B" w:rsidRPr="003609FB">
        <w:rPr>
          <w:rFonts w:ascii="Times New Roman" w:hAnsi="Times New Roman" w:cs="Times New Roman"/>
          <w:sz w:val="24"/>
          <w:szCs w:val="24"/>
        </w:rPr>
        <w:t xml:space="preserve"> </w:t>
      </w:r>
      <w:r w:rsidR="004C377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{"citationID":"RsSeV7Ib","properties":{"formattedCitation":"(Cooper et al. 1988; Morris et al. 2016; Zhu et al. 2022)","plainCitation":"(Cooper et al. 1988; Morris et al. 2016; Zhu et al. 2022)","noteIndex":0},"citationItems":[{"id":2126,"uris":["http://zotero.org/users/6128296/items/GE23ETKX"],"itemData":{"id":2126,"type":"article-journal","container-title":"Environmental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4C377B"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(Cooper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1988;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2016; Zhu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4C377B" w:rsidRPr="003609FB">
        <w:rPr>
          <w:rFonts w:ascii="Times New Roman" w:hAnsi="Times New Roman" w:cs="Times New Roman"/>
          <w:sz w:val="24"/>
          <w:szCs w:val="24"/>
        </w:rPr>
        <w:fldChar w:fldCharType="end"/>
      </w:r>
      <w:r w:rsidR="004C377B"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and from rain events </w:t>
      </w:r>
      <w:r w:rsidR="004F6EB8"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{"citationID":"JxlL5c22","properties":{"formattedCitation":"(Vaughan and Blough 1998; Willey, Paerl, and Go 1999)","plainCitation":"(Vaughan and Blough 1998; Willey, Paerl, and Go 1999)","noteIndex":0},"citationItems":[{"id":4746,"uris":["http://zotero.org/users/6128296/items/KNVJPM36"],"itemData":{"id":4746,"type":"article-journal","container-title":"Environmental Science &amp; Technology","DOI":"10.1021/es9710417","ISSN":"0013-936X, 1520-5851","issue":"19","journalAbbreviation":"Environ. Sci. Technol.","language":"en","page":"2947-2953","source":"DOI.org (Crossref)","title":"Photochemical Formation of Hydroxyl Radical by Constituents of Natural Waters","volume":"32","author":[{"family":"Vaughan","given":""},{"family":"Blough","given":"Neil V."}],"issued":{"date-parts":[["1998",10,1]]}}},{"id":3370,"uris":["http://zotero.org/users/6128296/items/9UYF82ME"],"itemData":{"id":3370,"type":"article-journal","abstract":"Bioassays indicate addition of hydrogen peroxide in concentrations similar to rain sometimes decreases chlorophyll a (chl a) production in surface Gulf Stream seawater. Bioassays were conducted on shipboard in the spring and autumn of 1993, 1994, and 1995. using surface Gulf Stream seawater collected off the coast of North Carolina. Chl a increases were observed after addition of FeC13 (in 1 of 5 bioassays), iron (111) EDTA (6 of 6 bioassays), or EDTA alone (4 of 4 bioassays). The chl a increases were suppressed significantly in 7 of 11 of these bioassays when the bioassay seawater was initially diluted by 1% with a 30 or 40 p M solution of hydrogen peroxide (a concentration similar to rainwater).Hydrogen peroxide induced inhibition of chl a production was not observed in bioassays in w h ~ c hchl a increased in response to addltion of nitrate or ammonium, hence the growth inhibition was associated with added metal or complexing agent. Rainwater therefore plays a complex role in primary productivity in surface seawater, with the specific effect dependent upon rainwater concentrations of nitrate, ammonium, trace metals and hydrogen peroxide, as well as on the extent of nitrogen limitation and the oxidant concentration in the surface seawater.","container-title":"Marine Ecology Progress Series","DOI":"10.3354/meps178145","ISSN":"0171-8630, 1616-1599","journalAbbreviation":"Mar. Ecol. Prog. Ser.","language":"en","page":"145-150","source":"DOI.org (Crossref)","title":"Impact of rainwater hydrogen peroxide on chlorophyll a content of surface Gulf Stream seawater off North Carolina, USA","volume":"178","author":[{"family":"Willey","given":""},{"family":"Paerl","given":"Hw"},{"family":"Go","given":"M"}],"issued":{"date-parts":[["1999"]]}}}],"schema":"https://github.com/citation-style-language/schema/raw/master/csl-citation.json"} </w:instrText>
      </w:r>
      <w:r w:rsidR="004F6EB8"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(Vaughan and Blough 1998; Willey, </w:t>
      </w:r>
      <w:proofErr w:type="spellStart"/>
      <w:r w:rsidR="006C2922">
        <w:rPr>
          <w:rFonts w:ascii="Times New Roman" w:hAnsi="Times New Roman" w:cs="Times New Roman"/>
          <w:sz w:val="24"/>
          <w:szCs w:val="24"/>
        </w:rPr>
        <w:t>Paerl</w:t>
      </w:r>
      <w:proofErr w:type="spellEnd"/>
      <w:r w:rsidR="006C2922">
        <w:rPr>
          <w:rFonts w:ascii="Times New Roman" w:hAnsi="Times New Roman" w:cs="Times New Roman"/>
          <w:sz w:val="24"/>
          <w:szCs w:val="24"/>
        </w:rPr>
        <w:t>, and Go 1999)</w:t>
      </w:r>
      <w:r w:rsidR="004F6EB8"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F61B3D">
        <w:rPr>
          <w:rFonts w:ascii="Times New Roman" w:hAnsi="Times New Roman" w:cs="Times New Roman"/>
          <w:sz w:val="24"/>
          <w:szCs w:val="24"/>
        </w:rPr>
        <w:t xml:space="preserve">Dark production of </w:t>
      </w:r>
      <w:r w:rsidR="00F61B3D" w:rsidRPr="003609FB">
        <w:rPr>
          <w:rFonts w:ascii="Times New Roman" w:hAnsi="Times New Roman" w:cs="Times New Roman"/>
          <w:sz w:val="24"/>
          <w:szCs w:val="24"/>
        </w:rPr>
        <w:t>H</w:t>
      </w:r>
      <w:r w:rsidR="00F61B3D" w:rsidRPr="00351FC4">
        <w:rPr>
          <w:rFonts w:ascii="Times New Roman" w:hAnsi="Times New Roman" w:cs="Times New Roman"/>
          <w:sz w:val="24"/>
          <w:szCs w:val="24"/>
          <w:vertAlign w:val="subscript"/>
        </w:rPr>
        <w:t>2</w:t>
      </w:r>
      <w:r w:rsidR="00F61B3D" w:rsidRPr="003609FB">
        <w:rPr>
          <w:rFonts w:ascii="Times New Roman" w:hAnsi="Times New Roman" w:cs="Times New Roman"/>
          <w:sz w:val="24"/>
          <w:szCs w:val="24"/>
        </w:rPr>
        <w:t>O</w:t>
      </w:r>
      <w:r w:rsidR="00F61B3D" w:rsidRPr="00351FC4">
        <w:rPr>
          <w:rFonts w:ascii="Times New Roman" w:hAnsi="Times New Roman" w:cs="Times New Roman"/>
          <w:sz w:val="24"/>
          <w:szCs w:val="24"/>
          <w:vertAlign w:val="subscript"/>
        </w:rPr>
        <w:t>2</w:t>
      </w:r>
      <w:r w:rsidR="00F61B3D" w:rsidRPr="003609FB">
        <w:rPr>
          <w:rFonts w:ascii="Times New Roman" w:hAnsi="Times New Roman" w:cs="Times New Roman"/>
          <w:sz w:val="24"/>
          <w:szCs w:val="24"/>
        </w:rPr>
        <w:t xml:space="preserve"> </w:t>
      </w:r>
      <w:r w:rsidR="00F61B3D">
        <w:rPr>
          <w:rFonts w:ascii="Times New Roman" w:hAnsi="Times New Roman" w:cs="Times New Roman"/>
          <w:sz w:val="24"/>
          <w:szCs w:val="24"/>
        </w:rPr>
        <w:t xml:space="preserve">also occurs in abiotic and sea waters below the mixed surface layer indicating more complex mechanisms at work </w:t>
      </w:r>
      <w:r w:rsidR="00F61B3D">
        <w:rPr>
          <w:rFonts w:ascii="Times New Roman" w:hAnsi="Times New Roman" w:cs="Times New Roman"/>
          <w:sz w:val="24"/>
          <w:szCs w:val="24"/>
        </w:rPr>
        <w:fldChar w:fldCharType="begin"/>
      </w:r>
      <w:r w:rsidR="00F61B3D">
        <w:rPr>
          <w:rFonts w:ascii="Times New Roman" w:hAnsi="Times New Roman" w:cs="Times New Roman"/>
          <w:sz w:val="24"/>
          <w:szCs w:val="24"/>
        </w:rPr>
        <w:instrText xml:space="preserve"> ADDIN ZOTERO_ITEM CSL_CITATION {"citationID":"TPsrOmGE","properties":{"formattedCitation":"(Sutherland, Wankel, and Hansel 2020; Yuan 2004; Hopwood et al. 2017; Zinser 2018b)","plainCitation":"(Sutherland, Wankel, and Hansel 2020; Yuan 2004; Hopwood et al. 2017; Zinser 2018b)","noteIndex":0},"citationItems":[{"id":3568,"uris":["http://zotero.org/users/6128296/items/PV5KYC8H"],"itemData":{"id":3568,"type":"article-journal","abstract":"Significance\n            \n              Extracellular production of the reactive oxygen species (ROS) superoxide results from the one-electron reduction of O\n              2\n              . Nearly all major groups of marine microbes produce extracellular superoxide. In this global estimate of marine microbial superoxide production we determine that dark extracellular superoxide production is ultimately a net sink of dissolved oxygen comparable in magnitude to other major terms in the marine oxygen cycle. This abundant source of superoxide to the marine water column provides evidence that extracellular ROS play a significant role in carbon oxidation and the redox cycling of metals in marine environments. Consideration of this significant reductive flux of dissolved oxygen is essential for field, laboratory, and modeling techniques for determining productivity and oxygen utilization in marine systems.\n            \n          , \n            \n              The balance between sources and sinks of molecular oxygen in the oceans has greatly impacted the composition of Earth’s atmosphere since the evolution of oxygenic photosynthesis, thereby exerting key influence on Earth’s climate and the redox state of (sub)surface Earth. The canonical source and sink terms of the marine oxygen budget include photosynthesis, respiration, photorespiration, the Mehler reaction, and other smaller terms. However, recent advances in understanding cryptic oxygen cycling, namely the ubiquitous one-electron reduction of O\n              2\n              to superoxide by microorganisms outside the cell, remains unexplored as a potential player in global oxygen dynamics. Here we show that dark extracellular superoxide production by marine microbes represents a previously unconsidered global oxygen flux and sink comparable in magnitude to other key terms. We estimate that extracellular superoxide production represents a gross oxygen sink comprising about a third of marine gross oxygen production, and a net oxygen sink amounting to 15 to 50% of that. We further demonstrate that this total marine dark extracellular superoxide flux is consistent with concentrations of superoxide in marine environments. These findings underscore prolific marine sources of reactive oxygen species and a complex and dynamic oxygen cycle in which oxygen consumption and corresponding carbon oxidation are not necessarily confined to cell membranes or exclusively related to respiration. This revised model of the marine oxygen cycle will ultimately allow for greater reconciliation among estimates of primary production and respiration and a greater mechanistic understanding of redox cycling in the ocean.","container-title":"Proceedings of the National Academy of Sciences","DOI":"10.1073/pnas.1912313117","ISSN":"0027-8424, 1091-6490","issue":"7","journalAbbreviation":"Proc. Natl. Acad. Sci. U.S.A.","language":"en","page":"3433-3439","source":"DOI.org (Crossref)","title":"Dark biological superoxide production as a significant flux and sink of marine dissolved oxygen","volume":"117","author":[{"family":"Sutherland","given":""},{"family":"Wankel","given":"Scott D."},{"family":"Hansel","given":"Colleen M."}],"issued":{"date-parts":[["2020",2,18]]}}},{"id":3674,"uris":["http://zotero.org/users/6128296/items/3G36JCPK"],"itemData":{"id":3674,"type":"article-journal","container-title":"Geophysical Research Letters","DOI":"10.1029/2003GL018439","ISSN":"0094-8276","issue":"1","journalAbbreviation":"Geophys. Res. Lett.","language":"en","page":"L01310","source":"DOI.org (Crossref)","title":"Hydrogen peroxide in deep waters of the North Pacific Ocean","volume":"31","author":[{"family":"Yuan","given":""}],"issued":{"date-parts":[["2004"]]}}},{"id":4253,"uris":["http://zotero.org/users/6128296/items/CEDCHT6C"],"itemData":{"id":4253,"type":"article-journal","abstract":"Abstract\n            \n              Hydrogen peroxide (H\n              2\n              O\n              2\n              ) is present ubiquitously in marine surface waters where it is a reactive intermediate in the cycling of many trace elements. Photochemical processes are considered the dominant natural H\n              2\n              O\n              2\n              source, yet cannot explain nanomolar H\n              2\n              O\n              2\n              concentrations below the photic zone. Here, we determined the concentration of H\n              2\n              O\n              2\n              in full depth profiles across three ocean basins (Mediterranean Sea, South Atlantic and South Pacific Oceans). To determine the accuracy of H\n              2\n              O\n              2\n              measurements in the deep ocean we also re-assessed the contribution of interfering species to ‘apparent H\n              2\n              O\n              2\n              ’, as analysed by the luminol based chemiluminescence technique. Within the vicinity of coastal oxygen minimum zones, accurate measurement of H\n              2\n              O\n              2\n              was not possible due to interference from Fe(II). Offshore, in deep (&gt;1000 m) waters H\n              2\n              O\n              2\n              concentrations ranged from 0.25 ± 0.27 nM (Mediterranean, Balearics-Algeria) to 2.9 ± 2.2 nM (Mediterranean, Corsica-France). Our results indicate that a dark, pelagic H\n              2\n              O\n              2\n              production mechanism must occur throughout the deep ocean. A bacterial source of H\n              2\n              O\n              2\n              is the most likely origin and we show that this source is likely sufficient to account for all of the observed H\n              2\n              O\n              2\n              in the deep ocean.","container-title":"Scientific Reports","DOI":"10.1038/srep43436","ISSN":"2045-2322","issue":"1","journalAbbreviation":"Sci Rep","language":"en","page":"43436","source":"DOI.org (Crossref)","title":"Hydrogen peroxide in deep waters from the Mediterranean Sea, South Atlantic and South Pacific Oceans","volume":"7","author":[{"family":"Hopwood","given":""},{"family":"Rapp","given":"Insa"},{"family":"Schlosser","given":"Christian"},{"family":"Achterberg","given":"Eric P."}],"issued":{"date-parts":[["2017",3,7]]}}},{"id":132,"uris":["http://zotero.org/users/6128296/items/KAMBLWML"],"itemData":{"id":132,"type":"article-journal","abstract":"This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ecosystems","volume":"10","author":[{"family":"Zinser","given":""}],"issued":{"date-parts":[["2018",8]]}}}],"schema":"https://github.com/citation-style-language/schema/raw/master/csl-citation.json"} </w:instrText>
      </w:r>
      <w:r w:rsidR="00F61B3D">
        <w:rPr>
          <w:rFonts w:ascii="Times New Roman" w:hAnsi="Times New Roman" w:cs="Times New Roman"/>
          <w:sz w:val="24"/>
          <w:szCs w:val="24"/>
        </w:rPr>
        <w:fldChar w:fldCharType="separate"/>
      </w:r>
      <w:r w:rsidR="00F61B3D">
        <w:rPr>
          <w:rFonts w:ascii="Times New Roman" w:hAnsi="Times New Roman" w:cs="Times New Roman"/>
          <w:noProof/>
          <w:sz w:val="24"/>
          <w:szCs w:val="24"/>
        </w:rPr>
        <w:t xml:space="preserve">(Sutherland, Wankel, and Hansel 2020; Yuan 2004; Hopwood </w:t>
      </w:r>
      <w:r w:rsidR="00183222" w:rsidRPr="00183222">
        <w:rPr>
          <w:rFonts w:ascii="Times New Roman" w:hAnsi="Times New Roman" w:cs="Times New Roman"/>
          <w:i/>
          <w:iCs/>
          <w:sz w:val="24"/>
          <w:szCs w:val="24"/>
        </w:rPr>
        <w:t>et al</w:t>
      </w:r>
      <w:r w:rsidR="00F61B3D">
        <w:rPr>
          <w:rFonts w:ascii="Times New Roman" w:hAnsi="Times New Roman" w:cs="Times New Roman"/>
          <w:noProof/>
          <w:sz w:val="24"/>
          <w:szCs w:val="24"/>
        </w:rPr>
        <w:t>. 2017; Zinser 2018b)</w:t>
      </w:r>
      <w:r w:rsidR="00F61B3D">
        <w:rPr>
          <w:rFonts w:ascii="Times New Roman" w:hAnsi="Times New Roman" w:cs="Times New Roman"/>
          <w:sz w:val="24"/>
          <w:szCs w:val="24"/>
        </w:rPr>
        <w:fldChar w:fldCharType="end"/>
      </w:r>
      <w:r w:rsidR="00F61B3D">
        <w:rPr>
          <w:rFonts w:ascii="Times New Roman" w:hAnsi="Times New Roman" w:cs="Times New Roman"/>
          <w:sz w:val="24"/>
          <w:szCs w:val="24"/>
        </w:rPr>
        <w:t xml:space="preserve">. </w:t>
      </w:r>
      <w:r w:rsidR="004C33B3" w:rsidRPr="003609FB">
        <w:rPr>
          <w:rFonts w:ascii="Times New Roman" w:hAnsi="Times New Roman" w:cs="Times New Roman"/>
          <w:sz w:val="24"/>
          <w:szCs w:val="24"/>
        </w:rPr>
        <w:t>With open oceans having high incident light (</w:t>
      </w:r>
      <w:r w:rsidR="00A1265C">
        <w:rPr>
          <w:rFonts w:ascii="Times New Roman" w:hAnsi="Times New Roman" w:cs="Times New Roman"/>
          <w:sz w:val="24"/>
          <w:szCs w:val="24"/>
        </w:rPr>
        <w:t xml:space="preserve">reaching </w:t>
      </w:r>
      <w:r w:rsidR="004C33B3" w:rsidRPr="003609FB">
        <w:rPr>
          <w:rFonts w:ascii="Times New Roman" w:hAnsi="Times New Roman" w:cs="Times New Roman"/>
          <w:sz w:val="24"/>
          <w:szCs w:val="24"/>
        </w:rPr>
        <w:t xml:space="preserve">up to 2000 </w:t>
      </w:r>
      <w:proofErr w:type="spellStart"/>
      <w:r w:rsidR="004C33B3" w:rsidRPr="003609FB">
        <w:rPr>
          <w:rFonts w:ascii="Times New Roman" w:hAnsi="Times New Roman" w:cs="Times New Roman"/>
          <w:sz w:val="24"/>
          <w:szCs w:val="24"/>
        </w:rPr>
        <w:t>μmol</w:t>
      </w:r>
      <w:proofErr w:type="spellEnd"/>
      <w:r w:rsidR="004C33B3" w:rsidRPr="003609FB">
        <w:rPr>
          <w:rFonts w:ascii="Times New Roman" w:hAnsi="Times New Roman" w:cs="Times New Roman"/>
          <w:sz w:val="24"/>
          <w:szCs w:val="24"/>
        </w:rPr>
        <w:t xml:space="preserve"> quanta </w:t>
      </w:r>
      <w:r w:rsidR="00A1265C">
        <w:rPr>
          <w:rFonts w:ascii="Times New Roman" w:hAnsi="Times New Roman" w:cs="Times New Roman"/>
          <w:sz w:val="24"/>
          <w:szCs w:val="24"/>
        </w:rPr>
        <w:t xml:space="preserve">of electrons </w:t>
      </w:r>
      <w:r w:rsidR="004C33B3" w:rsidRPr="003609FB">
        <w:rPr>
          <w:rFonts w:ascii="Times New Roman" w:hAnsi="Times New Roman" w:cs="Times New Roman"/>
          <w:sz w:val="24"/>
          <w:szCs w:val="24"/>
        </w:rPr>
        <w:t>m-</w:t>
      </w:r>
      <w:r w:rsidR="004C33B3" w:rsidRPr="00F61B3D">
        <w:rPr>
          <w:rFonts w:ascii="Times New Roman" w:hAnsi="Times New Roman" w:cs="Times New Roman"/>
          <w:sz w:val="24"/>
          <w:szCs w:val="24"/>
          <w:vertAlign w:val="superscript"/>
        </w:rPr>
        <w:t>2</w:t>
      </w:r>
      <w:r w:rsidR="004C33B3" w:rsidRPr="003609FB">
        <w:rPr>
          <w:rFonts w:ascii="Times New Roman" w:hAnsi="Times New Roman" w:cs="Times New Roman"/>
          <w:sz w:val="24"/>
          <w:szCs w:val="24"/>
        </w:rPr>
        <w:t xml:space="preserve"> s</w:t>
      </w:r>
      <w:r w:rsidR="004C33B3" w:rsidRPr="00F61B3D">
        <w:rPr>
          <w:rFonts w:ascii="Times New Roman" w:hAnsi="Times New Roman" w:cs="Times New Roman"/>
          <w:sz w:val="24"/>
          <w:szCs w:val="24"/>
          <w:vertAlign w:val="superscript"/>
        </w:rPr>
        <w:t xml:space="preserve">-1 </w:t>
      </w:r>
      <w:r w:rsidR="004C33B3" w:rsidRPr="003609FB">
        <w:rPr>
          <w:rFonts w:ascii="Times New Roman" w:hAnsi="Times New Roman" w:cs="Times New Roman"/>
          <w:sz w:val="24"/>
          <w:szCs w:val="24"/>
        </w:rPr>
        <w:t xml:space="preserve">at the surface </w:t>
      </w:r>
      <w:r w:rsidR="000861A5"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{"citationID":"sCX1BcQG","properties":{"formattedCitation":"(Morris et al. 2011)","plainCitation":"(Morris et al. 2011)","noteIndex":0},"citationItems":[{"id":113,"uris":["http://zotero.org/users/6128296/items/PIIBXCZZ"],"itemData":{"id":113,"type":"article-journal","abstract":"The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0861A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w:t>
      </w:r>
      <w:r w:rsidR="000861A5"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there is a detectible diel </w:t>
      </w:r>
      <w:r w:rsidR="00A1265C">
        <w:rPr>
          <w:rFonts w:ascii="Times New Roman" w:hAnsi="Times New Roman" w:cs="Times New Roman"/>
          <w:sz w:val="24"/>
          <w:szCs w:val="24"/>
        </w:rPr>
        <w:t xml:space="preserve"> or </w:t>
      </w:r>
      <w:r w:rsidR="004C33B3" w:rsidRPr="003609FB">
        <w:rPr>
          <w:rFonts w:ascii="Times New Roman" w:hAnsi="Times New Roman" w:cs="Times New Roman"/>
          <w:sz w:val="24"/>
          <w:szCs w:val="24"/>
        </w:rPr>
        <w:t xml:space="preserve">production cycle </w:t>
      </w:r>
      <w:r w:rsidR="00F00CC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{"citationID":"Z4FLJpHV","properties":{"formattedCitation":"(Zinser 2018b; Imlay 2003; Blot et al. 2011; Cooper et al. 1988; Nishiyama, Allakhverdiev, and Murata 2006)","plainCitation":"(Zinser 2018b; Imlay 2003; Blot et al. 2011; Cooper et al. 1988; Nishiyama, Allakhverdiev, and Murata 2006)","noteIndex":0},"citationItems":[{"id":132,"uris":["http://zotero.org/users/6128296/items/KAMBLWML"],"itemData":{"id":132,"type":"article-journal","abstract":"This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Damage","volume":"57","author":[{"family":"Imlay","given":""}],"issued":{"date-parts":[["2003",10]]}}},{"id":1774,"uris":["http://zotero.org/users/6128296/items/94JSCQPW"],"itemData":{"id":1774,"type":"article-journal","abstract":"Marine Synechococcus undergo a wide range of environmental stressors, especially high and variable irradiance, which may induce oxidative stress through the generation of reactive oxygen species (ROS). While light and ROS could act synergistically on the impairment of photosynthesis, inducing photodamage and inhibiting photosystem II repair, acclimation to high irradiance is also thought to confer resistance to other stressors. To identify the respective roles of light and ROS in the photoinhibition process and detect a possible light-driven tolerance to oxidative stress, we compared the photophysiological and transcriptomic responses of Synechococcus sp. WH7803 acclimated to low light (LL) or high light (HL) to oxidative stress, induced by hydrogen peroxide (H2O2) or methylviologen. While photosynthetic activity was much more affected in HL than in LL cells, only HL cells were able to recover growth and photosynthesis after the addition of 25 mM H2O2. Depending upon light conditions and H2O2 concentration, the latter oxidizing agent induced photosystem II inactivation through both direct damage to the reaction centers and inhibition of its repair cycle. Although the global transcriptome response appeared similar in LL and HL cells, some processes were specifically induced in HL cells that seemingly helped them withstand oxidative stress, including enhancement of photoprotection and ROS detoxification, repair of ROS-driven damage, and regulation of redox state. Detection of putative LexA binding sites allowed the identification of the putative LexA regulon, which was downregulated in HL compared with LL cells but up-regulated by oxidative stress under both growth irradiances.","container-title":"Plant Physiology","DOI":"10.1104/pp.111.174714","ISSN":"0032-0889, 1532-2548","issue":"4","journalAbbreviation":"Plant Physiol.","language":"en","page":"1934-1954","source":"DOI.org (Crossref)","title":"Light History Influences the Response of the Marine Cyanobacterium &lt;i&gt;Synechococcus&lt;/i&gt; sp. WH7803 to Oxidative Stress","volume":"156","author":[{"family":"Blot","given":""},{"family":"Mella-Flores","given":"Daniella"},{"family":"Six","given":"Christophe"},{"family":"Le Corguillé","given":"Gildas"},{"family":"Boutte","given":"Christophe"},{"family":"Peyrat","given":"Anne"},{"family":"Monnier","given":"Annabelle"},{"family":"Ratin","given":"Morgane"},{"family":"Gourvil","given":"Priscillia"},{"family":"Campbell","given":"Douglas A."},{"family":"Garczarek","given":"Laurence"}],"issued":{"date-parts":[["2011",8]]}}},{"id":2126,"uris":["http://zotero.org/users/6128296/items/GE23ETKX"],"itemData":{"id":2126,"type":"article-journal","container-title":"Environmental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C."}],"issued":{"date-parts":[["1988",10]]}}},{"id":1915,"uris":["http://zotero.org/users/6128296/items/Y4G6MPMZ"],"itemData":{"id":1915,"type":"article-journal","abstract":"Inhibition of the activity of photosystem II (PSII) under strong light is referred to as photoinhibition. This phenomenon is due to the imbalance between the rate of photodamage to PSII and the rate of the repair of damaged PSII. Photodamage is initiated by the direct effects of light on the oxygen-evolving complex and, thus, photodamage to PSII is unavoidable. Studies of the effects of oxidative stress on photodamage and subsequent repair have revealed that reactive oxygen species (ROS) act primarily by inhibiting the repair of photodamaged PSII and not by damaging PSII directly. Thus, strong light has two distinct effects on PSII; it damages PSII directly and it inhibits the repair of PSII via production of ROS. Investigations of the ROS-induced inhibition of repair have demonstrated that ROS suppress the synthesis de novo of proteins and, in particular, of the D1 protein, that are required for the repair of PSII. Moreover, a primary target for inhibition by ROS appears to be the elongation step of translation. Inhibition of the repair of PSII by ROS is accelerated by the deceleration of the Calvin cycle that occurs when the availability of CO2 is limited. In this review, we present a new paradigm for the action of ROS in photoinhibition.","container-title":"Biochimica et Biophysica Acta (BBA) - Bioenergetics","DOI":"10.1016/j.bbabio.2006.05.013","ISSN":"00052728","issue":"7","journalAbbreviation":"Biochimica et Biophysica Acta (BBA) - Bioenergetics","language":"en","page":"742-749","source":"DOI.org (Crossref)","title":"A new paradigm for the action of reactive oxygen species in the photoinhibition of photosystem II","volume":"1757","author":[{"family":"Nishiyama","given":""},{"family":"Allakhverdiev","given":"Suleyman I."},{"family":"Murata","given":"Norio"}],"issued":{"date-parts":[["2006",7]]}}}],"schema":"https://github.com/citation-style-language/schema/raw/master/csl-citation.json"} </w:instrText>
      </w:r>
      <w:r w:rsidR="00F00CCF"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(Zinser 2018b; Imlay 2003; Blot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2011; Cooper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1988; Nishiyama, </w:t>
      </w:r>
      <w:proofErr w:type="spellStart"/>
      <w:r w:rsidR="00BF4898">
        <w:rPr>
          <w:rFonts w:ascii="Times New Roman" w:hAnsi="Times New Roman" w:cs="Times New Roman"/>
          <w:sz w:val="24"/>
          <w:szCs w:val="24"/>
        </w:rPr>
        <w:t>Allakhverdiev</w:t>
      </w:r>
      <w:proofErr w:type="spellEnd"/>
      <w:r w:rsidR="00BF4898">
        <w:rPr>
          <w:rFonts w:ascii="Times New Roman" w:hAnsi="Times New Roman" w:cs="Times New Roman"/>
          <w:sz w:val="24"/>
          <w:szCs w:val="24"/>
        </w:rPr>
        <w:t>, and Murata 2006)</w:t>
      </w:r>
      <w:r w:rsidR="00F00CCF"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A1265C">
        <w:rPr>
          <w:rFonts w:ascii="Times New Roman" w:hAnsi="Times New Roman" w:cs="Times New Roman"/>
          <w:sz w:val="24"/>
          <w:szCs w:val="24"/>
        </w:rPr>
        <w:t>Different wavelengths of light create different amounts of</w:t>
      </w:r>
      <w:r w:rsidR="00A1265C" w:rsidRPr="00A1265C">
        <w:rPr>
          <w:rFonts w:ascii="Times New Roman" w:hAnsi="Times New Roman" w:cs="Times New Roman"/>
          <w:sz w:val="24"/>
          <w:szCs w:val="24"/>
        </w:rPr>
        <w:t xml:space="preserve"> </w:t>
      </w:r>
      <w:r w:rsidR="00A1265C" w:rsidRPr="003609FB">
        <w:rPr>
          <w:rFonts w:ascii="Times New Roman" w:hAnsi="Times New Roman" w:cs="Times New Roman"/>
          <w:sz w:val="24"/>
          <w:szCs w:val="24"/>
        </w:rPr>
        <w:t>H</w:t>
      </w:r>
      <w:r w:rsidR="00A1265C" w:rsidRPr="00351FC4">
        <w:rPr>
          <w:rFonts w:ascii="Times New Roman" w:hAnsi="Times New Roman" w:cs="Times New Roman"/>
          <w:sz w:val="24"/>
          <w:szCs w:val="24"/>
          <w:vertAlign w:val="subscript"/>
        </w:rPr>
        <w:t>2</w:t>
      </w:r>
      <w:r w:rsidR="00A1265C" w:rsidRPr="003609FB">
        <w:rPr>
          <w:rFonts w:ascii="Times New Roman" w:hAnsi="Times New Roman" w:cs="Times New Roman"/>
          <w:sz w:val="24"/>
          <w:szCs w:val="24"/>
        </w:rPr>
        <w:t>O</w:t>
      </w:r>
      <w:r w:rsidR="00A1265C" w:rsidRPr="00351FC4">
        <w:rPr>
          <w:rFonts w:ascii="Times New Roman" w:hAnsi="Times New Roman" w:cs="Times New Roman"/>
          <w:sz w:val="24"/>
          <w:szCs w:val="24"/>
          <w:vertAlign w:val="subscript"/>
        </w:rPr>
        <w:t>2</w:t>
      </w:r>
      <w:r w:rsidR="00A1265C">
        <w:rPr>
          <w:rFonts w:ascii="Times New Roman" w:hAnsi="Times New Roman" w:cs="Times New Roman"/>
          <w:sz w:val="24"/>
          <w:szCs w:val="24"/>
        </w:rPr>
        <w:t xml:space="preserve"> giving complex patterns in water due to the </w:t>
      </w:r>
      <w:r w:rsidR="000967A8">
        <w:rPr>
          <w:rFonts w:ascii="Times New Roman" w:hAnsi="Times New Roman" w:cs="Times New Roman"/>
          <w:sz w:val="24"/>
          <w:szCs w:val="24"/>
        </w:rPr>
        <w:t>wavelength’s</w:t>
      </w:r>
      <w:r w:rsidR="00A1265C">
        <w:rPr>
          <w:rFonts w:ascii="Times New Roman" w:hAnsi="Times New Roman" w:cs="Times New Roman"/>
          <w:sz w:val="24"/>
          <w:szCs w:val="24"/>
        </w:rPr>
        <w:t xml:space="preserve"> differ</w:t>
      </w:r>
      <w:r w:rsidR="000967A8">
        <w:rPr>
          <w:rFonts w:ascii="Times New Roman" w:hAnsi="Times New Roman" w:cs="Times New Roman"/>
          <w:sz w:val="24"/>
          <w:szCs w:val="24"/>
        </w:rPr>
        <w:t>ential</w:t>
      </w:r>
      <w:r w:rsidR="00A1265C">
        <w:rPr>
          <w:rFonts w:ascii="Times New Roman" w:hAnsi="Times New Roman" w:cs="Times New Roman"/>
          <w:sz w:val="24"/>
          <w:szCs w:val="24"/>
        </w:rPr>
        <w:t xml:space="preserve"> refraction rates and </w:t>
      </w:r>
      <w:r w:rsidR="00A1265C" w:rsidRPr="003609FB">
        <w:rPr>
          <w:rFonts w:ascii="Times New Roman" w:hAnsi="Times New Roman" w:cs="Times New Roman"/>
          <w:sz w:val="24"/>
          <w:szCs w:val="24"/>
        </w:rPr>
        <w:t>H</w:t>
      </w:r>
      <w:r w:rsidR="00A1265C" w:rsidRPr="00351FC4">
        <w:rPr>
          <w:rFonts w:ascii="Times New Roman" w:hAnsi="Times New Roman" w:cs="Times New Roman"/>
          <w:sz w:val="24"/>
          <w:szCs w:val="24"/>
          <w:vertAlign w:val="subscript"/>
        </w:rPr>
        <w:t>2</w:t>
      </w:r>
      <w:r w:rsidR="00A1265C" w:rsidRPr="003609FB">
        <w:rPr>
          <w:rFonts w:ascii="Times New Roman" w:hAnsi="Times New Roman" w:cs="Times New Roman"/>
          <w:sz w:val="24"/>
          <w:szCs w:val="24"/>
        </w:rPr>
        <w:t>O</w:t>
      </w:r>
      <w:r w:rsidR="00A1265C" w:rsidRPr="00351FC4">
        <w:rPr>
          <w:rFonts w:ascii="Times New Roman" w:hAnsi="Times New Roman" w:cs="Times New Roman"/>
          <w:sz w:val="24"/>
          <w:szCs w:val="24"/>
          <w:vertAlign w:val="subscript"/>
        </w:rPr>
        <w:t>2</w:t>
      </w:r>
      <w:r w:rsidR="00A1265C">
        <w:rPr>
          <w:rFonts w:ascii="Times New Roman" w:hAnsi="Times New Roman" w:cs="Times New Roman"/>
          <w:sz w:val="24"/>
          <w:szCs w:val="24"/>
          <w:vertAlign w:val="subscript"/>
        </w:rPr>
        <w:t xml:space="preserve"> </w:t>
      </w:r>
      <w:r w:rsidR="00A1265C">
        <w:rPr>
          <w:rFonts w:ascii="Times New Roman" w:hAnsi="Times New Roman" w:cs="Times New Roman"/>
          <w:sz w:val="24"/>
          <w:szCs w:val="24"/>
        </w:rPr>
        <w:t xml:space="preserve">production </w:t>
      </w:r>
      <w:r w:rsidR="00A1265C">
        <w:rPr>
          <w:rFonts w:ascii="Times New Roman" w:hAnsi="Times New Roman" w:cs="Times New Roman"/>
          <w:sz w:val="24"/>
          <w:szCs w:val="24"/>
        </w:rPr>
        <w:fldChar w:fldCharType="begin"/>
      </w:r>
      <w:r w:rsidR="00A1265C">
        <w:rPr>
          <w:rFonts w:ascii="Times New Roman" w:hAnsi="Times New Roman" w:cs="Times New Roman"/>
          <w:sz w:val="24"/>
          <w:szCs w:val="24"/>
        </w:rPr>
        <w:instrText xml:space="preserve"> ADDIN ZOTERO_ITEM CSL_CITATION {"citationID":"A7WG2cJf","properties":{"formattedCitation":"(Zhu et al. 2022)","plainCitation":"(Zhu et al. 2022)","noteIndex":0},"citationItems":[{"id":4059,"uris":["http://zotero.org/users/6128296/items/UQC3QQF2"],"itemData":{"id":4059,"type":"article-journal","abstract":"Hydrogen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A1265C">
        <w:rPr>
          <w:rFonts w:ascii="Cambria Math" w:hAnsi="Cambria Math" w:cs="Cambria Math"/>
          <w:sz w:val="24"/>
          <w:szCs w:val="24"/>
        </w:rPr>
        <w:instrText>∼</w:instrText>
      </w:r>
      <w:r w:rsidR="00A1265C">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A1265C">
        <w:rPr>
          <w:rFonts w:ascii="Times New Roman" w:hAnsi="Times New Roman" w:cs="Times New Roman"/>
          <w:sz w:val="24"/>
          <w:szCs w:val="24"/>
        </w:rPr>
        <w:fldChar w:fldCharType="separate"/>
      </w:r>
      <w:r w:rsidR="00A1265C">
        <w:rPr>
          <w:rFonts w:ascii="Times New Roman" w:hAnsi="Times New Roman" w:cs="Times New Roman"/>
          <w:noProof/>
          <w:sz w:val="24"/>
          <w:szCs w:val="24"/>
        </w:rPr>
        <w:t xml:space="preserve">(Zhu </w:t>
      </w:r>
      <w:r w:rsidR="00183222" w:rsidRPr="00183222">
        <w:rPr>
          <w:rFonts w:ascii="Times New Roman" w:hAnsi="Times New Roman" w:cs="Times New Roman"/>
          <w:i/>
          <w:iCs/>
          <w:sz w:val="24"/>
          <w:szCs w:val="24"/>
        </w:rPr>
        <w:t>et al</w:t>
      </w:r>
      <w:r w:rsidR="00A1265C">
        <w:rPr>
          <w:rFonts w:ascii="Times New Roman" w:hAnsi="Times New Roman" w:cs="Times New Roman"/>
          <w:noProof/>
          <w:sz w:val="24"/>
          <w:szCs w:val="24"/>
        </w:rPr>
        <w:t>. 2022)</w:t>
      </w:r>
      <w:r w:rsidR="00A1265C">
        <w:rPr>
          <w:rFonts w:ascii="Times New Roman" w:hAnsi="Times New Roman" w:cs="Times New Roman"/>
          <w:sz w:val="24"/>
          <w:szCs w:val="24"/>
        </w:rPr>
        <w:fldChar w:fldCharType="end"/>
      </w:r>
      <w:r w:rsidR="00A1265C">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if not detoxified, will damage DNA, proteins, and cellular material that it contacts until the cell can no longer function </w:t>
      </w:r>
      <w:r w:rsidR="00056B9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{"citationID":"RJEjWPz9","properties":{"formattedCitation":"(Imlay 2003; Latifi, Ruiz, and Zhang 2009; Morris 2011)","plainCitation":"(Imlay 2003; Latifi, Ruiz, and Zhang 2009; Morris 2011)","noteIndex":0},"citationItems":[{"id":209,"uris":["http://zotero.org/users/6128296/items/7TJQYIJA"],"itemData":{"id":209,"type":"article-journal","container-title":"Annual Review of Microbiology","DOI":"10.1146/annurev.micro.57.030502.090938","ISSN":"0066-4227, 1545-3251","issue":"1","journalAbbreviation":"Annu. Rev. Microbiol.","language":"en","page":"395-418","source":"DOI.org (Crossref)","title":"Pathways of Oxidative Damage","volume":"57","author":[{"family":"Imlay","given":""}],"issued":{"date-parts":[["2003",10]]}}},{"id":213,"uris":["http://zotero.org/users/6128296/items/RFXPGDIL"],"itemData":{"id":213,"type":"article-journal","abstract":"Reactive oxygen species (ROS) are byproducts of aerobic metabolism and potent agents that cause oxidative damage. In oxygenic photosynthetic organisms such as cyanobacteria, ROS are inevitably generated by photosynthetic electron transport, especially when the intensity of light-driven electron transport outpaces the rate of electron consumption during CO2 ﬁxation. Because cyanobacteria in their natural habitat are often exposed to changing external conditions, such as drastic ﬂuctuations of light intensities, their ability to perceive ROS and to rapidly initiate antioxidant defences is crucial for their survival. This review summarizes recent ﬁndings and outlines important perspectives in this ﬁeld.","container-title":"FEMS Microbiology Reviews","DOI":"10.1111/j.1574-6976.2008.00134.x","ISSN":"1574-6976","issue":"2","journalAbbreviation":"FEMS Microbiol Rev","language":"en","page":"258-278","source":"DOI.org (Crossref)","title":"Oxidative stress in cyanobacteria","volume":"33","author":[{"family":"Latifi","given":""},{"family":"Ruiz","given":"Marion"},{"family":"Zhang","given":"Cheng-Cai"}],"issued":{"date-parts":[["2009",3]]}}},{"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056B91"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(Imlay 2003; Latifi, Ruiz, and Zhang 2009; Morris 2011)</w:t>
      </w:r>
      <w:r w:rsidR="00056B91"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For photosynthetic organisms,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poses a particular threat to photosystem two (PSII) </w:t>
      </w:r>
      <w:r w:rsidR="00475152">
        <w:rPr>
          <w:rFonts w:ascii="Times New Roman" w:hAnsi="Times New Roman" w:cs="Times New Roman"/>
          <w:sz w:val="24"/>
          <w:szCs w:val="24"/>
        </w:rPr>
        <w:t>as electrons are both key to PSII function and easily move from reactive species like</w:t>
      </w:r>
      <w:r w:rsidR="00475152" w:rsidRPr="00475152">
        <w:rPr>
          <w:rFonts w:ascii="Times New Roman" w:hAnsi="Times New Roman" w:cs="Times New Roman"/>
          <w:sz w:val="24"/>
          <w:szCs w:val="24"/>
        </w:rPr>
        <w:t xml:space="preserve"> </w:t>
      </w:r>
      <w:r w:rsidR="00475152" w:rsidRPr="003609FB">
        <w:rPr>
          <w:rFonts w:ascii="Times New Roman" w:hAnsi="Times New Roman" w:cs="Times New Roman"/>
          <w:sz w:val="24"/>
          <w:szCs w:val="24"/>
        </w:rPr>
        <w:t>H</w:t>
      </w:r>
      <w:r w:rsidR="00475152" w:rsidRPr="00351FC4">
        <w:rPr>
          <w:rFonts w:ascii="Times New Roman" w:hAnsi="Times New Roman" w:cs="Times New Roman"/>
          <w:sz w:val="24"/>
          <w:szCs w:val="24"/>
          <w:vertAlign w:val="subscript"/>
        </w:rPr>
        <w:t>2</w:t>
      </w:r>
      <w:r w:rsidR="00475152" w:rsidRPr="003609FB">
        <w:rPr>
          <w:rFonts w:ascii="Times New Roman" w:hAnsi="Times New Roman" w:cs="Times New Roman"/>
          <w:sz w:val="24"/>
          <w:szCs w:val="24"/>
        </w:rPr>
        <w:t>O</w:t>
      </w:r>
      <w:r w:rsidR="00475152" w:rsidRPr="00351FC4">
        <w:rPr>
          <w:rFonts w:ascii="Times New Roman" w:hAnsi="Times New Roman" w:cs="Times New Roman"/>
          <w:sz w:val="24"/>
          <w:szCs w:val="24"/>
          <w:vertAlign w:val="subscript"/>
        </w:rPr>
        <w:t>2</w:t>
      </w:r>
      <w:r w:rsidR="00475152">
        <w:rPr>
          <w:rFonts w:ascii="Times New Roman" w:hAnsi="Times New Roman" w:cs="Times New Roman"/>
          <w:sz w:val="24"/>
          <w:szCs w:val="24"/>
        </w:rPr>
        <w:t xml:space="preserve"> </w:t>
      </w:r>
      <w:r w:rsidR="0003262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{"citationID":"kODTyg2Q","properties":{"formattedCitation":"(He and H\\uc0\\u228{}der 2002; Latifi, Ruiz, and Zhang 2009; Nishiyama, Allakhverdiev, and Murata 2006; Takahashi and Murata 2008)","plainCitation":"(He and Häder 2002; Latifi, Ruiz, and Zhang 2009; Nishiyama, Allakhverdiev, and Murata 2006; Takahashi and Murata 2008)","noteIndex":0},"citationItems":[{"id":1935,"uris":["http://zotero.org/users/6128296/items/C5XYE7XM"],"itemData":{"id":1935,"type":"article-journal","container-title":"Photochem. Photobiol. Sci.","DOI":"10.1039/B110365M","ISSN":"1474-905X, 1474-9092","issue":"10","journalAbbreviation":"Photochem. Photobiol. Sci.","language":"en","page":"729-736","source":"DOI.org (Crossref)","title":"Reactive oxygen species and UV-B: effect on cyanobacteria","title-short":"Reactive oxygen species and UV-B","volume":"1","author":[{"family":"He","given":""},{"family":"Häder","given":""}],"issued":{"date-parts":[["2002"]]}}},{"id":213,"uris":["http://zotero.org/users/6128296/items/RFXPGDIL"],"itemData":{"id":213,"type":"article-journal","abstract":"Reactive oxygen species (ROS) are byproducts of aerobic metabolism and potent agents that cause oxidative damage. In oxygenic photosynthetic organisms such as cyanobacteria, ROS are inevitably generated by photosynthetic electron transport, especially when the intensity of light-driven electron transport outpaces the rate of electron consumption during CO2 ﬁxation. Because cyanobacteria in their natural habitat are often exposed to changing external conditions, such as drastic ﬂuctuations of light intensities, their ability to perceive ROS and to rapidly initiate antioxidant defences is crucial for their survival. This review summarizes recent ﬁndings and outlines important perspectives in this ﬁeld.","container-title":"FEMS Microbiology Reviews","DOI":"10.1111/j.1574-6976.2008.00134.x","ISSN":"1574-6976","issue":"2","journalAbbreviation":"FEMS Microbiol Rev","language":"en","page":"258-278","source":"DOI.org (Crossref)","title":"Oxidative stress in cyanobacteria","volume":"33","author":[{"family":"Latifi","given":""},{"family":"Ruiz","given":"Marion"},{"family":"Zhang","given":"Cheng-Cai"}],"issued":{"date-parts":[["2009",3]]}}},{"id":1915,"uris":["http://zotero.org/users/6128296/items/Y4G6MPMZ"],"itemData":{"id":1915,"type":"article-journal","abstract":"Inhibition of the activity of photosystem II (PSII) under strong light is referred to as photoinhibition. This phenomenon is due to the imbalance between the rate of photodamage to PSII and the rate of the repair of damaged PSII. Photodamage is initiated by the direct effects of light on the oxygen-evolving complex and, thus, photodamage to PSII is unavoidable. Studies of the effects of oxidative stress on photodamage and subsequent repair have revealed that reactive oxygen species (ROS) act primarily by inhibiting the repair of photodamaged PSII and not by damaging PSII directly. Thus, strong light has two distinct effects on PSII; it damages PSII directly and it inhibits the repair of PSII via production of ROS. Investigations of the ROS-induced inhibition of repair have demonstrated that ROS suppress the synthesis de novo of proteins and, in particular, of the D1 protein, that are required for the repair of PSII. Moreover, a primary target for inhibition by ROS appears to be the elongation step of translation. Inhibition of the repair of PSII by ROS is accelerated by the deceleration of the Calvin cycle that occurs when the availability of CO2 is limited. In this review, we present a new paradigm for the action of ROS in photoinhibition.","container-title":"Biochimica et Biophysica Acta (BBA) - Bioenergetics","DOI":"10.1016/j.bbabio.2006.05.013","ISSN":"00052728","issue":"7","journalAbbreviation":"Biochimica et Biophysica Acta (BBA) - Bioenergetics","language":"en","page":"742-749","source":"DOI.org (Crossref)","title":"A new paradigm for the action of reactive oxygen species in the photoinhibition of photosystem II","volume":"1757","author":[{"family":"Nishiyama","given":""},{"family":"Allakhverdiev","given":"Suleyman I."},{"family":"Murata","given":"Norio"}],"issued":{"date-parts":[["2006",7]]}}},{"id":2046,"uris":["http://zotero.org/users/6128296/items/2C3AL65S"],"itemData":{"id":2046,"type":"article-journal","container-title":"Trends in Plant Science","DOI":"10.1016/j.tplants.2008.01.005","ISSN":"13601385","issue":"4","journalAbbreviation":"Trends in Plant Science","language":"en","page":"178-182","source":"DOI.org (Crossref)","title":"How do environmental stresses accelerate photoinhibition?","volume":"13","author":[{"family":"Takahashi","given":""},{"family":"Murata","given":"Norio"}],"issued":{"date-parts":[["2008",4]]}}}],"schema":"https://github.com/citation-style-language/schema/raw/master/csl-citation.json"} </w:instrText>
      </w:r>
      <w:r w:rsidR="00032621"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(He and </w:t>
      </w:r>
      <w:proofErr w:type="spellStart"/>
      <w:r w:rsidR="006C2922" w:rsidRPr="006C2922">
        <w:rPr>
          <w:rFonts w:ascii="Times New Roman" w:hAnsi="Times New Roman" w:cs="Times New Roman"/>
          <w:sz w:val="24"/>
        </w:rPr>
        <w:t>Häder</w:t>
      </w:r>
      <w:proofErr w:type="spellEnd"/>
      <w:r w:rsidR="006C2922" w:rsidRPr="006C2922">
        <w:rPr>
          <w:rFonts w:ascii="Times New Roman" w:hAnsi="Times New Roman" w:cs="Times New Roman"/>
          <w:sz w:val="24"/>
        </w:rPr>
        <w:t xml:space="preserve"> 2002; Latifi, Ruiz, and Zhang 2009; Nishiyama, </w:t>
      </w:r>
      <w:proofErr w:type="spellStart"/>
      <w:r w:rsidR="006C2922" w:rsidRPr="006C2922">
        <w:rPr>
          <w:rFonts w:ascii="Times New Roman" w:hAnsi="Times New Roman" w:cs="Times New Roman"/>
          <w:sz w:val="24"/>
        </w:rPr>
        <w:t>Allakhverdiev</w:t>
      </w:r>
      <w:proofErr w:type="spellEnd"/>
      <w:r w:rsidR="006C2922" w:rsidRPr="006C2922">
        <w:rPr>
          <w:rFonts w:ascii="Times New Roman" w:hAnsi="Times New Roman" w:cs="Times New Roman"/>
          <w:sz w:val="24"/>
        </w:rPr>
        <w:t>, and Murata 2006; Takahashi and Murata 2008)</w:t>
      </w:r>
      <w:r w:rsidR="00032621"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D1 is one of the two protein components in the reaction center of PSII responsible for binding P680 and various electron receptors </w:t>
      </w:r>
      <w:r w:rsidR="00032621" w:rsidRPr="003609FB">
        <w:rPr>
          <w:rFonts w:ascii="Times New Roman" w:hAnsi="Times New Roman" w:cs="Times New Roman"/>
          <w:sz w:val="24"/>
          <w:szCs w:val="24"/>
        </w:rPr>
        <w:fldChar w:fldCharType="begin"/>
      </w:r>
      <w:r w:rsidR="000771B4">
        <w:rPr>
          <w:rFonts w:ascii="Times New Roman" w:hAnsi="Times New Roman" w:cs="Times New Roman"/>
          <w:sz w:val="24"/>
          <w:szCs w:val="24"/>
        </w:rPr>
        <w:instrText xml:space="preserve"> ADDIN ZOTERO_ITEM CSL_CITATION {"citationID":"NtDFBhUq","properties":{"formattedCitation":"(Campbell et al. 1998; Maxwell and Johnson 2000; Szil\\uc0\\u225{}rd, Sass, and Vass 2002)","plainCitation":"(Campbell et al. 1998; Maxwell and Johnson 2000; Szilárd, Sass, and Vass 2002)","noteIndex":0},"citationItems":[{"id":2068,"uris":["http://zotero.org/users/6128296/items/763VC4K7"],"itemData":{"id":2068,"type":"article-journal","abstract":"Cyanobacteria are ecologically important photosynthetic prokaryotes that also serve as popular model organisms for studies of photosynthesis and gene regulation. Both molecular and ecological studies of cyanobacteria benefit from real-time information on photosynthesis and acclimation. Monitoring in vivo chlorophyll fluorescence can provide noninvasive measures of photosynthetic physiology in a wide range of cyanobacteria and cyanolichens and requires only small samples. Cyanobacterial fluorescence patterns are distinct from those of plants, because of key structural and functional properties of cyanobacteria. These include significant fluorescence emission from the light-harvesting phycobiliproteins; large and rapid changes in fluorescence yield (state transitions) which depend on metabolic and environmental conditions; a</w:instrText>
      </w:r>
      <w:r w:rsidR="000771B4">
        <w:rPr>
          <w:rFonts w:ascii="Times New Roman" w:hAnsi="Times New Roman" w:cs="Times New Roman" w:hint="eastAsia"/>
          <w:sz w:val="24"/>
          <w:szCs w:val="24"/>
        </w:rPr>
        <w:instrText xml:space="preserve">nd flexible, overlapping respiratory and photosynthetic electron transport chains. The fluorescence parameters F\n              V\n              /F\n              M\n              , F\n              V\n              </w:instrText>
      </w:r>
      <w:r w:rsidR="000771B4">
        <w:rPr>
          <w:rFonts w:ascii="Times New Roman" w:hAnsi="Times New Roman" w:cs="Times New Roman" w:hint="eastAsia"/>
          <w:sz w:val="24"/>
          <w:szCs w:val="24"/>
        </w:rPr>
        <w:instrText>′</w:instrText>
      </w:r>
      <w:r w:rsidR="000771B4">
        <w:rPr>
          <w:rFonts w:ascii="Times New Roman" w:hAnsi="Times New Roman" w:cs="Times New Roman" w:hint="eastAsia"/>
          <w:sz w:val="24"/>
          <w:szCs w:val="24"/>
        </w:rPr>
        <w:instrText xml:space="preserve">/F\n              M\n              </w:instrText>
      </w:r>
      <w:r w:rsidR="000771B4">
        <w:rPr>
          <w:rFonts w:ascii="Times New Roman" w:hAnsi="Times New Roman" w:cs="Times New Roman" w:hint="eastAsia"/>
          <w:sz w:val="24"/>
          <w:szCs w:val="24"/>
        </w:rPr>
        <w:instrText>′</w:instrText>
      </w:r>
      <w:r w:rsidR="000771B4">
        <w:rPr>
          <w:rFonts w:ascii="Times New Roman" w:hAnsi="Times New Roman" w:cs="Times New Roman" w:hint="eastAsia"/>
          <w:sz w:val="24"/>
          <w:szCs w:val="24"/>
        </w:rPr>
        <w:instrText>,q</w:instrText>
      </w:r>
      <w:r w:rsidR="000771B4">
        <w:rPr>
          <w:rFonts w:ascii="Times New Roman" w:hAnsi="Times New Roman" w:cs="Times New Roman"/>
          <w:sz w:val="24"/>
          <w:szCs w:val="24"/>
        </w:rPr>
        <w:instrText xml:space="preserve">\n              p\n              ,q\n              N\n              , NPQ, and φPS II were originally developed to extract information from the fluorescence signals of higher plants. In this review, we consider how the special properties of cyanobacteria can be accommodated and used to extract biologically useful information from cyanobacterial\n              in vivo\n              chlorophyll fluorescence signals. We describe how the pattern of fluorescence yield versus light intensity can be used to predict the acclimated light level for a cyanobacterial population, giving information valuable for both laboratory and field studies of acclimation processes. The size of the change in fluorescence yield during dark-to-light transitions can provide information on respiration and the iron status of the cyanobacteria. Finally, fluorescence parameters can be used to estimate the electron transport rate at the acclimated growth light intensity.","container-title":"Microbiology and Molecular Biology Reviews","DOI":"10.1128/MMBR.62.3.667-683.1998","ISSN":"1098-5557, 1092-2172","issue":"3","language":"en","page":"667-683","source":"DOI.org (Crossref)","title":"Chlorophyll Fluorescence Analysis of Cyanobacterial Photosynthesis and Acclimation","volume":"62","author":[{"family":"Campbell","given":""},{"family":"Hurry","given":"Vaughan"},{"family":"Clarke","given":"Adrian K."},{"family":"Gustafsson","given":"Petter"},{"family":"Öquist","given":"Gunnar"}],"issued":{"date-parts":[["1998"]]}}},{"id":2116,"uris":["http://zotero.org/users/6128296/items/WG6P3XN8"],"itemData":{"id":2116,"type":"article-journal","abstract":"Chlorophyll fluorescence analysis has become one of the most powerful and widely used techniques available to plant physiologists and ecophysiologists. This review aims to provide an introduction for the novice into the methodology and applications of chlorophyll fluorescence. After a brief introduction into the theoretical background of the technique, the methodology and some of the technical pitfalls that can be encountered are explained. A selection of examples is then used to illustrate the types of information that fluorescence can provide.","container-title":"Journal of Experimental Botany","issue":"345","language":"en","page":"10","source":"Zotero","title":"Chlorophyll fluorescence—a practical guide","volume":"51","author":[{"family":"Maxwell","given":""},{"family":"Johnson","given":"Giles N"}],"issued":{"date-parts":[["2000"]]}}},{"id":2128,"uris":["http://zotero.org/users/6128296/items/YL6Y4FKL"],"itemData":{"id":2128,"type":"article-journal","abstract":"We studied the effect of low light intensity on Photosystem II (PSII) of thylakoid membranes isolated form spinach. The application of low frequency single turnover flashes results in the decreased oxygen evolving activity of PSII. This effect was explained in the framework of a model, which assumes that saturating visible light flashes at low frequency can result in the degradation of the D1 protein, since S2,3/QB- and S2/QA- recombinations generate singlet oxygen through the intermediate triplet chlorophyll formation. We propose a pathway for the light-induced transitions and dark period processes of the S-states, which results the best fit of our experimental data.","container-title":"Acta Biologica Szegediensis","issue":"3-4","language":"en","page":"167-169","source":"Zotero","title":"Photoinactivation of Photosystem II at low light intensity. Mathematical models","volume":"Volume 46","author":[{"family":"Szilárd","given":""},{"family":"Sass","given":"László"},{"family":"Vass","given":"Imre"}],"issued":{"date-parts":[["2002"]]}}}],"schema":"https://github.com/citation-style-language/schema/raw/master/csl-citation.json"} </w:instrText>
      </w:r>
      <w:r w:rsidR="00032621" w:rsidRPr="003609FB">
        <w:rPr>
          <w:rFonts w:ascii="Times New Roman" w:hAnsi="Times New Roman" w:cs="Times New Roman"/>
          <w:sz w:val="24"/>
          <w:szCs w:val="24"/>
        </w:rPr>
        <w:fldChar w:fldCharType="separate"/>
      </w:r>
      <w:r w:rsidR="000771B4" w:rsidRPr="000771B4">
        <w:rPr>
          <w:rFonts w:ascii="Times New Roman" w:hAnsi="Times New Roman" w:cs="Times New Roman"/>
          <w:sz w:val="24"/>
        </w:rPr>
        <w:t xml:space="preserve">(Campbell </w:t>
      </w:r>
      <w:r w:rsidR="00183222" w:rsidRPr="00183222">
        <w:rPr>
          <w:rFonts w:ascii="Times New Roman" w:hAnsi="Times New Roman" w:cs="Times New Roman"/>
          <w:i/>
          <w:iCs/>
          <w:sz w:val="24"/>
          <w:szCs w:val="24"/>
        </w:rPr>
        <w:t>et al</w:t>
      </w:r>
      <w:r w:rsidR="000771B4" w:rsidRPr="000771B4">
        <w:rPr>
          <w:rFonts w:ascii="Times New Roman" w:hAnsi="Times New Roman" w:cs="Times New Roman"/>
          <w:sz w:val="24"/>
        </w:rPr>
        <w:t>. 1998; Maxwell and Johnson 2000; Szilárd, Sass, and Vass 2002)</w:t>
      </w:r>
      <w:r w:rsidR="00032621"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005F548E">
        <w:rPr>
          <w:rFonts w:ascii="Times New Roman" w:hAnsi="Times New Roman" w:cs="Times New Roman"/>
          <w:sz w:val="24"/>
          <w:szCs w:val="24"/>
        </w:rPr>
        <w:t xml:space="preserve">It is key to photosynthetic energy storage. </w:t>
      </w:r>
      <w:r w:rsidR="004C33B3" w:rsidRPr="003609FB">
        <w:rPr>
          <w:rFonts w:ascii="Times New Roman" w:hAnsi="Times New Roman" w:cs="Times New Roman"/>
          <w:sz w:val="24"/>
          <w:szCs w:val="24"/>
        </w:rPr>
        <w:t>D</w:t>
      </w:r>
      <w:r w:rsidR="002C0807">
        <w:rPr>
          <w:rFonts w:ascii="Times New Roman" w:hAnsi="Times New Roman" w:cs="Times New Roman"/>
          <w:sz w:val="24"/>
          <w:szCs w:val="24"/>
        </w:rPr>
        <w:t xml:space="preserve">1 </w:t>
      </w:r>
      <w:r w:rsidR="004C33B3" w:rsidRPr="003609FB">
        <w:rPr>
          <w:rFonts w:ascii="Times New Roman" w:hAnsi="Times New Roman" w:cs="Times New Roman"/>
          <w:sz w:val="24"/>
          <w:szCs w:val="24"/>
        </w:rPr>
        <w:t>is routinely damaged and replaced during photosynthesis</w:t>
      </w:r>
      <w:r w:rsidR="005F548E">
        <w:rPr>
          <w:rFonts w:ascii="Times New Roman" w:hAnsi="Times New Roman" w:cs="Times New Roman"/>
          <w:sz w:val="24"/>
          <w:szCs w:val="24"/>
        </w:rPr>
        <w:t xml:space="preserve"> due to the high reactivity</w:t>
      </w:r>
      <w:r w:rsidR="00DB7567">
        <w:rPr>
          <w:rFonts w:ascii="Times New Roman" w:hAnsi="Times New Roman" w:cs="Times New Roman"/>
          <w:sz w:val="24"/>
          <w:szCs w:val="24"/>
        </w:rPr>
        <w:t xml:space="preserve"> </w:t>
      </w:r>
      <w:r w:rsidR="005F548E">
        <w:rPr>
          <w:rFonts w:ascii="Times New Roman" w:hAnsi="Times New Roman" w:cs="Times New Roman"/>
          <w:sz w:val="24"/>
          <w:szCs w:val="24"/>
        </w:rPr>
        <w:t>of this process</w:t>
      </w:r>
      <w:r w:rsidR="00502909" w:rsidRPr="003609FB">
        <w:rPr>
          <w:rFonts w:ascii="Times New Roman" w:hAnsi="Times New Roman" w:cs="Times New Roman"/>
          <w:sz w:val="24"/>
          <w:szCs w:val="24"/>
        </w:rPr>
        <w:t xml:space="preserve"> </w:t>
      </w:r>
      <w:r w:rsidR="00502909"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{"citationID":"ETTH8TKl","properties":{"formattedCitation":"(Maxwell et al. 1994; Soitamo, Havurinne, and Tyystj\\uc0\\u228{}rvi 2017; Takahashi and Badger 2011)","plainCitation":"(Maxwell et al. 1994; Soitamo, Havurinne, and Tyystjärvi 2017; Takahashi and Badger 2011)","noteIndex":0},"citationItems":[{"id":2146,"uris":["http://zotero.org/users/6128296/items/67C2Z26K"],"itemData":{"id":2146,"type":"article-journal","abstract":"Structural and functional alterations to the photosynthetic apparatus after growth at low temperature (5°C) were investigated in thegreen alga Chlorella vulgaris Beijer. Cells grown at 5’C had a 2-fold higher ratio of chlorophyll a/b, 5-fold lower chlorophyll content, and an increased xanthophyll content compared to cells grown at 27°C even though growth irradiance was kept constant at 150 pmol m-’s-l. Concomitant with the increase in the chlorophyll a/b ratio was a lower abundanceof light-harvesting polypeptides in 5’C-grown cells as observed by sodium dodecyl sulfatepolyacrylamide gel electrophoresis and confirmed by western blotting. The differences in pigment compositionwere found to be alleviated within 12 h of transferring 5°C-grown cells to 27’C. Furthermore, exposure of 5°C-grown cells to a 30-fold lower growth irradiance (5 pmol m-’s-’) resulted in pigment contentand composition similar to that in cells grown at 27°C and 150 pmol temperature effects on COz-saturated Oz evolution, 5’C-grown cells exhibited light-saturated rates of O2evolution that were 2.8and 3.9-fold higher than 27’C-grown cells measured at 27°C and 5’C, respectively. Steady-state chlorophylla fluorescenceindicated that the yield of photosystem 11 electron transport of 5°C-grown cells was less temperature sensitivethan that of 27°C-growncells. This appears to be dueto an increasedcapacityto keep the primary, stable quinone electron acceptor of photosystem li (OA)oxidized at low temperature in 5°C- compared with 27°C-grown cells regardless of irradiance. We conclude that Chlorella acclimated to low temperature adjusts its photosynthetic apparatus in response to the excitationpressure on photosystem11 and not to theabsolute externa1 irradiance. We suggest that the redox state of Q,, may act as a signal for this photosynthetic acclimation to low temperature in Chlorella.","language":"en","page":"9","source":"Zotero","title":"Growth at Low Temperature Mimics High-Light Acclimation in Chlorella vulgaris’","volume":"105","author":[{"family":"Maxwell","given":""},{"family":"Falk","given":""},{"family":"Huner","given":"Norman P A"},{"family":"Huner","given":"Norman P A"}],"issued":{"date-parts":[["1994"]]}}},{"id":1949,"uris":["http://zotero.org/users/6128296/items/FLH3D6EM"],"itemData":{"id":1949,"type":"article-journal","abstract":"Marine Synechococcus and Prochlorococcus cyanobacteria have different antenna compositions although they are genetically near to each other, and different strains thrive in very different illumination conditions. We measured growth and photoinhibition of PSII in two low-light and one high-light Prochlorococcus strains and in one Synechococcus strain. All strains were found to be able to shortly utilize moderate or even high light, but the low-light strains bleached rapidly in moderate light. Measurements of photoinhibition in the presence of the antibiotic lincomycin showed that a low-light Prochlorococcus strain was more sensitive than a high-light strain and both were more sensitive than the marine Synechococcus. The action spectrum of photoinhibition showed an increase from blue to ultraviolet wavelengths in all strains, suggesting contribution of manganese absorption to photoinhibition, but blue light caused less photoinhibition in marine cyanobacteria than expected on the basis of earlier results from plants and cyanobacteria. The visible-light part of the action spectrum resembled the absorption spectrum of the organism, suggesting that photosynthetic antenna pigments, especially divinyl chlorophylls, have a more important role as photoreceptors of visible-light photoinhibition in marine cyanobacteria than in other photoautotrophs.","container-title":"Physiologia Plantarum","DOI":"10.1111/ppl.12571","ISSN":"00319317","issue":"1","journalAbbreviation":"Physiol Plantarum","language":"en","page":"97-108","source":"DOI.org (Crossref)","title":"Photoinhibition in marine picocyanobacteria","volume":"161","author":[{"family":"Soitamo","given":""},{"family":"Havurinne","given":"Vesa"},{"family":"Tyystjärvi","given":"Esa"}],"issued":{"date-parts":[["2017",9]]}}},{"id":2059,"uris":["http://zotero.org/users/6128296/items/52ZL47AG"],"itemData":{"id":2059,"type":"article-journal","abstract":"Sunlight damages photosynthetic machinery, primarily photosystem II (PSII), and causes photoinhibition that can limit plant photosynthetic activity, growth and productivity. The extent of photoinhibition is associated with a balance between the rate of photodamage and its repair. Recent studies have shown that light absorption by the manganese cluster in the oxygen-evolving complex of PSII causes primary photodamage, whereas excess light absorbed by light-harvesting complexes acts to cause inhibition of the PSII repair process chiefly through the generation of reactive oxygen species. As we review here, PSII photodamage and the inhibition of repair are therefore alleviated by photoprotection mechanisms associated with avoiding light absorption by the manganese cluster and successfully consuming or dissipating the light energy absorbed by photosynthetic pigments, respectively.","container-title":"Trends in Plant Science","DOI":"10.1016/j.tplants.2010.10.001","ISSN":"1360-1385","issue":"1","journalAbbreviation":"Trends in Plant Science","language":"en","page":"53-60","source":"ScienceDirect","title":"Photoprotection in plants: a new light on photosystem II damage","title-short":"Photoprotection in plants","volume":"16","author":[{"family":"Takahashi","given":""},{"family":"Badger","given":"Murray R."}],"issued":{"date-parts":[["2011",1,1]]}}}],"schema":"https://github.com/citation-style-language/schema/raw/master/csl-citation.json"} </w:instrText>
      </w:r>
      <w:r w:rsidR="00502909" w:rsidRPr="003609FB">
        <w:rPr>
          <w:rFonts w:ascii="Times New Roman" w:hAnsi="Times New Roman" w:cs="Times New Roman"/>
          <w:sz w:val="24"/>
          <w:szCs w:val="24"/>
        </w:rPr>
        <w:fldChar w:fldCharType="separate"/>
      </w:r>
      <w:r w:rsidR="009D7443" w:rsidRPr="009D7443">
        <w:rPr>
          <w:rFonts w:ascii="Times New Roman" w:hAnsi="Times New Roman" w:cs="Times New Roman"/>
          <w:sz w:val="24"/>
        </w:rPr>
        <w:t xml:space="preserve">(Maxwell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xml:space="preserve">. 1994; </w:t>
      </w:r>
      <w:proofErr w:type="spellStart"/>
      <w:r w:rsidR="009D7443" w:rsidRPr="009D7443">
        <w:rPr>
          <w:rFonts w:ascii="Times New Roman" w:hAnsi="Times New Roman" w:cs="Times New Roman"/>
          <w:sz w:val="24"/>
        </w:rPr>
        <w:t>Soitamo</w:t>
      </w:r>
      <w:proofErr w:type="spellEnd"/>
      <w:r w:rsidR="009D7443" w:rsidRPr="009D7443">
        <w:rPr>
          <w:rFonts w:ascii="Times New Roman" w:hAnsi="Times New Roman" w:cs="Times New Roman"/>
          <w:sz w:val="24"/>
        </w:rPr>
        <w:t xml:space="preserve">, </w:t>
      </w:r>
      <w:proofErr w:type="spellStart"/>
      <w:r w:rsidR="009D7443" w:rsidRPr="009D7443">
        <w:rPr>
          <w:rFonts w:ascii="Times New Roman" w:hAnsi="Times New Roman" w:cs="Times New Roman"/>
          <w:sz w:val="24"/>
        </w:rPr>
        <w:t>Havurinne</w:t>
      </w:r>
      <w:proofErr w:type="spellEnd"/>
      <w:r w:rsidR="009D7443" w:rsidRPr="009D7443">
        <w:rPr>
          <w:rFonts w:ascii="Times New Roman" w:hAnsi="Times New Roman" w:cs="Times New Roman"/>
          <w:sz w:val="24"/>
        </w:rPr>
        <w:t xml:space="preserve">, and </w:t>
      </w:r>
      <w:proofErr w:type="spellStart"/>
      <w:r w:rsidR="009D7443" w:rsidRPr="009D7443">
        <w:rPr>
          <w:rFonts w:ascii="Times New Roman" w:hAnsi="Times New Roman" w:cs="Times New Roman"/>
          <w:sz w:val="24"/>
        </w:rPr>
        <w:t>Tyystjärvi</w:t>
      </w:r>
      <w:proofErr w:type="spellEnd"/>
      <w:r w:rsidR="009D7443" w:rsidRPr="009D7443">
        <w:rPr>
          <w:rFonts w:ascii="Times New Roman" w:hAnsi="Times New Roman" w:cs="Times New Roman"/>
          <w:sz w:val="24"/>
        </w:rPr>
        <w:t xml:space="preserve"> 2017; Takahashi and Badger 2011)</w:t>
      </w:r>
      <w:r w:rsidR="00502909"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inhibits photosynthesis and the regeneration of D1 in PSII by blocking the synthesis of new D1 subunits </w:t>
      </w:r>
      <w:r w:rsidR="00502909"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{"citationID":"pkKVOYI3","properties":{"formattedCitation":"(Nishiyama, Allakhverdiev, and Murata 2006; Takahashi and Badger 2011)","plainCitation":"(Nishiyama, Allakhverdiev, and Murata 2006; Takahashi and Badger 2011)","noteIndex":0},"citationItems":[{"id":1915,"uris":["http://zotero.org/users/6128296/items/Y4G6MPMZ"],"itemData":{"id":1915,"type":"article-journal","abstract":"Inhibition of the activity of photosystem II (PSII) under strong light is referred to as photoinhibition. This phenomenon is due to the imbalance between the rate of photodamage to PSII and the rate of the repair of damaged PSII. Photodamage is initiated by the direct effects of light on the oxygen-evolving complex and, thus, photodamage to PSII is unavoidable. Studies of the effects of oxidative stress on photodamage and subsequent repair have revealed that reactive oxygen species (ROS) act primarily by inhibiting the repair of photodamaged PSII and not by damaging PSII directly. Thus, strong light has two distinct effects on PSII; it damages PSII directly and it inhibits the repair of PSII via production of ROS. Investigations of the ROS-induced inhibition of repair have demonstrated that ROS suppress the synthesis de novo of proteins and, in particular, of the D1 protein, that are required for the repair of PSII. Moreover, a primary target for inhibition by ROS appears to be the elongation step of translation. Inhibition of the repair of PSII by ROS is accelerated by the deceleration of the Calvin cycle that occurs when the availability of CO2 is limited. In this review, we present a new paradigm for the action of ROS in photoinhibition.","container-title":"Biochimica et Biophysica Acta (BBA) - Bioenergetics","DOI":"10.1016/j.bbabio.2006.05.013","ISSN":"00052728","issue":"7","journalAbbreviation":"Biochimica et Biophysica Acta (BBA) - Bioenergetics","language":"en","page":"742-749","source":"DOI.org (Crossref)","title":"A new paradigm for the action of reactive oxygen species in the photoinhibition of photosystem II","volume":"1757","author":[{"family":"Nishiyama","given":""},{"family":"Allakhverdiev","given":"Suleyman I."},{"family":"Murata","given":"Norio"}],"issued":{"date-parts":[["2006",7]]}}},{"id":2059,"uris":["http://zotero.org/users/6128296/items/52ZL47AG"],"itemData":{"id":2059,"type":"article-journal","abstract":"Sunlight damages photosynthetic machinery, primarily photosystem II (PSII), and causes photoinhibition that can limit plant photosynthetic activity, growth and productivity. The extent of photoinhibition is associated with a balance between the rate of photodamage and its repair. Recent studies have shown that light absorption by the manganese cluster in the oxygen-evolving complex of PSII causes primary photodamage, whereas excess light absorbed by light-harvesting complexes acts to cause inhibition of the PSII repair process chiefly through the generation of reactive oxygen species. As we review here, PSII photodamage and the inhibition of repair are therefore alleviated by photoprotection mechanisms associated with avoiding light absorption by the manganese cluster and successfully consuming or dissipating the light energy absorbed by photosynthetic pigments, respectively.","container-title":"Trends in Plant Science","DOI":"10.1016/j.tplants.2010.10.001","ISSN":"1360-1385","issue":"1","journalAbbreviation":"Trends in Plant Science","language":"en","page":"53-60","source":"ScienceDirect","title":"Photoprotection in plants: a new light on photosystem II damage","title-short":"Photoprotection in plants","volume":"16","author":[{"family":"Takahashi","given":""},{"family":"Badger","given":"Murray R."}],"issued":{"date-parts":[["2011",1,1]]}}}],"schema":"https://github.com/citation-style-language/schema/raw/master/csl-citation.json"} </w:instrText>
      </w:r>
      <w:r w:rsidR="00502909"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(Nishiyama, </w:t>
      </w:r>
      <w:proofErr w:type="spellStart"/>
      <w:r w:rsidR="006C2922">
        <w:rPr>
          <w:rFonts w:ascii="Times New Roman" w:hAnsi="Times New Roman" w:cs="Times New Roman"/>
          <w:sz w:val="24"/>
          <w:szCs w:val="24"/>
        </w:rPr>
        <w:t>Allakhverdiev</w:t>
      </w:r>
      <w:proofErr w:type="spellEnd"/>
      <w:r w:rsidR="006C2922">
        <w:rPr>
          <w:rFonts w:ascii="Times New Roman" w:hAnsi="Times New Roman" w:cs="Times New Roman"/>
          <w:sz w:val="24"/>
          <w:szCs w:val="24"/>
        </w:rPr>
        <w:t>, and Murata 2006; Takahashi and Badger 2011)</w:t>
      </w:r>
      <w:r w:rsidR="00502909"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In this </w:t>
      </w:r>
      <w:r w:rsidR="00475152">
        <w:rPr>
          <w:rFonts w:ascii="Times New Roman" w:hAnsi="Times New Roman" w:cs="Times New Roman"/>
          <w:sz w:val="24"/>
          <w:szCs w:val="24"/>
        </w:rPr>
        <w:t xml:space="preserve">direct </w:t>
      </w:r>
      <w:r w:rsidR="004C33B3" w:rsidRPr="003609FB">
        <w:rPr>
          <w:rFonts w:ascii="Times New Roman" w:hAnsi="Times New Roman" w:cs="Times New Roman"/>
          <w:sz w:val="24"/>
          <w:szCs w:val="24"/>
        </w:rPr>
        <w:t xml:space="preserve">way,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can lead </w:t>
      </w:r>
      <w:r w:rsidR="004C33B3" w:rsidRPr="003609FB">
        <w:rPr>
          <w:rFonts w:ascii="Times New Roman" w:hAnsi="Times New Roman" w:cs="Times New Roman"/>
          <w:sz w:val="24"/>
          <w:szCs w:val="24"/>
        </w:rPr>
        <w:lastRenderedPageBreak/>
        <w:t xml:space="preserve">to decreased photosynthetic efficiency and photoinhibition in photosynthetic organisms like </w:t>
      </w:r>
      <w:r w:rsidR="00691B65" w:rsidRPr="00691B65">
        <w:rPr>
          <w:rFonts w:ascii="Times New Roman" w:hAnsi="Times New Roman" w:cs="Times New Roman"/>
          <w:i/>
          <w:iCs/>
          <w:sz w:val="24"/>
          <w:szCs w:val="24"/>
        </w:rPr>
        <w:t>Prochlorococcus</w:t>
      </w:r>
      <w:r w:rsidR="004C33B3"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004C33B3" w:rsidRPr="003609FB">
        <w:rPr>
          <w:rFonts w:ascii="Times New Roman" w:hAnsi="Times New Roman" w:cs="Times New Roman"/>
          <w:sz w:val="24"/>
          <w:szCs w:val="24"/>
        </w:rPr>
        <w:t>.</w:t>
      </w:r>
    </w:p>
    <w:p w14:paraId="697437D6" w14:textId="629008FD" w:rsidR="00A66485" w:rsidRDefault="007E666D" w:rsidP="00AB2160">
      <w:pPr>
        <w:pStyle w:val="Heading3"/>
        <w:spacing w:line="360" w:lineRule="auto"/>
        <w:rPr>
          <w:vertAlign w:val="subscript"/>
        </w:rPr>
      </w:pPr>
      <w:bookmarkStart w:id="5" w:name="_Toc173250010"/>
      <w:r w:rsidRPr="003609FB">
        <w:t xml:space="preserve">Strategies to </w:t>
      </w:r>
      <w:r w:rsidR="00986683">
        <w:t>m</w:t>
      </w:r>
      <w:r w:rsidRPr="003609FB">
        <w:t xml:space="preserve">itigate </w:t>
      </w:r>
      <w:r w:rsidR="00F52F1E" w:rsidRPr="003609FB">
        <w:t>H</w:t>
      </w:r>
      <w:r w:rsidR="00F52F1E" w:rsidRPr="00351FC4">
        <w:rPr>
          <w:vertAlign w:val="subscript"/>
        </w:rPr>
        <w:t>2</w:t>
      </w:r>
      <w:r w:rsidR="00F52F1E" w:rsidRPr="003609FB">
        <w:t>O</w:t>
      </w:r>
      <w:r w:rsidR="00F52F1E" w:rsidRPr="00351FC4">
        <w:rPr>
          <w:vertAlign w:val="subscript"/>
        </w:rPr>
        <w:t>2</w:t>
      </w:r>
      <w:bookmarkEnd w:id="5"/>
    </w:p>
    <w:p w14:paraId="202EE79C" w14:textId="77777777" w:rsidR="00351FC4" w:rsidRPr="00351FC4" w:rsidRDefault="00351FC4" w:rsidP="00AB2160">
      <w:pPr>
        <w:spacing w:line="360" w:lineRule="auto"/>
      </w:pPr>
    </w:p>
    <w:p w14:paraId="056C1690" w14:textId="3D9F3F7D" w:rsidR="004C33B3" w:rsidRPr="003609FB" w:rsidRDefault="00F52F1E"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is diffusible through the cell membrane and aquaporin channels </w:t>
      </w:r>
      <w:r w:rsidR="00191203"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{"citationID":"pazxkucF","properties":{"formattedCitation":"(Bienert et al. 2007)","plainCitation":"(Bienert et al. 2007)","noteIndex":0},"citationItems":[{"id":4124,"uris":["http://zotero.org/users/6128296/items/XRK6BV7C"],"itemData":{"id":4124,"type":"article-journal","abstract":"The metabolism of aerobic organisms continuously produces reactive oxygen species. Although potentially toxic, these compounds also function in signaling. One important feature of signaling compounds is their ability to move between different compartments, e.g. to cross membranes. Here we present evidence that aquaporins can channel hydrogen peroxide (H2O2). Twenty-four aquaporins from plants and mammals were screened in five yeast strains differing in sensitivity toward oxidative stress. Expression of human AQP8 and plant Arabidopsis TIP1;1 and TIP1;2 in yeast decreased growth and survival in the presence of H2O2. Further evidence for aquaporin-mediated H2O2 diffusion was obtained by a fluorescence assay with intact yeast cells using an intracellular reactive oxygen species-sensitive fluorescent dye. Application of silver ions (Ag ), which block aquaporin-mediated water diffusion in a fast kinetics swelling assay, also reversed both the aquaporindependent growth repression and the H2O2-induced fluorescence. Our results present the first molecular genetic evidence for the diffusion of H2O2 through specific members of the aquaporin family.","container-title":"Journal of Biological Chemistry","DOI":"10.1074/jbc.M603761200","ISSN":"00219258","issue":"2","journalAbbreviation":"Journal of Biological Chemistry","language":"en","page":"1183-1192","source":"DOI.org (Crossref)","title":"Specific Aquaporins Facilitate the Diffusion of Hydrogen Peroxide across Membranes","volume":"282","author":[{"family":"Bienert","given":""},{"family":"Møller","given":"Anders L.B."},{"family":"Kristiansen","given":"Kim A."},{"family":"Schulz","given":"Alexander"},{"family":"Møller","given":"Ian M."},{"family":"Schjoerring","given":"Jan K."},{"family":"Jahn","given":"Thomas P."}],"issued":{"date-parts":[["2007",1]]}}}],"schema":"https://github.com/citation-style-language/schema/raw/master/csl-citation.json"} </w:instrText>
      </w:r>
      <w:r w:rsidR="0019120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(Bienert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2007)</w:t>
      </w:r>
      <w:r w:rsidR="00191203"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so cells must get rid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they create through cellular respiration and photosynthesis</w:t>
      </w:r>
      <w:r w:rsidR="006D6A7A" w:rsidRPr="003609FB">
        <w:rPr>
          <w:rFonts w:ascii="Times New Roman" w:hAnsi="Times New Roman" w:cs="Times New Roman"/>
          <w:sz w:val="24"/>
          <w:szCs w:val="24"/>
        </w:rPr>
        <w:t xml:space="preserve"> </w:t>
      </w:r>
      <w:r w:rsidR="006D6A7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{"citationID":"dm0k8Dwp","properties":{"formattedCitation":"(Curtin, Donovan, and Cotter 2002; Nishiyama, Allakhverdiev, and Murata 2006; Ziegelhoffer and Donohue 2009; Zinser 2018b)","plainCitation":"(Curtin, Donovan, and Cotter 2002; Nishiyama, Allakhverdiev, and Murata 2006; Ziegelhoffer and Donohue 2009; Zinser 2018b)","noteIndex":0},"citationItems":[{"id":1486,"uris":["http://zotero.org/users/6128296/items/EDZ5CN76"],"itemData":{"id":1486,"type":"article-journal","abstract":"Cells are constantly generating reactive oxygen species (ROS) during aerobic metabolism. As a consequence, each cell is equipped with an extensive antioxidant defence system to combat excessive production of ROS. Oxidative stress occurs in cells when the generation of ROS overwhelms the cell’s natural antioxidant defences. There is a growing consensus that oxidative stress and the redox state of a cell plays a pivotal role in regulating apoptosis, a tightly controlled form of cell death in which a cell partakes in its own demise. More recently, a role for reactive nitrogen species (RNI) as both positive and negative regulators of cell death has been established. This review describes the major sources of ROS and RNI in a cell, the control of cell death by these species and the role of antioxidants as regulators of oxidative stress and apoptosis. Finally, the various methods that can be employed in establishing a role for both ROS and RNI in apoptosis will be discussed with particular emphasis on their intracellular detection. D 2002 Published by Elsevier Science B.V.","container-title":"Journal of Immunological Methods","DOI":"10.1016/S0022-1759(02)00070-4","ISSN":"00221759","issue":"1-2","journalAbbreviation":"Journal of Immunological Methods","language":"en","page":"49-72","source":"DOI.org (Crossref)","title":"Regulation and measurement of oxidative stress in apoptosis","volume":"265","author":[{"family":"Curtin","given":""},{"family":"Donovan","given":"Maryanne"},{"family":"Cotter","given":"Thomas G"}],"issued":{"date-parts":[["2002",7]]}}},{"id":1915,"uris":["http://zotero.org/users/6128296/items/Y4G6MPMZ"],"itemData":{"id":1915,"type":"article-journal","abstract":"Inhibition of the activity of photosystem II (PSII) under strong light is referred to as photoinhibition. This phenomenon is due to the imbalance between the rate of photodamage to PSII and the rate of the repair of damaged PSII. Photodamage is initiated by the direct effects of light on the oxygen-evolving complex and, thus, photodamage to PSII is unavoidable. Studies of the effects of oxidative stress on photodamage and subsequent repair have revealed that reactive oxygen species (ROS) act primarily by inhibiting the repair of photodamaged PSII and not by damaging PSII directly. Thus, strong light has two distinct effects on PSII; it damages PSII directly and it inhibits the repair of PSII via production of ROS. Investigations of the ROS-induced inhibition of repair have demonstrated that ROS suppress the synthesis de novo of proteins and, in particular, of the D1 protein, that are required for the repair of PSII. Moreover, a primary target for inhibition by ROS appears to be the elongation step of translation. Inhibition of the repair of PSII by ROS is accelerated by the deceleration of the Calvin cycle that occurs when the availability of CO2 is limited. In this review, we present a new paradigm for the action of ROS in photoinhibition.","container-title":"Biochimica et Biophysica Acta (BBA) - Bioenergetics","DOI":"10.1016/j.bbabio.2006.05.013","ISSN":"00052728","issue":"7","journalAbbreviation":"Biochimica et Biophysica Acta (BBA) - Bioenergetics","language":"en","page":"742-749","source":"DOI.org (Crossref)","title":"A new paradigm for the action of reactive oxygen species in the photoinhibition of photosystem II","volume":"1757","author":[{"family":"Nishiyama","given":""},{"family":"Allakhverdiev","given":"Suleyman I."},{"family":"Murata","given":"Norio"}],"issued":{"date-parts":[["2006",7]]}}},{"id":238,"uris":["http://zotero.org/users/6128296/items/6GY5UJKH"],"itemData":{"id":238,"type":"article-journal","abstract":"Singlet oxygen is one of several reactive oxygen species that can destroy biomolecules, microorganisms and other cells. Traditionally, the response to singlet oxygen has been termed photo-oxidative stress, as light-dependent processes in photosynthetic cells are major biological sources of singlet oxygen. Recent work identifying a core set of singlet oxygen stress response genes across various bacterial species highlights the importance of this response for survival by both photosynthetic and non-photosynthetic cells. Here, we review how bacterial cells mount a transcriptional response to photo-oxidative stress in the context of what is known about bacterial stress responses to other reactive oxygen species.","container-title":"Nature Reviews Microbiology","DOI":"10.1038/nrmicro2237","ISSN":"1740-1526, 1740-1534","issue":"12","journalAbbreviation":"Nat Rev Microbiol","language":"en","page":"856-863","source":"DOI.org (Crossref)","title":"Bacterial responses to photo-oxidative stress","volume":"7","author":[{"family":"Ziegelhoffer","given":""},{"family":"Donohue","given":"Timothy J."}],"issued":{"date-parts":[["2009",12]]}}},{"id":132,"uris":["http://zotero.org/users/6128296/items/KAMBLWML"],"itemData":{"id":132,"type":"article-journal","abstract":"This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ecosystems","volume":"10","author":[{"family":"Zinser","given":""}],"issued":{"date-parts":[["2018",8]]}}}],"schema":"https://github.com/citation-style-language/schema/raw/master/csl-citation.json"} </w:instrText>
      </w:r>
      <w:r w:rsidR="006D6A7A"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(Curtin, Donovan, and Cotter 2002; Nishiyama, </w:t>
      </w:r>
      <w:proofErr w:type="spellStart"/>
      <w:r w:rsidR="00BF4898">
        <w:rPr>
          <w:rFonts w:ascii="Times New Roman" w:hAnsi="Times New Roman" w:cs="Times New Roman"/>
          <w:sz w:val="24"/>
          <w:szCs w:val="24"/>
        </w:rPr>
        <w:t>Allakhverdiev</w:t>
      </w:r>
      <w:proofErr w:type="spellEnd"/>
      <w:r w:rsidR="00BF4898">
        <w:rPr>
          <w:rFonts w:ascii="Times New Roman" w:hAnsi="Times New Roman" w:cs="Times New Roman"/>
          <w:sz w:val="24"/>
          <w:szCs w:val="24"/>
        </w:rPr>
        <w:t>, and Murata 2006; Ziegelhoffer and Donohue 2009; Zinser 2018b)</w:t>
      </w:r>
      <w:r w:rsidR="006D6A7A"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as well as environmentally sourced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w:t>
      </w:r>
      <w:r w:rsidR="00801534" w:rsidRPr="003609FB">
        <w:rPr>
          <w:rFonts w:ascii="Times New Roman" w:hAnsi="Times New Roman" w:cs="Times New Roman"/>
          <w:sz w:val="24"/>
          <w:szCs w:val="24"/>
        </w:rPr>
        <w:t>Many phytoplankton possess enzymes to detoxify H</w:t>
      </w:r>
      <w:r w:rsidR="00801534" w:rsidRPr="00351FC4">
        <w:rPr>
          <w:rFonts w:ascii="Times New Roman" w:hAnsi="Times New Roman" w:cs="Times New Roman"/>
          <w:sz w:val="24"/>
          <w:szCs w:val="24"/>
          <w:vertAlign w:val="subscript"/>
        </w:rPr>
        <w:t>2</w:t>
      </w:r>
      <w:r w:rsidR="00801534" w:rsidRPr="003609FB">
        <w:rPr>
          <w:rFonts w:ascii="Times New Roman" w:hAnsi="Times New Roman" w:cs="Times New Roman"/>
          <w:sz w:val="24"/>
          <w:szCs w:val="24"/>
        </w:rPr>
        <w:t>O</w:t>
      </w:r>
      <w:r w:rsidR="00801534" w:rsidRPr="00351FC4">
        <w:rPr>
          <w:rFonts w:ascii="Times New Roman" w:hAnsi="Times New Roman" w:cs="Times New Roman"/>
          <w:sz w:val="24"/>
          <w:szCs w:val="24"/>
          <w:vertAlign w:val="subscript"/>
        </w:rPr>
        <w:t>2</w:t>
      </w:r>
      <w:r w:rsidR="00801534" w:rsidRPr="003609FB">
        <w:rPr>
          <w:rFonts w:ascii="Times New Roman" w:hAnsi="Times New Roman" w:cs="Times New Roman"/>
          <w:sz w:val="24"/>
          <w:szCs w:val="24"/>
        </w:rPr>
        <w:t xml:space="preserve"> </w:t>
      </w:r>
      <w:r w:rsidR="00801534">
        <w:rPr>
          <w:rFonts w:ascii="Times New Roman" w:hAnsi="Times New Roman" w:cs="Times New Roman"/>
          <w:sz w:val="24"/>
          <w:szCs w:val="24"/>
        </w:rPr>
        <w:t>as</w:t>
      </w:r>
      <w:r w:rsidR="00801534" w:rsidRPr="003609FB">
        <w:rPr>
          <w:rFonts w:ascii="Times New Roman" w:hAnsi="Times New Roman" w:cs="Times New Roman"/>
          <w:sz w:val="24"/>
          <w:szCs w:val="24"/>
        </w:rPr>
        <w:t xml:space="preserve"> enzymatic decomposition of H</w:t>
      </w:r>
      <w:r w:rsidR="00801534" w:rsidRPr="00351FC4">
        <w:rPr>
          <w:rFonts w:ascii="Times New Roman" w:hAnsi="Times New Roman" w:cs="Times New Roman"/>
          <w:sz w:val="24"/>
          <w:szCs w:val="24"/>
          <w:vertAlign w:val="subscript"/>
        </w:rPr>
        <w:t>2</w:t>
      </w:r>
      <w:r w:rsidR="00801534" w:rsidRPr="003609FB">
        <w:rPr>
          <w:rFonts w:ascii="Times New Roman" w:hAnsi="Times New Roman" w:cs="Times New Roman"/>
          <w:sz w:val="24"/>
          <w:szCs w:val="24"/>
        </w:rPr>
        <w:t>O</w:t>
      </w:r>
      <w:r w:rsidR="00801534" w:rsidRPr="00351FC4">
        <w:rPr>
          <w:rFonts w:ascii="Times New Roman" w:hAnsi="Times New Roman" w:cs="Times New Roman"/>
          <w:sz w:val="24"/>
          <w:szCs w:val="24"/>
          <w:vertAlign w:val="subscript"/>
        </w:rPr>
        <w:t>2</w:t>
      </w:r>
      <w:r w:rsidR="00801534" w:rsidRPr="003609FB">
        <w:rPr>
          <w:rFonts w:ascii="Times New Roman" w:hAnsi="Times New Roman" w:cs="Times New Roman"/>
          <w:sz w:val="24"/>
          <w:szCs w:val="24"/>
        </w:rPr>
        <w:t xml:space="preserve"> is much faster </w:t>
      </w:r>
      <w:r w:rsidR="00801534" w:rsidRPr="003609FB">
        <w:rPr>
          <w:rFonts w:ascii="Times New Roman" w:hAnsi="Times New Roman" w:cs="Times New Roman"/>
          <w:sz w:val="24"/>
          <w:szCs w:val="24"/>
        </w:rPr>
        <w:fldChar w:fldCharType="begin"/>
      </w:r>
      <w:r w:rsidR="00801534">
        <w:rPr>
          <w:rFonts w:ascii="Times New Roman" w:hAnsi="Times New Roman" w:cs="Times New Roman"/>
          <w:sz w:val="24"/>
          <w:szCs w:val="24"/>
        </w:rPr>
        <w:instrText xml:space="preserve"> ADDIN ZOTERO_ITEM CSL_CITATION {"citationID":"RNErdFYq","properties":{"formattedCitation":"(Alfonso-Prieto et al. 2009; Zinser 2018a)","plainCitation":"(Alfonso-Prieto et al. 2009; Zinser 2018a)","noteIndex":0},"citationItems":[{"id":4101,"uris":["http://zotero.org/users/6128296/items/B3P3UGED"],"itemData":{"id":4101,"type":"article-journal","abstract":"Catalases are ubiquitous enzymes that prevent cell oxidative damage by degrading hydrogen peroxide to water and oxygen (2H2O2 f 2 H2O + O2) with high efﬁciency. The enzyme is ﬁrst oxidized to a high-valent iron intermediate, known as Compound I (Cpd I) which, in contrast to other hydroperoxidases, is reduced back to the resting state by further reacting with H2O2. By means of hybrid QM/MM Car-Parrinello metadynamics simulations, we have investigated the mechanism of the reduction of Compound I by H2O2 in Helicobacter pylori catalase (HPC) and Penicillium vitale catalase (PVC). We found that the Cpd I-H2O2 complex evolves to a Cpd II-like species through the transfer of a hydrogen atom from the peroxide to the oxoferryl unit. To complete the reaction, two mechanisms may be operative: a His-mediated (Fita-Rossmann) mechanism, which involves the distal His as an acid-base catalyst mediating the transfer of a proton (associated with an electron transfer), and a direct mechanism, in which a hydrogen atom transfer occurs. Independently of the mechanism, the reaction proceeds by two one-electron transfers rather than one two-electron transfer, as has long been the lore. The calculations provide a detailed view of the atomic and electronic reorganizations during the reaction, and highlight the key role of the distal residues to assist the reaction. Additional calculations on the in silico HPC His56Gly mutant and gas-phase models provide clues to understand the requirements for the reaction to proceed with low barriers.","container-title":"Journal of the American Chemical Society","DOI":"10.1021/ja9018572","ISSN":"0002-7863, 1520-5126","issue":"33","journalAbbreviation":"J. Am. Chem. Soc.","language":"en","page":"11751-11761","source":"DOI.org (Crossref)","title":"The Molecular Mechanism of the Catalase Reaction","volume":"131","author":[{"family":"Alfonso-Prieto","given":""},{"family":"Biarnés","given":"Xevi"},{"family":"Vidossich","given":"Pietro"},{"family":"Rovira","given":"Carme"}],"issued":{"date-parts":[["2009",8,26]]}}},{"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00801534" w:rsidRPr="003609FB">
        <w:rPr>
          <w:rFonts w:ascii="Times New Roman" w:hAnsi="Times New Roman" w:cs="Times New Roman"/>
          <w:sz w:val="24"/>
          <w:szCs w:val="24"/>
        </w:rPr>
        <w:fldChar w:fldCharType="separate"/>
      </w:r>
      <w:r w:rsidR="00801534">
        <w:rPr>
          <w:rFonts w:ascii="Times New Roman" w:hAnsi="Times New Roman" w:cs="Times New Roman"/>
          <w:sz w:val="24"/>
          <w:szCs w:val="24"/>
        </w:rPr>
        <w:t xml:space="preserve">(Alfonso-Prieto </w:t>
      </w:r>
      <w:r w:rsidR="00183222" w:rsidRPr="00183222">
        <w:rPr>
          <w:rFonts w:ascii="Times New Roman" w:hAnsi="Times New Roman" w:cs="Times New Roman"/>
          <w:i/>
          <w:iCs/>
          <w:sz w:val="24"/>
          <w:szCs w:val="24"/>
        </w:rPr>
        <w:t>et al</w:t>
      </w:r>
      <w:r w:rsidR="00801534">
        <w:rPr>
          <w:rFonts w:ascii="Times New Roman" w:hAnsi="Times New Roman" w:cs="Times New Roman"/>
          <w:sz w:val="24"/>
          <w:szCs w:val="24"/>
        </w:rPr>
        <w:t>. 2009; Zinser 2018a)</w:t>
      </w:r>
      <w:r w:rsidR="00801534" w:rsidRPr="003609FB">
        <w:rPr>
          <w:rFonts w:ascii="Times New Roman" w:hAnsi="Times New Roman" w:cs="Times New Roman"/>
          <w:sz w:val="24"/>
          <w:szCs w:val="24"/>
        </w:rPr>
        <w:fldChar w:fldCharType="end"/>
      </w:r>
      <w:r w:rsidR="00801534" w:rsidRPr="003609FB">
        <w:rPr>
          <w:rFonts w:ascii="Times New Roman" w:hAnsi="Times New Roman" w:cs="Times New Roman"/>
          <w:sz w:val="24"/>
          <w:szCs w:val="24"/>
        </w:rPr>
        <w:t xml:space="preserve"> than abiotic processes</w:t>
      </w:r>
      <w:r w:rsidR="00801534">
        <w:rPr>
          <w:rFonts w:ascii="Times New Roman" w:hAnsi="Times New Roman" w:cs="Times New Roman"/>
          <w:sz w:val="24"/>
          <w:szCs w:val="24"/>
        </w:rPr>
        <w:t xml:space="preserve">, but others have lost one or more of the enzymes needed to detoxify ROS fully </w:t>
      </w:r>
      <w:r w:rsidR="00801534">
        <w:rPr>
          <w:rFonts w:ascii="Times New Roman" w:hAnsi="Times New Roman" w:cs="Times New Roman"/>
          <w:sz w:val="24"/>
          <w:szCs w:val="24"/>
        </w:rPr>
        <w:fldChar w:fldCharType="begin"/>
      </w:r>
      <w:r w:rsidR="00801534">
        <w:rPr>
          <w:rFonts w:ascii="Times New Roman" w:hAnsi="Times New Roman" w:cs="Times New Roman"/>
          <w:sz w:val="24"/>
          <w:szCs w:val="24"/>
        </w:rPr>
        <w:instrText xml:space="preserve"> ADDIN ZOTERO_ITEM CSL_CITATION {"citationID":"oJuWijye","properties":{"formattedCitation":"(Bengtsson-Palme et al. 2014; Regelsberger et al. 2002; Bernroitner et al. 2009)","plainCitation":"(Bengtsson-Palme et al. 2014; Regelsberger et al. 2002; Bernroitner et al. 2009)","noteIndex":0},"citationItems":[{"id":3064,"uris":["http://zotero.org/users/6128296/items/649JVMNG"],"itemData":{"id":3064,"type":"article-journal","abstract":"Background: Environmental shotgun sequencing (metagenomics) provides a new way to study communities in microbial ecology. We here use sequence data from the Global Ocean Sampling (GOS) expedition to investigate toxicant selection pressures revealed by the presence of detoxification genes in marine bacteria. To capture a broad range of potential toxicants we selected detoxification protein families representing systems protecting microorganisms from a variety of stressors, such as metals, organic compounds, antibiotics and oxygen radicals.\nResults: Using a bioinformatics procedure based on comparative analysis to finished bacterial genomes we found that the amount of detoxification genes present in marine microorganisms seems surprisingly small. The underrepresentation is particularly evident for toxicant transporters and proteins involved in detoxifying metals. Exceptions are enzymes involved in oxidative stress defense where peroxidase enzymes are more abundant in marine bacteria compared to bacteria in general. In contrast, catalases are almost completely absent from the open ocean environment, suggesting that peroxidases and peroxiredoxins constitute a core line of defense against reactive oxygen species (ROS) in the marine milieu.\nConclusions: We found no indication that detoxification systems would be generally more abundant close to the coast compared to the open ocean. On the contrary, for several of the protein families that displayed a significant geographical distribution, like peroxidase, penicillin binding transpeptidase and divalent ion transport protein, the open ocean samples showed the highest abundance. Along the same lines, the abundance of most detoxification proteins did not increase with estimated pollution. The low level of detoxification systems in marine bacteria indicate that the majority of marine bacteria have a low capacity to adapt to increased pollution. Our study exemplifies the use of metagenomics data in ecotoxicology, and in particular how anthropogenic consequences on life in the sea can be examined.","container-title":"BMC Genomics","DOI":"10.1186/1471-2164-15-749","ISSN":"1471-2164","issue":"1","journalAbbreviation":"BMC Genomics","language":"en","page":"749","source":"DOI.org (Crossref)","title":"Metagenomics reveals that detoxification systems are underrepresented in marine bacterial communities","volume":"15","author":[{"family":"Bengtsson-Palme","given":""},{"family":"Alm Rosenblad","given":"Magnus"},{"family":"Molin","given":"Mikael"},{"family":"Blomberg","given":"Anders"}],"issued":{"date-parts":[["2014"]]}}},{"id":4145,"uris":["http://zotero.org/users/6128296/items/H56Z38NG"],"itemData":{"id":4145,"type":"article-journal","abstract":"Blue-green algae (cyanobacteria) have evolved as the most primitive, oxygenic, plant-type photosynthetic organisms. They were the ﬁrst which produced molecular oxygen as a byproduct of photosynthetic activity. Also today they live in habitats with potentially damaging photooxidative conditions due to high irradiation and oxygen concentrations. Therefore, the cells must have evolved protective mechanisms to cope with reactive oxygen species produced by incomplete reduction of molecular oxygen via electron transport processes to prevent damage of biologically important macromolecules. Hydrogen peroxide and organic peroxides can be removed by enzymes called hydroperoxidases which on the one hand disproportionate it (catalases and catalase-peroxidases) and on the other hand use electron donors to reduce it to water or the corresponding alcohols. Until now the sequenced or partially sequenced genomes of six cyanobacteria are available in databases. Based on similarity searches and multiple sequence alignments, several cyanobacterial hydroperoxidases can be detected. All the cyanobacteria possess peroxiredoxins which use thioredoxin or other reduced thiols to get rid of hydrogen peroxide and lipid peroxides. Nearly all cyanobacteria contain an NADPH-dependent glutathione peroxidase-like protein which uses NADPH to reduce unsaturated fatty acid hydroperoxides. The best analyzed cyanobacterial antioxidative enzyme is the hemoprotein catalase-peroxidase which has a high catalase activity but concerning the sequence it is a typical peroxidase. Two species seem to encode a manganese-containing catalase and Nostoc punctiforme could use a monofunctional catalase. There are as well additional peroxidases encoded in cyanobacteria whose physiological relevance is unknown. © 2002 Éditions scientiﬁques et médicales Elsevier SAS. All rights reserved.","container-title":"Plant Physiology and Biochemistry","DOI":"10.1016/S0981-9428(02)01405-5","ISSN":"09819428","issue":"6-8","journalAbbreviation":"Plant Physiology and Biochemistry","language":"en","page":"479-490","source":"DOI.org (Crossref)","title":"Occurrence and biochemistry of hydroperoxidases in oxygenic phototrophic prokaryotes (cyanobacteria)","volume":"40","author":[{"family":"Regelsberger","given":""},{"family":"Jakopitsch","given":"Christa"},{"family":"Plasser","given":"Lisa"},{"family":"Schwaiger","given":"Hansjörg"},{"family":"Furtmüller","given":"Paul Georg"},{"family":"Peschek","given":"Günter A."},{"family":"Zámocký","given":"Marcel"},{"family":"Obinger","given":"Christian"}],"issued":{"date-parts":[["2002",6]]}}},{"id":1979,"uris":["http://zotero.org/users/6128296/items/UK4V58GU"],"itemData":{"id":1979,"type":"article-journal","abstract":"Cyanobacteria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801534">
        <w:rPr>
          <w:rFonts w:ascii="Times New Roman" w:hAnsi="Times New Roman" w:cs="Times New Roman"/>
          <w:sz w:val="24"/>
          <w:szCs w:val="24"/>
        </w:rPr>
        <w:fldChar w:fldCharType="separate"/>
      </w:r>
      <w:r w:rsidR="00801534">
        <w:rPr>
          <w:rFonts w:ascii="Times New Roman" w:hAnsi="Times New Roman" w:cs="Times New Roman"/>
          <w:noProof/>
          <w:sz w:val="24"/>
          <w:szCs w:val="24"/>
        </w:rPr>
        <w:t xml:space="preserve">(Bengtsson-Palme </w:t>
      </w:r>
      <w:r w:rsidR="00183222" w:rsidRPr="00183222">
        <w:rPr>
          <w:rFonts w:ascii="Times New Roman" w:hAnsi="Times New Roman" w:cs="Times New Roman"/>
          <w:i/>
          <w:iCs/>
          <w:sz w:val="24"/>
          <w:szCs w:val="24"/>
        </w:rPr>
        <w:t>et al</w:t>
      </w:r>
      <w:r w:rsidR="00801534">
        <w:rPr>
          <w:rFonts w:ascii="Times New Roman" w:hAnsi="Times New Roman" w:cs="Times New Roman"/>
          <w:noProof/>
          <w:sz w:val="24"/>
          <w:szCs w:val="24"/>
        </w:rPr>
        <w:t xml:space="preserve">. 2014; Regelsberger </w:t>
      </w:r>
      <w:r w:rsidR="00183222" w:rsidRPr="00183222">
        <w:rPr>
          <w:rFonts w:ascii="Times New Roman" w:hAnsi="Times New Roman" w:cs="Times New Roman"/>
          <w:i/>
          <w:iCs/>
          <w:sz w:val="24"/>
          <w:szCs w:val="24"/>
        </w:rPr>
        <w:t>et al</w:t>
      </w:r>
      <w:r w:rsidR="00801534">
        <w:rPr>
          <w:rFonts w:ascii="Times New Roman" w:hAnsi="Times New Roman" w:cs="Times New Roman"/>
          <w:noProof/>
          <w:sz w:val="24"/>
          <w:szCs w:val="24"/>
        </w:rPr>
        <w:t xml:space="preserve">. 2002; Bernroitner </w:t>
      </w:r>
      <w:r w:rsidR="00183222" w:rsidRPr="00183222">
        <w:rPr>
          <w:rFonts w:ascii="Times New Roman" w:hAnsi="Times New Roman" w:cs="Times New Roman"/>
          <w:i/>
          <w:iCs/>
          <w:sz w:val="24"/>
          <w:szCs w:val="24"/>
        </w:rPr>
        <w:t>et al</w:t>
      </w:r>
      <w:r w:rsidR="00801534">
        <w:rPr>
          <w:rFonts w:ascii="Times New Roman" w:hAnsi="Times New Roman" w:cs="Times New Roman"/>
          <w:noProof/>
          <w:sz w:val="24"/>
          <w:szCs w:val="24"/>
        </w:rPr>
        <w:t>. 2009)</w:t>
      </w:r>
      <w:r w:rsidR="00801534">
        <w:rPr>
          <w:rFonts w:ascii="Times New Roman" w:hAnsi="Times New Roman" w:cs="Times New Roman"/>
          <w:sz w:val="24"/>
          <w:szCs w:val="24"/>
        </w:rPr>
        <w:fldChar w:fldCharType="end"/>
      </w:r>
      <w:r w:rsidR="00801534">
        <w:rPr>
          <w:rFonts w:ascii="Times New Roman" w:hAnsi="Times New Roman" w:cs="Times New Roman"/>
          <w:sz w:val="24"/>
          <w:szCs w:val="24"/>
        </w:rPr>
        <w:t xml:space="preserve">. </w:t>
      </w:r>
      <w:r w:rsidR="00C16C01">
        <w:rPr>
          <w:rFonts w:ascii="Times New Roman" w:hAnsi="Times New Roman" w:cs="Times New Roman"/>
          <w:sz w:val="24"/>
          <w:szCs w:val="24"/>
        </w:rPr>
        <w:t xml:space="preserve">Cellular </w:t>
      </w:r>
      <w:r w:rsidR="004C33B3" w:rsidRPr="003609FB">
        <w:rPr>
          <w:rFonts w:ascii="Times New Roman" w:hAnsi="Times New Roman" w:cs="Times New Roman"/>
          <w:sz w:val="24"/>
          <w:szCs w:val="24"/>
        </w:rPr>
        <w:t xml:space="preserve">detoxification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w:t>
      </w:r>
      <w:r w:rsidR="00C16C01">
        <w:rPr>
          <w:rFonts w:ascii="Times New Roman" w:hAnsi="Times New Roman" w:cs="Times New Roman"/>
          <w:sz w:val="24"/>
          <w:szCs w:val="24"/>
        </w:rPr>
        <w:t>canonically is attributed to</w:t>
      </w:r>
      <w:r w:rsidR="004C33B3" w:rsidRPr="003609FB">
        <w:rPr>
          <w:rFonts w:ascii="Times New Roman" w:hAnsi="Times New Roman" w:cs="Times New Roman"/>
          <w:sz w:val="24"/>
          <w:szCs w:val="24"/>
        </w:rPr>
        <w:t xml:space="preserve"> catalase, and to a lesser extent, peroxidase enzymes</w:t>
      </w:r>
      <w:r w:rsidR="00C16C01">
        <w:rPr>
          <w:rFonts w:ascii="Times New Roman" w:hAnsi="Times New Roman" w:cs="Times New Roman"/>
          <w:sz w:val="24"/>
          <w:szCs w:val="24"/>
        </w:rPr>
        <w:t xml:space="preserve"> </w:t>
      </w:r>
      <w:r w:rsidR="00C16C01">
        <w:rPr>
          <w:rFonts w:ascii="Times New Roman" w:hAnsi="Times New Roman" w:cs="Times New Roman"/>
          <w:sz w:val="24"/>
          <w:szCs w:val="24"/>
        </w:rPr>
        <w:fldChar w:fldCharType="begin"/>
      </w:r>
      <w:r w:rsidR="009C5E61">
        <w:rPr>
          <w:rFonts w:ascii="Times New Roman" w:hAnsi="Times New Roman" w:cs="Times New Roman"/>
          <w:sz w:val="24"/>
          <w:szCs w:val="24"/>
        </w:rPr>
        <w:instrText xml:space="preserve"> ADDIN ZOTERO_ITEM CSL_CITATION {"citationID":"xrafQd8O","properties":{"formattedCitation":"(Ighodaro and Akinloye 2018; Williams 1928; Schellhorn 1995; Sato et al. 1992; Petigara, Blough, and Mignerey 2002)","plainCitation":"(Ighodaro and Akinloye 2018; Williams 1928; Schellhorn 1995; Sato et al. 1992; Petigara, Blough, and Mignerey 2002)","noteIndex":0},"citationItems":[{"id":6674,"uris":["http://zotero.org/users/6128296/items/2CU4WY5C"],"itemData":{"id":6674,"type":"article-journal","abstract":"The body encloses a complex antioxidant defence grid that relies on endogenous enzymatic and nonenzymatic antioxidants. These molecules collectively act against free radicals to resist their damaging effects to vital biomolecules and ultimately body tissues. Based on their response to general free radical invasion, they can be categorized into ﬁrst, second, third and even fourth line defense antioxidants. The role and effectiveness of the ﬁrst line defense antioxidants which basically include superoxide dismutase (SOD), catalase (CAT) and glutathione peroxidase (GPX) is important and indispensable in the entire defense strategy of antioxidants, especially in reference to super oxide anion radical (*O2) which is perpetually generated in normal body metabolism, particularly through the mitochondrial energy production pathway (MEPP). A lot has been published concerning antioxidants and their signiﬁcance in preventing oxidative stress and the attendant cellular damage, howbeit with paucity of awareness on the fundamental role of SOD, CAT and GPX. The present review tends to articulate important information on SOD, CAT and GPX as ﬁrst line defense antioxidant enzymes.","container-title":"Alexandria Journal of Medicine","DOI":"10.1016/j.ajme.2017.09.001","ISSN":"2090-5068, 2090-5076","issue":"4","journalAbbreviation":"Alexandria Journal of Medicine","language":"en","page":"287-293","source":"DOI.org (Crossref)","title":"First line defence antioxidants-superoxide dismutase (SOD), catalase (CAT) and glutathione peroxidase (GPX): Their fundamental role in the entire antioxidant defence grid","title-short":"First line defence antioxidants-superoxide dismutase (SOD), catalase (CAT) and glutathione peroxidase (GPX)","volume":"54","author":[{"family":"Ighodaro","given":""},{"family":"Akinloye","given":""}],"issued":{"date-parts":[["2018",12,1]]}}},{"id":4072,"uris":["http://zotero.org/users/6128296/items/QHBL5W7U"],"itemData":{"id":4072,"type":"article-journal","abstract":"1. The velocity of decomposition of hydrogen peroxide by catalase as a function of (a) concentration of catalase, (b) concentration of hydrogen peroxide, (c) hydrogen ion concentration, (d) temperature has been studied in an attempt to correlate these variables as far as possible. It is concluded that the reaction involves primarily adsorption of hydrogen peroxide at the catalase surface.\n            2. The decomposition of hydrogen peroxide by catalase is regarded as involving two reactions, namely, the catalytic decomposition of hydrogen peroxide, which is a maximum at the optimum pH 6.8 to 7.0, and the \"induced inactivation\" of catalase by the \"nascent\" oxygen produced by the hydrogen peroxide and still adhering to the catalase surface. This differs from the more generally accepted view, namely that the induced inactivation is due to the H2O2 itself. On the basis of the above view, a new interpretation is given to the equation of Yamasaki and the connection between the equations of Yamasaki and of Northrop is pointed out. It is shown that the velocity of induced inactivation is a minimum at the pH which is optimal for the decomposition of hydrogen peroxide.\n            3. The critical increment of the catalytic decomposition of hydrogen peroxide by catalase is of the order 3000 calories. The critical increment of induced inactivation is low in dilute hydrogen peroxide solutions but increases to a value of 30,000 calories in concentrated solutions of peroxide.","container-title":"Journal of General Physiology","DOI":"10.1085/jgp.11.4.309","ISSN":"1540-7748, 0022-1295","issue":"4","language":"en","page":"309-337","source":"DOI.org (Crossref)","title":"The decomposition of hydrogen peroxide by liver catalase","volume":"11","author":[{"family":"Williams","given":""}],"issued":{"date-parts":[["1928",3,20]]}}},{"id":2235,"uris":["http://zotero.org/users/6128296/items/H3ZUN9JP"],"itemData":{"id":2235,"type":"article-journal","abstract":"As part of its adaptive response to oxidative stress, Escherichia coli produces two inducible hydroperoxidases called HPI and I-MI. Upon exposure to sublethal levels of hydrogen peroxide, HP1 expression is induced at the transcriptional level by OxyR, a member of the LysR family of autoregulators. OxyR, functioning as both a sensor and transducer, contains a critical redox-sensitive Cys residue that is oxidized by hydrogen peroxide. This is thought to induce a conformational change in the tertiary structure of the OxyR tetramer altering its DNA-binding specificity and resulting in an increase in the transcription of katc and several other OxyR-dependent genes. In contrast, synthesis of the HP11 enzyme is not induced by hydrogen peroxide. Expression of both HP1 and HP11 is growth phase-dependent levels of HP1 and HP11 are lo-fold higher in stationary phase than exponential phase cultures. These growth phase-dependent increases are largely dependent on RpoS, a stationary phase specific sigma factor that is itself subject to complex transcriptional and post-transcriptional controls. Several metabolic signals have been proposed to activate the RpoS regulon including hyperosmolarity, weak acids, homoserine la&amp;one and UDP-glucose. Since both HP1 and HP11 are members of the RpoS regulon, elucidation of the mechanism of regulation of RpoS should contribute to our general understanding of hydroperoxidase regulation.","container-title":"FEMS Microbiology Letters","DOI":"10.1111/j.1574-6968.1995.tb07764.x","ISSN":"03781097, 15746968","issue":"2","language":"en","page":"113-119","source":"DOI.org (Crossref)","title":"Regulation of hydroperoxidase (catalase) expression in &lt;i&gt;Escherichia coli&lt;/i&gt;","volume":"131","author":[{"family":"Schellhorn","given":""}],"issued":{"date-parts":[["1995",9]]}}},{"id":2236,"uris":["http://zotero.org/users/6128296/items/5DFU6HDQ"],"itemData":{"id":2236,"type":"article-journal","abstract":"For an understanding of the molecular basis of the marked decrease in catalase activity of various tumor cells, expression of the catalase gene was studied in rat and human hepatoma cell lines and in rat liver, which was used as a control with high activity. RNA blot hybridization profiles and run-on assays indicated that the decrease in catalase activity was due to depression of catalase gene transcription. Chloramphenicol acetyltransferase (CAT) assays for the fragments with various lengths of the 5'-flanking region (up to -4.5 kb from the ATG codon) of the catalase gene revealed the presence of several cis-acting elements involved in the negative regulation of transcription. The most-upstream element with the strongest activity (-3504 to -3364 bp), when linked to the catalase promoter region (-126 bp) of the CAT construct and subjected to an in vitro transcription assay, did not yield transcripts in experiments with the hepatoma nuclear extract, whereas the unlinked template did yield transcripts. A gel shift competition assay using hepatoma nuclear extract showed the core sequence of the silencer element to be 5'-TGGGGGGAG-3'. A homology search found that the same core sequence was also present in 5'-flanking regions of the albumin gene and of some other liver enzyme genes, the expression of which has been reported to be down regulated in some hepatoma cells. Southwestern (DNA-protein) analysis demonstrated that an approximately 35-kDa nuclear protein bound to the silencer element was present in hepatoma cells but not in rat liver cells.","container-title":"Molecular and Cellular Biology","DOI":"10.1128/MCB.12.6.2525","ISSN":"0270-7306, 1098-5549","issue":"6","journalAbbreviation":"Mol. Cell. Biol.","language":"en","page":"2525-2533","source":"DOI.org (Crossref)","title":"Negative regulation of catalase gene expression in hepatoma cells.","volume":"12","author":[{"family":"Sato","given":""},{"family":"Ito","given":"K"},{"family":"Kohara","given":"H"},{"family":"Yamaguchi","given":"Y"},{"family":"Adachi","given":"K"},{"family":"Endo","given":"H"}],"issued":{"date-parts":[["1992",6]]}}},{"id":3756,"uris":["http://zotero.org/users/6128296/items/EUGDQFTU"],"itemData":{"id":3756,"type":"article-journal","container-title":"Environmental Science &amp; Technology","DOI":"10.1021/es001726y","ISSN":"0013-936X, 1520-5851","issue":"4","journalAbbreviation":"Environ. Sci. Technol.","language":"en","page":"639-645","source":"DOI.org (Crossref)","title":"Mechanisms of Hydrogen Peroxide Decomposition in Soils","volume":"36","author":[{"family":"Petigara","given":""},{"family":"Blough","given":"Neil V."},{"family":"Mignerey","given":"Alice C."}],"issued":{"date-parts":[["2002",2,1]]}}}],"schema":"https://github.com/citation-style-language/schema/raw/master/csl-citation.json"} </w:instrText>
      </w:r>
      <w:r w:rsidR="00C16C01">
        <w:rPr>
          <w:rFonts w:ascii="Times New Roman" w:hAnsi="Times New Roman" w:cs="Times New Roman"/>
          <w:sz w:val="24"/>
          <w:szCs w:val="24"/>
        </w:rPr>
        <w:fldChar w:fldCharType="separate"/>
      </w:r>
      <w:r w:rsidR="00C16C01">
        <w:rPr>
          <w:rFonts w:ascii="Times New Roman" w:hAnsi="Times New Roman" w:cs="Times New Roman"/>
          <w:noProof/>
          <w:sz w:val="24"/>
          <w:szCs w:val="24"/>
        </w:rPr>
        <w:t xml:space="preserve">(Ighodaro and Akinloye 2018; Williams 1928; Schellhorn 1995; Sato </w:t>
      </w:r>
      <w:r w:rsidR="00183222" w:rsidRPr="00183222">
        <w:rPr>
          <w:rFonts w:ascii="Times New Roman" w:hAnsi="Times New Roman" w:cs="Times New Roman"/>
          <w:i/>
          <w:iCs/>
          <w:sz w:val="24"/>
          <w:szCs w:val="24"/>
        </w:rPr>
        <w:t>et al</w:t>
      </w:r>
      <w:r w:rsidR="00C16C01">
        <w:rPr>
          <w:rFonts w:ascii="Times New Roman" w:hAnsi="Times New Roman" w:cs="Times New Roman"/>
          <w:noProof/>
          <w:sz w:val="24"/>
          <w:szCs w:val="24"/>
        </w:rPr>
        <w:t>. 1992; Petigara, Blough, and Mignerey 2002)</w:t>
      </w:r>
      <w:r w:rsidR="00C16C01">
        <w:rPr>
          <w:rFonts w:ascii="Times New Roman" w:hAnsi="Times New Roman" w:cs="Times New Roman"/>
          <w:sz w:val="24"/>
          <w:szCs w:val="24"/>
        </w:rPr>
        <w:fldChar w:fldCharType="end"/>
      </w:r>
      <w:r w:rsidR="004C33B3" w:rsidRPr="003609FB">
        <w:rPr>
          <w:rFonts w:ascii="Times New Roman" w:hAnsi="Times New Roman" w:cs="Times New Roman"/>
          <w:sz w:val="24"/>
          <w:szCs w:val="24"/>
        </w:rPr>
        <w:t>. Thus</w:t>
      </w:r>
      <w:r w:rsidR="005163DC">
        <w:rPr>
          <w:rFonts w:ascii="Times New Roman" w:hAnsi="Times New Roman" w:cs="Times New Roman"/>
          <w:sz w:val="24"/>
          <w:szCs w:val="24"/>
        </w:rPr>
        <w:t>,</w:t>
      </w:r>
      <w:r w:rsidR="004C33B3" w:rsidRPr="003609FB">
        <w:rPr>
          <w:rFonts w:ascii="Times New Roman" w:hAnsi="Times New Roman" w:cs="Times New Roman"/>
          <w:sz w:val="24"/>
          <w:szCs w:val="24"/>
        </w:rPr>
        <w:t xml:space="preserve"> organisms </w:t>
      </w:r>
      <w:r w:rsidR="00552406">
        <w:rPr>
          <w:rFonts w:ascii="Times New Roman" w:hAnsi="Times New Roman" w:cs="Times New Roman"/>
          <w:sz w:val="24"/>
          <w:szCs w:val="24"/>
        </w:rPr>
        <w:t xml:space="preserve">which lack </w:t>
      </w:r>
      <w:r w:rsidR="004C33B3" w:rsidRPr="003609FB">
        <w:rPr>
          <w:rFonts w:ascii="Times New Roman" w:hAnsi="Times New Roman" w:cs="Times New Roman"/>
          <w:sz w:val="24"/>
          <w:szCs w:val="24"/>
        </w:rPr>
        <w:t>catalase</w:t>
      </w:r>
      <w:r w:rsidR="00552406">
        <w:rPr>
          <w:rFonts w:ascii="Times New Roman" w:hAnsi="Times New Roman" w:cs="Times New Roman"/>
          <w:sz w:val="24"/>
          <w:szCs w:val="24"/>
        </w:rPr>
        <w:t xml:space="preserve"> but</w:t>
      </w:r>
      <w:r w:rsidR="004C33B3" w:rsidRPr="003609FB">
        <w:rPr>
          <w:rFonts w:ascii="Times New Roman" w:hAnsi="Times New Roman" w:cs="Times New Roman"/>
          <w:sz w:val="24"/>
          <w:szCs w:val="24"/>
        </w:rPr>
        <w:t xml:space="preserve"> contain peroxidase</w:t>
      </w:r>
      <w:r w:rsidR="00552406">
        <w:rPr>
          <w:rFonts w:ascii="Times New Roman" w:hAnsi="Times New Roman" w:cs="Times New Roman"/>
          <w:sz w:val="24"/>
          <w:szCs w:val="24"/>
        </w:rPr>
        <w:t xml:space="preserve">, </w:t>
      </w:r>
      <w:r w:rsidR="00552406" w:rsidRPr="003609FB">
        <w:rPr>
          <w:rFonts w:ascii="Times New Roman" w:hAnsi="Times New Roman" w:cs="Times New Roman"/>
          <w:sz w:val="24"/>
          <w:szCs w:val="24"/>
        </w:rPr>
        <w:t xml:space="preserve">such as </w:t>
      </w:r>
      <w:r w:rsidR="00552406" w:rsidRPr="00691B65">
        <w:rPr>
          <w:rFonts w:ascii="Times New Roman" w:hAnsi="Times New Roman" w:cs="Times New Roman"/>
          <w:i/>
          <w:iCs/>
          <w:sz w:val="24"/>
          <w:szCs w:val="24"/>
        </w:rPr>
        <w:t>Prochlorococcus</w:t>
      </w:r>
      <w:r w:rsidR="00552406"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are more vulnerable to their environmental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conditions. With the inherent leakiness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across membranes </w:t>
      </w:r>
      <w:r w:rsidR="00F44CC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{"citationID":"PAOOzSrA","properties":{"formattedCitation":"(Bienert et al. 2007; Tjell and Almdal 2018)","plainCitation":"(Bienert et al. 2007; Tjell and Almdal 2018)","noteIndex":0},"citationItems":[{"id":4124,"uris":["http://zotero.org/users/6128296/items/XRK6BV7C"],"itemData":{"id":4124,"type":"article-journal","abstract":"The metabolism of aerobic organisms continuously produces reactive oxygen species. Although potentially toxic, these compounds also function in signaling. One important feature of signaling compounds is their ability to move between different compartments, e.g. to cross membranes. Here we present evidence that aquaporins can channel hydrogen peroxide (H2O2). Twenty-four aquaporins from plants and mammals were screened in five yeast strains differing in sensitivity toward oxidative stress. Expression of human AQP8 and plant Arabidopsis TIP1;1 and TIP1;2 in yeast decreased growth and survival in the presence of H2O2. Further evidence for aquaporin-mediated H2O2 diffusion was obtained by a fluorescence assay with intact yeast cells using an intracellular reactive oxygen species-sensitive fluorescent dye. Application of silver ions (Ag ), which block aquaporin-mediated water diffusion in a fast kinetics swelling assay, also reversed both the aquaporindependent growth repression and the H2O2-induced fluorescence. Our results present the first molecular genetic evidence for the diffusion of H2O2 through specific members of the aquaporin family.","container-title":"Journal of Biological Chemistry","DOI":"10.1074/jbc.M603761200","ISSN":"00219258","issue":"2","journalAbbreviation":"Journal of Biological Chemistry","language":"en","page":"1183-1192","source":"DOI.org (Crossref)","title":"Specific Aquaporins Facilitate the Diffusion of Hydrogen Peroxide across Membranes","volume":"282","author":[{"family":"Bienert","given":""},{"family":"Møller","given":"Anders L.B."},{"family":"Kristiansen","given":"Kim A."},{"family":"Schulz","given":"Alexander"},{"family":"Møller","given":"Ian M."},{"family":"Schjoerring","given":"Jan K."},{"family":"Jahn","given":"Thomas P."}],"issued":{"date-parts":[["2007",1]]}}},{"id":4125,"uris":["http://zotero.org/users/6128296/items/UYREI4CZ"],"itemData":{"id":4125,"type":"article-journal","abstract":"In our efforts to design an optical sensor for hydrogen peroxide, we have realized the importance of knowing/ controlling the diffusion of hydrogen peroxide to the indicator, especially in the case of an irreversible indicator. Since we found little literature data, we decided to test the permeability of hydrogen peroxide in commercially available polymers, focusing on the polyurethanes HydroMed™ and HydroThane™, which are commonly used for immobilization matrices in optical sensors. Measured values are between 5.12 10−9 ± 8.50 10−10 and 2.25 10−6 ± 1.00 10−7 cm2 s−1.","container-title":"Sensing and Bio-Sensing Research","DOI":"10.1016/j.sbsr.2018.10.001","ISSN":"22141804","journalAbbreviation":"Sensing and Bio-Sensing Research","language":"en","page":"35-39","source":"DOI.org (Crossref)","title":"Diffusion rate of hydrogen peroxide through water-swelled polyurethane membranes","volume":"21","author":[{"family":"Tjell","given":""},{"family":"Almdal","given":"Kristoffer"}],"issued":{"date-parts":[["2018",11]]}}}],"schema":"https://github.com/citation-style-language/schema/raw/master/csl-citation.json"} </w:instrText>
      </w:r>
      <w:r w:rsidR="00F44CC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(Bienert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2007; Tjell and Almdal 2018)</w:t>
      </w:r>
      <w:r w:rsidR="00F44CC3"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xml:space="preserve">, detoxification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cannot be inherently for just one cell but inadvertently benefits the entire biological community within that environment. Consequently, if an organism detoxifies all of the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in its cell, the laws of diffusion and chemical reaction balance will dictate that the internal absence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will draw externally sourced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into the cell</w:t>
      </w:r>
      <w:r w:rsidR="002D4DEF">
        <w:rPr>
          <w:rFonts w:ascii="Times New Roman" w:hAnsi="Times New Roman" w:cs="Times New Roman"/>
          <w:sz w:val="24"/>
          <w:szCs w:val="24"/>
        </w:rPr>
        <w:t xml:space="preserve"> </w:t>
      </w:r>
      <w:r w:rsidR="002D4DEF">
        <w:rPr>
          <w:rFonts w:ascii="Times New Roman" w:hAnsi="Times New Roman" w:cs="Times New Roman"/>
          <w:sz w:val="24"/>
          <w:szCs w:val="24"/>
        </w:rPr>
        <w:fldChar w:fldCharType="begin"/>
      </w:r>
      <w:r w:rsidR="002D4DEF">
        <w:rPr>
          <w:rFonts w:ascii="Times New Roman" w:hAnsi="Times New Roman" w:cs="Times New Roman"/>
          <w:sz w:val="24"/>
          <w:szCs w:val="24"/>
        </w:rPr>
        <w:instrText xml:space="preserve"> ADDIN ZOTERO_ITEM CSL_CITATION {"citationID":"tWUUcgJR","properties":{"formattedCitation":"(Omar et al. 2022)","plainCitation":"(Omar et al. 2022)","noteIndex":0},"citationItems":[{"id":2246,"uris":["http://zotero.org/users/6128296/items/CA9EXVYE"],"itemData":{"id":2246,"type":"article-journal","abstract":"Marine phytoplankton vary widely in size across taxa, and in cell suspension densities\nacross habitats and growth states. Cell suspension density and total biovolume determine the\nbulk influence of a phytoplankton community upon its environment. Cell suspension density also\ndetermines the intercellular spacings separating phytoplankton cells from each other, or from cooccurring\nbacterioplankton. Intercellular spacing then determines the mean diffusion paths for\nexchanges of solutes among co-occurring cells. Marine phytoplankton and bacterioplankton both\nproduce and scavenge reactive oxygen species (ROS), to maintain intracellular ROS homeostasis\nto support their cellular processes, while limiting damaging reactions. Among ROS, hydrogen\nperoxide (H2O2) has relatively low reactivity, long intracellular and extracellular lifetimes, and\nreadily crosses cell membranes. Our objective was to quantify how cells can influence other cells\nvia diffusional interactions, using H2O2 as a case study. To visualize and constrain potentials for\ncell-to-cell exchanges of H2O2, we simulated the decrease of [H2O2] outwards from representative\nphytoplankton taxa maintaining internal [H2O2] above representative seawater [H2O2]. [H2O2]\ngradients outwards from static cell surfaces were dominated by volumetric dilution, with only a\nnegligible influence from decay. The simulated [H2O2] fell to background [H2O2] within ~3.1  m\nfrom a Prochlorococcus cell surface, but extended outwards 90  m from a diatom cell surface. More\nrapid decays of other, less stable ROS, would lower these threshold distances. Bacterioplankton\nlowered simulated local [H2O2] below background only out to 1.2  m from the surface of a static\ncell, even though bacterioplankton collectively act to influence seawater ROS. These small diffusional\nspheres around cells mean that direct cell-to-cell exchange of H2O2 is unlikely in oligotrophic habits\nwith widely spaced, small cells; moderate in eutrophic habits with shorter cell-to-cell spacing; but\nextensive within phytoplankton colonies.","container-title":"Microorganisms 2022","DOI":"https://doi.org/10.3390/ microorganisms10040821","issue":"821","title":"Diffusional Interactions among Marine Phytoplankton and Bacterioplankton: Modelling H2O2 as a Case Study","volume":"10","author":[{"family":"Omar","given":""},{"family":"Prášil","given":"Ondrej"},{"family":"McCain","given":"Scott"},{"family":"Campbell","given":"Douglas"}],"issued":{"date-parts":[["2022",4,15]]}}}],"schema":"https://github.com/citation-style-language/schema/raw/master/csl-citation.json"} </w:instrText>
      </w:r>
      <w:r w:rsidR="002D4DEF">
        <w:rPr>
          <w:rFonts w:ascii="Times New Roman" w:hAnsi="Times New Roman" w:cs="Times New Roman"/>
          <w:sz w:val="24"/>
          <w:szCs w:val="24"/>
        </w:rPr>
        <w:fldChar w:fldCharType="separate"/>
      </w:r>
      <w:r w:rsidR="002D4DEF">
        <w:rPr>
          <w:rFonts w:ascii="Times New Roman" w:hAnsi="Times New Roman" w:cs="Times New Roman"/>
          <w:noProof/>
          <w:sz w:val="24"/>
          <w:szCs w:val="24"/>
        </w:rPr>
        <w:t xml:space="preserve">(Omar </w:t>
      </w:r>
      <w:r w:rsidR="00183222" w:rsidRPr="00183222">
        <w:rPr>
          <w:rFonts w:ascii="Times New Roman" w:hAnsi="Times New Roman" w:cs="Times New Roman"/>
          <w:i/>
          <w:iCs/>
          <w:sz w:val="24"/>
          <w:szCs w:val="24"/>
        </w:rPr>
        <w:t>et al</w:t>
      </w:r>
      <w:r w:rsidR="002D4DEF">
        <w:rPr>
          <w:rFonts w:ascii="Times New Roman" w:hAnsi="Times New Roman" w:cs="Times New Roman"/>
          <w:noProof/>
          <w:sz w:val="24"/>
          <w:szCs w:val="24"/>
        </w:rPr>
        <w:t>. 2022)</w:t>
      </w:r>
      <w:r w:rsidR="002D4DEF">
        <w:rPr>
          <w:rFonts w:ascii="Times New Roman" w:hAnsi="Times New Roman" w:cs="Times New Roman"/>
          <w:sz w:val="24"/>
          <w:szCs w:val="24"/>
        </w:rPr>
        <w:fldChar w:fldCharType="end"/>
      </w:r>
      <w:r w:rsidR="004C33B3" w:rsidRPr="003609FB">
        <w:rPr>
          <w:rFonts w:ascii="Times New Roman" w:hAnsi="Times New Roman" w:cs="Times New Roman"/>
          <w:sz w:val="24"/>
          <w:szCs w:val="24"/>
        </w:rPr>
        <w:t>. This is typically described as a 'leaky function'</w:t>
      </w:r>
      <w:r w:rsidR="00F5797F" w:rsidRPr="003609FB">
        <w:rPr>
          <w:rFonts w:ascii="Times New Roman" w:hAnsi="Times New Roman" w:cs="Times New Roman"/>
          <w:sz w:val="24"/>
          <w:szCs w:val="24"/>
        </w:rPr>
        <w:t xml:space="preserve"> </w:t>
      </w:r>
      <w:r w:rsidR="00F5797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{"citationID":"GrYybZNK","properties":{"formattedCitation":"(Blot et al. 2011, 201; Cooper et al. 1988; Imlay 2013; Latifi, Ruiz, and Zhang 2009)","plainCitation":"(Blot et al. 2011, 201; Cooper et al. 1988; Imlay 2013; Latifi, Ruiz, and Zhang 2009)","noteIndex":0},"citationItems":[{"id":1774,"uris":["http://zotero.org/users/6128296/items/94JSCQPW"],"itemData":{"id":1774,"type":"article-journal","abstract":"Marine Synechococcus undergo a wide range of environmental stressors, especially high and variable irradiance, which may induce oxidative stress through the generation of reactive oxygen species (ROS). While light and ROS could act synergistically on the impairment of photosynthesis, inducing photodamage and inhibiting photosystem II repair, acclimation to high irradiance is also thought to confer resistance to other stressors. To identify the respective roles of light and ROS in the photoinhibition process and detect a possible light-driven tolerance to oxidative stress, we compared the photophysiological and transcriptomic responses of Synechococcus sp. WH7803 acclimated to low light (LL) or high light (HL) to oxidative stress, induced by hydrogen peroxide (H2O2) or methylviologen. While photosynthetic activity was much more affected in HL than in LL cells, only HL cells were able to recover growth and photosynthesis after the addition of 25 mM H2O2. Depending upon light conditions and H2O2 concentration, the latter oxidizing agent induced photosystem II inactivation through both direct damage to the reaction centers and inhibition of its repair cycle. Although the global transcriptome response appeared similar in LL and HL cells, some processes were specifically induced in HL cells that seemingly helped them withstand oxidative stress, including enhancement of photoprotection and ROS detoxification, repair of ROS-driven damage, and regulation of redox state. Detection of putative LexA binding sites allowed the identification of the putative LexA regulon, which was downregulated in HL compared with LL cells but up-regulated by oxidative stress under both growth irradiances.","container-title":"Plant Physiology","DOI":"10.1104/pp.111.174714","ISSN":"0032-0889, 1532-2548","issue":"4","journalAbbreviation":"Plant Physiol.","language":"en","page":"1934-1954","source":"DOI.org (Crossref)","title":"Light History Influences the Response of the Marine Cyanobacterium &lt;i&gt;Synechococcus&lt;/i&gt; sp. WH7803 to Oxidative Stress","volume":"156","author":[{"family":"Blot","given":""},{"family":"Mella-Flores","given":"Daniella"},{"family":"Six","given":"Christophe"},{"family":"Le Corguillé","given":"Gildas"},{"family":"Boutte","given":"Christophe"},{"family":"Peyrat","given":"Anne"},{"family":"Monnier","given":"Annabelle"},{"family":"Ratin","given":"Morgane"},{"family":"Gourvil","given":"Priscillia"},{"family":"Campbell","given":"Douglas A."},{"family":"Garczarek","given":"Laurence"}],"issued":{"date-parts":[["2011",8]]}},"locator":"201"},{"id":2126,"uris":["http://zotero.org/users/6128296/items/GE23ETKX"],"itemData":{"id":2126,"type":"article-journal","container-title":"Environmental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C."}],"issued":{"date-parts":[["1988",10]]}}},{"id":210,"uris":["http://zotero.org/users/6128296/items/JZFIEAMN"],"itemData":{"id":210,"type":"article-journal","abstract":"Oxic environments are hazardous. Molecular oxygen adventitiously abstracts electrons from many redox enzymes, continuously forming intracellular superoxide and hydrogen peroxide. These species can destroy the activities of metalloenzymes and the integrity of DNA, forcing organisms to protect themselves with scavenging enzymes and repair systems. Nevertheless, elevated levels of oxidants quickly poison bacteria, and both microbial competitors and hostile eukaryotic hosts exploit this vulnerability by assaulting these bacteria with peroxides or superoxide-forming antibiotics. In response, bacteria activate elegant adaptive strategies. In this Review, I summarize our current knowledge of oxidative stress in Escherichia coli, the model organism for which our understanding of damage and defence is most well developed.","container-title":"Nature Reviews Microbiology","DOI":"10.1038/nrmicro3032","ISSN":"1740-1526, 1740-1534","issue":"7","journalAbbreviation":"Nat Rev Microbiol","language":"en","page":"443-454","source":"DOI.org (Crossref)","title":"The molecular mechanisms and physiological consequences of oxidative stress: lessons from a model bacterium","title-short":"The molecular mechanisms and physiological consequences of oxidative stress","volume":"11","author":[{"family":"Imlay","given":""}],"issued":{"date-parts":[["2013",7]]}}},{"id":213,"uris":["http://zotero.org/users/6128296/items/RFXPGDIL"],"itemData":{"id":213,"type":"article-journal","abstract":"Reactive oxygen species (ROS) are byproducts of aerobic metabolism and potent agents that cause oxidative damage. In oxygenic photosynthetic organisms such as cyanobacteria, ROS are inevitably generated by photosynthetic electron transport, especially when the intensity of light-driven electron transport outpaces the rate of electron consumption during CO2 ﬁxation. Because cyanobacteria in their natural habitat are often exposed to changing external conditions, such as drastic ﬂuctuations of light intensities, their ability to perceive ROS and to rapidly initiate antioxidant defences is crucial for their survival. This review summarizes recent ﬁndings and outlines important perspectives in this ﬁeld.","container-title":"FEMS Microbiology Reviews","DOI":"10.1111/j.1574-6976.2008.00134.x","ISSN":"1574-6976","issue":"2","journalAbbreviation":"FEMS Microbiol Rev","language":"en","page":"258-278","source":"DOI.org (Crossref)","title":"Oxidative stress in cyanobacteria","volume":"33","author":[{"family":"Latifi","given":""},{"family":"Ruiz","given":"Marion"},{"family":"Zhang","given":"Cheng-Cai"}],"issued":{"date-parts":[["2009",3]]}}}],"schema":"https://github.com/citation-style-language/schema/raw/master/csl-citation.json"} </w:instrText>
      </w:r>
      <w:r w:rsidR="00F5797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(Blot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2011, 201; Cooper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1988; Imlay 2013; Latifi, Ruiz, and Zhang 2009)</w:t>
      </w:r>
      <w:r w:rsidR="00F5797F" w:rsidRPr="003609FB">
        <w:rPr>
          <w:rFonts w:ascii="Times New Roman" w:hAnsi="Times New Roman" w:cs="Times New Roman"/>
          <w:sz w:val="24"/>
          <w:szCs w:val="24"/>
        </w:rPr>
        <w:fldChar w:fldCharType="end"/>
      </w:r>
      <w:r w:rsidR="00F5797F" w:rsidRPr="003609FB">
        <w:rPr>
          <w:rFonts w:ascii="Times New Roman" w:hAnsi="Times New Roman" w:cs="Times New Roman"/>
          <w:sz w:val="24"/>
          <w:szCs w:val="24"/>
        </w:rPr>
        <w:t>.</w:t>
      </w:r>
      <w:r w:rsidR="004C33B3" w:rsidRPr="003609FB">
        <w:rPr>
          <w:rFonts w:ascii="Times New Roman" w:hAnsi="Times New Roman" w:cs="Times New Roman"/>
          <w:sz w:val="24"/>
          <w:szCs w:val="24"/>
        </w:rPr>
        <w:t xml:space="preserve"> This implies that organisms capable of 'cheating' by not making a catalase enzyme while still getting the benefit of catalase’s function, will do so </w:t>
      </w:r>
      <w:r w:rsidR="00A932DF"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{"citationID":"pjglFYmk","properties":{"formattedCitation":"(de Mazancourt and Schwartz 2010; Estrela, Morris, and Kerr 2016; Allison 2005; Ehrlich, Kath, and Gaedke 2020)","plainCitation":"(de Mazancourt and Schwartz 2010; Estrela, Morris, and Kerr 2016; Allison 2005; Ehrlich, Kath, and Gaedke 2020)","noteIndex":0},"citationItems":[{"id":107,"uris":["http://zotero.org/users/6128296/items/2IS42J29"],"itemData":{"id":107,"type":"article-journal","abstract":"Resource ratio theory predicts that two species may coexist in the presence of two limiting nutrients provided that each species is limited by the resource it is least able to deplete. We modify this classical competition model to allow interspeciﬁc cooperation through trading. We show that resource trade expands the realm of stable coexistence, and that optimal trading partners competitively invade and exclude any other trading or non-trading strategy. We show that natural selection favours evolution towards establishment of a trading relationship so long as partners can establish long-term associations even though cooperation may result in a decrease in abundance of one species. This theory substantively expands traditional applications of resource competition models and suggests additional empirical experimentation.","container-title":"Ecology Letters","DOI":"10.1111/j.1461-0248.2009.01431.x","ISSN":"1461023X, 14610248","issue":"3","language":"en","page":"349-359","source":"DOI.org (Crossref)","title":"A resource ratio theory of cooperation","volume":"13","author":[{"family":"de Mazancourt","given":""},{"family":"Schwartz","given":"Mark W."}],"issued":{"date-parts":[["2010",3]]}}},{"id":1594,"uris":["http://zotero.org/users/6128296/items/EJ4LKEQB"],"itemData":{"id":1594,"type":"article-journal","abstract":"Microbes perform many costly biological functions that beneﬁt themselves, and may also beneﬁt neighbouring cells. Losing the ability to perform such functions can be advantageous due to cost savings, but when they are essential for growth, organisms become dependent on ecological partners to compensate for those losses. When multiple functions may be lost, the ecological outcomes are potentially diverse, including independent organisms only; oneway dependency, where one partner performs all functions and others none; or mutual interdependency where partners perform complementary essential functions. What drives these different outcomes? We develop a model where organisms perform ‘leaky’ functions that provide both private and public beneﬁts to explore the consequences of privatization level, costs and essentiality on inﬂuencing these outcomes. We show that mutual interdependency is favoured at intermediate levels of privatization for a broad range of conditions. One-way dependency, in contrast, is only favoured when privatization is low and loss-of-function beneﬁts are accelerating. Our results suggest an interplay between privatization level and shape of beneﬁts from loss in driving microbial dependencies. Given the ubiquity of microbial functions that are inevitably leaked and the ease of mutational inactivation, our ﬁndings may help to explain why microbial interdependencies are common in nature.","container-title":"Environmental Microbiology","DOI":"10.1111/1462-2920.13028","ISSN":"14622912","issue":"5","journalAbbreviation":"Environ Microbiol","language":"en","page":"1415-1427","source":"DOI.org (Crossref)","title":"Private benefits and metabolic conflicts shape the emergence of microbial interdependencies: The origins of microbial interdependencies","title-short":"Private benefits and metabolic conflicts shape the emergence of microbial interdependencies","volume":"18","author":[{"family":"Estrela","given":""},{"family":"Morris","given":"J. Jeffrey"},{"family":"Kerr","given":"Benjamin"}],"issued":{"date-parts":[["2016",5]]}}},{"id":75,"uris":["http://zotero.org/users/6128296/items/PQA9SED3"],"itemData":{"id":75,"type":"article-journal","abstract":"Extracellular enzymes allow microbes to acquire carbon and nutrients from complex molecules and catalyse the rate-limiting step in nutrient mineralization. Because the factors regulating enzyme production are poorly understood, I used a simulation model to examine how competition, nutrient availability and spatial structure affect microbial growth and enzyme synthesis. In simulations where enzyme-producing microbes competed with cheaters (who do not synthesize enzymes but take-up product), higher enzyme costs favoured cheaters, while lower rates of enzyme diffusion favoured producers. Cheaters and producers coexisted in highly organized spatial patterns at intermediate enzyme costs and diffusion rates. Simulations with varying nutrient inputs showed that nitrogen supply can limit carbon mineralization, microbial growth and enzyme production because of the nitrogen-demanding stoichiometry of enzymes (C : N ¼ c. 3.5 : 1). These results suggest that competition from cheaters, slow diffusion and nitrogen limitation may constrain microbial foraging and the enzymatic decomposition of complex compounds in natural environments.","container-title":"Ecology Letters","DOI":"10.1111/j.1461-0248.2005.00756.x","ISSN":"1461023X, 14610248","issue":"6","language":"en","page":"626-635","source":"DOI.org (Crossref)","title":"Cheaters, diffusion and nutrients constrain decomposition by microbial enzymes in spatially structured environments: Constraints on enzymatic decomposition","title-short":"Cheaters, diffusion and nutrients constrain decomposition by microbial enzymes in spatially structured environments","volume":"8","author":[{"family":"Allison","given":""}],"issued":{"date-parts":[["2005",4,12]]}}},{"id":3193,"uris":["http://zotero.org/users/6128296/items/K3FUEVU7"],"itemData":{"id":3193,"type":"article-journal","abstract":"Theory predicts that trade-offs, quantifying costs of functional trait adjustments, crucially affect community trait adaptation to altered environmental conditions, but empirical veriﬁcation is scarce. We evaluated trait dynamics (antipredator defense, maximum growth rate, and phosphate afﬁnity) of a lake phytoplankton community in a seasonally changing environment, using literature trait data and 21 years of species-resolved high-frequency biomass measurements. The trait data indicated a concave defense-growth trade-off, promoting fast-growing species with intermediate defense. With seasonally increasing grazing pressure, the community shifted toward higher defense levels at the cost of lower growth rates along the trade-off curve, while phosphate afﬁnity explained some deviations from it. We discuss how low ﬁtness differences of species, inferred from model simulations, in concert with stabilizing mechanisms, e.g., arising from further trait dimensions, may lead to the observed phytoplankton diversity. In conclusion, quantifying trade-offs is key for predictions of community trait adaptation and biodiversity under environmental change.","container-title":"The ISME Journal","DOI":"10.1038/s41396-020-0619-1","ISSN":"1751-7362, 1751-7370","issue":"6","journalAbbreviation":"ISME J","language":"en","page":"1451-1462","source":"DOI.org (Crossref)","title":"The shape of a defense-growth trade-off governs seasonal trait dynamics in natural phytoplankton","volume":"14","author":[{"family":"Ehrlich","given":""},{"family":"Kath","given":"Nadja J."},{"family":"Gaedke","given":"Ursula"}],"issued":{"date-parts":[["2020",6]]}}}],"schema":"https://github.com/citation-style-language/schema/raw/master/csl-citation.json"} </w:instrText>
      </w:r>
      <w:r w:rsidR="00A932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(de </w:t>
      </w:r>
      <w:proofErr w:type="spellStart"/>
      <w:r w:rsidR="006C2922">
        <w:rPr>
          <w:rFonts w:ascii="Times New Roman" w:hAnsi="Times New Roman" w:cs="Times New Roman"/>
          <w:sz w:val="24"/>
          <w:szCs w:val="24"/>
        </w:rPr>
        <w:t>Mazancourt</w:t>
      </w:r>
      <w:proofErr w:type="spellEnd"/>
      <w:r w:rsidR="006C2922">
        <w:rPr>
          <w:rFonts w:ascii="Times New Roman" w:hAnsi="Times New Roman" w:cs="Times New Roman"/>
          <w:sz w:val="24"/>
          <w:szCs w:val="24"/>
        </w:rPr>
        <w:t xml:space="preserve"> and Schwartz 2010; Estrela, Morris, and Kerr 2016; Allison 2005; Ehrlich, Kath, and Gaedke 2020)</w:t>
      </w:r>
      <w:r w:rsidR="00A932DF"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This</w:t>
      </w:r>
      <w:r w:rsidR="005163DC">
        <w:rPr>
          <w:rFonts w:ascii="Times New Roman" w:hAnsi="Times New Roman" w:cs="Times New Roman"/>
          <w:sz w:val="24"/>
          <w:szCs w:val="24"/>
        </w:rPr>
        <w:t xml:space="preserve"> evolutionary</w:t>
      </w:r>
      <w:r w:rsidR="004C33B3" w:rsidRPr="003609FB">
        <w:rPr>
          <w:rFonts w:ascii="Times New Roman" w:hAnsi="Times New Roman" w:cs="Times New Roman"/>
          <w:sz w:val="24"/>
          <w:szCs w:val="24"/>
        </w:rPr>
        <w:t xml:space="preserve"> </w:t>
      </w:r>
      <w:r w:rsidR="005163DC">
        <w:rPr>
          <w:rFonts w:ascii="Times New Roman" w:hAnsi="Times New Roman" w:cs="Times New Roman"/>
          <w:sz w:val="24"/>
          <w:szCs w:val="24"/>
        </w:rPr>
        <w:t>drive</w:t>
      </w:r>
      <w:r w:rsidR="004C33B3" w:rsidRPr="003609FB">
        <w:rPr>
          <w:rFonts w:ascii="Times New Roman" w:hAnsi="Times New Roman" w:cs="Times New Roman"/>
          <w:sz w:val="24"/>
          <w:szCs w:val="24"/>
        </w:rPr>
        <w:t xml:space="preserve"> </w:t>
      </w:r>
      <w:r w:rsidR="005163DC">
        <w:rPr>
          <w:rFonts w:ascii="Times New Roman" w:hAnsi="Times New Roman" w:cs="Times New Roman"/>
          <w:sz w:val="24"/>
          <w:szCs w:val="24"/>
        </w:rPr>
        <w:t>for genetic streamlining</w:t>
      </w:r>
      <w:r w:rsidR="008C5F56">
        <w:rPr>
          <w:rFonts w:ascii="Times New Roman" w:hAnsi="Times New Roman" w:cs="Times New Roman"/>
          <w:sz w:val="24"/>
          <w:szCs w:val="24"/>
        </w:rPr>
        <w:t xml:space="preserve">, in </w:t>
      </w:r>
      <w:r w:rsidR="008C5F56" w:rsidRPr="008C5F56">
        <w:rPr>
          <w:rFonts w:ascii="Times" w:hAnsi="Times" w:cs="Times New Roman"/>
          <w:i/>
          <w:iCs/>
          <w:color w:val="000000" w:themeColor="text1"/>
          <w:sz w:val="24"/>
          <w:szCs w:val="24"/>
        </w:rPr>
        <w:t>Prochlorococcus</w:t>
      </w:r>
      <w:r w:rsidR="008C5F56">
        <w:rPr>
          <w:rFonts w:ascii="Times New Roman" w:hAnsi="Times New Roman" w:cs="Times New Roman"/>
          <w:sz w:val="24"/>
          <w:szCs w:val="24"/>
        </w:rPr>
        <w:t xml:space="preserve"> for example, </w:t>
      </w:r>
      <w:r w:rsidR="004C33B3" w:rsidRPr="003609FB">
        <w:rPr>
          <w:rFonts w:ascii="Times New Roman" w:hAnsi="Times New Roman" w:cs="Times New Roman"/>
          <w:sz w:val="24"/>
          <w:szCs w:val="24"/>
        </w:rPr>
        <w:t xml:space="preserve">has been termed the "Black Queen Hypothesis" </w:t>
      </w:r>
      <w:r w:rsidR="001B74BD"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{"citationID":"ICvgMqAl","properties":{"formattedCitation":"(Morris, Lenski, and Zinser 2012)","plainCitation":"(Morris, Lenski, and Zinser 2012)","noteIndex":0},"citationItems":[{"id":114,"uris":["http://zotero.org/users/6128296/items/RAQDXC7K"],"itemData":{"id":114,"type":"article-journal","abstract":"Reductive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1B74BD"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(Morris, Lenski, and Zinser 2012)</w:t>
      </w:r>
      <w:r w:rsidR="001B74BD"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 It states that if a function is leaky while also being energetically costly to perform and maintain, the function will only be executed by the organisms in a community that 'get stuck with the job'</w:t>
      </w:r>
      <w:r w:rsidR="008C5F56">
        <w:rPr>
          <w:rFonts w:ascii="Times New Roman" w:hAnsi="Times New Roman" w:cs="Times New Roman"/>
          <w:sz w:val="24"/>
          <w:szCs w:val="24"/>
        </w:rPr>
        <w:t>, much like the Queen of Spades in a game of Hearts</w:t>
      </w:r>
      <w:r w:rsidR="004C33B3" w:rsidRPr="003609FB">
        <w:rPr>
          <w:rFonts w:ascii="Times New Roman" w:hAnsi="Times New Roman" w:cs="Times New Roman"/>
          <w:sz w:val="24"/>
          <w:szCs w:val="24"/>
        </w:rPr>
        <w:t xml:space="preserve"> </w:t>
      </w:r>
      <w:r w:rsidR="00C71DC5" w:rsidRPr="009A35A3">
        <w:rPr>
          <w:rFonts w:ascii="Times New Roman" w:hAnsi="Times New Roman" w:cs="Times New Roman"/>
          <w:sz w:val="24"/>
          <w:szCs w:val="24"/>
        </w:rPr>
        <w:fldChar w:fldCharType="begin"/>
      </w:r>
      <w:r w:rsidR="004A122C" w:rsidRPr="009A35A3">
        <w:rPr>
          <w:rFonts w:ascii="Times New Roman" w:hAnsi="Times New Roman" w:cs="Times New Roman"/>
          <w:sz w:val="24"/>
          <w:szCs w:val="24"/>
        </w:rPr>
        <w:instrText xml:space="preserve"> ADDIN ZOTERO_ITEM CSL_CITATION {"citationID":"QqH7CEUy","properties":{"formattedCitation":"(Morris, Lenski, and Zinser 2012)","plainCitation":"(Morris, Lenski, and Zinser 2012)","noteIndex":0},"citationItems":[{"id":114,"uris":["http://zotero.org/users/6128296/items/RAQDXC7K"],"itemData":{"id":114,"type":"article-journal","abstract":"Reductive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C71DC5" w:rsidRPr="009A35A3">
        <w:rPr>
          <w:rFonts w:ascii="Times New Roman" w:hAnsi="Times New Roman" w:cs="Times New Roman"/>
          <w:sz w:val="24"/>
          <w:szCs w:val="24"/>
        </w:rPr>
        <w:fldChar w:fldCharType="separate"/>
      </w:r>
      <w:r w:rsidR="006C2922">
        <w:rPr>
          <w:rFonts w:ascii="Times New Roman" w:hAnsi="Times New Roman" w:cs="Times New Roman"/>
          <w:sz w:val="24"/>
          <w:szCs w:val="24"/>
        </w:rPr>
        <w:t>(Morris, Lenski, and Zinser 2012)</w:t>
      </w:r>
      <w:r w:rsidR="00C71DC5" w:rsidRPr="009A35A3">
        <w:rPr>
          <w:rFonts w:ascii="Times New Roman" w:hAnsi="Times New Roman" w:cs="Times New Roman"/>
          <w:sz w:val="24"/>
          <w:szCs w:val="24"/>
        </w:rPr>
        <w:fldChar w:fldCharType="end"/>
      </w:r>
      <w:r w:rsidR="004C33B3" w:rsidRPr="009A35A3">
        <w:rPr>
          <w:rFonts w:ascii="Times New Roman" w:hAnsi="Times New Roman" w:cs="Times New Roman"/>
          <w:sz w:val="24"/>
          <w:szCs w:val="24"/>
        </w:rPr>
        <w:t>. The</w:t>
      </w:r>
      <w:r w:rsidR="004C33B3" w:rsidRPr="003609FB">
        <w:rPr>
          <w:rFonts w:ascii="Times New Roman" w:hAnsi="Times New Roman" w:cs="Times New Roman"/>
          <w:sz w:val="24"/>
          <w:szCs w:val="24"/>
        </w:rPr>
        <w:t xml:space="preserve"> oligotrophic gyres of the ocean have both very </w:t>
      </w:r>
      <w:r w:rsidR="004C33B3" w:rsidRPr="003609FB">
        <w:rPr>
          <w:rFonts w:ascii="Times New Roman" w:hAnsi="Times New Roman" w:cs="Times New Roman"/>
          <w:sz w:val="24"/>
          <w:szCs w:val="24"/>
        </w:rPr>
        <w:lastRenderedPageBreak/>
        <w:t xml:space="preserve">low nutrient influx and high light incidence, giving a harsh combination of nutrient deprivation and high rates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formation that microbes must endure </w:t>
      </w:r>
      <w:r w:rsidR="00227B85" w:rsidRPr="009A35A3">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{"citationID":"flXE3jxK","properties":{"formattedCitation":"(Diaz and Plummer 2018; Zinser 2018b)","plainCitation":"(Diaz and Plummer 2018; Zinser 2018b)","noteIndex":0},"citationItems":[{"id":1796,"uris":["http://zotero.org/users/6128296/items/26WKQXFZ"],"itemData":{"id":1796,"type":"article-journal","abstract":"In aquatic environments, phytoplankton represent a major source of reactive oxygen species (ROS) such as superoxide and hydrogen peroxide. Many phytoplankton taxa also produce extracellular ROS under optimal growth conditions in culture. However, the physiological purpose of extracellular ROS production by phytoplankton and its wider significance to ecosystem-scale trophic interactions and biogeochemistry remain unclear. Here, we review the rates, taxonomic diversity, subcellular mechanisms and functions of extracellular superoxide and hydrogen peroxide production by phytoplankton with a view towards future research directions. Model eukaryotic phytoplankton and cyanobacteria produce extracellular superoxide and hydrogen peroxide at cell-normalized rates that span several orders of magnitude, both within and between taxa. The potential ecophysiological roles of extracellular ROS production are versatile and appear to be shared among diverse phytoplankton species, including ichthyotoxicity, allelopathy, growth promotion, and iron acquisition. Whereas extracellular hydrogen peroxide likely arises from a combination of intracellular and cell surface production mechanisms, extracellular superoxide is predominantly generated by specialized systems for transplasma membrane electron transport. Future insights into the molecular-level basis of extracellular ROS production, combined with existing high-sensitivity geochemical techniques for the direct quantification of ROS dynamics, will help unveil the ecophysiological and biogeochemical significance of phytoplankton-derived ROS in natural aquatic systems.","container-title":"Journal of Plankton Research","DOI":"10.1093/plankt/fby039","ISSN":"0142-7873, 1464-3774","language":"en","source":"DOI.org (Crossref)","title":"Production of extracellular reactive oxygen species by phytoplankton: past and future directions","title-short":"Production of extracellular reactive oxygen species by phytoplankton","URL":"https://academic.oup.com/plankt/advance-article/doi/10.1093/plankt/fby039/5107381","author":[{"family":"Diaz","given":""},{"family":"Plummer","given":"Sydney"}],"accessed":{"date-parts":[["2019",12,17]]},"issued":{"date-parts":[["2018",9,26]]}}},{"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ecosystems","volume":"10","author":[{"family":"Zinser","given":""}],"issued":{"date-parts":[["2018",8]]}}}],"schema":"https://github.com/citation-style-language/schema/raw/master/csl-citation.json"} </w:instrText>
      </w:r>
      <w:r w:rsidR="00227B85" w:rsidRPr="009A35A3">
        <w:rPr>
          <w:rFonts w:ascii="Times New Roman" w:hAnsi="Times New Roman" w:cs="Times New Roman"/>
          <w:sz w:val="24"/>
          <w:szCs w:val="24"/>
        </w:rPr>
        <w:fldChar w:fldCharType="separate"/>
      </w:r>
      <w:r w:rsidR="00BF4898">
        <w:rPr>
          <w:rFonts w:ascii="Times New Roman" w:hAnsi="Times New Roman" w:cs="Times New Roman"/>
          <w:sz w:val="24"/>
          <w:szCs w:val="24"/>
        </w:rPr>
        <w:t>(Diaz and Plummer 2018; Zinser 2018b)</w:t>
      </w:r>
      <w:r w:rsidR="00227B85" w:rsidRPr="009A35A3">
        <w:rPr>
          <w:rFonts w:ascii="Times New Roman" w:hAnsi="Times New Roman" w:cs="Times New Roman"/>
          <w:sz w:val="24"/>
          <w:szCs w:val="24"/>
        </w:rPr>
        <w:fldChar w:fldCharType="end"/>
      </w:r>
      <w:r w:rsidR="004C33B3" w:rsidRPr="009A35A3">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C33B3" w:rsidRPr="009A35A3">
        <w:rPr>
          <w:rFonts w:ascii="Times New Roman" w:hAnsi="Times New Roman" w:cs="Times New Roman"/>
          <w:sz w:val="24"/>
          <w:szCs w:val="24"/>
        </w:rPr>
        <w:t>is the most numerically abundant photosynthetic organism in oligotrophic</w:t>
      </w:r>
      <w:r w:rsidR="004C33B3" w:rsidRPr="003609FB">
        <w:rPr>
          <w:rFonts w:ascii="Times New Roman" w:hAnsi="Times New Roman" w:cs="Times New Roman"/>
          <w:sz w:val="24"/>
          <w:szCs w:val="24"/>
        </w:rPr>
        <w:t xml:space="preserve"> waters and is estimated to perform half of the carbon fixation there, yet it cannot live in monoculture with the level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4C33B3" w:rsidRPr="003609FB">
        <w:rPr>
          <w:rFonts w:ascii="Times New Roman" w:hAnsi="Times New Roman" w:cs="Times New Roman"/>
          <w:sz w:val="24"/>
          <w:szCs w:val="24"/>
        </w:rPr>
        <w:t xml:space="preserve"> found in its natural environment. Clearly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C33B3" w:rsidRPr="003609FB">
        <w:rPr>
          <w:rFonts w:ascii="Times New Roman" w:hAnsi="Times New Roman" w:cs="Times New Roman"/>
          <w:sz w:val="24"/>
          <w:szCs w:val="24"/>
        </w:rPr>
        <w:t xml:space="preserve">has evolved a dependence on other microorganisms, allowing it to survive its environment in mixed-culture communities, but not in monocultures </w:t>
      </w:r>
      <w:r w:rsidR="00227B85"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{"citationID":"jyvgzf1j","properties":{"formattedCitation":"(Biller, Berube, et al. 2015; Berube et al. 2015; Morris et al. 2011; Morris, Lenski, and Zinser 2012)","plainCitation":"(Biller, Berube, et al. 2015; Berube et al. 2015; Morris et al. 2011; Morris, Lenski, and Zinser 2012)","noteIndex":0},"citationItems":[{"id":195,"uris":["http://zotero.org/users/6128296/items/T8KNN5NA"],"itemData":{"id":195,"type":"article-journal","abstract":"The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227B8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 Morris, Lenski, and Zinser 2012)</w:t>
      </w:r>
      <w:r w:rsidR="00227B85" w:rsidRPr="003609FB">
        <w:rPr>
          <w:rFonts w:ascii="Times New Roman" w:hAnsi="Times New Roman" w:cs="Times New Roman"/>
          <w:sz w:val="24"/>
          <w:szCs w:val="24"/>
        </w:rPr>
        <w:fldChar w:fldCharType="end"/>
      </w:r>
      <w:r w:rsidR="004C33B3" w:rsidRPr="003609FB">
        <w:rPr>
          <w:rFonts w:ascii="Times New Roman" w:hAnsi="Times New Roman" w:cs="Times New Roman"/>
          <w:sz w:val="24"/>
          <w:szCs w:val="24"/>
        </w:rPr>
        <w:t>.</w:t>
      </w:r>
    </w:p>
    <w:p w14:paraId="0B49AF3D" w14:textId="40B926B5" w:rsidR="001A2337" w:rsidRDefault="004C33B3" w:rsidP="00AB2160">
      <w:pPr>
        <w:pStyle w:val="Heading3"/>
        <w:spacing w:line="360" w:lineRule="auto"/>
      </w:pPr>
      <w:bookmarkStart w:id="6" w:name="_Toc173250011"/>
      <w:r w:rsidRPr="003609FB">
        <w:t xml:space="preserve">Modeling </w:t>
      </w:r>
      <w:r w:rsidR="00986683">
        <w:t>s</w:t>
      </w:r>
      <w:r w:rsidRPr="003609FB">
        <w:t xml:space="preserve">urface </w:t>
      </w:r>
      <w:r w:rsidR="00986683">
        <w:t>o</w:t>
      </w:r>
      <w:r w:rsidRPr="003609FB">
        <w:t xml:space="preserve">cean </w:t>
      </w:r>
      <w:r w:rsidR="00986683">
        <w:t>m</w:t>
      </w:r>
      <w:r w:rsidRPr="003609FB">
        <w:t xml:space="preserve">icrobial </w:t>
      </w:r>
      <w:r w:rsidR="00986683">
        <w:t>c</w:t>
      </w:r>
      <w:r w:rsidRPr="003609FB">
        <w:t>ommunities</w:t>
      </w:r>
      <w:bookmarkEnd w:id="6"/>
    </w:p>
    <w:p w14:paraId="10BDA3E5" w14:textId="77777777" w:rsidR="00351FC4" w:rsidRPr="00351FC4" w:rsidRDefault="00351FC4" w:rsidP="00AB2160">
      <w:pPr>
        <w:spacing w:line="360" w:lineRule="auto"/>
      </w:pPr>
    </w:p>
    <w:p w14:paraId="2B8B57E2" w14:textId="1C645928" w:rsidR="002A1786" w:rsidRPr="003609FB" w:rsidRDefault="004C33B3"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As oligotrophic environments contain a plethora of abiotic and biotic variables, understanding the drivers of marine microbial growth, biogeochemical cycling, and the structure of oligotrophic microbial </w:t>
      </w:r>
      <w:r w:rsidR="00351FC4" w:rsidRPr="003609FB">
        <w:rPr>
          <w:rFonts w:ascii="Times New Roman" w:hAnsi="Times New Roman" w:cs="Times New Roman"/>
          <w:sz w:val="24"/>
          <w:szCs w:val="24"/>
        </w:rPr>
        <w:t>communities</w:t>
      </w:r>
      <w:r w:rsidRPr="003609FB">
        <w:rPr>
          <w:rFonts w:ascii="Times New Roman" w:hAnsi="Times New Roman" w:cs="Times New Roman"/>
          <w:sz w:val="24"/>
          <w:szCs w:val="24"/>
        </w:rPr>
        <w:t xml:space="preserve"> is difficult </w:t>
      </w:r>
      <w:r w:rsidR="00E96D98"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{"citationID":"zBwFpAen","properties":{"formattedCitation":"(Dutkiewicz, Follows, and Bragg 2009; Follows and Dutkiewicz 2011; Hutchinson 1967)","plainCitation":"(Dutkiewicz, Follows, and Bragg 2009; Follows and Dutkiewicz 2011; Hutchinson 1967)","noteIndex":0},"citationItems":[{"id":88,"uris":["http://zotero.org/users/6128296/items/GNGVK9JM"],"itemData":{"id":88,"type":"article-journal","abstract":"We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id":97,"uris":["http://zotero.org/users/6128296/items/DLT5ZCEX"],"itemData":{"id":97,"type":"article-journal","language":"en","page":"10","source":"Zotero","title":"The Paradox of the Plankton","author":[{"family":"Hutchinson","given":""}],"issued":{"date-parts":[["1967"]]}}}],"schema":"https://github.com/citation-style-language/schema/raw/master/csl-citation.json"} </w:instrText>
      </w:r>
      <w:r w:rsidR="00E96D98"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(Dutkiewicz, Follows, and Bragg 2009; Follows and Dutkiewicz 2011; Hutchinson 1967)</w:t>
      </w:r>
      <w:r w:rsidR="00E96D98"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Mathematical models are often used to quantify parameters and interactions within these </w:t>
      </w:r>
      <w:r w:rsidR="00351FC4" w:rsidRPr="003609FB">
        <w:rPr>
          <w:rFonts w:ascii="Times New Roman" w:hAnsi="Times New Roman" w:cs="Times New Roman"/>
          <w:sz w:val="24"/>
          <w:szCs w:val="24"/>
        </w:rPr>
        <w:t>communities</w:t>
      </w:r>
      <w:r w:rsidRPr="003609FB">
        <w:rPr>
          <w:rFonts w:ascii="Times New Roman" w:hAnsi="Times New Roman" w:cs="Times New Roman"/>
          <w:sz w:val="24"/>
          <w:szCs w:val="24"/>
        </w:rPr>
        <w:t xml:space="preserve"> that are problematic to isolate or test with traditional experimental methods</w:t>
      </w:r>
      <w:r w:rsidR="00312A75" w:rsidRPr="003609FB">
        <w:rPr>
          <w:rFonts w:ascii="Times New Roman" w:hAnsi="Times New Roman" w:cs="Times New Roman"/>
          <w:sz w:val="24"/>
          <w:szCs w:val="24"/>
        </w:rPr>
        <w:t xml:space="preserve"> </w:t>
      </w:r>
      <w:r w:rsidR="00312A75" w:rsidRPr="003609FB">
        <w:rPr>
          <w:rFonts w:ascii="Times New Roman" w:hAnsi="Times New Roman" w:cs="Times New Roman"/>
          <w:sz w:val="24"/>
          <w:szCs w:val="24"/>
        </w:rPr>
        <w:fldChar w:fldCharType="begin"/>
      </w:r>
      <w:r w:rsidR="00A53B46">
        <w:rPr>
          <w:rFonts w:ascii="Times New Roman" w:hAnsi="Times New Roman" w:cs="Times New Roman"/>
          <w:sz w:val="24"/>
          <w:szCs w:val="24"/>
        </w:rPr>
        <w:instrText xml:space="preserve"> ADDIN ZOTERO_ITEM CSL_CITATION {"citationID":"ud4BD4ml","properties":{"formattedCitation":"(Saba et al. 2010)","plainCitation":"(Saba et al. 2010)","noteIndex":0},"citationItems":[{"id":225,"uris":["http://zotero.org/users/6128296/items/SAGTHVHX"],"itemData":{"id":225,"type":"article-journal","container-title":"Global Biogeochemical Cycles","DOI":"10.1029/2009GB003655","ISSN":"08866236","issue":"3","journalAbbreviation":"Global Biogeochem. Cycles","language":"en","page":"n/a-n/a","source":"DOI.org (Crossref)","title":"Challenges of modeling depth-integrated marine primary productivity over multiple decades: A case study at BATS and HOT: modeling marine primary productivity","title-short":"Challenges of modeling depth-integrated marine primary productivity over multiple decades","volume":"24","author":[{"family":"Saba","given":""},{"family":"Friedrichs","given":"Marjorie A. M."},{"family":"Carr","given":"Mary-Elena"},{"family":"Antoine","given":"David"},{"family":"Armstrong","given":"Robert A."},{"family":"Asanuma","given":"Ichio"},{"family":"Aumont","given":"Olivier"},{"family":"Bates","given":"Nicholas R."},{"family":"Behrenfeld","given":"Michael J."},{"family":"Bennington","given":"Val"},{"family":"Bopp","given":"Laurent"},{"family":"Bruggeman","given":"Jorn"},{"family":"Buitenhuis","given":"Erik T."},{"family":"Church","given":"Matthew J."},{"family":"Ciotti","given":"Aurea M."},{"family":"Doney","given":"Scott C."},{"family":"Dowell","given":"Mark"},{"family":"Dunne","given":"John"},{"family":"Dutkiewicz","given":"Stephanie"},{"family":"Gregg","given":"Watson"},{"family":"Hoepffner","given":"Nicolas"},{"family":"Hyde","given":"Kimberly J. W."},{"family":"Ishizaka","given":"Joji"},{"family":"Kameda","given":"Takahiko"},{"family":"Karl","given":"David M."},{"family":"Lima","given":"Ivan"},{"family":"Lomas","given":"Michael W."},{"family":"Marra","given":"John"},{"family":"McKinley","given":"Galen A."},{"family":"Mélin","given":"Frédéric"},{"family":"Moore","given":"J. Keith"},{"family":"Morel","given":"André"},{"family":"O'Reilly","given":"John"},{"family":"Salihoglu","given":"Baris"},{"family":"Scardi","given":"Michele"},{"family":"Smyth","given":"Tim J."},{"family":"Tang","given":"Shilin"},{"family":"Tjiputra","given":"Jerry"},{"family":"Uitz","given":"Julia"},{"family":"Vichi","given":"Marcello"},{"family":"Waters","given":"Kirk"},{"family":"Westberry","given":"Toby K."},{"family":"Yool","given":"Andrew"}],"issued":{"date-parts":[["2010",9]]}}}],"schema":"https://github.com/citation-style-language/schema/raw/master/csl-citation.json"} </w:instrText>
      </w:r>
      <w:r w:rsidR="00312A7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(Saba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2010)</w:t>
      </w:r>
      <w:r w:rsidR="00312A75" w:rsidRPr="003609FB">
        <w:rPr>
          <w:rFonts w:ascii="Times New Roman" w:hAnsi="Times New Roman" w:cs="Times New Roman"/>
          <w:sz w:val="24"/>
          <w:szCs w:val="24"/>
        </w:rPr>
        <w:fldChar w:fldCharType="end"/>
      </w:r>
      <w:r w:rsidR="00312A7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This also creates the opportunity to use such models as predictive frameworks for organisms that are difficult to study in their natural environment conditions. Previous mathematical models that describe oceanic cyanobacterial distributions have been either correlative models </w:t>
      </w:r>
      <w:r w:rsidR="00C07F2C"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{"citationID":"CAxgrdbp","properties":{"formattedCitation":"(Flombaum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C07F2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C07F2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that assume only abiotic factors like temperature and light are drivers of microbial abundance, or deterministic models </w:t>
      </w:r>
      <w:r w:rsidR="00C07F2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{"citationID":"lCfEgC8A","properties":{"formattedCitation":"(Dutkiewicz, Follows, and Bragg 2009; Follows et al. 2007; Ward et al. 2017)","plainCitation":"(Dutkiewicz, Follows, and Bragg 2009; Follows et al. 2007; Ward et al. 2017)","noteIndex":0},"citationItems":[{"id":88,"uris":["http://zotero.org/users/6128296/items/GNGVK9JM"],"itemData":{"id":88,"type":"article-journal","abstract":"We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schema":"https://github.com/citation-style-language/schema/raw/master/csl-citation.json"} </w:instrText>
      </w:r>
      <w:r w:rsidR="00C07F2C"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Follows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2007;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2017)</w:t>
      </w:r>
      <w:r w:rsidR="00C07F2C" w:rsidRPr="003609FB">
        <w:rPr>
          <w:rFonts w:ascii="Times New Roman" w:hAnsi="Times New Roman" w:cs="Times New Roman"/>
          <w:sz w:val="24"/>
          <w:szCs w:val="24"/>
        </w:rPr>
        <w:fldChar w:fldCharType="end"/>
      </w:r>
      <w:r w:rsidR="00C07F2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that explore competitive outcomes between microbes using population traits and nutrient supply </w:t>
      </w:r>
      <w:r w:rsidR="00C07F2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{"citationID":"4naI6ftv","properties":{"formattedCitation":"(Dutkiewicz, Follows, and Bragg 2009; Flombaum et al. 2013; Follows et al. 2007; Ward et al. 2017; 2012)","plainCitation":"(Dutkiewicz, Follows, and Bragg 2009; Flombaum et al. 2013; Follows et al. 2007; Ward et al. 2017; 2012)","noteIndex":0},"citationItems":[{"id":88,"uris":["http://zotero.org/users/6128296/items/GNGVK9JM"],"itemData":{"id":88,"type":"article-journal","abstract":"We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id":237,"uris":["http://zotero.org/users/6128296/items/ITNRJJCA"],"itemData":{"id":237,"type":"article-journal","abstract":"We present a model of diverse phytoplankton and zooplankton populations embedded in a global ocean circulation model. Physiological and ecological traits of the organisms are constrained by relationships with cell size. The model qualitatively reproduces global distributions of nutrients, biomass, and primary productivity, and captures the power-law relationship between cell size and numerical density, which has realistic slopes of between 21.3 and 20.8. We use the model to explore the global structure of marine ecosystems, highlighting the importance of both nutrient and grazer controls. The model suggests that zooplankton : phytoplankton (Z : P) biomass ratios may vary from an order of 0.1 in the oligotrophic gyres to an order of 10 in upwelling and highlatitude regions. Global estimates of the strength of bottom-up and top-down controls within plankton size classes suggest that these large-scale gradients in Z : P ratios are driven by a shift from strong bottom-up, nutrient limitation in the oligotrophic gyres to the dominance of top-down, grazing controls in more productive regions.","container-title":"Limnology and Oceanography","DOI":"10.4319/lo.2012.57.6.1877","ISSN":"00243590","issue":"6","journalAbbreviation":"Limnol. Oceanogr.","language":"en","page":"1877-1891","source":"DOI.org (Crossref)","title":"A size-structured food-web model for the global ocean","volume":"57","author":[{"family":"Ward","given":"B. A."},{"family":"Dutkiewicz","given":"S."},{"family":"Jahn","given":"O."},{"family":"Follows","given":"M. J."}],"issued":{"date-parts":[["2012",11]]}}}],"schema":"https://github.com/citation-style-language/schema/raw/master/csl-citation.json"} </w:instrText>
      </w:r>
      <w:r w:rsidR="00C07F2C"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w:t>
      </w:r>
      <w:proofErr w:type="spellStart"/>
      <w:r w:rsidR="009D7443">
        <w:rPr>
          <w:rFonts w:ascii="Times New Roman" w:hAnsi="Times New Roman" w:cs="Times New Roman"/>
          <w:sz w:val="24"/>
          <w:szCs w:val="24"/>
        </w:rPr>
        <w:t>Flombaum</w:t>
      </w:r>
      <w:proofErr w:type="spellEnd"/>
      <w:r w:rsidR="009D744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2013; Follows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2007;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2017; 2012)</w:t>
      </w:r>
      <w:r w:rsidR="00C07F2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However, there has yet to be a model that considers the influence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and nutrient balances on large-scale oceanic microbial distributions</w:t>
      </w:r>
      <w:r w:rsidR="00057901">
        <w:rPr>
          <w:rFonts w:ascii="Times New Roman" w:hAnsi="Times New Roman" w:cs="Times New Roman"/>
          <w:sz w:val="24"/>
          <w:szCs w:val="24"/>
        </w:rPr>
        <w:t xml:space="preserve"> using these deterministic methods</w:t>
      </w:r>
      <w:r w:rsidRPr="003609FB">
        <w:rPr>
          <w:rFonts w:ascii="Times New Roman" w:hAnsi="Times New Roman" w:cs="Times New Roman"/>
          <w:sz w:val="24"/>
          <w:szCs w:val="24"/>
        </w:rPr>
        <w:t xml:space="preserve">. Correlative models that assume abiotic factors like temperature and light are drivers of microbial abundance innately contain the light and temperature dependencies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and further, cell death via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yet do not track or represent it plainly. </w:t>
      </w:r>
      <w:r w:rsidR="00057901">
        <w:rPr>
          <w:rFonts w:ascii="Times New Roman" w:hAnsi="Times New Roman" w:cs="Times New Roman"/>
          <w:sz w:val="24"/>
          <w:szCs w:val="24"/>
        </w:rPr>
        <w:t xml:space="preserve">This thesis aims to add deterministic value to marine global model regarding </w:t>
      </w:r>
      <w:r w:rsidR="00057901" w:rsidRPr="003609FB">
        <w:rPr>
          <w:rFonts w:ascii="Times New Roman" w:hAnsi="Times New Roman" w:cs="Times New Roman"/>
          <w:sz w:val="24"/>
          <w:szCs w:val="24"/>
        </w:rPr>
        <w:t>H</w:t>
      </w:r>
      <w:r w:rsidR="00057901" w:rsidRPr="00351FC4">
        <w:rPr>
          <w:rFonts w:ascii="Times New Roman" w:hAnsi="Times New Roman" w:cs="Times New Roman"/>
          <w:sz w:val="24"/>
          <w:szCs w:val="24"/>
          <w:vertAlign w:val="subscript"/>
        </w:rPr>
        <w:t>2</w:t>
      </w:r>
      <w:r w:rsidR="00057901" w:rsidRPr="003609FB">
        <w:rPr>
          <w:rFonts w:ascii="Times New Roman" w:hAnsi="Times New Roman" w:cs="Times New Roman"/>
          <w:sz w:val="24"/>
          <w:szCs w:val="24"/>
        </w:rPr>
        <w:t>O</w:t>
      </w:r>
      <w:r w:rsidR="00057901" w:rsidRPr="00351FC4">
        <w:rPr>
          <w:rFonts w:ascii="Times New Roman" w:hAnsi="Times New Roman" w:cs="Times New Roman"/>
          <w:sz w:val="24"/>
          <w:szCs w:val="24"/>
          <w:vertAlign w:val="subscript"/>
        </w:rPr>
        <w:t>2</w:t>
      </w:r>
      <w:r w:rsidR="00057901">
        <w:rPr>
          <w:rFonts w:ascii="Times New Roman" w:hAnsi="Times New Roman" w:cs="Times New Roman"/>
          <w:sz w:val="24"/>
          <w:szCs w:val="24"/>
        </w:rPr>
        <w:t xml:space="preserve">. </w:t>
      </w:r>
    </w:p>
    <w:p w14:paraId="19660D6C" w14:textId="3565404E" w:rsidR="00583206" w:rsidRPr="003609FB" w:rsidRDefault="004C33B3"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Current biochemically resolved circulation models of Earth’s oceans </w:t>
      </w:r>
      <w:r w:rsidR="00F2138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{"citationID":"1VFnsBhc","properties":{"formattedCitation":"(Carroll et al. 2020; Ward et al. 2012)","plainCitation":"(Carroll et al. 2020; Ward et al. 2012)","noteIndex":0},"citationItems":[{"id":2251,"uris":["http://zoter</w:instrText>
      </w:r>
      <w:r w:rsidR="009D7443">
        <w:rPr>
          <w:rFonts w:ascii="Times New Roman" w:hAnsi="Times New Roman" w:cs="Times New Roman" w:hint="eastAsia"/>
          <w:sz w:val="24"/>
          <w:szCs w:val="24"/>
        </w:rPr>
        <w:instrText>o.org/users/6128296/items/HU3BK8EJ"],"itemData":{"id":2251,"type":"article-journal","container-title":"Journal of Advances in Modeling Earth Systems","DOI":"https://doi.org/10.1029/2019MS001888","issue":"e2019MS001888","title":"The ECCO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Darwin data</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assimilative global ocean biogeochemistry model: Estimates of seasonal to multidecadal surface ocean pCO2 and air</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sea CO2 flux.","volume":"23","author":[{"family":"Carroll","given":""},{"family":"Menemenlis","given":"D"},{"family":"Adkins","given":"J.F."},{"fam</w:instrText>
      </w:r>
      <w:r w:rsidR="009D7443">
        <w:rPr>
          <w:rFonts w:ascii="Times New Roman" w:hAnsi="Times New Roman" w:cs="Times New Roman"/>
          <w:sz w:val="24"/>
          <w:szCs w:val="24"/>
        </w:rPr>
        <w:instrText xml:space="preserve">ily":"Bowman","given":"K.W."},{"family":"Brix","given":"H"},{"family":"Dutkiewicz","given":"S"}],"issued":{"date-parts":[["2020"]]}}},{"id":237,"uris":["http://zotero.org/users/6128296/items/ITNRJJCA"],"itemData":{"id":237,"type":"article-journal","abstract":"We present a model of diverse phytoplankton and zooplankton populations embedded in a global ocean circulation model. Physiological and ecological traits of the organisms are constrained by relationships with cell size. The model qualitatively reproduces global distributions of nutrients, biomass, and primary productivity, and captures the power-law relationship between cell size and numerical density, which has realistic slopes of between 21.3 and 20.8. We use the model to explore the global structure of marine ecosystems, highlighting the importance of both nutrient and grazer controls. The model suggests that zooplankton : phytoplankton (Z : P) biomass ratios may vary from an order of 0.1 in the oligotrophic gyres to an order of 10 in upwelling and highlatitude regions. Global estimates of the strength of bottom-up and top-down controls within plankton size classes suggest that these large-scale gradients in Z : P ratios are driven by a shift from strong bottom-up, nutrient limitation in the oligotrophic gyres to the dominance of top-down, grazing controls in more productive regions.","container-title":"Limnology and Oceanography","DOI":"10.4319/lo.2012.57.6.1877","ISSN":"00243590","issue":"6","journalAbbreviation":"Limnol. Oceanogr.","language":"en","page":"1877-1891","source":"DOI.org (Crossref)","title":"A size-structured food-web model for the global ocean","volume":"57","author":[{"family":"Ward","given":"B. A."},{"family":"Dutkiewicz","given":"S."},{"family":"Jahn","given":"O."},{"family":"Follows","given":"M. J."}],"issued":{"date-parts":[["2012",11]]}}}],"schema":"https://github.com/citation-style-language/schema/raw/master/csl-citation.json"} </w:instrText>
      </w:r>
      <w:r w:rsidR="00F2138B"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(Carroll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2020;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2012)</w:t>
      </w:r>
      <w:r w:rsidR="00F2138B" w:rsidRPr="003609FB">
        <w:rPr>
          <w:rFonts w:ascii="Times New Roman" w:hAnsi="Times New Roman" w:cs="Times New Roman"/>
          <w:sz w:val="24"/>
          <w:szCs w:val="24"/>
        </w:rPr>
        <w:fldChar w:fldCharType="end"/>
      </w:r>
      <w:r w:rsidR="00F2138B" w:rsidRPr="003609FB">
        <w:rPr>
          <w:rFonts w:ascii="Times New Roman" w:hAnsi="Times New Roman" w:cs="Times New Roman"/>
          <w:sz w:val="24"/>
          <w:szCs w:val="24"/>
        </w:rPr>
        <w:t xml:space="preserve"> </w:t>
      </w:r>
      <w:r w:rsidRPr="003609FB">
        <w:rPr>
          <w:rFonts w:ascii="Times New Roman" w:hAnsi="Times New Roman" w:cs="Times New Roman"/>
          <w:sz w:val="24"/>
          <w:szCs w:val="24"/>
        </w:rPr>
        <w:t>agree with niche models and limited data</w:t>
      </w:r>
      <w:sdt>
        <w:sdtPr>
          <w:rPr>
            <w:rFonts w:ascii="Times New Roman" w:hAnsi="Times New Roman" w:cs="Times New Roman"/>
            <w:sz w:val="24"/>
            <w:szCs w:val="24"/>
          </w:rPr>
          <w:tag w:val="MENDELEY_CITATION_v3_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"/>
          <w:id w:val="1511949320"/>
          <w:placeholder>
            <w:docPart w:val="28BF4D35504EEE49BEA7A8B78C3292B5"/>
          </w:placeholder>
        </w:sdtPr>
        <w:sdtContent>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Flombaum</w:t>
          </w:r>
          <w:proofErr w:type="spellEnd"/>
          <w:r w:rsidRPr="003609FB">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Pr="003609FB">
            <w:rPr>
              <w:rFonts w:ascii="Times New Roman" w:hAnsi="Times New Roman" w:cs="Times New Roman"/>
              <w:sz w:val="24"/>
              <w:szCs w:val="24"/>
            </w:rPr>
            <w:t xml:space="preserve">., 2013; </w:t>
          </w:r>
          <w:proofErr w:type="spellStart"/>
          <w:r w:rsidRPr="003609FB">
            <w:rPr>
              <w:rFonts w:ascii="Times New Roman" w:hAnsi="Times New Roman" w:cs="Times New Roman"/>
              <w:sz w:val="24"/>
              <w:szCs w:val="24"/>
            </w:rPr>
            <w:t>Partensky</w:t>
          </w:r>
          <w:proofErr w:type="spellEnd"/>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Blanchot</w:t>
          </w:r>
          <w:proofErr w:type="spellEnd"/>
          <w:r w:rsidRPr="003609FB">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Pr="003609FB">
            <w:rPr>
              <w:rFonts w:ascii="Times New Roman" w:hAnsi="Times New Roman" w:cs="Times New Roman"/>
              <w:sz w:val="24"/>
              <w:szCs w:val="24"/>
            </w:rPr>
            <w:t>., 1999)</w:t>
          </w:r>
        </w:sdtContent>
      </w:sdt>
      <w:r w:rsidRPr="003609FB">
        <w:rPr>
          <w:rFonts w:ascii="Times New Roman" w:hAnsi="Times New Roman" w:cs="Times New Roman"/>
          <w:sz w:val="24"/>
          <w:szCs w:val="24"/>
        </w:rPr>
        <w:t xml:space="preserve"> indicating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dominates in the most oligotrophic marine surface regions</w:t>
      </w:r>
      <w:r w:rsidR="00F2138B" w:rsidRPr="003609FB">
        <w:rPr>
          <w:rFonts w:ascii="Times New Roman" w:hAnsi="Times New Roman" w:cs="Times New Roman"/>
          <w:sz w:val="24"/>
          <w:szCs w:val="24"/>
        </w:rPr>
        <w:t xml:space="preserve"> </w:t>
      </w:r>
      <w:r w:rsidR="00F2138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{"citationID":"nASjMd4w","properties":{"formattedCitation":"(Dutkiewicz, Follows, and Bragg 2009; Follows and Dutkiewicz 2011; Ward et al. 2017)","plainCitation":"(Dutkiewicz, Follows, and Bragg 2009; Follows and Dutkiewicz 2011; Ward et al. 2017)","noteIndex":0},"citationItems":[{"id":88,"uris":["http://zotero.org/users/6128296/items/GNGVK9JM"],"itemData":{"id":88,"type":"article-journal","abstract":"We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schema":"https://github.com/citation-style-language/schema/raw/master/csl-citation.json"} </w:instrText>
      </w:r>
      <w:r w:rsidR="00F2138B"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Follows and Dutkiewicz 2011;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2017)</w:t>
      </w:r>
      <w:r w:rsidR="00F2138B" w:rsidRPr="003609FB">
        <w:rPr>
          <w:rFonts w:ascii="Times New Roman" w:hAnsi="Times New Roman" w:cs="Times New Roman"/>
          <w:sz w:val="24"/>
          <w:szCs w:val="24"/>
        </w:rPr>
        <w:fldChar w:fldCharType="end"/>
      </w:r>
      <w:r w:rsidR="00F2138B"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While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’s streamlining-induced specialization regarding nutrients </w:t>
      </w:r>
      <w:r w:rsidR="0020225C" w:rsidRPr="003609FB">
        <w:rPr>
          <w:rFonts w:ascii="Times New Roman" w:hAnsi="Times New Roman" w:cs="Times New Roman"/>
          <w:sz w:val="24"/>
          <w:szCs w:val="24"/>
        </w:rPr>
        <w:t>has been</w:t>
      </w:r>
      <w:r w:rsidRPr="003609FB">
        <w:rPr>
          <w:rFonts w:ascii="Times New Roman" w:hAnsi="Times New Roman" w:cs="Times New Roman"/>
          <w:sz w:val="24"/>
          <w:szCs w:val="24"/>
        </w:rPr>
        <w:t xml:space="preserve"> incorporated</w:t>
      </w:r>
      <w:r w:rsidR="0020225C" w:rsidRPr="003609FB">
        <w:rPr>
          <w:rFonts w:ascii="Times New Roman" w:hAnsi="Times New Roman" w:cs="Times New Roman"/>
          <w:sz w:val="24"/>
          <w:szCs w:val="24"/>
        </w:rPr>
        <w:t xml:space="preserve"> </w:t>
      </w:r>
      <w:r w:rsidR="0020225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{"citationID":"95WeZAZu","properties":{"formattedCitation":"(Dutkiewicz, Follows, and Bragg 2009; Masuda et al. 2023; Ward and Follows 2016)","plainCitation":"(Dutkiewicz, Follows, and Bragg 2009; Masuda et al. 2023; Ward and Follows 2016)","noteIndex":0},"citationItems":[{"id":88,"uris":["http://zotero.org/users/6128296/items/GNGVK9JM"],"itemData":{"id":88,"type":"article-journal","abstract":"We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Ying"}],"issued":{"date-parts":[["2023",8,17]]}}},{"id":3635,"uris":["http://zotero.org/users/6128296/items/8T4KZPDH"],"itemData":{"id":3635,"type":"article-journal","abstract":"Significance\n            Marine plankton commonly combine the autotrophic use of light and inorganic resources with the heterotrophic ingestion of prey. These mixotrophs blur the strict boundary between producers and consumers and allow energy and biomass to enter the food web across multiple trophic levels. Incorporating this flexibility into a global simulation of the surface ocean food web reveals that mixotrophy enhances the transfer of biomass to larger organisms at higher trophic levels, which in turn increases the efficiency of oceanic carbon storage through the production of larger, faster-sinking, and carbon-enriched organic detritus.\n          , \n            Mixotrophic plankton, which combine the uptake of inorganic resources and the ingestion of living prey, are ubiquitous in marine ecosystems, but their integrated biogeochemical impacts remain unclear. We address this issue by removing the strict distinction between phytoplankton and zooplankton from a global model of the marine plankton food web. This simplification allows the emergence of a realistic trophic network with increased fidelity to empirical estimates of plankton community structure and elemental stoichiometry, relative to a system in which autotrophy and heterotrophy are mutually exclusive. Mixotrophy enhances the transfer of biomass to larger sizes classes further up the food chain, leading to an approximately threefold increase in global mean organism size and 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35% increase in sinking carbon flux.","container-title":"Proceedings of the National Academy of Sciences","DOI":"10.1073/pnas.1517118113","ISSN":"0027-8424, 1091-6490","issue":"11","journalAbbreviation":"Proc. Natl. Acad. Sci. U.S.A.","language":"en","page":"2958-2963","source":"DOI.org (Crossref)","title":"Marine mixotrophy increases trophic transfer efficiency, mean organism size, and vertical carbon flux","volume":"113","author":[{"family":"Ward","given":""},{"family":"Follows","given":"Michael J."}],"issued":{"date-parts":[["2016",3,15]]}}}],"schema":"https://github.com/citation-style-language/schema/raw/master/csl-citation.json"} </w:instrText>
      </w:r>
      <w:r w:rsidR="0020225C"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Masuda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2023; Ward and Follows 2016)</w:t>
      </w:r>
      <w:r w:rsidR="0020225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into empirical, predictive models, the known phytoplankton death processes </w:t>
      </w:r>
      <w:r w:rsidR="005A5C8B">
        <w:rPr>
          <w:rFonts w:ascii="Times New Roman" w:hAnsi="Times New Roman" w:cs="Times New Roman"/>
          <w:sz w:val="24"/>
          <w:szCs w:val="24"/>
        </w:rPr>
        <w:t xml:space="preserve">of </w:t>
      </w:r>
      <w:r w:rsidR="005A5C8B" w:rsidRPr="005A5C8B">
        <w:rPr>
          <w:rFonts w:ascii="Times" w:hAnsi="Times" w:cs="Times New Roman"/>
          <w:i/>
          <w:iCs/>
          <w:color w:val="000000" w:themeColor="text1"/>
          <w:sz w:val="24"/>
          <w:szCs w:val="24"/>
        </w:rPr>
        <w:t>Prochlorococcus</w:t>
      </w:r>
      <w:r w:rsidR="005A5C8B">
        <w:rPr>
          <w:rFonts w:ascii="Times New Roman" w:hAnsi="Times New Roman" w:cs="Times New Roman"/>
          <w:sz w:val="24"/>
          <w:szCs w:val="24"/>
        </w:rPr>
        <w:t xml:space="preserve"> </w:t>
      </w:r>
      <w:r w:rsidRPr="003609FB">
        <w:rPr>
          <w:rFonts w:ascii="Times New Roman" w:hAnsi="Times New Roman" w:cs="Times New Roman"/>
          <w:sz w:val="24"/>
          <w:szCs w:val="24"/>
        </w:rPr>
        <w:t xml:space="preserve">have been </w:t>
      </w:r>
      <w:r w:rsidR="005A5C8B">
        <w:rPr>
          <w:rFonts w:ascii="Times New Roman" w:hAnsi="Times New Roman" w:cs="Times New Roman"/>
          <w:sz w:val="24"/>
          <w:szCs w:val="24"/>
        </w:rPr>
        <w:t xml:space="preserve">less noted </w:t>
      </w:r>
      <w:r w:rsidR="0020225C" w:rsidRPr="003609FB">
        <w:rPr>
          <w:rFonts w:ascii="Times New Roman" w:hAnsi="Times New Roman" w:cs="Times New Roman"/>
          <w:sz w:val="24"/>
          <w:szCs w:val="24"/>
        </w:rPr>
        <w:fldChar w:fldCharType="begin"/>
      </w:r>
      <w:r w:rsidR="00BF4898">
        <w:rPr>
          <w:rFonts w:ascii="Times New Roman" w:hAnsi="Times New Roman" w:cs="Times New Roman" w:hint="eastAsia"/>
          <w:sz w:val="24"/>
          <w:szCs w:val="24"/>
        </w:rPr>
        <w:instrText xml:space="preserve"> ADDIN ZOTERO_ITEM CSL_CITATION {"citationID":"GwhaE6P7","properties":{"formattedCitation":"(Anderson, Diou\\uc0\\u8208{}Cass, and Harvey 2018; Hinson et al. 2023)","plainCitation":"(Anderson, Diou</w:instrText>
      </w:r>
      <w:r w:rsidR="00BF4898">
        <w:rPr>
          <w:rFonts w:ascii="Times New Roman" w:hAnsi="Times New Roman" w:cs="Times New Roman" w:hint="eastAsia"/>
          <w:sz w:val="24"/>
          <w:szCs w:val="24"/>
        </w:rPr>
        <w:instrText>‐</w:instrText>
      </w:r>
      <w:r w:rsidR="00BF4898">
        <w:rPr>
          <w:rFonts w:ascii="Times New Roman" w:hAnsi="Times New Roman" w:cs="Times New Roman" w:hint="eastAsia"/>
          <w:sz w:val="24"/>
          <w:szCs w:val="24"/>
        </w:rPr>
        <w:instrText>Cass, and Harvey 2018; Hinson et al. 2023)","noteIndex":0</w:instrText>
      </w:r>
      <w:r w:rsidR="00BF4898">
        <w:rPr>
          <w:rFonts w:ascii="Times New Roman" w:hAnsi="Times New Roman" w:cs="Times New Roman"/>
          <w:sz w:val="24"/>
          <w:szCs w:val="24"/>
        </w:rPr>
        <w:instrText>},"citationItems":[{"id":3037,"uris":["http://zotero.org/users/6128296/items/LSW8U5R7"],"itemData":{"id":3037,"type":"article-journal","abstract":"Rates of phytoplankton growth and mortality are poorly deﬁned over short-time scales (hours to days), despite these scales being relevant over the daily tidal cycle in coastal marine areas. To assess the inﬂuence of tidal variability on phytoplankton rates, we performed eight, same-day dilution experiments at high and low tide (6-h intervals) in the Skidaway River Estuary, Georgia, measuring phytoplankton growth, microzooplankton grazing, and virus-induced mortality. Chlorophyll and group-speciﬁc biomass (Synechococcus spp., picoeukaryotes, and nanoeukaryotes) varied between tides and multidimensional scaling clustering of tidal biomass revealed separation in community composition based on tide. Rates also varied signiﬁcantly over the tidal cycle, especially microzooplankton grazing, which was higher at low tide in most experiments with rates ranging from 0–3.77 d−1 at low tide to 0–1.51 d−1 at high tide. Virus-induced mortality rates were rarely detected, only being observed in Synechococcus spp. in three experiments (0.3–0.8 d−1) and picoeukaryotes twice (~ 0.36 d−1). The differences in grazing and growth rates observed between the two tides were not explained by temperature, salinity, or sunlight (i.e., time of day) and grazing was only weakly explained by initial chlorophyll concentration (R2 = 0.36), highlighting the inﬂuence of community composition on rate measurements. These results suggest that within tidally inﬂuenced areas, short-term sampling over the tidal cycle is essential to accurately characterize daily phytoplankton dynamics and reliably monitor and predict shifts in primary production and coastal ecosystem health.","container-title":"Limnology and Oceanography","DOI":"10.1002/lno.10948","ISSN":"0024-3590, 1939-5590","issue":"6","journalAbbreviation":"Limnol Oceanogr","language":"en","page":"2411-2422","source":"DOI.org (Crossref)","title":"Sh</w:instrText>
      </w:r>
      <w:r w:rsidR="00BF4898">
        <w:rPr>
          <w:rFonts w:ascii="Times New Roman" w:hAnsi="Times New Roman" w:cs="Times New Roman" w:hint="eastAsia"/>
          <w:sz w:val="24"/>
          <w:szCs w:val="24"/>
        </w:rPr>
        <w:instrText>ort</w:instrText>
      </w:r>
      <w:r w:rsidR="00BF4898">
        <w:rPr>
          <w:rFonts w:ascii="Times New Roman" w:hAnsi="Times New Roman" w:cs="Times New Roman" w:hint="eastAsia"/>
          <w:sz w:val="24"/>
          <w:szCs w:val="24"/>
        </w:rPr>
        <w:instrText>‐</w:instrText>
      </w:r>
      <w:r w:rsidR="00BF4898">
        <w:rPr>
          <w:rFonts w:ascii="Times New Roman" w:hAnsi="Times New Roman" w:cs="Times New Roman" w:hint="eastAsia"/>
          <w:sz w:val="24"/>
          <w:szCs w:val="24"/>
        </w:rPr>
        <w:instrText>term estimates of phytoplankton growth and mortality in a tidal estuary","volume":"63","author":[{"family":"Anderson","given":""},{"family":"Diou</w:instrText>
      </w:r>
      <w:r w:rsidR="00BF4898">
        <w:rPr>
          <w:rFonts w:ascii="Times New Roman" w:hAnsi="Times New Roman" w:cs="Times New Roman" w:hint="eastAsia"/>
          <w:sz w:val="24"/>
          <w:szCs w:val="24"/>
        </w:rPr>
        <w:instrText>‐</w:instrText>
      </w:r>
      <w:r w:rsidR="00BF4898">
        <w:rPr>
          <w:rFonts w:ascii="Times New Roman" w:hAnsi="Times New Roman" w:cs="Times New Roman" w:hint="eastAsia"/>
          <w:sz w:val="24"/>
          <w:szCs w:val="24"/>
        </w:rPr>
        <w:instrText>Cass","given":"Quintin P."},{"family":"Harvey","given":"Elizabeth L."}],"issued":{"date-parts":[["2018",1</w:instrText>
      </w:r>
      <w:r w:rsidR="00BF4898">
        <w:rPr>
          <w:rFonts w:ascii="Times New Roman" w:hAnsi="Times New Roman" w:cs="Times New Roman"/>
          <w:sz w:val="24"/>
          <w:szCs w:val="24"/>
        </w:rPr>
        <w:instrText>1]]}}},{"id":3733,"uris":["http://zotero.org/users/6128296/items/YTU9BJ5Q"],"itemData":{"id":3733,"type":"article-journal","abstract":"The inﬂuence of viruses on nutrient cycles and energy transfer in aquatic systems is important, yet still being determined. We developed a dynamic model to capture the population dynamics of algal hosts and their viruses. The model was ﬁtted to literature data of population dynamics during laboratory one-step infection experiments. Model parameters that underlie population dynamics were quantiﬁed in diverse algal groups, covering 7 different algal classes, 14 different host genera, and 32 different virus genotypes. The hypothesis that trade-offs exist between traits that underlie population dynamics was evaluated. We report a possible virus sizedependent trade-off between the rate at which viruses can initiate infection, and the efﬁciency of carbon transfer from hosts to viruses upon lysis. We hypothesize that slower rates of infection in large viruses, due to slower rates of molecular diffusion, are compensated by enhanced utilization of host resources. Our approach provides a quantitative trait-framework for understanding and quantifying virus activity in diverse natural communities.","container-title":"Limnology and Oce</w:instrText>
      </w:r>
      <w:r w:rsidR="00BF4898">
        <w:rPr>
          <w:rFonts w:ascii="Times New Roman" w:hAnsi="Times New Roman" w:cs="Times New Roman" w:hint="eastAsia"/>
          <w:sz w:val="24"/>
          <w:szCs w:val="24"/>
        </w:rPr>
        <w:instrText>anography","DOI":"10.1002/lno.12256","ISSN":"0024-3590, 1939-5590","issue":"1","journalAbbreviation":"Limnology &amp; Oceanography","language":"en","page":"165-180","source":"DOI.org (Crossref)","title":"A model of algal</w:instrText>
      </w:r>
      <w:r w:rsidR="00BF4898">
        <w:rPr>
          <w:rFonts w:ascii="Times New Roman" w:hAnsi="Times New Roman" w:cs="Times New Roman" w:hint="eastAsia"/>
          <w:sz w:val="24"/>
          <w:szCs w:val="24"/>
        </w:rPr>
        <w:instrText>‐</w:instrText>
      </w:r>
      <w:r w:rsidR="00BF4898">
        <w:rPr>
          <w:rFonts w:ascii="Times New Roman" w:hAnsi="Times New Roman" w:cs="Times New Roman" w:hint="eastAsia"/>
          <w:sz w:val="24"/>
          <w:szCs w:val="24"/>
        </w:rPr>
        <w:instrText>virus population dynamics reveals unde</w:instrText>
      </w:r>
      <w:r w:rsidR="00BF4898">
        <w:rPr>
          <w:rFonts w:ascii="Times New Roman" w:hAnsi="Times New Roman" w:cs="Times New Roman"/>
          <w:sz w:val="24"/>
          <w:szCs w:val="24"/>
        </w:rPr>
        <w:instrText xml:space="preserve">rlying controls on material transfer","volume":"68","author":[{"family":"Hinson","given":""},{"family":"Papoulis","given":"Spiro"},{"family":"Fiet","given":"Lucas"},{"family":"Knight","given":"Margaret"},{"family":"Cho","given":"Priscilla"},{"family":"Szeltner","given":"Brielle"},{"family":"Sgouralis","given":"Ioannis"},{"family":"Talmy","given":"David"}],"issued":{"date-parts":[["2023",1]]}}}],"schema":"https://github.com/citation-style-language/schema/raw/master/csl-citation.json"} </w:instrText>
      </w:r>
      <w:r w:rsidR="0020225C"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(Anderson, </w:t>
      </w:r>
      <w:proofErr w:type="spellStart"/>
      <w:r w:rsidR="006C2922" w:rsidRPr="006C2922">
        <w:rPr>
          <w:rFonts w:ascii="Times New Roman" w:hAnsi="Times New Roman" w:cs="Times New Roman"/>
          <w:sz w:val="24"/>
        </w:rPr>
        <w:t>Diou</w:t>
      </w:r>
      <w:proofErr w:type="spellEnd"/>
      <w:r w:rsidR="006C2922" w:rsidRPr="006C2922">
        <w:rPr>
          <w:rFonts w:ascii="Times New Roman" w:hAnsi="Times New Roman" w:cs="Times New Roman"/>
          <w:sz w:val="24"/>
        </w:rPr>
        <w:t xml:space="preserve">‐Cass, and Harvey 2018; Hinson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2023)</w:t>
      </w:r>
      <w:r w:rsidR="0020225C" w:rsidRPr="003609FB">
        <w:rPr>
          <w:rFonts w:ascii="Times New Roman" w:hAnsi="Times New Roman" w:cs="Times New Roman"/>
          <w:sz w:val="24"/>
          <w:szCs w:val="24"/>
        </w:rPr>
        <w:fldChar w:fldCharType="end"/>
      </w:r>
      <w:r w:rsidR="0020225C" w:rsidRPr="003609FB">
        <w:rPr>
          <w:rFonts w:ascii="Times New Roman" w:hAnsi="Times New Roman" w:cs="Times New Roman"/>
          <w:sz w:val="24"/>
          <w:szCs w:val="24"/>
        </w:rPr>
        <w:t>.</w:t>
      </w:r>
      <w:r w:rsidRPr="003609FB">
        <w:rPr>
          <w:rFonts w:ascii="Times New Roman" w:hAnsi="Times New Roman" w:cs="Times New Roman"/>
          <w:sz w:val="24"/>
          <w:szCs w:val="24"/>
        </w:rPr>
        <w:t xml:space="preserve"> The inclusion of phototrophic levels </w:t>
      </w:r>
      <w:r w:rsidR="00135801"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{"citationID":"EMsGO3Ax","properties":{"formattedCitation":"(Dutkiewicz, Follows, and Bragg 2009; Dutkiewicz, Scott, and Follows 2013)","plainCitation":"(Dutkiewicz, Follows, and Bragg 2009; Dutkiewicz, Scott, and Follows 2013)","noteIndex":0},"citationItems":[{"id":88,"uris":["http://zotero.org/users/6128296/items/GNGVK9JM"],"itemData":{"id":88,"type":"article-journal","abstract":"We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G."}],"issued":{"date-parts":[["2009",12]]}}},{"id":4149,"uris":["http://zotero.org/users/6128296/items/522R3HZR"],"itemData":{"id":4149,"type":"article-journal","abstract":"We employ a marine ecosystem model, with diverse and flexible phytoplankton communities, coupled to an Earth system model of intermediate complexity to explore mechanisms that will alter the biogeography and productivity of phytoplankton populations in a warming world. Simple theoretical frameworks and sensitivity experiments reveal that ecological and biogeochemical changes are driven by a balance between two impacts of a warming climate: higher metabolic rates (the “direct” effect), and changes in the supply of limiting nutrients and altered light environments (the “indirect” effect). On globally integrated productivity, the two effects compensate to a large degree. Regionally, the competition between effects is more complicated; patterns of productivity changes are different between high and low latitudes and are also regulated by how the supply of the limiting nutrient changes. These complex regional patterns are also found in the changes to broad phytoplankton functional groups. On the finer ecological scale of diversity within functional groups, we find that ranges of some phytoplankton types are reduced, while those of others (potentially minor players in the present ocean) expand. Combined change in areal extent of range and in regionally available nutrients leads to global “winners and losers.” The model suggests that the strongest and most robust signal of the warming ocean is likely to be the large turnover in local phytoplankton community composition.\nProductivity changes are balance of direct and indirect effects of warming\n Phytoplankton type range shifts lead to global and regional winners and losers\n Clearest signal of climate change will be shifts in community at specieslevel","container-title":"Global Biogeochemical Cycles","DOI":"10.1002/gbc.20042","ISSN":"0886-6236, 1944-9224","issue":"2","journalAbbreviation":"Global Biogeochemical Cycles","language":"en","page":"463-477","source":"DOI.org (Crossref)","title":"Winners and losers: Ecological and biogeochemical changes in a warming ocean","title-short":"Winners and losers","volume":"27","author":[{"family":"Dutkiewicz","given":""},{"family":"Scott","given":"J. R."},{"family":"Follows","given":"M. J."}],"issued":{"date-parts":[["2013",6]]}}}],"schema":"https://github.com/citation-style-language/schema/raw/master/csl-citation.json"} </w:instrText>
      </w:r>
      <w:r w:rsidR="00135801"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(Dutkiewicz, Follows, and Bragg 2009; Dutkiewicz, Scott, and Follows 2013)</w:t>
      </w:r>
      <w:r w:rsidR="0013580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predation like grazers</w:t>
      </w:r>
      <w:r w:rsidR="00135801" w:rsidRPr="003609FB">
        <w:rPr>
          <w:rFonts w:ascii="Times New Roman" w:hAnsi="Times New Roman" w:cs="Times New Roman"/>
          <w:sz w:val="24"/>
          <w:szCs w:val="24"/>
        </w:rPr>
        <w:t xml:space="preserve"> </w:t>
      </w:r>
      <w:r w:rsidR="00135801"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{"citationID":"njfN6b3C","properties":{"formattedCitation":"(Follett et al. 2022)","plainCitation":"(Follett et al. 2022)","noteIndex":0},"citationItems":[{"id":4609,"uris":["http://zotero.org/users/6128296/items/HNL5SLN9"],"itemData":{"id":4609,"type":"article-journal","abstract":"Prochlorococcus is the smallest and most abundant photosynthetic organism on Earth and is thought to be confined to low-latitude regions by its requirement for warm waters. Latitudinal transects in the North Pacific, however, demonstrate that the poleward decrease of this species occurs across a wide range of temperatures. An additional mechanism is likely required. 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structure.\nProchlorococcus is both the smallest and numerically most abundant photosynthesizing organism on the planet. While thriving in the warm oligotrophic gyres, Pro concentrations drop rapidly in higher-latitude regions. Transect data from the North Pacific show the collapse occurring at a wide range of temperatures and latitudes (temperature is often hypothesized to cause this shift), suggesting an ecological mechanism may be at play. An often used size-based theory of phytoplankton community structure that has been incorporated into computational models correctly predicts the dominance of Prochlorococcus in the gyres, and the relative dominance of larger cells at high latitudes. However, both theory and computational models fail to explain the poleward collapse. When heterotrophic bacteria and predators that prey nonspecifically on both\n              Prochlorococcus\n              and bacteria are included in the theoretical framework, the collapse of\n              Prochlorococcus\n              occurs with increasing nutrient supplies. \n\nWe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structure.\n\nThe poleward collapse of\n              Prochlorococcus\n              populations then naturally emerges when this mechanism of “shared predation” is implemented in a complex global ecosystem model. Additionally, the theory correctly predicts trends in both the abundance and mean size of the heterotrophic bacteria. These results suggest that ecological controls need to be considered to understand the biogeography of Prochlorococcus and predict its changes under future ocean conditions. Indirect interactions within a microbial network can be essential in setting community structure.","container-title":"Proceedings of the National Academy of Sciences","DOI":"10.1073/pnas.2110993118","ISSN":"0027-8424, 1091-6490","issue":"2","journalAbbreviation":"Proc. Natl. Acad. Sci. U.S.A.","language":"en","page":"e2110993118","source":"DOI.org (Crossref)","title":"Trophic interactions with heterotrophic bacteria limit the range of &lt;i&gt;Prochlorococcus&lt;/i&gt;","volume":"119","author":[{"family":"Follett","given":""},{"family":"Dutkiewicz","given":"Stephanie"},{"family":"Ribalet","given":"François"},{"family":"Zakem","given":"Emily"},{"family":"Caron","given":"David"},{"family":"Armbrust","given":"E. Virginia"},{"family":"Follows","given":"Michael J."}],"issued":{"date-parts":[["2022",1,11]]}}}],"schema":"https://github.com/citation-style-language/schema/raw/master/csl-citation.json"} </w:instrText>
      </w:r>
      <w:r w:rsidR="00135801"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(Follett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13580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viruses </w:t>
      </w:r>
      <w:r w:rsidR="0013580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{"citationID":"JXWXbr1q","properties":{"formattedCitation":"(Carlson et al. 2022; Talmy et al. 2019)","plainCitation":"(Carlson et al. 2022; Talmy et al. 2019)","noteIndex":0},"citationItems":[{"id":6508,"uris":["http://zotero.org/users/6128296/items/SJNGIGV6"],"itemData":{"id":6508,"type":"article-journal","abstract":"Abstract\n            \n              The photosynthetic picocyanobacteria\n              Prochlorococcus\n              and\n              Synechococcus\n              are models for dissecting how ecological niches are defined by environmental conditions, but how interactions with bacteriophages affect picocyanobacterial biogeography in open ocean biomes has rarely been assessed. We applied single-virus and single-cell infection approaches to quantify cyanophage abundance and infected picocyanobacteria in 87 surface water samples from five transects that traversed approximately 2,200 km in the North Pacific Ocean on three cruises, with a duration of 2–4 weeks, between 2015 and 2017. We detected a 550-km-wide hotspot of cyanophages and virus-infected picocyanobacteria in the transition zone between the North Pacific Subtropical and Subpolar gyres that was present in each transect. Notably, the hotspot occurred at a consistent temperature and displayed distinct cyanophage-lineage composition on all transects. On two of these transects, the levels of infection in the hotspot were estimated to be sufficient to substantially limit the geographical range of\n              Prochlorococcus\n              . Coincident with the detection of high levels of virally infected picocyanobacteria, we measured an increase of 10–100-fold in the\n              Synechococcus\n              populations in samples that are usually dominated by\n              Prochlorococcus\n              . We developed a multiple regression model of cyanophages, temperature and chlorophyll concentrations that inferred that the hotspot extended across the North Pacific Ocean, creating a biological boundary between gyres, with the potential to release organic matter comparable to that of the sevenfold-larger North Pacific Subtropical Gyre. Our results highlight the probable impact of viruses on large-scale phytoplankton biogeography and biogeochemistry in distinct regions of the oceans.","container-title":"Nature Microbiology","DOI":"10.1038/s41564-022-01088-x","ISSN":"2058-5276","issue":"4","journalAbbreviation":"Nat Microbiol","language":"en","page":"570-580","source":"DOI.org (Crossref)","title":"Viruses affect picocyanobacterial abundance and biogeography in the North Pacific Ocean","volume":"7","author":[{"family":"Carlson","given":""},{"family":"Ribalet","given":"François"},{"family":"Maidanik","given":"Ilia"},{"family":"Durham","given":"Bryndan P."},{"family":"Hulata","given":"Yotam"},{"family":"Ferrón","given":"Sara"},{"family":"Weissenbach","given":"Julia"},{"family":"Shamir","given":"Nitzan"},{"family":"Goldin","given":"Svetlana"},{"family":"Baran","given":"Nava"},{"family":"Cael","given":"B. B."},{"family":"Karl","given":"David M."},{"family":"White","given":"Angelicque E."},{"family":"Armbrust","given":"E. Virginia"},{"family":"Lindell","given":"Debbie"}],"issued":{"date-parts":[["2022",4,1]]}}},{"id":729,"uris":["http://zotero.org/users/6128296/items/9CTFB555"],"itemData":{"id":729,"type":"article-journal","container-title":"Frontiers in Marine Science","DOI":"10.3389/fmars.2019.00182","ISSN":"2296-7745","journalAbbreviation":"Front. Mar. Sci.","language":"en","page":"182","source":"DOI.org (Crossref)","title":"Contrasting Controls on Microzooplankton Grazing and Viral Infection of Microbial Prey","volume":"6","author":[{"family":"Talmy","given":""},{"family":"Beckett","given":"Stephen J."},{"family":"Zhang","given":"Adam B."},{"family":"Taniguchi","given":"Darcy A. A."},{"family":"Weitz","given":"Joshua S."},{"family":"Follows","given":"Michael J."}],"issued":{"date-parts":[["2019",4,16]]}}}],"schema":"https://github.com/citation-style-language/schema/raw/master/csl-citation.json"} </w:instrText>
      </w:r>
      <w:r w:rsidR="00135801"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(Carlson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2022; </w:t>
      </w:r>
      <w:proofErr w:type="spellStart"/>
      <w:r w:rsidR="006C2922">
        <w:rPr>
          <w:rFonts w:ascii="Times New Roman" w:hAnsi="Times New Roman" w:cs="Times New Roman"/>
          <w:sz w:val="24"/>
          <w:szCs w:val="24"/>
        </w:rPr>
        <w:t>Talmy</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2019)</w:t>
      </w:r>
      <w:r w:rsidR="0013580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has begun for global predictions, yet explicit representations of chemical impediments</w:t>
      </w:r>
      <w:r w:rsidR="00583206">
        <w:rPr>
          <w:rFonts w:ascii="Times New Roman" w:hAnsi="Times New Roman" w:cs="Times New Roman"/>
          <w:sz w:val="24"/>
          <w:szCs w:val="24"/>
        </w:rPr>
        <w:t xml:space="preserve"> </w:t>
      </w:r>
      <w:r w:rsidR="00583206" w:rsidRPr="003609FB">
        <w:rPr>
          <w:rFonts w:ascii="Times New Roman" w:hAnsi="Times New Roman" w:cs="Times New Roman"/>
          <w:sz w:val="24"/>
          <w:szCs w:val="24"/>
        </w:rPr>
        <w:t>to cyanobacteria</w:t>
      </w:r>
      <w:r w:rsidRPr="003609FB">
        <w:rPr>
          <w:rFonts w:ascii="Times New Roman" w:hAnsi="Times New Roman" w:cs="Times New Roman"/>
          <w:sz w:val="24"/>
          <w:szCs w:val="24"/>
        </w:rPr>
        <w:t xml:space="preserve">, like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have been ignored.</w:t>
      </w:r>
      <w:r w:rsidR="007A7D5D" w:rsidRPr="003609FB">
        <w:rPr>
          <w:rFonts w:ascii="Times New Roman" w:hAnsi="Times New Roman" w:cs="Times New Roman"/>
          <w:sz w:val="24"/>
          <w:szCs w:val="24"/>
        </w:rPr>
        <w:t xml:space="preserve"> The main goal of this thesis </w:t>
      </w:r>
      <w:proofErr w:type="gramStart"/>
      <w:r w:rsidR="007A7D5D" w:rsidRPr="003609FB">
        <w:rPr>
          <w:rFonts w:ascii="Times New Roman" w:hAnsi="Times New Roman" w:cs="Times New Roman"/>
          <w:sz w:val="24"/>
          <w:szCs w:val="24"/>
        </w:rPr>
        <w:t>to</w:t>
      </w:r>
      <w:proofErr w:type="gramEnd"/>
      <w:r w:rsidR="007A7D5D" w:rsidRPr="003609FB">
        <w:rPr>
          <w:rFonts w:ascii="Times New Roman" w:hAnsi="Times New Roman" w:cs="Times New Roman"/>
          <w:sz w:val="24"/>
          <w:szCs w:val="24"/>
        </w:rPr>
        <w:t xml:space="preserve"> provide a basal framework to allow for the inclusion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7A7D5D" w:rsidRPr="003609FB">
        <w:rPr>
          <w:rFonts w:ascii="Times New Roman" w:hAnsi="Times New Roman" w:cs="Times New Roman"/>
          <w:sz w:val="24"/>
          <w:szCs w:val="24"/>
        </w:rPr>
        <w:t xml:space="preserve"> into said global models.</w:t>
      </w:r>
    </w:p>
    <w:p w14:paraId="10892080" w14:textId="2BEF3209" w:rsidR="000E3F13" w:rsidRDefault="002A1786" w:rsidP="00AB2160">
      <w:pPr>
        <w:pStyle w:val="Heading2"/>
        <w:spacing w:line="360" w:lineRule="auto"/>
      </w:pPr>
      <w:bookmarkStart w:id="7" w:name="_Toc173250012"/>
      <w:r w:rsidRPr="00351FC4">
        <w:t>Goals of this dissertation</w:t>
      </w:r>
      <w:bookmarkEnd w:id="7"/>
      <w:r w:rsidRPr="00351FC4">
        <w:t xml:space="preserve"> </w:t>
      </w:r>
    </w:p>
    <w:p w14:paraId="570F68AE" w14:textId="15E1FBA0" w:rsidR="00351FC4" w:rsidRPr="00351FC4" w:rsidRDefault="00351FC4" w:rsidP="00AB2160">
      <w:pPr>
        <w:spacing w:line="360" w:lineRule="auto"/>
      </w:pPr>
    </w:p>
    <w:p w14:paraId="2920016D" w14:textId="0458909A" w:rsidR="002A1786" w:rsidRPr="003609FB" w:rsidRDefault="002A1786"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In aquatic systems, the organic particulate matter (X, here including cellular matter at the </w:t>
      </w:r>
      <w:proofErr w:type="spellStart"/>
      <w:r w:rsidRPr="003609FB">
        <w:rPr>
          <w:rFonts w:ascii="Times New Roman" w:hAnsi="Times New Roman" w:cs="Times New Roman"/>
          <w:sz w:val="24"/>
          <w:szCs w:val="24"/>
        </w:rPr>
        <w:t>pico</w:t>
      </w:r>
      <w:proofErr w:type="spellEnd"/>
      <w:r w:rsidRPr="003609FB">
        <w:rPr>
          <w:rFonts w:ascii="Times New Roman" w:hAnsi="Times New Roman" w:cs="Times New Roman"/>
          <w:sz w:val="24"/>
          <w:szCs w:val="24"/>
        </w:rPr>
        <w:t xml:space="preserve"> and nano level) follow a similar mass balance to that of dissolved material</w:t>
      </w:r>
      <w:r w:rsidR="00F0315B">
        <w:rPr>
          <w:rFonts w:ascii="Times New Roman" w:hAnsi="Times New Roman" w:cs="Times New Roman"/>
          <w:sz w:val="24"/>
          <w:szCs w:val="24"/>
        </w:rPr>
        <w:t>,</w:t>
      </w:r>
      <w:r w:rsidRPr="003609FB">
        <w:rPr>
          <w:rFonts w:ascii="Times New Roman" w:hAnsi="Times New Roman" w:cs="Times New Roman"/>
          <w:sz w:val="24"/>
          <w:szCs w:val="24"/>
        </w:rPr>
        <w:t xml:space="preserve"> in that they are governed by a mass balance for advection </w:t>
      </w:r>
      <m:oMath>
        <m:d>
          <m:dPr>
            <m:ctrlPr>
              <w:rPr>
                <w:rFonts w:ascii="Cambria Math" w:hAnsi="Cambria Math" w:cs="Times New Roman"/>
                <w:i/>
                <w:sz w:val="24"/>
                <w:szCs w:val="24"/>
              </w:rPr>
            </m:ctrlPr>
          </m:dPr>
          <m:e>
            <m:r>
              <m:rPr>
                <m:sty m:val="b"/>
              </m:rPr>
              <w:rPr>
                <w:rFonts w:ascii="Cambria Math" w:hAnsi="Cambria Math" w:cs="Times New Roman"/>
                <w:sz w:val="24"/>
                <w:szCs w:val="24"/>
              </w:rPr>
              <m:t>κ</m:t>
            </m:r>
            <m:r>
              <m:rPr>
                <m:sty m:val="p"/>
              </m:rPr>
              <w:rPr>
                <w:rFonts w:ascii="Cambria Math" w:hAnsi="Cambria Math" w:cs="Times New Roman"/>
                <w:sz w:val="24"/>
                <w:szCs w:val="24"/>
              </w:rPr>
              <m:t>X</m:t>
            </m:r>
            <m:ctrlPr>
              <w:rPr>
                <w:rFonts w:ascii="Cambria Math" w:hAnsi="Cambria Math" w:cs="Times New Roman"/>
                <w:sz w:val="24"/>
                <w:szCs w:val="24"/>
              </w:rPr>
            </m:ctrlPr>
          </m:e>
        </m:d>
      </m:oMath>
      <w:r w:rsidRPr="003609FB">
        <w:rPr>
          <w:rFonts w:ascii="Times New Roman" w:hAnsi="Times New Roman" w:cs="Times New Roman"/>
          <w:sz w:val="24"/>
          <w:szCs w:val="24"/>
        </w:rPr>
        <w:t>, diffusion (</w:t>
      </w:r>
      <m:oMath>
        <m:r>
          <m:rPr>
            <m:sty m:val="b"/>
          </m:rPr>
          <w:rPr>
            <w:rFonts w:ascii="Cambria Math" w:hAnsi="Cambria Math" w:cs="Times New Roman"/>
            <w:sz w:val="24"/>
            <w:szCs w:val="24"/>
          </w:rPr>
          <m:t>u</m:t>
        </m:r>
        <m:r>
          <m:rPr>
            <m:sty m:val="p"/>
          </m:rPr>
          <w:rPr>
            <w:rFonts w:ascii="Cambria Math" w:hAnsi="Cambria Math" w:cs="Times New Roman"/>
            <w:sz w:val="24"/>
            <w:szCs w:val="24"/>
          </w:rPr>
          <m:t>X)</m:t>
        </m:r>
      </m:oMath>
      <w:r w:rsidRPr="003609FB">
        <w:rPr>
          <w:rFonts w:ascii="Times New Roman" w:hAnsi="Times New Roman" w:cs="Times New Roman"/>
          <w:sz w:val="24"/>
          <w:szCs w:val="24"/>
        </w:rPr>
        <w:t>, and biological sources and sinks</w:t>
      </w:r>
      <w:r w:rsidR="00F0315B">
        <w:rPr>
          <w:rFonts w:ascii="Times New Roman" w:hAnsi="Times New Roman" w:cs="Times New Roman"/>
          <w:sz w:val="24"/>
          <w:szCs w:val="24"/>
        </w:rPr>
        <w:t xml:space="preserve"> or losses </w:t>
      </w:r>
      <w:r w:rsidRPr="003609FB">
        <w:rPr>
          <w:rFonts w:ascii="Times New Roman" w:hAnsi="Times New Roman" w:cs="Times New Roman"/>
          <w:sz w:val="24"/>
          <w:szCs w:val="24"/>
        </w:rPr>
        <w:t>(</w:t>
      </w:r>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 xml:space="preserve">BX </m:t>
            </m:r>
          </m:sub>
        </m:sSub>
        <m:r>
          <w:rPr>
            <w:rFonts w:ascii="Cambria Math" w:hAnsi="Cambria Math" w:cs="Times New Roman"/>
            <w:sz w:val="24"/>
            <w:szCs w:val="24"/>
          </w:rPr>
          <m:t xml:space="preserve">) , </m:t>
        </m:r>
      </m:oMath>
      <w:r w:rsidRPr="003609FB">
        <w:rPr>
          <w:rFonts w:ascii="Times New Roman" w:hAnsi="Times New Roman" w:cs="Times New Roman"/>
          <w:sz w:val="24"/>
          <w:szCs w:val="24"/>
        </w:rPr>
        <w:t xml:space="preserve"> along with an addition loss (sinking) rate of </w:t>
      </w:r>
      <m:oMath>
        <m:r>
          <w:rPr>
            <w:rFonts w:ascii="Cambria Math" w:hAnsi="Cambria Math" w:cs="Times New Roman"/>
            <w:sz w:val="24"/>
            <w:szCs w:val="24"/>
          </w:rPr>
          <m:t>ω</m:t>
        </m:r>
        <m:r>
          <m:rPr>
            <m:sty m:val="p"/>
          </m:rPr>
          <w:rPr>
            <w:rFonts w:ascii="Cambria Math" w:hAnsi="Cambria Math" w:cs="Times New Roman"/>
            <w:sz w:val="24"/>
            <w:szCs w:val="24"/>
          </w:rPr>
          <m:t>x</m:t>
        </m:r>
      </m:oMath>
      <w:r w:rsidRPr="003609FB">
        <w:rPr>
          <w:rFonts w:ascii="Times New Roman" w:hAnsi="Times New Roman" w:cs="Times New Roman"/>
          <w:sz w:val="24"/>
          <w:szCs w:val="24"/>
        </w:rPr>
        <w:t xml:space="preserve">, as the particles themselves are large enough to effect movement calculations </w:t>
      </w:r>
      <w:r w:rsidR="00172648"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{"citationID":"Cii5YiAz","properties":{"formattedCitation":"(Dutkiewicz, Follows, and Bragg 2009; Follows and Dutkiewicz 2011; Ward et al. 2012)","plainCitation":"(Dutkiewicz, Follows, and Bragg 2009; Follows and Dutkiewicz 2011; Ward et al. 2012)","noteIndex":0},"citationItems":[{"id":88,"uris":["http://zotero.org/users/6128296/items/GNGVK9JM"],"itemData":{"id":88,"type":"article-journal","abstract":"We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id":237,"uris":["http://zotero.org/users/6128296/items/ITNRJJCA"],"itemData":{"id":237,"type":"article-journal","abstract":"We present a model of diverse phytoplankton and zooplankton populations embedded in a global ocean circulation model. Physiological and ecological traits of the organisms are constrained by relationships with cell size. The model qualitatively reproduces global distributions of nutrients, biomass, and primary productivity, and captures the power-law relationship between cell size and numerical density, which has realistic slopes of between 21.3 and 20.8. We use the model to explore the global structure of marine ecosystems, highlighting the importance of both nutrient and grazer controls. The model suggests that zooplankton : phytoplankton (Z : P) biomass ratios may vary from an order of 0.1 in the oligotrophic gyres to an order of 10 in upwelling and highlatitude regions. Global estimates of the strength of bottom-up and top-down controls within plankton size classes suggest that these large-scale gradients in Z : P ratios are driven by a shift from strong bottom-up, nutrient limitation in the oligotrophic gyres to the dominance of top-down, grazing controls in more productive regions.","container-title":"Limnology and Oceanography","DOI":"10.4319/lo.2012.57.6.1877","ISSN":"00243590","issue":"6","journalAbbreviation":"Limnol. Oceanogr.","language":"en","page":"1877-1891","source":"DOI.org (Crossref)","title":"A size-structured food-web model for the global ocean","volume":"57","author":[{"family":"Ward","given":"B. A."},{"family":"Dutkiewicz","given":"S."},{"family":"Jahn","given":"O."},{"family":"Follows","given":"M. J."}],"issued":{"date-parts":[["2012",11]]}}}],"schema":"https://github.com/citation-style-language/schema/raw/master/csl-citation.json"} </w:instrText>
      </w:r>
      <w:r w:rsidR="00172648"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Follows and Dutkiewicz 2011;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2012)</w:t>
      </w:r>
      <w:r w:rsidR="00172648"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With respect to X as carbon, nitrogen, phosphorus, and iron </w:t>
      </w:r>
    </w:p>
    <w:p w14:paraId="4BE37DFA" w14:textId="0F6EBCC1" w:rsidR="002A1786" w:rsidRPr="003609FB" w:rsidRDefault="00743C7C" w:rsidP="00AB2160">
      <w:pPr>
        <w:pStyle w:val="Default"/>
        <w:spacing w:line="360" w:lineRule="auto"/>
        <w:rPr>
          <w:rFonts w:ascii="Times New Roman" w:eastAsia="Times"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692032" behindDoc="0" locked="0" layoutInCell="1" allowOverlap="1" wp14:anchorId="3AD0D6CC" wp14:editId="6F60D14B">
                <wp:simplePos x="0" y="0"/>
                <wp:positionH relativeFrom="column">
                  <wp:posOffset>5189102</wp:posOffset>
                </wp:positionH>
                <wp:positionV relativeFrom="paragraph">
                  <wp:posOffset>676810</wp:posOffset>
                </wp:positionV>
                <wp:extent cx="57785" cy="340360"/>
                <wp:effectExtent l="0" t="1587" r="16827" b="16828"/>
                <wp:wrapNone/>
                <wp:docPr id="66" name="Left Brace 66"/>
                <wp:cNvGraphicFramePr/>
                <a:graphic xmlns:a="http://schemas.openxmlformats.org/drawingml/2006/main">
                  <a:graphicData uri="http://schemas.microsoft.com/office/word/2010/wordprocessingShape">
                    <wps:wsp>
                      <wps:cNvSpPr/>
                      <wps:spPr>
                        <a:xfrm rot="16200000">
                          <a:off x="0" y="0"/>
                          <a:ext cx="57785" cy="340360"/>
                        </a:xfrm>
                        <a:prstGeom prst="leftBrace">
                          <a:avLst/>
                        </a:prstGeom>
                      </wps:spPr>
                      <wps:style>
                        <a:lnRef idx="2">
                          <a:schemeClr val="dk1"/>
                        </a:lnRef>
                        <a:fillRef idx="0">
                          <a:schemeClr val="dk1"/>
                        </a:fillRef>
                        <a:effectRef idx="1">
                          <a:schemeClr val="dk1"/>
                        </a:effectRef>
                        <a:fontRef idx="minor">
                          <a:schemeClr val="tx1"/>
                        </a:fontRef>
                      </wps:style>
                      <wps:txbx>
                        <w:txbxContent>
                          <w:p w14:paraId="5209FB42" w14:textId="77777777" w:rsidR="00743C7C" w:rsidRDefault="00743C7C" w:rsidP="00743C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0D6C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6" o:spid="_x0000_s1026" type="#_x0000_t87" style="position:absolute;margin-left:408.6pt;margin-top:53.3pt;width:4.55pt;height:26.8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" adj="306" strokecolor="black [3200]" strokeweight="1pt">
                <v:stroke joinstyle="miter"/>
                <v:textbox>
                  <w:txbxContent>
                    <w:p w14:paraId="5209FB42" w14:textId="77777777" w:rsidR="00743C7C" w:rsidRDefault="00743C7C" w:rsidP="00743C7C">
                      <w:pPr>
                        <w:jc w:val="center"/>
                      </w:pPr>
                    </w:p>
                  </w:txbxContent>
                </v:textbox>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89984" behindDoc="0" locked="0" layoutInCell="1" allowOverlap="1" wp14:anchorId="15B211A4" wp14:editId="2CEE8B30">
                <wp:simplePos x="0" y="0"/>
                <wp:positionH relativeFrom="column">
                  <wp:posOffset>4098592</wp:posOffset>
                </wp:positionH>
                <wp:positionV relativeFrom="paragraph">
                  <wp:posOffset>600138</wp:posOffset>
                </wp:positionV>
                <wp:extent cx="57785" cy="340360"/>
                <wp:effectExtent l="0" t="1587" r="16827" b="16828"/>
                <wp:wrapNone/>
                <wp:docPr id="65" name="Left Brace 65"/>
                <wp:cNvGraphicFramePr/>
                <a:graphic xmlns:a="http://schemas.openxmlformats.org/drawingml/2006/main">
                  <a:graphicData uri="http://schemas.microsoft.com/office/word/2010/wordprocessingShape">
                    <wps:wsp>
                      <wps:cNvSpPr/>
                      <wps:spPr>
                        <a:xfrm rot="16200000">
                          <a:off x="0" y="0"/>
                          <a:ext cx="57785" cy="340360"/>
                        </a:xfrm>
                        <a:prstGeom prst="leftBrace">
                          <a:avLst/>
                        </a:prstGeom>
                      </wps:spPr>
                      <wps:style>
                        <a:lnRef idx="2">
                          <a:schemeClr val="dk1"/>
                        </a:lnRef>
                        <a:fillRef idx="0">
                          <a:schemeClr val="dk1"/>
                        </a:fillRef>
                        <a:effectRef idx="1">
                          <a:schemeClr val="dk1"/>
                        </a:effectRef>
                        <a:fontRef idx="minor">
                          <a:schemeClr val="tx1"/>
                        </a:fontRef>
                      </wps:style>
                      <wps:txbx>
                        <w:txbxContent>
                          <w:p w14:paraId="06272D4F" w14:textId="77777777" w:rsidR="00743C7C" w:rsidRDefault="00743C7C" w:rsidP="00743C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211A4" id="Left Brace 65" o:spid="_x0000_s1027" type="#_x0000_t87" style="position:absolute;margin-left:322.7pt;margin-top:47.25pt;width:4.55pt;height:26.8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" adj="306" strokecolor="black [3200]" strokeweight="1pt">
                <v:stroke joinstyle="miter"/>
                <v:textbox>
                  <w:txbxContent>
                    <w:p w14:paraId="06272D4F" w14:textId="77777777" w:rsidR="00743C7C" w:rsidRDefault="00743C7C" w:rsidP="00743C7C">
                      <w:pPr>
                        <w:jc w:val="center"/>
                      </w:pPr>
                    </w:p>
                  </w:txbxContent>
                </v:textbox>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87936" behindDoc="0" locked="0" layoutInCell="1" allowOverlap="1" wp14:anchorId="11A1D2AD" wp14:editId="6918AFB3">
                <wp:simplePos x="0" y="0"/>
                <wp:positionH relativeFrom="column">
                  <wp:posOffset>2655383</wp:posOffset>
                </wp:positionH>
                <wp:positionV relativeFrom="paragraph">
                  <wp:posOffset>583717</wp:posOffset>
                </wp:positionV>
                <wp:extent cx="57785" cy="340360"/>
                <wp:effectExtent l="2540" t="0" r="12700" b="12700"/>
                <wp:wrapNone/>
                <wp:docPr id="64" name="Left Brace 64"/>
                <wp:cNvGraphicFramePr/>
                <a:graphic xmlns:a="http://schemas.openxmlformats.org/drawingml/2006/main">
                  <a:graphicData uri="http://schemas.microsoft.com/office/word/2010/wordprocessingShape">
                    <wps:wsp>
                      <wps:cNvSpPr/>
                      <wps:spPr>
                        <a:xfrm rot="16200000">
                          <a:off x="0" y="0"/>
                          <a:ext cx="57785" cy="340360"/>
                        </a:xfrm>
                        <a:prstGeom prst="leftBrace">
                          <a:avLst/>
                        </a:prstGeom>
                      </wps:spPr>
                      <wps:style>
                        <a:lnRef idx="2">
                          <a:schemeClr val="dk1"/>
                        </a:lnRef>
                        <a:fillRef idx="0">
                          <a:schemeClr val="dk1"/>
                        </a:fillRef>
                        <a:effectRef idx="1">
                          <a:schemeClr val="dk1"/>
                        </a:effectRef>
                        <a:fontRef idx="minor">
                          <a:schemeClr val="tx1"/>
                        </a:fontRef>
                      </wps:style>
                      <wps:txbx>
                        <w:txbxContent>
                          <w:p w14:paraId="26316B37" w14:textId="77777777" w:rsidR="00743C7C" w:rsidRDefault="00743C7C" w:rsidP="00743C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1D2AD" id="Left Brace 64" o:spid="_x0000_s1028" type="#_x0000_t87" style="position:absolute;margin-left:209.1pt;margin-top:45.95pt;width:4.55pt;height:26.8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" adj="306" strokecolor="black [3200]" strokeweight="1pt">
                <v:stroke joinstyle="miter"/>
                <v:textbox>
                  <w:txbxContent>
                    <w:p w14:paraId="26316B37" w14:textId="77777777" w:rsidR="00743C7C" w:rsidRDefault="00743C7C" w:rsidP="00743C7C">
                      <w:pPr>
                        <w:jc w:val="center"/>
                      </w:pPr>
                    </w:p>
                  </w:txbxContent>
                </v:textbox>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85888" behindDoc="0" locked="0" layoutInCell="1" allowOverlap="1" wp14:anchorId="49F2F920" wp14:editId="2852CE4C">
                <wp:simplePos x="0" y="0"/>
                <wp:positionH relativeFrom="column">
                  <wp:posOffset>1388444</wp:posOffset>
                </wp:positionH>
                <wp:positionV relativeFrom="paragraph">
                  <wp:posOffset>637294</wp:posOffset>
                </wp:positionV>
                <wp:extent cx="57785" cy="340360"/>
                <wp:effectExtent l="0" t="1587" r="16827" b="16828"/>
                <wp:wrapNone/>
                <wp:docPr id="505051071" name="Left Brace 505051071"/>
                <wp:cNvGraphicFramePr/>
                <a:graphic xmlns:a="http://schemas.openxmlformats.org/drawingml/2006/main">
                  <a:graphicData uri="http://schemas.microsoft.com/office/word/2010/wordprocessingShape">
                    <wps:wsp>
                      <wps:cNvSpPr/>
                      <wps:spPr>
                        <a:xfrm rot="16200000">
                          <a:off x="0" y="0"/>
                          <a:ext cx="57785" cy="340360"/>
                        </a:xfrm>
                        <a:prstGeom prst="leftBrace">
                          <a:avLst/>
                        </a:prstGeom>
                      </wps:spPr>
                      <wps:style>
                        <a:lnRef idx="2">
                          <a:schemeClr val="dk1"/>
                        </a:lnRef>
                        <a:fillRef idx="0">
                          <a:schemeClr val="dk1"/>
                        </a:fillRef>
                        <a:effectRef idx="1">
                          <a:schemeClr val="dk1"/>
                        </a:effectRef>
                        <a:fontRef idx="minor">
                          <a:schemeClr val="tx1"/>
                        </a:fontRef>
                      </wps:style>
                      <wps:txbx>
                        <w:txbxContent>
                          <w:p w14:paraId="1D8054C3" w14:textId="77777777" w:rsidR="00743C7C" w:rsidRDefault="00743C7C" w:rsidP="00743C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2F920" id="Left Brace 505051071" o:spid="_x0000_s1029" type="#_x0000_t87" style="position:absolute;margin-left:109.35pt;margin-top:50.2pt;width:4.55pt;height:26.8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" adj="306" strokecolor="black [3200]" strokeweight="1pt">
                <v:stroke joinstyle="miter"/>
                <v:textbox>
                  <w:txbxContent>
                    <w:p w14:paraId="1D8054C3" w14:textId="77777777" w:rsidR="00743C7C" w:rsidRDefault="00743C7C" w:rsidP="00743C7C">
                      <w:pPr>
                        <w:jc w:val="center"/>
                      </w:pPr>
                    </w:p>
                  </w:txbxContent>
                </v:textbox>
              </v:shape>
            </w:pict>
          </mc:Fallback>
        </mc:AlternateContent>
      </w:r>
    </w:p>
    <w:p w14:paraId="3EA6ABEA" w14:textId="6E2C3639" w:rsidR="002A1786" w:rsidRPr="00AC7171" w:rsidRDefault="002A1786" w:rsidP="00AB2160">
      <w:pPr>
        <w:pStyle w:val="Default"/>
        <w:spacing w:line="360" w:lineRule="auto"/>
        <w:jc w:val="center"/>
        <w:rPr>
          <w:rFonts w:ascii="Times New Roman" w:eastAsia="Times" w:hAnsi="Times New Roman" w:cs="Times New Roman"/>
          <w:sz w:val="24"/>
          <w:szCs w:val="24"/>
        </w:rPr>
      </w:pPr>
      <m:oMathPara>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∂X</m:t>
              </m:r>
            </m:num>
            <m:den>
              <m:r>
                <w:rPr>
                  <w:rFonts w:ascii="Cambria Math" w:eastAsiaTheme="minorEastAsia" w:hAnsi="Cambria Math" w:cs="Times New Roman"/>
                  <w:sz w:val="24"/>
                  <w:szCs w:val="24"/>
                </w:rPr>
                <m:t>∂t</m:t>
              </m:r>
            </m:den>
          </m:f>
          <m:r>
            <w:rPr>
              <w:rFonts w:ascii="Cambria Math" w:eastAsiaTheme="minorEastAsia" w:hAnsi="Cambria Math" w:cs="Times New Roman"/>
              <w:sz w:val="24"/>
              <w:szCs w:val="24"/>
            </w:rPr>
            <m:t xml:space="preserve">       =          </m:t>
          </m:r>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vertAlign w:val="subscript"/>
                </w:rPr>
                <m:t xml:space="preserve">BX </m:t>
              </m:r>
            </m:sub>
          </m:sSub>
          <m:r>
            <m:rPr>
              <m:sty m:val="p"/>
            </m:rPr>
            <w:rPr>
              <w:rFonts w:ascii="Cambria Math" w:hAnsi="Cambria Math" w:cs="Times New Roman"/>
              <w:sz w:val="24"/>
              <w:szCs w:val="24"/>
              <w:vertAlign w:val="subscript"/>
            </w:rPr>
            <m:t xml:space="preserve">           -             </m:t>
          </m:r>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b"/>
                </m:rPr>
                <w:rPr>
                  <w:rFonts w:ascii="Cambria Math" w:hAnsi="Cambria Math" w:cs="Times New Roman"/>
                  <w:sz w:val="24"/>
                  <w:szCs w:val="24"/>
                </w:rPr>
                <m:t>u</m:t>
              </m:r>
              <m:r>
                <m:rPr>
                  <m:sty m:val="p"/>
                </m:rPr>
                <w:rPr>
                  <w:rFonts w:ascii="Cambria Math" w:hAnsi="Cambria Math" w:cs="Times New Roman"/>
                  <w:sz w:val="24"/>
                  <w:szCs w:val="24"/>
                </w:rPr>
                <m:t>X</m:t>
              </m:r>
            </m:e>
          </m:d>
          <m:r>
            <m:rPr>
              <m:sty m:val="p"/>
            </m:rPr>
            <w:rPr>
              <w:rFonts w:ascii="Cambria Math" w:hAnsi="Cambria Math" w:cs="Times New Roman"/>
              <w:sz w:val="24"/>
              <w:szCs w:val="24"/>
              <w:vertAlign w:val="subscript"/>
            </w:rPr>
            <m:t xml:space="preserve">     +               </m:t>
          </m:r>
          <m:r>
            <m:rPr>
              <m:sty m:val="p"/>
            </m:rPr>
            <w:rPr>
              <w:rFonts w:ascii="Cambria Math" w:hAnsi="Cambria Math" w:cs="Times New Roman"/>
              <w:sz w:val="24"/>
              <w:szCs w:val="24"/>
            </w:rPr>
            <m:t>∇∙</m:t>
          </m:r>
          <m:d>
            <m:dPr>
              <m:ctrlPr>
                <w:rPr>
                  <w:rFonts w:ascii="Cambria Math" w:hAnsi="Cambria Math" w:cs="Times New Roman"/>
                  <w:sz w:val="24"/>
                  <w:szCs w:val="24"/>
                </w:rPr>
              </m:ctrlPr>
            </m:dPr>
            <m:e>
              <m:r>
                <m:rPr>
                  <m:sty m:val="b"/>
                </m:rPr>
                <w:rPr>
                  <w:rFonts w:ascii="Cambria Math" w:hAnsi="Cambria Math" w:cs="Times New Roman"/>
                  <w:sz w:val="24"/>
                  <w:szCs w:val="24"/>
                </w:rPr>
                <m:t>κ</m:t>
              </m:r>
              <m:r>
                <m:rPr>
                  <m:sty m:val="p"/>
                </m:rPr>
                <w:rPr>
                  <w:rFonts w:ascii="Cambria Math" w:hAnsi="Cambria Math" w:cs="Times New Roman"/>
                  <w:sz w:val="24"/>
                  <w:szCs w:val="24"/>
                </w:rPr>
                <m:t>X</m:t>
              </m:r>
            </m:e>
          </m:d>
          <m:r>
            <m:rPr>
              <m:sty m:val="p"/>
            </m:rPr>
            <w:rPr>
              <w:rFonts w:ascii="Cambria Math" w:hAnsi="Cambria Math" w:cs="Times New Roman"/>
              <w:sz w:val="24"/>
              <w:szCs w:val="24"/>
              <w:vertAlign w:val="subscript"/>
            </w:rPr>
            <m:t xml:space="preserve">      -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∂ω</m:t>
              </m:r>
              <m:r>
                <m:rPr>
                  <m:sty m:val="p"/>
                </m:rPr>
                <w:rPr>
                  <w:rFonts w:ascii="Cambria Math" w:hAnsi="Cambria Math" w:cs="Times New Roman"/>
                  <w:sz w:val="24"/>
                  <w:szCs w:val="24"/>
                </w:rPr>
                <m:t>x</m:t>
              </m:r>
              <m:r>
                <w:rPr>
                  <w:rFonts w:ascii="Cambria Math" w:eastAsiaTheme="minorEastAsia" w:hAnsi="Cambria Math" w:cs="Times New Roman"/>
                  <w:sz w:val="24"/>
                  <w:szCs w:val="24"/>
                </w:rPr>
                <m:t xml:space="preserve">X  </m:t>
              </m:r>
            </m:num>
            <m:den>
              <m:r>
                <w:rPr>
                  <w:rFonts w:ascii="Cambria Math" w:eastAsiaTheme="minorEastAsia" w:hAnsi="Cambria Math" w:cs="Times New Roman"/>
                  <w:sz w:val="24"/>
                  <w:szCs w:val="24"/>
                </w:rPr>
                <m:t>∂</m:t>
              </m:r>
              <m:r>
                <m:rPr>
                  <m:sty m:val="p"/>
                </m:rPr>
                <w:rPr>
                  <w:rFonts w:ascii="Cambria Math" w:hAnsi="Cambria Math" w:cs="Times New Roman"/>
                  <w:sz w:val="24"/>
                  <w:szCs w:val="24"/>
                </w:rPr>
                <m:t>z</m:t>
              </m:r>
            </m:den>
          </m:f>
          <m:r>
            <m:rPr>
              <m:sty m:val="p"/>
            </m:rPr>
            <w:rPr>
              <w:rFonts w:ascii="Cambria Math" w:hAnsi="Cambria Math" w:cs="Times New Roman"/>
              <w:sz w:val="24"/>
              <w:szCs w:val="24"/>
              <w:vertAlign w:val="subscript"/>
            </w:rPr>
            <m:t xml:space="preserve">    </m:t>
          </m:r>
        </m:oMath>
      </m:oMathPara>
    </w:p>
    <w:p w14:paraId="5C0CC3CF" w14:textId="2EA1378A" w:rsidR="00AC7171" w:rsidRPr="003609FB" w:rsidRDefault="00AC7171" w:rsidP="00AB2160">
      <w:pPr>
        <w:pStyle w:val="Default"/>
        <w:spacing w:line="360" w:lineRule="auto"/>
        <w:jc w:val="center"/>
        <w:rPr>
          <w:rFonts w:ascii="Times New Roman" w:eastAsia="Times" w:hAnsi="Times New Roman" w:cs="Times New Roman"/>
          <w:sz w:val="24"/>
          <w:szCs w:val="24"/>
        </w:rPr>
      </w:pPr>
    </w:p>
    <w:p w14:paraId="1B1E02A8" w14:textId="544B1A2D" w:rsidR="002A1786" w:rsidRPr="00A20A71" w:rsidRDefault="002A1786" w:rsidP="00AB2160">
      <w:pPr>
        <w:pStyle w:val="Default"/>
        <w:spacing w:line="360" w:lineRule="auto"/>
        <w:rPr>
          <w:rFonts w:ascii="Times New Roman" w:eastAsia="Times" w:hAnsi="Times New Roman" w:cs="Times New Roman"/>
          <w:sz w:val="21"/>
          <w:szCs w:val="21"/>
        </w:rPr>
      </w:pPr>
      <w:r w:rsidRPr="00AC7171">
        <w:rPr>
          <w:rFonts w:ascii="Times New Roman" w:eastAsia="Times" w:hAnsi="Times New Roman" w:cs="Times New Roman"/>
          <w:sz w:val="21"/>
          <w:szCs w:val="21"/>
        </w:rPr>
        <w:t xml:space="preserve">      </w:t>
      </w:r>
      <w:r w:rsidRPr="00207971">
        <w:rPr>
          <w:rFonts w:ascii="Cambria Math" w:eastAsia="Times" w:hAnsi="Cambria Math" w:cs="Cambria Math"/>
          <w:sz w:val="21"/>
          <w:szCs w:val="21"/>
        </w:rPr>
        <w:t>𝐵𝑖𝑜𝑙𝑜𝑔𝑖𝑐𝑎</w:t>
      </w:r>
      <w:r w:rsidRPr="00207971">
        <w:rPr>
          <w:rFonts w:ascii="Times New Roman" w:eastAsia="Times" w:hAnsi="Times New Roman" w:cs="Times New Roman"/>
          <w:sz w:val="21"/>
          <w:szCs w:val="21"/>
        </w:rPr>
        <w:t xml:space="preserve">l </w:t>
      </w:r>
      <w:r w:rsidRPr="00207971">
        <w:rPr>
          <w:rFonts w:ascii="Cambria Math" w:eastAsia="Times" w:hAnsi="Cambria Math" w:cs="Cambria Math"/>
          <w:sz w:val="21"/>
          <w:szCs w:val="21"/>
        </w:rPr>
        <w:t>𝑟𝑒𝑎𝑐𝑡𝑖𝑜𝑛𝑠</w:t>
      </w:r>
      <w:r w:rsidRPr="00A20A71">
        <w:rPr>
          <w:rFonts w:ascii="Times New Roman" w:eastAsia="Times" w:hAnsi="Times New Roman" w:cs="Times New Roman"/>
          <w:sz w:val="21"/>
          <w:szCs w:val="21"/>
        </w:rPr>
        <w:t xml:space="preserve"> on X           </w:t>
      </w:r>
      <w:r w:rsidR="00AC7171" w:rsidRPr="00A20A71">
        <w:rPr>
          <w:rFonts w:ascii="Times New Roman" w:eastAsia="Times" w:hAnsi="Times New Roman" w:cs="Times New Roman"/>
          <w:sz w:val="21"/>
          <w:szCs w:val="21"/>
        </w:rPr>
        <w:t xml:space="preserve"> </w:t>
      </w:r>
      <w:r w:rsidRPr="00A20A71">
        <w:rPr>
          <w:rFonts w:ascii="Times New Roman" w:eastAsia="Times" w:hAnsi="Times New Roman" w:cs="Times New Roman"/>
          <w:sz w:val="21"/>
          <w:szCs w:val="21"/>
        </w:rPr>
        <w:t xml:space="preserve"> </w:t>
      </w:r>
      <w:r w:rsidR="00AC7171" w:rsidRPr="00A20A71">
        <w:rPr>
          <w:rFonts w:ascii="Times New Roman" w:eastAsia="Times" w:hAnsi="Times New Roman" w:cs="Times New Roman"/>
          <w:sz w:val="21"/>
          <w:szCs w:val="21"/>
        </w:rPr>
        <w:t xml:space="preserve">   </w:t>
      </w:r>
      <w:r w:rsidRPr="00A20A71">
        <w:rPr>
          <w:rFonts w:ascii="Times New Roman" w:eastAsia="Times" w:hAnsi="Times New Roman" w:cs="Times New Roman"/>
          <w:sz w:val="21"/>
          <w:szCs w:val="21"/>
        </w:rPr>
        <w:t xml:space="preserve"> </w:t>
      </w:r>
      <w:r w:rsidRPr="00A20A71">
        <w:rPr>
          <w:rFonts w:ascii="Cambria Math" w:eastAsia="Times" w:hAnsi="Cambria Math" w:cs="Cambria Math"/>
          <w:sz w:val="21"/>
          <w:szCs w:val="21"/>
        </w:rPr>
        <w:t>𝑎𝑑𝑣𝑒𝑐𝑡𝑖𝑜𝑛</w:t>
      </w:r>
      <w:r w:rsidRPr="00A20A71">
        <w:rPr>
          <w:rFonts w:ascii="Times New Roman" w:eastAsia="Times" w:hAnsi="Times New Roman" w:cs="Times New Roman"/>
          <w:sz w:val="21"/>
          <w:szCs w:val="21"/>
        </w:rPr>
        <w:t xml:space="preserve">                    </w:t>
      </w:r>
      <w:r w:rsidR="00AC7171" w:rsidRPr="00A20A71">
        <w:rPr>
          <w:rFonts w:ascii="Times New Roman" w:eastAsia="Times" w:hAnsi="Times New Roman" w:cs="Times New Roman"/>
          <w:sz w:val="21"/>
          <w:szCs w:val="21"/>
        </w:rPr>
        <w:t xml:space="preserve"> </w:t>
      </w:r>
      <w:r w:rsidRPr="00A20A71">
        <w:rPr>
          <w:rFonts w:ascii="Times New Roman" w:eastAsia="Times" w:hAnsi="Times New Roman" w:cs="Times New Roman"/>
          <w:sz w:val="21"/>
          <w:szCs w:val="21"/>
        </w:rPr>
        <w:t xml:space="preserve">  </w:t>
      </w:r>
      <w:r w:rsidRPr="00A20A71">
        <w:rPr>
          <w:rFonts w:ascii="Cambria Math" w:eastAsia="Times" w:hAnsi="Cambria Math" w:cs="Cambria Math"/>
          <w:sz w:val="21"/>
          <w:szCs w:val="21"/>
        </w:rPr>
        <w:t>𝑑𝑖𝑓𝑓𝑢𝑠𝑖𝑜𝑛</w:t>
      </w:r>
      <w:r w:rsidRPr="00A20A71">
        <w:rPr>
          <w:rFonts w:ascii="Times New Roman" w:eastAsia="Times" w:hAnsi="Times New Roman" w:cs="Times New Roman"/>
          <w:sz w:val="21"/>
          <w:szCs w:val="21"/>
        </w:rPr>
        <w:t xml:space="preserve">                  sinking along axis Z</w:t>
      </w:r>
    </w:p>
    <w:p w14:paraId="092EC7C1" w14:textId="26D57923" w:rsidR="002A1786" w:rsidRPr="003609FB" w:rsidRDefault="002A1786"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The </w:t>
      </w:r>
      <w:proofErr w:type="gramStart"/>
      <w:r w:rsidRPr="003609FB">
        <w:rPr>
          <w:rFonts w:ascii="Times New Roman" w:hAnsi="Times New Roman" w:cs="Times New Roman"/>
          <w:sz w:val="24"/>
          <w:szCs w:val="24"/>
        </w:rPr>
        <w:t>ultimate goal</w:t>
      </w:r>
      <w:proofErr w:type="gramEnd"/>
      <w:r w:rsidRPr="003609FB">
        <w:rPr>
          <w:rFonts w:ascii="Times New Roman" w:hAnsi="Times New Roman" w:cs="Times New Roman"/>
          <w:sz w:val="24"/>
          <w:szCs w:val="24"/>
        </w:rPr>
        <w:t xml:space="preserve"> of the dissertation is to </w:t>
      </w:r>
      <w:r w:rsidR="00162FC3">
        <w:rPr>
          <w:rFonts w:ascii="Times New Roman" w:hAnsi="Times New Roman" w:cs="Times New Roman"/>
          <w:sz w:val="24"/>
          <w:szCs w:val="24"/>
        </w:rPr>
        <w:t xml:space="preserve">add </w:t>
      </w:r>
      <w:r w:rsidR="00162FC3" w:rsidRPr="003609FB">
        <w:rPr>
          <w:rFonts w:ascii="Times New Roman" w:hAnsi="Times New Roman" w:cs="Times New Roman"/>
          <w:sz w:val="24"/>
          <w:szCs w:val="24"/>
        </w:rPr>
        <w:t>H</w:t>
      </w:r>
      <w:r w:rsidR="00162FC3" w:rsidRPr="00351FC4">
        <w:rPr>
          <w:rFonts w:ascii="Times New Roman" w:hAnsi="Times New Roman" w:cs="Times New Roman"/>
          <w:sz w:val="24"/>
          <w:szCs w:val="24"/>
          <w:vertAlign w:val="subscript"/>
        </w:rPr>
        <w:t>2</w:t>
      </w:r>
      <w:r w:rsidR="00162FC3" w:rsidRPr="003609FB">
        <w:rPr>
          <w:rFonts w:ascii="Times New Roman" w:hAnsi="Times New Roman" w:cs="Times New Roman"/>
          <w:sz w:val="24"/>
          <w:szCs w:val="24"/>
        </w:rPr>
        <w:t>O</w:t>
      </w:r>
      <w:r w:rsidR="00162FC3" w:rsidRPr="00351FC4">
        <w:rPr>
          <w:rFonts w:ascii="Times New Roman" w:hAnsi="Times New Roman" w:cs="Times New Roman"/>
          <w:sz w:val="24"/>
          <w:szCs w:val="24"/>
          <w:vertAlign w:val="subscript"/>
        </w:rPr>
        <w:t>2</w:t>
      </w:r>
      <w:r w:rsidR="00162FC3">
        <w:rPr>
          <w:rFonts w:ascii="Times New Roman" w:hAnsi="Times New Roman" w:cs="Times New Roman"/>
          <w:sz w:val="24"/>
          <w:szCs w:val="24"/>
        </w:rPr>
        <w:t xml:space="preserve"> dynamics in</w:t>
      </w:r>
      <w:r w:rsidRPr="003609FB">
        <w:rPr>
          <w:rFonts w:ascii="Times New Roman" w:hAnsi="Times New Roman" w:cs="Times New Roman"/>
          <w:sz w:val="24"/>
          <w:szCs w:val="24"/>
        </w:rPr>
        <w:t>to th</w:t>
      </w:r>
      <w:r w:rsidR="00BF0A9F">
        <w:rPr>
          <w:rFonts w:ascii="Times New Roman" w:hAnsi="Times New Roman" w:cs="Times New Roman"/>
          <w:sz w:val="24"/>
          <w:szCs w:val="24"/>
        </w:rPr>
        <w:t>e</w:t>
      </w:r>
      <w:r w:rsidR="00162FC3">
        <w:rPr>
          <w:rFonts w:ascii="Times New Roman" w:hAnsi="Times New Roman" w:cs="Times New Roman"/>
          <w:sz w:val="24"/>
          <w:szCs w:val="24"/>
        </w:rPr>
        <w:t xml:space="preserve"> </w:t>
      </w:r>
      <w:r w:rsidR="00095C37">
        <w:rPr>
          <w:rFonts w:ascii="Times New Roman" w:hAnsi="Times New Roman" w:cs="Times New Roman"/>
          <w:sz w:val="24"/>
          <w:szCs w:val="24"/>
        </w:rPr>
        <w:t>complex biological</w:t>
      </w:r>
      <w:r w:rsidR="00162FC3">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S</w:t>
      </w:r>
      <w:r w:rsidRPr="00810B77">
        <w:rPr>
          <w:rFonts w:ascii="Times New Roman" w:hAnsi="Times New Roman" w:cs="Times New Roman"/>
          <w:sz w:val="24"/>
          <w:szCs w:val="24"/>
          <w:vertAlign w:val="subscript"/>
        </w:rPr>
        <w:t>B</w:t>
      </w:r>
      <w:r w:rsidRPr="00207F5E">
        <w:rPr>
          <w:rFonts w:ascii="Times New Roman" w:hAnsi="Times New Roman" w:cs="Times New Roman"/>
          <w:sz w:val="24"/>
          <w:szCs w:val="24"/>
          <w:vertAlign w:val="subscript"/>
        </w:rPr>
        <w:t>x</w:t>
      </w:r>
      <w:proofErr w:type="spellEnd"/>
      <w:r w:rsidRPr="003609FB">
        <w:rPr>
          <w:rFonts w:ascii="Times New Roman" w:hAnsi="Times New Roman" w:cs="Times New Roman"/>
          <w:sz w:val="24"/>
          <w:szCs w:val="24"/>
        </w:rPr>
        <w:t xml:space="preserve"> term. </w:t>
      </w:r>
      <w:proofErr w:type="spellStart"/>
      <w:r w:rsidR="00D50A63" w:rsidRPr="003609FB">
        <w:rPr>
          <w:rFonts w:ascii="Times New Roman" w:hAnsi="Times New Roman" w:cs="Times New Roman"/>
          <w:sz w:val="24"/>
          <w:szCs w:val="24"/>
        </w:rPr>
        <w:t>S</w:t>
      </w:r>
      <w:r w:rsidR="00D50A63" w:rsidRPr="00810B77">
        <w:rPr>
          <w:rFonts w:ascii="Times New Roman" w:hAnsi="Times New Roman" w:cs="Times New Roman"/>
          <w:sz w:val="24"/>
          <w:szCs w:val="24"/>
          <w:vertAlign w:val="subscript"/>
        </w:rPr>
        <w:t>B</w:t>
      </w:r>
      <w:r w:rsidR="00D50A63" w:rsidRPr="00207F5E">
        <w:rPr>
          <w:rFonts w:ascii="Times New Roman" w:hAnsi="Times New Roman" w:cs="Times New Roman"/>
          <w:sz w:val="24"/>
          <w:szCs w:val="24"/>
          <w:vertAlign w:val="subscript"/>
        </w:rPr>
        <w:t>x</w:t>
      </w:r>
      <w:proofErr w:type="spellEnd"/>
      <w:r w:rsidR="00D50A63" w:rsidRPr="003609FB">
        <w:rPr>
          <w:rFonts w:ascii="Times New Roman" w:hAnsi="Times New Roman" w:cs="Times New Roman"/>
          <w:sz w:val="24"/>
          <w:szCs w:val="24"/>
        </w:rPr>
        <w:t xml:space="preserve"> </w:t>
      </w:r>
      <w:r w:rsidR="00A05EF5" w:rsidRPr="003609FB">
        <w:rPr>
          <w:rFonts w:ascii="Times New Roman" w:hAnsi="Times New Roman" w:cs="Times New Roman"/>
          <w:sz w:val="24"/>
          <w:szCs w:val="24"/>
        </w:rPr>
        <w:t>is the total balance of biological inputs and outputs</w:t>
      </w:r>
      <w:r w:rsidR="00A05EF5">
        <w:rPr>
          <w:rFonts w:ascii="Times New Roman" w:hAnsi="Times New Roman" w:cs="Times New Roman"/>
          <w:sz w:val="24"/>
          <w:szCs w:val="24"/>
        </w:rPr>
        <w:t xml:space="preserve"> of carbon</w:t>
      </w:r>
      <w:r w:rsidR="00A05EF5" w:rsidRPr="003609FB">
        <w:rPr>
          <w:rFonts w:ascii="Times New Roman" w:hAnsi="Times New Roman" w:cs="Times New Roman"/>
          <w:sz w:val="24"/>
          <w:szCs w:val="24"/>
        </w:rPr>
        <w:t xml:space="preserve"> in the global ocean </w:t>
      </w:r>
      <w:r w:rsidR="00A05EF5">
        <w:rPr>
          <w:rFonts w:ascii="Times New Roman" w:hAnsi="Times New Roman" w:cs="Times New Roman"/>
          <w:sz w:val="24"/>
          <w:szCs w:val="24"/>
        </w:rPr>
        <w:t xml:space="preserve">with regards to all </w:t>
      </w:r>
      <w:r w:rsidR="00D50A63">
        <w:rPr>
          <w:rFonts w:ascii="Times New Roman" w:hAnsi="Times New Roman" w:cs="Times New Roman"/>
          <w:sz w:val="24"/>
          <w:szCs w:val="24"/>
        </w:rPr>
        <w:t xml:space="preserve">X molecules of interest </w:t>
      </w:r>
      <w:r w:rsidR="00A05EF5">
        <w:rPr>
          <w:rFonts w:ascii="Times New Roman" w:hAnsi="Times New Roman" w:cs="Times New Roman"/>
          <w:sz w:val="24"/>
          <w:szCs w:val="24"/>
        </w:rPr>
        <w:t>cycled through biomatter</w:t>
      </w:r>
      <w:r w:rsidR="00A05EF5" w:rsidRPr="003609FB">
        <w:rPr>
          <w:rFonts w:ascii="Times New Roman" w:hAnsi="Times New Roman" w:cs="Times New Roman"/>
          <w:sz w:val="24"/>
          <w:szCs w:val="24"/>
        </w:rPr>
        <w:t>.</w:t>
      </w:r>
      <w:r w:rsidR="00A05EF5">
        <w:rPr>
          <w:rFonts w:ascii="Times New Roman" w:hAnsi="Times New Roman" w:cs="Times New Roman"/>
          <w:sz w:val="24"/>
          <w:szCs w:val="24"/>
        </w:rPr>
        <w:t xml:space="preserve"> Linking </w:t>
      </w:r>
      <w:r w:rsidR="00A05EF5" w:rsidRPr="003609FB">
        <w:rPr>
          <w:rFonts w:ascii="Times New Roman" w:hAnsi="Times New Roman" w:cs="Times New Roman"/>
          <w:sz w:val="24"/>
          <w:szCs w:val="24"/>
        </w:rPr>
        <w:t>H</w:t>
      </w:r>
      <w:r w:rsidR="00A05EF5" w:rsidRPr="00351FC4">
        <w:rPr>
          <w:rFonts w:ascii="Times New Roman" w:hAnsi="Times New Roman" w:cs="Times New Roman"/>
          <w:sz w:val="24"/>
          <w:szCs w:val="24"/>
          <w:vertAlign w:val="subscript"/>
        </w:rPr>
        <w:t>2</w:t>
      </w:r>
      <w:r w:rsidR="00A05EF5" w:rsidRPr="003609FB">
        <w:rPr>
          <w:rFonts w:ascii="Times New Roman" w:hAnsi="Times New Roman" w:cs="Times New Roman"/>
          <w:sz w:val="24"/>
          <w:szCs w:val="24"/>
        </w:rPr>
        <w:t>O</w:t>
      </w:r>
      <w:r w:rsidR="00A05EF5" w:rsidRPr="00351FC4">
        <w:rPr>
          <w:rFonts w:ascii="Times New Roman" w:hAnsi="Times New Roman" w:cs="Times New Roman"/>
          <w:sz w:val="24"/>
          <w:szCs w:val="24"/>
          <w:vertAlign w:val="subscript"/>
        </w:rPr>
        <w:t>2</w:t>
      </w:r>
      <w:r w:rsidR="00A05EF5">
        <w:rPr>
          <w:rFonts w:ascii="Times New Roman" w:hAnsi="Times New Roman" w:cs="Times New Roman"/>
          <w:sz w:val="24"/>
          <w:szCs w:val="24"/>
        </w:rPr>
        <w:t xml:space="preserve">-based </w:t>
      </w:r>
      <w:r w:rsidR="00D50A63">
        <w:rPr>
          <w:rFonts w:ascii="Times New Roman" w:hAnsi="Times New Roman" w:cs="Times New Roman"/>
          <w:sz w:val="24"/>
          <w:szCs w:val="24"/>
        </w:rPr>
        <w:t>detoxification</w:t>
      </w:r>
      <w:r w:rsidR="00A05EF5">
        <w:rPr>
          <w:rFonts w:ascii="Times New Roman" w:hAnsi="Times New Roman" w:cs="Times New Roman"/>
          <w:sz w:val="24"/>
          <w:szCs w:val="24"/>
        </w:rPr>
        <w:t xml:space="preserve"> and damage </w:t>
      </w:r>
      <w:r w:rsidR="00D50A63">
        <w:rPr>
          <w:rFonts w:ascii="Times New Roman" w:hAnsi="Times New Roman" w:cs="Times New Roman"/>
          <w:sz w:val="24"/>
          <w:szCs w:val="24"/>
        </w:rPr>
        <w:t xml:space="preserve">to the microbes considered in </w:t>
      </w:r>
      <w:proofErr w:type="spellStart"/>
      <w:r w:rsidR="00D50A63" w:rsidRPr="003609FB">
        <w:rPr>
          <w:rFonts w:ascii="Times New Roman" w:hAnsi="Times New Roman" w:cs="Times New Roman"/>
          <w:sz w:val="24"/>
          <w:szCs w:val="24"/>
        </w:rPr>
        <w:t>S</w:t>
      </w:r>
      <w:r w:rsidR="00D50A63" w:rsidRPr="00810B77">
        <w:rPr>
          <w:rFonts w:ascii="Times New Roman" w:hAnsi="Times New Roman" w:cs="Times New Roman"/>
          <w:sz w:val="24"/>
          <w:szCs w:val="24"/>
          <w:vertAlign w:val="subscript"/>
        </w:rPr>
        <w:t>B</w:t>
      </w:r>
      <w:r w:rsidR="00D50A63" w:rsidRPr="00207F5E">
        <w:rPr>
          <w:rFonts w:ascii="Times New Roman" w:hAnsi="Times New Roman" w:cs="Times New Roman"/>
          <w:sz w:val="24"/>
          <w:szCs w:val="24"/>
          <w:vertAlign w:val="subscript"/>
        </w:rPr>
        <w:t>x</w:t>
      </w:r>
      <w:proofErr w:type="spellEnd"/>
      <w:r w:rsidR="00D50A63">
        <w:rPr>
          <w:rFonts w:ascii="Times New Roman" w:hAnsi="Times New Roman" w:cs="Times New Roman"/>
          <w:sz w:val="24"/>
          <w:szCs w:val="24"/>
        </w:rPr>
        <w:t xml:space="preserve"> allows for the connection of </w:t>
      </w:r>
      <w:r w:rsidR="00D50A63" w:rsidRPr="003609FB">
        <w:rPr>
          <w:rFonts w:ascii="Times New Roman" w:hAnsi="Times New Roman" w:cs="Times New Roman"/>
          <w:sz w:val="24"/>
          <w:szCs w:val="24"/>
        </w:rPr>
        <w:t>H</w:t>
      </w:r>
      <w:r w:rsidR="00D50A63" w:rsidRPr="00351FC4">
        <w:rPr>
          <w:rFonts w:ascii="Times New Roman" w:hAnsi="Times New Roman" w:cs="Times New Roman"/>
          <w:sz w:val="24"/>
          <w:szCs w:val="24"/>
          <w:vertAlign w:val="subscript"/>
        </w:rPr>
        <w:t>2</w:t>
      </w:r>
      <w:r w:rsidR="00D50A63" w:rsidRPr="003609FB">
        <w:rPr>
          <w:rFonts w:ascii="Times New Roman" w:hAnsi="Times New Roman" w:cs="Times New Roman"/>
          <w:sz w:val="24"/>
          <w:szCs w:val="24"/>
        </w:rPr>
        <w:t>O</w:t>
      </w:r>
      <w:r w:rsidR="00D50A63" w:rsidRPr="00351FC4">
        <w:rPr>
          <w:rFonts w:ascii="Times New Roman" w:hAnsi="Times New Roman" w:cs="Times New Roman"/>
          <w:sz w:val="24"/>
          <w:szCs w:val="24"/>
          <w:vertAlign w:val="subscript"/>
        </w:rPr>
        <w:t>2</w:t>
      </w:r>
      <w:r w:rsidR="00D50A63">
        <w:rPr>
          <w:rFonts w:ascii="Times New Roman" w:hAnsi="Times New Roman" w:cs="Times New Roman"/>
          <w:sz w:val="24"/>
          <w:szCs w:val="24"/>
        </w:rPr>
        <w:t xml:space="preserve"> </w:t>
      </w:r>
      <w:r w:rsidR="0001266D">
        <w:rPr>
          <w:rFonts w:ascii="Times New Roman" w:hAnsi="Times New Roman" w:cs="Times New Roman"/>
          <w:sz w:val="24"/>
          <w:szCs w:val="24"/>
        </w:rPr>
        <w:t xml:space="preserve">concentrations </w:t>
      </w:r>
      <w:r w:rsidR="00D50A63">
        <w:rPr>
          <w:rFonts w:ascii="Times New Roman" w:hAnsi="Times New Roman" w:cs="Times New Roman"/>
          <w:sz w:val="24"/>
          <w:szCs w:val="24"/>
        </w:rPr>
        <w:t xml:space="preserve">to global predictions of X, be it carbon, nitrogen, or iron. </w:t>
      </w:r>
      <w:r w:rsidRPr="003609FB">
        <w:rPr>
          <w:rFonts w:ascii="Times New Roman" w:hAnsi="Times New Roman" w:cs="Times New Roman"/>
          <w:sz w:val="24"/>
          <w:szCs w:val="24"/>
        </w:rPr>
        <w:t xml:space="preserve">This thesis follows the stepwise methods seen in </w:t>
      </w:r>
      <w:r w:rsidR="00B80D3B" w:rsidRPr="003609FB">
        <w:rPr>
          <w:rFonts w:ascii="Times New Roman" w:hAnsi="Times New Roman" w:cs="Times New Roman"/>
          <w:sz w:val="24"/>
          <w:szCs w:val="24"/>
        </w:rPr>
        <w:t>F</w:t>
      </w:r>
      <w:r w:rsidRPr="003609FB">
        <w:rPr>
          <w:rFonts w:ascii="Times New Roman" w:hAnsi="Times New Roman" w:cs="Times New Roman"/>
          <w:sz w:val="24"/>
          <w:szCs w:val="24"/>
        </w:rPr>
        <w:t xml:space="preserve">igure </w:t>
      </w:r>
      <w:r w:rsidR="00B80D3B" w:rsidRPr="003609FB">
        <w:rPr>
          <w:rFonts w:ascii="Times New Roman" w:hAnsi="Times New Roman" w:cs="Times New Roman"/>
          <w:sz w:val="24"/>
          <w:szCs w:val="24"/>
        </w:rPr>
        <w:t>1.</w:t>
      </w:r>
      <w:r w:rsidRPr="003609FB">
        <w:rPr>
          <w:rFonts w:ascii="Times New Roman" w:hAnsi="Times New Roman" w:cs="Times New Roman"/>
          <w:sz w:val="24"/>
          <w:szCs w:val="24"/>
        </w:rPr>
        <w:t>2 for showing what it takes to go from laboratory to global model scales. While phytoplankton dynamics are incorporated (</w:t>
      </w:r>
      <w:proofErr w:type="spellStart"/>
      <w:r w:rsidR="00533612" w:rsidRPr="003609FB">
        <w:rPr>
          <w:rFonts w:ascii="Times New Roman" w:hAnsi="Times New Roman" w:cs="Times New Roman"/>
          <w:sz w:val="24"/>
          <w:szCs w:val="24"/>
        </w:rPr>
        <w:t>S</w:t>
      </w:r>
      <w:r w:rsidR="00533612" w:rsidRPr="00810B77">
        <w:rPr>
          <w:rFonts w:ascii="Times New Roman" w:hAnsi="Times New Roman" w:cs="Times New Roman"/>
          <w:sz w:val="24"/>
          <w:szCs w:val="24"/>
          <w:vertAlign w:val="subscript"/>
        </w:rPr>
        <w:t>B</w:t>
      </w:r>
      <w:r w:rsidR="00533612" w:rsidRPr="00207F5E">
        <w:rPr>
          <w:rFonts w:ascii="Times New Roman" w:hAnsi="Times New Roman" w:cs="Times New Roman"/>
          <w:sz w:val="24"/>
          <w:szCs w:val="24"/>
          <w:vertAlign w:val="subscript"/>
        </w:rPr>
        <w:t>x</w:t>
      </w:r>
      <w:proofErr w:type="spellEnd"/>
      <w:r w:rsidRPr="003609FB">
        <w:rPr>
          <w:rFonts w:ascii="Times New Roman" w:hAnsi="Times New Roman" w:cs="Times New Roman"/>
          <w:sz w:val="24"/>
          <w:szCs w:val="24"/>
        </w:rPr>
        <w:t xml:space="preserve">) into global models for quantification of their impacted on global chemical cycles, the known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dependencies within phytoplankton communities are not explicitly represented. The aim of this dissertation is to provide a first attempt at quantifying (Chapter 2), evaluating (</w:t>
      </w:r>
      <w:r w:rsidR="00B80D3B" w:rsidRPr="003609FB">
        <w:rPr>
          <w:rFonts w:ascii="Times New Roman" w:hAnsi="Times New Roman" w:cs="Times New Roman"/>
          <w:sz w:val="24"/>
          <w:szCs w:val="24"/>
        </w:rPr>
        <w:t>Appendices A,</w:t>
      </w:r>
      <w:r w:rsidR="00953A89" w:rsidRPr="003609FB">
        <w:rPr>
          <w:rFonts w:ascii="Times New Roman" w:hAnsi="Times New Roman" w:cs="Times New Roman"/>
          <w:sz w:val="24"/>
          <w:szCs w:val="24"/>
        </w:rPr>
        <w:t xml:space="preserve"> </w:t>
      </w:r>
      <w:r w:rsidR="00B80D3B" w:rsidRPr="003609FB">
        <w:rPr>
          <w:rFonts w:ascii="Times New Roman" w:hAnsi="Times New Roman" w:cs="Times New Roman"/>
          <w:sz w:val="24"/>
          <w:szCs w:val="24"/>
        </w:rPr>
        <w:t>B,</w:t>
      </w:r>
      <w:r w:rsidR="00D157BE" w:rsidRPr="003609FB">
        <w:rPr>
          <w:rFonts w:ascii="Times New Roman" w:hAnsi="Times New Roman" w:cs="Times New Roman"/>
          <w:sz w:val="24"/>
          <w:szCs w:val="24"/>
        </w:rPr>
        <w:t xml:space="preserve"> and </w:t>
      </w:r>
      <w:r w:rsidR="00B80D3B" w:rsidRPr="003609FB">
        <w:rPr>
          <w:rFonts w:ascii="Times New Roman" w:hAnsi="Times New Roman" w:cs="Times New Roman"/>
          <w:sz w:val="24"/>
          <w:szCs w:val="24"/>
        </w:rPr>
        <w:t>C)</w:t>
      </w:r>
      <w:r w:rsidRPr="003609FB">
        <w:rPr>
          <w:rFonts w:ascii="Times New Roman" w:hAnsi="Times New Roman" w:cs="Times New Roman"/>
          <w:sz w:val="24"/>
          <w:szCs w:val="24"/>
        </w:rPr>
        <w:t xml:space="preserve"> and projecting (Chapters 3,</w:t>
      </w:r>
      <w:r w:rsidR="00533612">
        <w:rPr>
          <w:rFonts w:ascii="Times New Roman" w:hAnsi="Times New Roman" w:cs="Times New Roman"/>
          <w:sz w:val="24"/>
          <w:szCs w:val="24"/>
        </w:rPr>
        <w:t xml:space="preserve"> </w:t>
      </w:r>
      <w:r w:rsidRPr="003609FB">
        <w:rPr>
          <w:rFonts w:ascii="Times New Roman" w:hAnsi="Times New Roman" w:cs="Times New Roman"/>
          <w:sz w:val="24"/>
          <w:szCs w:val="24"/>
        </w:rPr>
        <w:t xml:space="preserve">4) the differential impacts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phytoplankton monoculture abundances and resultant community dynamics when in concert </w:t>
      </w:r>
      <w:proofErr w:type="gramStart"/>
      <w:r w:rsidRPr="003609FB">
        <w:rPr>
          <w:rFonts w:ascii="Times New Roman" w:hAnsi="Times New Roman" w:cs="Times New Roman"/>
          <w:sz w:val="24"/>
          <w:szCs w:val="24"/>
        </w:rPr>
        <w:t xml:space="preserve">with </w:t>
      </w:r>
      <w:r w:rsidR="00825514" w:rsidRPr="00825514">
        <w:rPr>
          <w:rFonts w:ascii="Times New Roman" w:hAnsi="Times New Roman" w:cs="Times New Roman"/>
          <w:i/>
          <w:iCs/>
          <w:sz w:val="24"/>
          <w:szCs w:val="24"/>
        </w:rPr>
        <w:t>in</w:t>
      </w:r>
      <w:proofErr w:type="gramEnd"/>
      <w:r w:rsidR="00825514" w:rsidRPr="00825514">
        <w:rPr>
          <w:rFonts w:ascii="Times New Roman" w:hAnsi="Times New Roman" w:cs="Times New Roman"/>
          <w:i/>
          <w:iCs/>
          <w:sz w:val="24"/>
          <w:szCs w:val="24"/>
        </w:rPr>
        <w:t xml:space="preserve">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nutrient limitation. </w:t>
      </w:r>
    </w:p>
    <w:p w14:paraId="625670DA" w14:textId="7C594FE4" w:rsidR="00953A89" w:rsidRPr="003609FB" w:rsidRDefault="00953A89" w:rsidP="00AB2160">
      <w:pPr>
        <w:spacing w:line="360" w:lineRule="auto"/>
        <w:ind w:firstLine="720"/>
        <w:rPr>
          <w:rFonts w:ascii="Times New Roman" w:hAnsi="Times New Roman" w:cs="Times New Roman"/>
          <w:sz w:val="24"/>
          <w:szCs w:val="24"/>
        </w:rPr>
      </w:pPr>
      <w:r w:rsidRPr="00A90A35">
        <w:rPr>
          <w:rFonts w:ascii="Times New Roman" w:hAnsi="Times New Roman" w:cs="Times New Roman"/>
          <w:sz w:val="24"/>
          <w:szCs w:val="24"/>
        </w:rPr>
        <w:t xml:space="preserve">Boyd </w:t>
      </w:r>
      <w:r w:rsidR="00183222" w:rsidRPr="00183222">
        <w:rPr>
          <w:rFonts w:ascii="Times New Roman" w:hAnsi="Times New Roman" w:cs="Times New Roman"/>
          <w:i/>
          <w:iCs/>
          <w:sz w:val="24"/>
          <w:szCs w:val="24"/>
        </w:rPr>
        <w:t>et al</w:t>
      </w:r>
      <w:r w:rsidR="00276D32" w:rsidRPr="00A90A35">
        <w:rPr>
          <w:rFonts w:ascii="Times New Roman" w:hAnsi="Times New Roman" w:cs="Times New Roman"/>
          <w:i/>
          <w:iCs/>
          <w:sz w:val="24"/>
          <w:szCs w:val="24"/>
        </w:rPr>
        <w:t xml:space="preserve">. </w:t>
      </w:r>
      <w:r w:rsidRPr="00A90A35">
        <w:rPr>
          <w:rFonts w:ascii="Times New Roman" w:hAnsi="Times New Roman" w:cs="Times New Roman"/>
          <w:sz w:val="24"/>
          <w:szCs w:val="24"/>
        </w:rPr>
        <w:t xml:space="preserve">(2018) suggests that the challenge of climate change on ocean modeling requires </w:t>
      </w:r>
      <w:r w:rsidR="00A90A35" w:rsidRPr="00A90A35">
        <w:rPr>
          <w:rFonts w:ascii="Times New Roman" w:hAnsi="Times New Roman" w:cs="Times New Roman"/>
          <w:sz w:val="24"/>
          <w:szCs w:val="24"/>
        </w:rPr>
        <w:t>integrating information and methods from multiple</w:t>
      </w:r>
      <w:r w:rsidRPr="00A90A35">
        <w:rPr>
          <w:rFonts w:ascii="Times New Roman" w:hAnsi="Times New Roman" w:cs="Times New Roman"/>
          <w:sz w:val="24"/>
          <w:szCs w:val="24"/>
        </w:rPr>
        <w:t xml:space="preserve"> approaches. This thesis embraces </w:t>
      </w:r>
      <w:r w:rsidR="00A90A35" w:rsidRPr="00A90A35">
        <w:rPr>
          <w:rFonts w:ascii="Times New Roman" w:hAnsi="Times New Roman" w:cs="Times New Roman"/>
          <w:sz w:val="24"/>
          <w:szCs w:val="24"/>
        </w:rPr>
        <w:t xml:space="preserve">the </w:t>
      </w:r>
      <w:r w:rsidRPr="00A90A35">
        <w:rPr>
          <w:rFonts w:ascii="Times New Roman" w:hAnsi="Times New Roman" w:cs="Times New Roman"/>
          <w:sz w:val="24"/>
          <w:szCs w:val="24"/>
        </w:rPr>
        <w:t>combi</w:t>
      </w:r>
      <w:r w:rsidR="00A90A35" w:rsidRPr="00A90A35">
        <w:rPr>
          <w:rFonts w:ascii="Times New Roman" w:hAnsi="Times New Roman" w:cs="Times New Roman"/>
          <w:sz w:val="24"/>
          <w:szCs w:val="24"/>
        </w:rPr>
        <w:t>nation of</w:t>
      </w:r>
      <w:r w:rsidRPr="00A90A35">
        <w:rPr>
          <w:rFonts w:ascii="Times New Roman" w:hAnsi="Times New Roman" w:cs="Times New Roman"/>
          <w:sz w:val="24"/>
          <w:szCs w:val="24"/>
        </w:rPr>
        <w:t xml:space="preserve"> techniques from various microbial laboratory, computer science, math modeling, and ocean ecology to get a broad scale understanding of global changes wrought by </w:t>
      </w:r>
      <w:r w:rsidR="00F52F1E" w:rsidRPr="00A90A35">
        <w:rPr>
          <w:rFonts w:ascii="Times New Roman" w:hAnsi="Times New Roman" w:cs="Times New Roman"/>
          <w:sz w:val="24"/>
          <w:szCs w:val="24"/>
        </w:rPr>
        <w:t>H</w:t>
      </w:r>
      <w:r w:rsidR="00F52F1E" w:rsidRPr="00A90A35">
        <w:rPr>
          <w:rFonts w:ascii="Times New Roman" w:hAnsi="Times New Roman" w:cs="Times New Roman"/>
          <w:sz w:val="24"/>
          <w:szCs w:val="24"/>
          <w:vertAlign w:val="subscript"/>
        </w:rPr>
        <w:t>2</w:t>
      </w:r>
      <w:r w:rsidR="00F52F1E" w:rsidRPr="00A90A35">
        <w:rPr>
          <w:rFonts w:ascii="Times New Roman" w:hAnsi="Times New Roman" w:cs="Times New Roman"/>
          <w:sz w:val="24"/>
          <w:szCs w:val="24"/>
        </w:rPr>
        <w:t>O</w:t>
      </w:r>
      <w:r w:rsidR="00F52F1E" w:rsidRPr="00A90A35">
        <w:rPr>
          <w:rFonts w:ascii="Times New Roman" w:hAnsi="Times New Roman" w:cs="Times New Roman"/>
          <w:sz w:val="24"/>
          <w:szCs w:val="24"/>
          <w:vertAlign w:val="subscript"/>
        </w:rPr>
        <w:t>2</w:t>
      </w:r>
      <w:r w:rsidRPr="00A90A35">
        <w:rPr>
          <w:rFonts w:ascii="Times New Roman" w:hAnsi="Times New Roman" w:cs="Times New Roman"/>
          <w:sz w:val="24"/>
          <w:szCs w:val="24"/>
        </w:rPr>
        <w:t>. We</w:t>
      </w:r>
      <w:r w:rsidRPr="003609FB">
        <w:rPr>
          <w:rFonts w:ascii="Times New Roman" w:hAnsi="Times New Roman" w:cs="Times New Roman"/>
          <w:sz w:val="24"/>
          <w:szCs w:val="24"/>
        </w:rPr>
        <w:t xml:space="preserve"> confront several laboratory experiments with ordinary differential equations</w:t>
      </w:r>
      <w:r w:rsidR="00340541">
        <w:rPr>
          <w:rFonts w:ascii="Times New Roman" w:hAnsi="Times New Roman" w:cs="Times New Roman"/>
          <w:sz w:val="24"/>
          <w:szCs w:val="24"/>
        </w:rPr>
        <w:t xml:space="preserve"> representing monoculture batch culture cell dynamics</w:t>
      </w:r>
      <w:r w:rsidR="00A90A35">
        <w:rPr>
          <w:rFonts w:ascii="Times New Roman" w:hAnsi="Times New Roman" w:cs="Times New Roman"/>
          <w:sz w:val="24"/>
          <w:szCs w:val="24"/>
        </w:rPr>
        <w:t xml:space="preserve"> </w:t>
      </w:r>
      <w:r w:rsidR="00340541">
        <w:rPr>
          <w:rFonts w:ascii="Times New Roman" w:hAnsi="Times New Roman" w:cs="Times New Roman"/>
          <w:sz w:val="24"/>
          <w:szCs w:val="24"/>
        </w:rPr>
        <w:t xml:space="preserve">with or without </w:t>
      </w:r>
      <w:r w:rsidR="00340541" w:rsidRPr="003609FB">
        <w:rPr>
          <w:rFonts w:ascii="Times New Roman" w:hAnsi="Times New Roman" w:cs="Times New Roman"/>
          <w:sz w:val="24"/>
          <w:szCs w:val="24"/>
        </w:rPr>
        <w:t>H</w:t>
      </w:r>
      <w:r w:rsidR="00340541" w:rsidRPr="00351FC4">
        <w:rPr>
          <w:rFonts w:ascii="Times New Roman" w:hAnsi="Times New Roman" w:cs="Times New Roman"/>
          <w:sz w:val="24"/>
          <w:szCs w:val="24"/>
          <w:vertAlign w:val="subscript"/>
        </w:rPr>
        <w:t>2</w:t>
      </w:r>
      <w:r w:rsidR="00340541" w:rsidRPr="003609FB">
        <w:rPr>
          <w:rFonts w:ascii="Times New Roman" w:hAnsi="Times New Roman" w:cs="Times New Roman"/>
          <w:sz w:val="24"/>
          <w:szCs w:val="24"/>
        </w:rPr>
        <w:t>O</w:t>
      </w:r>
      <w:r w:rsidR="00340541" w:rsidRPr="00351FC4">
        <w:rPr>
          <w:rFonts w:ascii="Times New Roman" w:hAnsi="Times New Roman" w:cs="Times New Roman"/>
          <w:sz w:val="24"/>
          <w:szCs w:val="24"/>
          <w:vertAlign w:val="subscript"/>
        </w:rPr>
        <w:t>2</w:t>
      </w:r>
      <w:r w:rsidR="00340541">
        <w:rPr>
          <w:rFonts w:ascii="Times New Roman" w:hAnsi="Times New Roman" w:cs="Times New Roman"/>
          <w:sz w:val="24"/>
          <w:szCs w:val="24"/>
        </w:rPr>
        <w:t xml:space="preserve"> </w:t>
      </w:r>
      <w:r w:rsidRPr="003609FB">
        <w:rPr>
          <w:rFonts w:ascii="Times New Roman" w:hAnsi="Times New Roman" w:cs="Times New Roman"/>
          <w:sz w:val="24"/>
          <w:szCs w:val="24"/>
        </w:rPr>
        <w:t xml:space="preserve">to analyze the innate dependencies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and fellow ocean microbes</w:t>
      </w:r>
      <w:r w:rsidR="00340541">
        <w:rPr>
          <w:rFonts w:ascii="Times New Roman" w:hAnsi="Times New Roman" w:cs="Times New Roman"/>
          <w:sz w:val="24"/>
          <w:szCs w:val="24"/>
        </w:rPr>
        <w:t xml:space="preserve">, on </w:t>
      </w:r>
      <w:r w:rsidR="00340541" w:rsidRPr="003609FB">
        <w:rPr>
          <w:rFonts w:ascii="Times New Roman" w:hAnsi="Times New Roman" w:cs="Times New Roman"/>
          <w:sz w:val="24"/>
          <w:szCs w:val="24"/>
        </w:rPr>
        <w:t>H</w:t>
      </w:r>
      <w:r w:rsidR="00340541" w:rsidRPr="00351FC4">
        <w:rPr>
          <w:rFonts w:ascii="Times New Roman" w:hAnsi="Times New Roman" w:cs="Times New Roman"/>
          <w:sz w:val="24"/>
          <w:szCs w:val="24"/>
          <w:vertAlign w:val="subscript"/>
        </w:rPr>
        <w:t>2</w:t>
      </w:r>
      <w:r w:rsidR="00340541" w:rsidRPr="003609FB">
        <w:rPr>
          <w:rFonts w:ascii="Times New Roman" w:hAnsi="Times New Roman" w:cs="Times New Roman"/>
          <w:sz w:val="24"/>
          <w:szCs w:val="24"/>
        </w:rPr>
        <w:t>O</w:t>
      </w:r>
      <w:r w:rsidR="00340541" w:rsidRPr="00351FC4">
        <w:rPr>
          <w:rFonts w:ascii="Times New Roman" w:hAnsi="Times New Roman" w:cs="Times New Roman"/>
          <w:sz w:val="24"/>
          <w:szCs w:val="24"/>
          <w:vertAlign w:val="subscript"/>
        </w:rPr>
        <w:t>2</w:t>
      </w:r>
      <w:r w:rsidR="00340541">
        <w:rPr>
          <w:rFonts w:ascii="Times New Roman" w:hAnsi="Times New Roman" w:cs="Times New Roman"/>
          <w:sz w:val="24"/>
          <w:szCs w:val="24"/>
        </w:rPr>
        <w:t xml:space="preserve"> interactions</w:t>
      </w:r>
      <w:r w:rsidRPr="003609FB">
        <w:rPr>
          <w:rFonts w:ascii="Times New Roman" w:hAnsi="Times New Roman" w:cs="Times New Roman"/>
          <w:sz w:val="24"/>
          <w:szCs w:val="24"/>
        </w:rPr>
        <w:t xml:space="preserve"> within our framework. Model parameters are difficult to explicitly measure within a laboratory/environmental experiment alone due to difference in lab vs</w:t>
      </w:r>
      <w:r w:rsidR="00847BA9">
        <w:rPr>
          <w:rFonts w:ascii="Times New Roman" w:hAnsi="Times New Roman" w:cs="Times New Roman"/>
          <w:sz w:val="24"/>
          <w:szCs w:val="24"/>
        </w:rPr>
        <w:t>.</w:t>
      </w:r>
      <w:r w:rsidRPr="003609FB">
        <w:rPr>
          <w:rFonts w:ascii="Times New Roman" w:hAnsi="Times New Roman" w:cs="Times New Roman"/>
          <w:sz w:val="24"/>
          <w:szCs w:val="24"/>
        </w:rPr>
        <w:t xml:space="preserve"> global scales </w:t>
      </w:r>
      <w:r w:rsidRPr="003609FB">
        <w:rPr>
          <w:rFonts w:ascii="Times New Roman" w:hAnsi="Times New Roman" w:cs="Times New Roman"/>
          <w:sz w:val="24"/>
          <w:szCs w:val="24"/>
        </w:rPr>
        <w:fldChar w:fldCharType="begin"/>
      </w:r>
      <w:r w:rsidR="00A53B46">
        <w:rPr>
          <w:rFonts w:ascii="Times New Roman" w:hAnsi="Times New Roman" w:cs="Times New Roman"/>
          <w:sz w:val="24"/>
          <w:szCs w:val="24"/>
        </w:rPr>
        <w:instrText xml:space="preserve"> ADDIN ZOTERO_ITEM CSL_CITATION {"citationID":"bt0sKZOE","properties":{"formattedCitation":"(Saba et al. 2010)","plainCitation":"(Saba et al. 2010)","noteIndex":0},"citationItems":[{"id":225,"uris":["http://zotero.org/users/6128296/items/SAGTHVHX"],"itemData":{"id":225,"type":"article-journal","container-title":"Global Biogeochemical Cycles","DOI":"10.1029/2009GB003655","ISSN":"08866236","issue":"3","journalAbbreviation":"Global Biogeochem. Cycles","language":"en","page":"n/a-n/a","source":"DOI.org (Crossref)","title":"Challenges of modeling depth-integrated marine primary productivity over multiple decades: A case study at BATS and HOT: modeling marine primary productivity","title-short":"Challenges of modeling depth-integrated marine primary productivity over multiple decades","volume":"24","author":[{"family":"Saba","given":""},{"family":"Friedrichs","given":"Marjorie A. M."},{"family":"Carr","given":"Mary-Elena"},{"family":"Antoine","given":"David"},{"family":"Armstrong","given":"Robert A."},{"family":"Asanuma","given":"Ichio"},{"family":"Aumont","given":"Olivier"},{"family":"Bates","given":"Nicholas R."},{"family":"Behrenfeld","given":"Michael J."},{"family":"Bennington","given":"Val"},{"family":"Bopp","given":"Laurent"},{"family":"Bruggeman","given":"Jorn"},{"family":"Buitenhuis","given":"Erik T."},{"family":"Church","given":"Matthew J."},{"family":"Ciotti","given":"Aurea M."},{"family":"Doney","given":"Scott C."},{"family":"Dowell","given":"Mark"},{"family":"Dunne","given":"John"},{"family":"Dutkiewicz","given":"Stephanie"},{"family":"Gregg","given":"Watson"},{"family":"Hoepffner","given":"Nicolas"},{"family":"Hyde","given":"Kimberly J. W."},{"family":"Ishizaka","given":"Joji"},{"family":"Kameda","given":"Takahiko"},{"family":"Karl","given":"David M."},{"family":"Lima","given":"Ivan"},{"family":"Lomas","given":"Michael W."},{"family":"Marra","given":"John"},{"family":"McKinley","given":"Galen A."},{"family":"Mélin","given":"Frédéric"},{"family":"Moore","given":"J. Keith"},{"family":"Morel","given":"André"},{"family":"O'Reilly","given":"John"},{"family":"Salihoglu","given":"Baris"},{"family":"Scardi","given":"Michele"},{"family":"Smyth","given":"Tim J."},{"family":"Tang","given":"Shilin"},{"family":"Tjiputra","given":"Jerry"},{"family":"Uitz","given":"Julia"},{"family":"Vichi","given":"Marcello"},{"family":"Waters","given":"Kirk"},{"family":"Westberry","given":"Toby K."},{"family":"Yool","given":"Andrew"}],"issued":{"date-parts":[["2010",9]]}}}],"schema":"https://github.com/citation-style-language/schema/raw/master/csl-citation.json"} </w:instrText>
      </w:r>
      <w:r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(Saba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2010)</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w:t>
      </w:r>
      <w:r w:rsidR="008C5F56">
        <w:rPr>
          <w:rFonts w:ascii="Times New Roman" w:hAnsi="Times New Roman" w:cs="Times New Roman"/>
          <w:sz w:val="24"/>
          <w:szCs w:val="24"/>
        </w:rPr>
        <w:t>the relatively small amount (~2%) of the ocean’s total global area that has been sampled for</w:t>
      </w:r>
      <w:r w:rsidR="003B4432">
        <w:rPr>
          <w:rFonts w:ascii="Times New Roman" w:hAnsi="Times New Roman" w:cs="Times New Roman"/>
          <w:sz w:val="24"/>
          <w:szCs w:val="24"/>
        </w:rPr>
        <w:t xml:space="preserve"> microbial </w:t>
      </w:r>
      <w:r w:rsidR="008C5F56">
        <w:rPr>
          <w:rFonts w:ascii="Times New Roman" w:hAnsi="Times New Roman" w:cs="Times New Roman"/>
          <w:sz w:val="24"/>
          <w:szCs w:val="24"/>
        </w:rPr>
        <w:t>dynamics</w:t>
      </w:r>
      <w:r w:rsidR="00AA1FF6">
        <w:rPr>
          <w:rFonts w:ascii="Times New Roman" w:hAnsi="Times New Roman" w:cs="Times New Roman"/>
          <w:sz w:val="24"/>
          <w:szCs w:val="24"/>
        </w:rPr>
        <w:t xml:space="preserve"> </w:t>
      </w:r>
      <w:r w:rsidR="003B4432">
        <w:rPr>
          <w:rFonts w:ascii="Times New Roman" w:hAnsi="Times New Roman" w:cs="Times New Roman"/>
          <w:sz w:val="24"/>
          <w:szCs w:val="24"/>
        </w:rPr>
        <w:t>is</w:t>
      </w:r>
      <w:r w:rsidRPr="003609FB">
        <w:rPr>
          <w:rFonts w:ascii="Times New Roman" w:hAnsi="Times New Roman" w:cs="Times New Roman"/>
          <w:sz w:val="24"/>
          <w:szCs w:val="24"/>
        </w:rPr>
        <w:t xml:space="preserve"> </w:t>
      </w:r>
      <w:r w:rsidR="008C5F56">
        <w:rPr>
          <w:rFonts w:ascii="Times New Roman" w:hAnsi="Times New Roman" w:cs="Times New Roman"/>
          <w:sz w:val="24"/>
          <w:szCs w:val="24"/>
        </w:rPr>
        <w:t xml:space="preserve">well </w:t>
      </w:r>
      <w:r w:rsidRPr="003609FB">
        <w:rPr>
          <w:rFonts w:ascii="Times New Roman" w:hAnsi="Times New Roman" w:cs="Times New Roman"/>
          <w:sz w:val="24"/>
          <w:szCs w:val="24"/>
        </w:rPr>
        <w:t xml:space="preserve">recognized </w:t>
      </w:r>
      <w:r w:rsidRPr="003609FB">
        <w:rPr>
          <w:rFonts w:ascii="Times New Roman" w:hAnsi="Times New Roman" w:cs="Times New Roman"/>
          <w:sz w:val="24"/>
          <w:szCs w:val="24"/>
        </w:rPr>
        <w:fldChar w:fldCharType="begin"/>
      </w:r>
      <w:r w:rsidR="003547B2">
        <w:rPr>
          <w:rFonts w:ascii="Times New Roman" w:hAnsi="Times New Roman" w:cs="Times New Roman"/>
          <w:sz w:val="24"/>
          <w:szCs w:val="24"/>
        </w:rPr>
        <w:instrText xml:space="preserve"> ADDIN ZOTERO_ITEM CSL_CITATION {"citationID":"M5EqrZjU","properties":{"formattedCitation":"(Carroll et al. 2020)","plainCitation":"(Carroll et al. 2020)","noteIndex":0},"citationItems":[{"id":2251,"uris":["http://zotero.org/users/6128296/items/HU3BK8EJ"]</w:instrText>
      </w:r>
      <w:r w:rsidR="003547B2">
        <w:rPr>
          <w:rFonts w:ascii="Times New Roman" w:hAnsi="Times New Roman" w:cs="Times New Roman" w:hint="eastAsia"/>
          <w:sz w:val="24"/>
          <w:szCs w:val="24"/>
        </w:rPr>
        <w:instrText>,"itemData":{"id":2251,"type":"article-journal","container-title":"Journal of Advances in Modeling Earth Systems","DOI":"https://doi.org/10.1029/2019MS001888","issue":"e2019MS001888","title":"The ECCO</w:instrText>
      </w:r>
      <w:r w:rsidR="003547B2">
        <w:rPr>
          <w:rFonts w:ascii="Times New Roman" w:hAnsi="Times New Roman" w:cs="Times New Roman" w:hint="eastAsia"/>
          <w:sz w:val="24"/>
          <w:szCs w:val="24"/>
        </w:rPr>
        <w:instrText>‐</w:instrText>
      </w:r>
      <w:r w:rsidR="003547B2">
        <w:rPr>
          <w:rFonts w:ascii="Times New Roman" w:hAnsi="Times New Roman" w:cs="Times New Roman" w:hint="eastAsia"/>
          <w:sz w:val="24"/>
          <w:szCs w:val="24"/>
        </w:rPr>
        <w:instrText>Darwin data</w:instrText>
      </w:r>
      <w:r w:rsidR="003547B2">
        <w:rPr>
          <w:rFonts w:ascii="Times New Roman" w:hAnsi="Times New Roman" w:cs="Times New Roman" w:hint="eastAsia"/>
          <w:sz w:val="24"/>
          <w:szCs w:val="24"/>
        </w:rPr>
        <w:instrText>‐</w:instrText>
      </w:r>
      <w:r w:rsidR="003547B2">
        <w:rPr>
          <w:rFonts w:ascii="Times New Roman" w:hAnsi="Times New Roman" w:cs="Times New Roman" w:hint="eastAsia"/>
          <w:sz w:val="24"/>
          <w:szCs w:val="24"/>
        </w:rPr>
        <w:instrText>assimilative global ocean biogeochemistry model: Estimates of seasonal to multidecadal surface ocean pCO2 and air</w:instrText>
      </w:r>
      <w:r w:rsidR="003547B2">
        <w:rPr>
          <w:rFonts w:ascii="Times New Roman" w:hAnsi="Times New Roman" w:cs="Times New Roman" w:hint="eastAsia"/>
          <w:sz w:val="24"/>
          <w:szCs w:val="24"/>
        </w:rPr>
        <w:instrText>‐</w:instrText>
      </w:r>
      <w:r w:rsidR="003547B2">
        <w:rPr>
          <w:rFonts w:ascii="Times New Roman" w:hAnsi="Times New Roman" w:cs="Times New Roman" w:hint="eastAsia"/>
          <w:sz w:val="24"/>
          <w:szCs w:val="24"/>
        </w:rPr>
        <w:instrText>sea CO2 flux.","volume":"23","author":[{"family":"Carroll","given":""},{"family":"Menemenlis","given":"D"},{"family":"Adkins","given":"J.F."},{"family":"Bowman","given":"K.W."},{"fami</w:instrText>
      </w:r>
      <w:r w:rsidR="003547B2">
        <w:rPr>
          <w:rFonts w:ascii="Times New Roman" w:hAnsi="Times New Roman" w:cs="Times New Roman"/>
          <w:sz w:val="24"/>
          <w:szCs w:val="24"/>
        </w:rPr>
        <w:instrText xml:space="preserve">ly":"Brix","given":"H"},{"family":"Dutkiewicz","given":"S"}],"issued":{"date-parts":[["2020"]]}}}],"schema":"https://github.com/citation-style-language/schema/raw/master/csl-citation.json"} </w:instrText>
      </w:r>
      <w:r w:rsidRPr="003609FB">
        <w:rPr>
          <w:rFonts w:ascii="Times New Roman" w:hAnsi="Times New Roman" w:cs="Times New Roman"/>
          <w:sz w:val="24"/>
          <w:szCs w:val="24"/>
        </w:rPr>
        <w:fldChar w:fldCharType="separate"/>
      </w:r>
      <w:r w:rsidR="003547B2">
        <w:rPr>
          <w:rFonts w:ascii="Times New Roman" w:hAnsi="Times New Roman" w:cs="Times New Roman"/>
          <w:sz w:val="24"/>
          <w:szCs w:val="24"/>
        </w:rPr>
        <w:t xml:space="preserve">(Carroll </w:t>
      </w:r>
      <w:r w:rsidR="00183222" w:rsidRPr="00183222">
        <w:rPr>
          <w:rFonts w:ascii="Times New Roman" w:hAnsi="Times New Roman" w:cs="Times New Roman"/>
          <w:i/>
          <w:iCs/>
          <w:sz w:val="24"/>
          <w:szCs w:val="24"/>
        </w:rPr>
        <w:t>et al</w:t>
      </w:r>
      <w:r w:rsidR="003547B2">
        <w:rPr>
          <w:rFonts w:ascii="Times New Roman" w:hAnsi="Times New Roman" w:cs="Times New Roman"/>
          <w:sz w:val="24"/>
          <w:szCs w:val="24"/>
        </w:rPr>
        <w:t>. 2020)</w:t>
      </w:r>
      <w:r w:rsidRPr="003609FB">
        <w:rPr>
          <w:rFonts w:ascii="Times New Roman" w:hAnsi="Times New Roman" w:cs="Times New Roman"/>
          <w:sz w:val="24"/>
          <w:szCs w:val="24"/>
        </w:rPr>
        <w:fldChar w:fldCharType="end"/>
      </w:r>
      <w:r w:rsidR="00AA1FF6">
        <w:rPr>
          <w:rFonts w:ascii="Times New Roman" w:hAnsi="Times New Roman" w:cs="Times New Roman"/>
          <w:sz w:val="24"/>
          <w:szCs w:val="24"/>
        </w:rPr>
        <w:t xml:space="preserve"> and is thus an impediment to accurately modeling the microbes within marine ecosystems</w:t>
      </w:r>
      <w:r w:rsidRPr="003609FB">
        <w:rPr>
          <w:rFonts w:ascii="Times New Roman" w:hAnsi="Times New Roman" w:cs="Times New Roman"/>
          <w:sz w:val="24"/>
          <w:szCs w:val="24"/>
        </w:rPr>
        <w:t xml:space="preserve">. This project introduces simple mathematical representations of the time dependent cell abundance and nutrient 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for multiple members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oligotrophic community and take a stepwise modeling approach, iterating over specific data sets to recover abiotic, biotic,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 based parameters in Chapter 2. We parameterized these models with laboratory culture data to ensure that our projections are rooted in the biology driving this complex ecology (Figure 1.2, </w:t>
      </w:r>
      <w:r w:rsidR="009A35A3">
        <w:rPr>
          <w:rFonts w:ascii="Times New Roman" w:hAnsi="Times New Roman" w:cs="Times New Roman"/>
          <w:sz w:val="24"/>
          <w:szCs w:val="24"/>
        </w:rPr>
        <w:t xml:space="preserve">a, </w:t>
      </w:r>
      <w:r w:rsidRPr="003609FB">
        <w:rPr>
          <w:rFonts w:ascii="Times New Roman" w:hAnsi="Times New Roman" w:cs="Times New Roman"/>
          <w:sz w:val="24"/>
          <w:szCs w:val="24"/>
        </w:rPr>
        <w:t xml:space="preserve">‘Chapter 2’ section). We build from prior deterministic models that explore </w:t>
      </w:r>
      <w:r w:rsidRPr="003609FB">
        <w:rPr>
          <w:rFonts w:ascii="Times New Roman" w:hAnsi="Times New Roman" w:cs="Times New Roman"/>
          <w:sz w:val="24"/>
          <w:szCs w:val="24"/>
        </w:rPr>
        <w:lastRenderedPageBreak/>
        <w:t xml:space="preserve">competitive outcomes between microbes using population traits and nutrient supply </w:t>
      </w:r>
      <w:r w:rsidRPr="003609FB">
        <w:rPr>
          <w:rFonts w:ascii="Times New Roman" w:hAnsi="Times New Roman" w:cs="Times New Roman"/>
          <w:sz w:val="24"/>
          <w:szCs w:val="24"/>
        </w:rPr>
        <w:fldChar w:fldCharType="begin"/>
      </w:r>
      <w:r w:rsidR="00A53B46">
        <w:rPr>
          <w:rFonts w:ascii="Times New Roman" w:hAnsi="Times New Roman" w:cs="Times New Roman"/>
          <w:sz w:val="24"/>
          <w:szCs w:val="24"/>
        </w:rPr>
        <w:instrText xml:space="preserve"> ADDIN ZOTERO_ITEM CSL_CITATION {"citationID":"6T6Uevr9","properties":{"formattedCitation":"(Follows et al. 2007; Ward et al. 2017; Buitenhuis et al. 2012; Edwards et al. 2012; Passarge et al. 2006)","plainCitation":"(Follows et al. 2007; Ward et al. 2017; Buitenhuis et al. 2012; Edwards et al. 2012; Passarge et al. 2006)","noteIndex":0},"citationItems":[{"id":91,"uris":["http://zotero.org/users/6128296/items/NG6G4I5N"],"itemData":{"id":91,"type":"article-journal","abstract":"A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A53B46">
        <w:rPr>
          <w:rFonts w:ascii="Cambria Math" w:hAnsi="Cambria Math" w:cs="Cambria Math"/>
          <w:sz w:val="24"/>
          <w:szCs w:val="24"/>
        </w:rPr>
        <w:instrText>∼</w:instrText>
      </w:r>
      <w:r w:rsidR="00A53B46">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B."}],"issued":{"date-parts":[["2012",4,27]]}}},{"id":4031,"uris":["http://zotero.org/users/6128296/items/RH6MM6NJ"],"itemData":{"id":4031,"type":"article-journal","abstract":"Nutrient utilization traits can be used to link the ecophysiology of phytoplankton to population dynamic models and the structure of communities across environmental gradients. Here we analyze a comprehensive literature compilation of four traits: maximum nutrient uptake rate; the half-saturation constant for nutrient uptake; the minimum subsistence quota, measured for nitrate and phosphate; and maximum growth rate. We also use these traits to analyze two composite traits, uptake affinity and scaled uptake affinity. All traits tend to increase with cell volume, except for scaled uptake affinity and maximum growth rate, which tend to decline with cell volume. Most scaling relationships are the same for freshwater and marine species, although important differences exist. Most traits differ on average between major taxa, but between-taxon variation is nearly always due to between-taxon variation in volume. There is some evidence for between-trait correlations that could constrain trait evolution, but these correlations are difficult to disentangle from correlation driven by cell volume. These results should enhance the parameterization of models that use size or taxonomic group to structure physiological variation in phytoplankton communities.","container-title":"Limnology and Oceanography","DOI":"10.4319/lo.2012.57.2.0554","ISSN":"0024-3590, 1939-5590","issue":"2","journalAbbreviation":"Limnology &amp; Oceanography","language":"en","page":"554-566","source":"DOI.org (Crossref)","title":"Allometric scaling and taxonomic variation in nutrient utilization traits and maximum growth rate of phytoplankton","volume":"57","author":[{"family":"Edwards","given":""},{"family":"Thomas","given":"Mridul K."},{"family":"Klausmeier","given":"Christopher A."},{"family":"Litchman","given":"Elena"}],"issued":{"date-parts":[["2012",3]]}}},{"id":1555,"uris":["http://zotero.org/users/6128296/items/YLEWFKVU"],"itemData":{"id":1555,"type":"article-journal","abstract":"Competition theory has put forward three contrasting hypotheses: Competition for nutrients and light may lead to (i) stable coexistence of species, (ii) alternative stable states, or (iii) competitive exclusion. This paper presents a detailed investigation of competition among phytoplankton species to test these three different hypotheses. First, we developed a competition model combining competition for nutrients and light. Next, we ran monoculture experiments in phosphorus-limited and light-limited chemostats to estimate the model parameters for ﬁve freshwater phytoplankton species. Finally, we tested the model predictions in competition experiments, using phosphorus levels ranging from oligotrophic to eutrophic conditions. The population dynamics in the competition experiments were all in agreement with the model predictions. This demonstrates that competition for nutrients and light can be accurately predicted over a wide range of productivities. The experiments revealed that the intensity of competition remained constant or even decreased with increasing nutrient supply. Contrary to expectation, there were no trade-offs between competitive abilities for phosphorus and light. Species that were strong competitors for phosphorus were strong competitors for light as well. Hence, we found neither stable coexistence nor alternative stable states. All competition experiments led to competitive exclusion. Furthermore, the physiological traits of the species indicated that, if one would ﬁnd trade-offs in competitive abilities, competition for phosphorus and light would lead to alternative stable states rather than to stable coexistence. These results suggest that stable coexistence mediated by competition for phosphorus and light is rare, and hence an unlikely explanation for the high biodiversity commonly found in phytoplankton communities.","container-title":"Ecological Monographs","DOI":"10.1890/04-1824","ISSN":"0012-9615","issue":"1","journalAbbreviation":"Ecological Monographs","language":"en","page":"57-72","source":"DOI.org (Crossref)","title":"Competition for nutrients and light: stable coexistence, alternative stable states, or competitive exclusion?","title-short":"COMPETITION FOR NUTRIENTS AND LIGHT","volume":"76","author":[{"family":"Passarge","given":""},{"family":"Hol","given":"Suzanne"},{"family":"Escher","given":"Marieke"},{"family":"Huisman","given":"Jef"}],"issued":{"date-parts":[["2006",2]]}}}],"schema":"https://github.com/citation-style-language/schema/raw/master/csl-citation.json"} </w:instrText>
      </w:r>
      <w:r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(Follows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2007;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2017; Buitenhuis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2012; Edwards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2012; Passarge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2006)</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explore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as an explicit parameter that may influence feedbacks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and nutrient balances on large-scale oceanic microbial distributions starting in Chapter 3 (Figure </w:t>
      </w:r>
      <w:r w:rsidR="009A35A3">
        <w:rPr>
          <w:rFonts w:ascii="Times New Roman" w:hAnsi="Times New Roman" w:cs="Times New Roman"/>
          <w:sz w:val="24"/>
          <w:szCs w:val="24"/>
        </w:rPr>
        <w:t>1.</w:t>
      </w:r>
      <w:r w:rsidRPr="003609FB">
        <w:rPr>
          <w:rFonts w:ascii="Times New Roman" w:hAnsi="Times New Roman" w:cs="Times New Roman"/>
          <w:sz w:val="24"/>
          <w:szCs w:val="24"/>
        </w:rPr>
        <w:t xml:space="preserve">2, </w:t>
      </w:r>
      <w:r w:rsidR="009A35A3">
        <w:rPr>
          <w:rFonts w:ascii="Times New Roman" w:hAnsi="Times New Roman" w:cs="Times New Roman"/>
          <w:sz w:val="24"/>
          <w:szCs w:val="24"/>
        </w:rPr>
        <w:t xml:space="preserve">b, </w:t>
      </w:r>
      <w:r w:rsidRPr="003609FB">
        <w:rPr>
          <w:rFonts w:ascii="Times New Roman" w:hAnsi="Times New Roman" w:cs="Times New Roman"/>
          <w:sz w:val="24"/>
          <w:szCs w:val="24"/>
        </w:rPr>
        <w:t>Chapter 3 competition and coexistence scenarios)</w:t>
      </w:r>
      <w:r w:rsidR="00847BA9">
        <w:rPr>
          <w:rFonts w:ascii="Times New Roman" w:hAnsi="Times New Roman" w:cs="Times New Roman"/>
          <w:sz w:val="24"/>
          <w:szCs w:val="24"/>
        </w:rPr>
        <w:t>.</w:t>
      </w:r>
      <w:r w:rsidRPr="003609FB">
        <w:rPr>
          <w:rFonts w:ascii="Times New Roman" w:hAnsi="Times New Roman" w:cs="Times New Roman"/>
          <w:sz w:val="24"/>
          <w:szCs w:val="24"/>
        </w:rPr>
        <w:t xml:space="preserve"> Then trade-offs between efficient nutrient acquisition and maintaining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detoxifiers are considered using resource competition theory to assess how nutrient supply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gradients exert control on the selection of microbial communities. Thus, a framework </w:t>
      </w:r>
      <w:r w:rsidR="00ED1F16">
        <w:rPr>
          <w:rFonts w:ascii="Times New Roman" w:hAnsi="Times New Roman" w:cs="Times New Roman"/>
          <w:sz w:val="24"/>
          <w:szCs w:val="24"/>
        </w:rPr>
        <w:t>starts</w:t>
      </w:r>
      <w:r w:rsidRPr="003609FB">
        <w:rPr>
          <w:rFonts w:ascii="Times New Roman" w:hAnsi="Times New Roman" w:cs="Times New Roman"/>
          <w:sz w:val="24"/>
          <w:szCs w:val="24"/>
        </w:rPr>
        <w:t xml:space="preserve"> to explicitly </w:t>
      </w:r>
      <w:r w:rsidR="00ED1F16" w:rsidRPr="003609FB">
        <w:rPr>
          <w:rFonts w:ascii="Times New Roman" w:hAnsi="Times New Roman" w:cs="Times New Roman"/>
          <w:sz w:val="24"/>
          <w:szCs w:val="24"/>
        </w:rPr>
        <w:t>resol</w:t>
      </w:r>
      <w:r w:rsidR="00ED1F16">
        <w:rPr>
          <w:rFonts w:ascii="Times New Roman" w:hAnsi="Times New Roman" w:cs="Times New Roman"/>
          <w:sz w:val="24"/>
          <w:szCs w:val="24"/>
        </w:rPr>
        <w:t>ve</w:t>
      </w:r>
      <w:r w:rsidRPr="003609FB">
        <w:rPr>
          <w:rFonts w:ascii="Times New Roman" w:hAnsi="Times New Roman" w:cs="Times New Roman"/>
          <w:sz w:val="24"/>
          <w:szCs w:val="24"/>
        </w:rPr>
        <w:t xml:space="preserve"> how the community interactions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may be shaped by their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dependencies</w:t>
      </w:r>
      <w:r w:rsidR="00FC07B1">
        <w:rPr>
          <w:rFonts w:ascii="Times New Roman" w:hAnsi="Times New Roman" w:cs="Times New Roman"/>
          <w:sz w:val="24"/>
          <w:szCs w:val="24"/>
        </w:rPr>
        <w:t>, w</w:t>
      </w:r>
      <w:r w:rsidRPr="003609FB">
        <w:rPr>
          <w:rFonts w:ascii="Times New Roman" w:hAnsi="Times New Roman" w:cs="Times New Roman"/>
          <w:sz w:val="24"/>
          <w:szCs w:val="24"/>
        </w:rPr>
        <w:t xml:space="preserve">ith the overall goal of illuminating drivers of large-scale (global) distributions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biogeography in Chapter 4.</w:t>
      </w:r>
      <w:r w:rsidR="00FE28E8">
        <w:rPr>
          <w:rFonts w:ascii="Times New Roman" w:hAnsi="Times New Roman" w:cs="Times New Roman"/>
          <w:sz w:val="24"/>
          <w:szCs w:val="24"/>
        </w:rPr>
        <w:t xml:space="preserve"> </w:t>
      </w:r>
      <w:r w:rsidR="00ED1F16" w:rsidRPr="00ED1F16">
        <w:rPr>
          <w:rFonts w:ascii="Times" w:hAnsi="Times" w:cs="Times New Roman"/>
          <w:i/>
          <w:iCs/>
          <w:color w:val="000000" w:themeColor="text1"/>
          <w:sz w:val="24"/>
          <w:szCs w:val="24"/>
        </w:rPr>
        <w:t>Prochlorococcus</w:t>
      </w:r>
      <w:r w:rsidR="00ED1F16">
        <w:rPr>
          <w:rFonts w:ascii="Times New Roman" w:hAnsi="Times New Roman" w:cs="Times New Roman"/>
          <w:sz w:val="24"/>
          <w:szCs w:val="24"/>
        </w:rPr>
        <w:t xml:space="preserve"> is governed by two opposing forces: the evolutionary push to streamline </w:t>
      </w:r>
      <w:proofErr w:type="gramStart"/>
      <w:r w:rsidR="00ED1F16">
        <w:rPr>
          <w:rFonts w:ascii="Times New Roman" w:hAnsi="Times New Roman" w:cs="Times New Roman"/>
          <w:sz w:val="24"/>
          <w:szCs w:val="24"/>
        </w:rPr>
        <w:t>in order to</w:t>
      </w:r>
      <w:proofErr w:type="gramEnd"/>
      <w:r w:rsidR="00ED1F16">
        <w:rPr>
          <w:rFonts w:ascii="Times New Roman" w:hAnsi="Times New Roman" w:cs="Times New Roman"/>
          <w:sz w:val="24"/>
          <w:szCs w:val="24"/>
        </w:rPr>
        <w:t xml:space="preserve"> outcompete all for nutrients and the need </w:t>
      </w:r>
      <w:r w:rsidR="00FC07B1">
        <w:rPr>
          <w:rFonts w:ascii="Times New Roman" w:hAnsi="Times New Roman" w:cs="Times New Roman"/>
          <w:sz w:val="24"/>
          <w:szCs w:val="24"/>
        </w:rPr>
        <w:t>for</w:t>
      </w:r>
      <w:r w:rsidR="00ED1F16">
        <w:rPr>
          <w:rFonts w:ascii="Times New Roman" w:hAnsi="Times New Roman" w:cs="Times New Roman"/>
          <w:sz w:val="24"/>
          <w:szCs w:val="24"/>
        </w:rPr>
        <w:t xml:space="preserve"> detoxification of unavoidable reactive species </w:t>
      </w:r>
      <w:r w:rsidR="00FC07B1">
        <w:rPr>
          <w:rFonts w:ascii="Times New Roman" w:hAnsi="Times New Roman" w:cs="Times New Roman"/>
          <w:sz w:val="24"/>
          <w:szCs w:val="24"/>
        </w:rPr>
        <w:t>created with</w:t>
      </w:r>
      <w:r w:rsidR="00ED1F16">
        <w:rPr>
          <w:rFonts w:ascii="Times New Roman" w:hAnsi="Times New Roman" w:cs="Times New Roman"/>
          <w:sz w:val="24"/>
          <w:szCs w:val="24"/>
        </w:rPr>
        <w:t xml:space="preserve">in their environment. </w:t>
      </w:r>
      <w:r w:rsidR="009A35A3">
        <w:rPr>
          <w:rFonts w:ascii="Times New Roman" w:hAnsi="Times New Roman" w:cs="Times New Roman"/>
          <w:sz w:val="24"/>
          <w:szCs w:val="24"/>
        </w:rPr>
        <w:t>This</w:t>
      </w:r>
      <w:r w:rsidR="00ED1F16">
        <w:rPr>
          <w:rFonts w:ascii="Times New Roman" w:hAnsi="Times New Roman" w:cs="Times New Roman"/>
          <w:sz w:val="24"/>
          <w:szCs w:val="24"/>
        </w:rPr>
        <w:t xml:space="preserve"> dissertation model set starts with monoculture growth and </w:t>
      </w:r>
      <w:r w:rsidR="00ED1F16" w:rsidRPr="003609FB">
        <w:rPr>
          <w:rFonts w:ascii="Times New Roman" w:hAnsi="Times New Roman" w:cs="Times New Roman"/>
          <w:sz w:val="24"/>
          <w:szCs w:val="24"/>
        </w:rPr>
        <w:t>H</w:t>
      </w:r>
      <w:r w:rsidR="00ED1F16" w:rsidRPr="00351FC4">
        <w:rPr>
          <w:rFonts w:ascii="Times New Roman" w:hAnsi="Times New Roman" w:cs="Times New Roman"/>
          <w:sz w:val="24"/>
          <w:szCs w:val="24"/>
          <w:vertAlign w:val="subscript"/>
        </w:rPr>
        <w:t>2</w:t>
      </w:r>
      <w:r w:rsidR="00ED1F16" w:rsidRPr="003609FB">
        <w:rPr>
          <w:rFonts w:ascii="Times New Roman" w:hAnsi="Times New Roman" w:cs="Times New Roman"/>
          <w:sz w:val="24"/>
          <w:szCs w:val="24"/>
        </w:rPr>
        <w:t>O</w:t>
      </w:r>
      <w:r w:rsidR="00ED1F16" w:rsidRPr="00351FC4">
        <w:rPr>
          <w:rFonts w:ascii="Times New Roman" w:hAnsi="Times New Roman" w:cs="Times New Roman"/>
          <w:sz w:val="24"/>
          <w:szCs w:val="24"/>
          <w:vertAlign w:val="subscript"/>
        </w:rPr>
        <w:t>2</w:t>
      </w:r>
      <w:r w:rsidR="00ED1F16">
        <w:rPr>
          <w:rFonts w:ascii="Times New Roman" w:hAnsi="Times New Roman" w:cs="Times New Roman"/>
          <w:sz w:val="24"/>
          <w:szCs w:val="24"/>
        </w:rPr>
        <w:t xml:space="preserve"> culture models with later</w:t>
      </w:r>
      <w:r w:rsidR="009A35A3">
        <w:rPr>
          <w:rFonts w:ascii="Times New Roman" w:hAnsi="Times New Roman" w:cs="Times New Roman"/>
          <w:sz w:val="24"/>
          <w:szCs w:val="24"/>
        </w:rPr>
        <w:t xml:space="preserve"> </w:t>
      </w:r>
      <w:r w:rsidR="00810B77">
        <w:rPr>
          <w:rFonts w:ascii="Times New Roman" w:hAnsi="Times New Roman" w:cs="Times New Roman"/>
          <w:sz w:val="24"/>
          <w:szCs w:val="24"/>
        </w:rPr>
        <w:t>extrapolation</w:t>
      </w:r>
      <w:r w:rsidR="009A35A3">
        <w:rPr>
          <w:rFonts w:ascii="Times New Roman" w:hAnsi="Times New Roman" w:cs="Times New Roman"/>
          <w:sz w:val="24"/>
          <w:szCs w:val="24"/>
        </w:rPr>
        <w:t xml:space="preserve"> to more complex</w:t>
      </w:r>
      <w:r w:rsidR="00ED1F16">
        <w:rPr>
          <w:rFonts w:ascii="Times New Roman" w:hAnsi="Times New Roman" w:cs="Times New Roman"/>
          <w:sz w:val="24"/>
          <w:szCs w:val="24"/>
        </w:rPr>
        <w:t xml:space="preserve"> competition and global model formulations. </w:t>
      </w:r>
      <w:r w:rsidR="006B777E">
        <w:rPr>
          <w:rFonts w:ascii="Times New Roman" w:hAnsi="Times New Roman" w:cs="Times New Roman"/>
          <w:sz w:val="24"/>
          <w:szCs w:val="24"/>
        </w:rPr>
        <w:t>It continues with</w:t>
      </w:r>
      <w:r w:rsidR="00ED1F16">
        <w:rPr>
          <w:rFonts w:ascii="Times New Roman" w:hAnsi="Times New Roman" w:cs="Times New Roman"/>
          <w:sz w:val="24"/>
          <w:szCs w:val="24"/>
        </w:rPr>
        <w:t xml:space="preserve"> mirror</w:t>
      </w:r>
      <w:r w:rsidR="006B777E">
        <w:rPr>
          <w:rFonts w:ascii="Times New Roman" w:hAnsi="Times New Roman" w:cs="Times New Roman"/>
          <w:sz w:val="24"/>
          <w:szCs w:val="24"/>
        </w:rPr>
        <w:t>ing</w:t>
      </w:r>
      <w:r w:rsidR="00ED1F16">
        <w:rPr>
          <w:rFonts w:ascii="Times New Roman" w:hAnsi="Times New Roman" w:cs="Times New Roman"/>
          <w:sz w:val="24"/>
          <w:szCs w:val="24"/>
        </w:rPr>
        <w:t xml:space="preserve"> the natural way in which </w:t>
      </w:r>
      <w:r w:rsidR="00ED1F16" w:rsidRPr="00ED1F16">
        <w:rPr>
          <w:rFonts w:ascii="Times" w:hAnsi="Times" w:cs="Times New Roman"/>
          <w:i/>
          <w:iCs/>
          <w:color w:val="000000" w:themeColor="text1"/>
          <w:sz w:val="24"/>
          <w:szCs w:val="24"/>
        </w:rPr>
        <w:t>Prochlorococcus</w:t>
      </w:r>
      <w:r w:rsidR="00ED1F16">
        <w:rPr>
          <w:rFonts w:ascii="Times New Roman" w:hAnsi="Times New Roman" w:cs="Times New Roman"/>
          <w:sz w:val="24"/>
          <w:szCs w:val="24"/>
        </w:rPr>
        <w:t xml:space="preserve"> community </w:t>
      </w:r>
      <w:r w:rsidR="00ED7C5A">
        <w:rPr>
          <w:rFonts w:ascii="Times New Roman" w:hAnsi="Times New Roman" w:cs="Times New Roman"/>
          <w:sz w:val="24"/>
          <w:szCs w:val="24"/>
        </w:rPr>
        <w:t>structure</w:t>
      </w:r>
      <w:r w:rsidR="00ED1F16">
        <w:rPr>
          <w:rFonts w:ascii="Times New Roman" w:hAnsi="Times New Roman" w:cs="Times New Roman"/>
          <w:sz w:val="24"/>
          <w:szCs w:val="24"/>
        </w:rPr>
        <w:t xml:space="preserve"> appears from singular interactions</w:t>
      </w:r>
      <w:r w:rsidR="00EC4D3D">
        <w:rPr>
          <w:rFonts w:ascii="Times New Roman" w:hAnsi="Times New Roman" w:cs="Times New Roman"/>
          <w:sz w:val="24"/>
          <w:szCs w:val="24"/>
        </w:rPr>
        <w:t xml:space="preserve">. </w:t>
      </w:r>
      <w:r w:rsidR="006B777E">
        <w:rPr>
          <w:rFonts w:ascii="Times New Roman" w:hAnsi="Times New Roman" w:cs="Times New Roman"/>
          <w:sz w:val="24"/>
          <w:szCs w:val="24"/>
        </w:rPr>
        <w:t>And concludes by</w:t>
      </w:r>
      <w:r w:rsidRPr="003609FB">
        <w:rPr>
          <w:rFonts w:ascii="Times New Roman" w:hAnsi="Times New Roman" w:cs="Times New Roman"/>
          <w:sz w:val="24"/>
          <w:szCs w:val="24"/>
        </w:rPr>
        <w:t xml:space="preserve"> </w:t>
      </w:r>
      <w:r w:rsidR="006B777E">
        <w:rPr>
          <w:rFonts w:ascii="Times New Roman" w:hAnsi="Times New Roman" w:cs="Times New Roman"/>
          <w:sz w:val="24"/>
          <w:szCs w:val="24"/>
        </w:rPr>
        <w:t xml:space="preserve">attempting to </w:t>
      </w:r>
      <w:r w:rsidRPr="003609FB">
        <w:rPr>
          <w:rFonts w:ascii="Times New Roman" w:hAnsi="Times New Roman" w:cs="Times New Roman"/>
          <w:sz w:val="24"/>
          <w:szCs w:val="24"/>
        </w:rPr>
        <w:t>quantif</w:t>
      </w:r>
      <w:r w:rsidR="006B777E">
        <w:rPr>
          <w:rFonts w:ascii="Times New Roman" w:hAnsi="Times New Roman" w:cs="Times New Roman"/>
          <w:sz w:val="24"/>
          <w:szCs w:val="24"/>
        </w:rPr>
        <w:t>y</w:t>
      </w:r>
      <w:r w:rsidRPr="003609FB">
        <w:rPr>
          <w:rFonts w:ascii="Times New Roman" w:hAnsi="Times New Roman" w:cs="Times New Roman"/>
          <w:sz w:val="24"/>
          <w:szCs w:val="24"/>
        </w:rPr>
        <w:t xml:space="preserve"> the ecological tradeoff that </w:t>
      </w:r>
      <w:r w:rsidR="00691B65" w:rsidRPr="00691B65">
        <w:rPr>
          <w:rFonts w:ascii="Times New Roman" w:hAnsi="Times New Roman" w:cs="Times New Roman"/>
          <w:i/>
          <w:iCs/>
          <w:sz w:val="24"/>
          <w:szCs w:val="24"/>
        </w:rPr>
        <w:t>Prochlorococcus</w:t>
      </w:r>
      <w:r w:rsidR="00207F5E">
        <w:rPr>
          <w:rFonts w:ascii="Times New Roman" w:hAnsi="Times New Roman" w:cs="Times New Roman"/>
          <w:sz w:val="24"/>
          <w:szCs w:val="24"/>
        </w:rPr>
        <w:t xml:space="preserve"> </w:t>
      </w:r>
      <w:r w:rsidRPr="003609FB">
        <w:rPr>
          <w:rFonts w:ascii="Times New Roman" w:hAnsi="Times New Roman" w:cs="Times New Roman"/>
          <w:sz w:val="24"/>
          <w:szCs w:val="24"/>
        </w:rPr>
        <w:t xml:space="preserve">faces </w:t>
      </w:r>
      <w:r w:rsidRPr="006B777E">
        <w:rPr>
          <w:rFonts w:ascii="Times New Roman" w:hAnsi="Times New Roman" w:cs="Times New Roman"/>
          <w:i/>
          <w:iCs/>
          <w:sz w:val="24"/>
          <w:szCs w:val="24"/>
        </w:rPr>
        <w:t>in</w:t>
      </w:r>
      <w:r w:rsidR="006B777E" w:rsidRPr="006B777E">
        <w:rPr>
          <w:rFonts w:ascii="Times New Roman" w:hAnsi="Times New Roman" w:cs="Times New Roman"/>
          <w:i/>
          <w:iCs/>
          <w:sz w:val="24"/>
          <w:szCs w:val="24"/>
        </w:rPr>
        <w:t xml:space="preserve"> situ</w:t>
      </w:r>
      <w:r w:rsidR="006B777E">
        <w:rPr>
          <w:rFonts w:ascii="Times New Roman" w:hAnsi="Times New Roman" w:cs="Times New Roman"/>
          <w:sz w:val="24"/>
          <w:szCs w:val="24"/>
        </w:rPr>
        <w:t xml:space="preserve"> through the projection of </w:t>
      </w:r>
      <w:r w:rsidR="006B777E" w:rsidRPr="006B777E">
        <w:rPr>
          <w:rFonts w:ascii="Times" w:hAnsi="Times" w:cs="Times New Roman"/>
          <w:i/>
          <w:iCs/>
          <w:color w:val="000000" w:themeColor="text1"/>
          <w:sz w:val="24"/>
          <w:szCs w:val="24"/>
        </w:rPr>
        <w:t>Prochlorococcus</w:t>
      </w:r>
      <w:r w:rsidR="006B777E">
        <w:rPr>
          <w:rFonts w:ascii="Times New Roman" w:hAnsi="Times New Roman" w:cs="Times New Roman"/>
          <w:sz w:val="24"/>
          <w:szCs w:val="24"/>
        </w:rPr>
        <w:t xml:space="preserve"> </w:t>
      </w:r>
      <w:proofErr w:type="spellStart"/>
      <w:r w:rsidR="00EE1B2C">
        <w:rPr>
          <w:rFonts w:ascii="Times New Roman" w:hAnsi="Times New Roman" w:cs="Times New Roman"/>
          <w:sz w:val="24"/>
          <w:szCs w:val="24"/>
        </w:rPr>
        <w:t>biogeographies</w:t>
      </w:r>
      <w:proofErr w:type="spellEnd"/>
      <w:r w:rsidR="00EE1B2C">
        <w:rPr>
          <w:rFonts w:ascii="Times New Roman" w:hAnsi="Times New Roman" w:cs="Times New Roman"/>
          <w:sz w:val="24"/>
          <w:szCs w:val="24"/>
        </w:rPr>
        <w:t xml:space="preserve"> </w:t>
      </w:r>
      <w:r w:rsidR="006B777E">
        <w:rPr>
          <w:rFonts w:ascii="Times New Roman" w:hAnsi="Times New Roman" w:cs="Times New Roman"/>
          <w:sz w:val="24"/>
          <w:szCs w:val="24"/>
        </w:rPr>
        <w:t xml:space="preserve">resultant from differing assumptions about </w:t>
      </w:r>
      <w:r w:rsidR="00B2092A">
        <w:rPr>
          <w:rFonts w:ascii="Times New Roman" w:hAnsi="Times New Roman" w:cs="Times New Roman"/>
          <w:sz w:val="24"/>
          <w:szCs w:val="24"/>
        </w:rPr>
        <w:t xml:space="preserve">how natural </w:t>
      </w:r>
      <w:r w:rsidR="00B2092A" w:rsidRPr="006B777E">
        <w:rPr>
          <w:rFonts w:ascii="Times" w:hAnsi="Times" w:cs="Times New Roman"/>
          <w:i/>
          <w:iCs/>
          <w:color w:val="000000" w:themeColor="text1"/>
          <w:sz w:val="24"/>
          <w:szCs w:val="24"/>
        </w:rPr>
        <w:t>Prochlorococcus</w:t>
      </w:r>
      <w:r w:rsidR="00B2092A">
        <w:rPr>
          <w:rFonts w:ascii="Times New Roman" w:hAnsi="Times New Roman" w:cs="Times New Roman"/>
          <w:sz w:val="24"/>
          <w:szCs w:val="24"/>
        </w:rPr>
        <w:t xml:space="preserve"> populations </w:t>
      </w:r>
      <w:r w:rsidR="00B2092A" w:rsidRPr="003609FB">
        <w:rPr>
          <w:rFonts w:ascii="Times New Roman" w:hAnsi="Times New Roman" w:cs="Times New Roman"/>
          <w:sz w:val="24"/>
          <w:szCs w:val="24"/>
        </w:rPr>
        <w:t>balanc</w:t>
      </w:r>
      <w:r w:rsidR="00B2092A">
        <w:rPr>
          <w:rFonts w:ascii="Times New Roman" w:hAnsi="Times New Roman" w:cs="Times New Roman"/>
          <w:sz w:val="24"/>
          <w:szCs w:val="24"/>
        </w:rPr>
        <w:t xml:space="preserve">e </w:t>
      </w:r>
      <w:r w:rsidR="006B777E">
        <w:rPr>
          <w:rFonts w:ascii="Times New Roman" w:hAnsi="Times New Roman" w:cs="Times New Roman"/>
          <w:sz w:val="24"/>
          <w:szCs w:val="24"/>
        </w:rPr>
        <w:t xml:space="preserve">the interaction of </w:t>
      </w:r>
      <w:r w:rsidR="006B777E" w:rsidRPr="003609FB">
        <w:rPr>
          <w:rFonts w:ascii="Times New Roman" w:hAnsi="Times New Roman" w:cs="Times New Roman"/>
          <w:sz w:val="24"/>
          <w:szCs w:val="24"/>
        </w:rPr>
        <w:t>nutrient competition and H</w:t>
      </w:r>
      <w:r w:rsidR="006B777E" w:rsidRPr="00351FC4">
        <w:rPr>
          <w:rFonts w:ascii="Times New Roman" w:hAnsi="Times New Roman" w:cs="Times New Roman"/>
          <w:sz w:val="24"/>
          <w:szCs w:val="24"/>
          <w:vertAlign w:val="subscript"/>
        </w:rPr>
        <w:t>2</w:t>
      </w:r>
      <w:r w:rsidR="006B777E" w:rsidRPr="003609FB">
        <w:rPr>
          <w:rFonts w:ascii="Times New Roman" w:hAnsi="Times New Roman" w:cs="Times New Roman"/>
          <w:sz w:val="24"/>
          <w:szCs w:val="24"/>
        </w:rPr>
        <w:t>O</w:t>
      </w:r>
      <w:r w:rsidR="006B777E" w:rsidRPr="00351FC4">
        <w:rPr>
          <w:rFonts w:ascii="Times New Roman" w:hAnsi="Times New Roman" w:cs="Times New Roman"/>
          <w:sz w:val="24"/>
          <w:szCs w:val="24"/>
          <w:vertAlign w:val="subscript"/>
        </w:rPr>
        <w:t>2</w:t>
      </w:r>
      <w:r w:rsidR="006B777E" w:rsidRPr="003609FB">
        <w:rPr>
          <w:rFonts w:ascii="Times New Roman" w:hAnsi="Times New Roman" w:cs="Times New Roman"/>
          <w:sz w:val="24"/>
          <w:szCs w:val="24"/>
        </w:rPr>
        <w:t xml:space="preserve"> detoxification requirements</w:t>
      </w:r>
      <w:r w:rsidR="00B2092A">
        <w:rPr>
          <w:rFonts w:ascii="Times New Roman" w:hAnsi="Times New Roman" w:cs="Times New Roman"/>
          <w:sz w:val="24"/>
          <w:szCs w:val="24"/>
        </w:rPr>
        <w:t xml:space="preserve"> in the </w:t>
      </w:r>
      <w:r w:rsidR="00EE1B2C">
        <w:rPr>
          <w:rFonts w:ascii="Times New Roman" w:hAnsi="Times New Roman" w:cs="Times New Roman"/>
          <w:sz w:val="24"/>
          <w:szCs w:val="24"/>
        </w:rPr>
        <w:t xml:space="preserve">oligotrophic </w:t>
      </w:r>
      <w:r w:rsidR="00B2092A">
        <w:rPr>
          <w:rFonts w:ascii="Times New Roman" w:hAnsi="Times New Roman" w:cs="Times New Roman"/>
          <w:sz w:val="24"/>
          <w:szCs w:val="24"/>
        </w:rPr>
        <w:t>ocean.</w:t>
      </w:r>
    </w:p>
    <w:p w14:paraId="3CA54763" w14:textId="77777777" w:rsidR="007D0C48" w:rsidRDefault="007D0C48" w:rsidP="00AB2160">
      <w:pPr>
        <w:spacing w:line="360" w:lineRule="auto"/>
        <w:rPr>
          <w:rFonts w:ascii="Times New Roman" w:hAnsi="Times New Roman" w:cs="Times New Roman"/>
          <w:sz w:val="24"/>
          <w:szCs w:val="24"/>
        </w:rPr>
      </w:pPr>
    </w:p>
    <w:p w14:paraId="407EDE82" w14:textId="77777777" w:rsidR="00F17DAA" w:rsidRDefault="00F17DAA" w:rsidP="00AB2160">
      <w:pPr>
        <w:spacing w:line="360" w:lineRule="auto"/>
        <w:rPr>
          <w:rFonts w:ascii="Times New Roman" w:hAnsi="Times New Roman" w:cs="Times New Roman"/>
          <w:sz w:val="24"/>
          <w:szCs w:val="24"/>
        </w:rPr>
      </w:pPr>
    </w:p>
    <w:p w14:paraId="2F5C4A77" w14:textId="77777777" w:rsidR="00F17DAA" w:rsidRDefault="00F17DAA" w:rsidP="00AB2160">
      <w:pPr>
        <w:spacing w:line="360" w:lineRule="auto"/>
        <w:rPr>
          <w:rFonts w:ascii="Times New Roman" w:hAnsi="Times New Roman" w:cs="Times New Roman"/>
          <w:sz w:val="24"/>
          <w:szCs w:val="24"/>
        </w:rPr>
      </w:pPr>
    </w:p>
    <w:p w14:paraId="08E8AC81" w14:textId="77777777" w:rsidR="00F17DAA" w:rsidRDefault="00F17DAA" w:rsidP="00AB2160">
      <w:pPr>
        <w:spacing w:line="360" w:lineRule="auto"/>
        <w:rPr>
          <w:rFonts w:ascii="Times New Roman" w:hAnsi="Times New Roman" w:cs="Times New Roman"/>
          <w:sz w:val="24"/>
          <w:szCs w:val="24"/>
        </w:rPr>
      </w:pPr>
    </w:p>
    <w:p w14:paraId="4E9B1D29" w14:textId="77777777" w:rsidR="00F17DAA" w:rsidRDefault="00F17DAA" w:rsidP="00AB2160">
      <w:pPr>
        <w:spacing w:line="360" w:lineRule="auto"/>
        <w:rPr>
          <w:rFonts w:ascii="Times New Roman" w:hAnsi="Times New Roman" w:cs="Times New Roman"/>
          <w:sz w:val="24"/>
          <w:szCs w:val="24"/>
        </w:rPr>
      </w:pPr>
    </w:p>
    <w:p w14:paraId="241270A8" w14:textId="77777777" w:rsidR="00F17DAA" w:rsidRPr="003609FB" w:rsidRDefault="00F17DAA" w:rsidP="00AB2160">
      <w:pPr>
        <w:spacing w:line="360" w:lineRule="auto"/>
        <w:rPr>
          <w:rFonts w:ascii="Times New Roman" w:hAnsi="Times New Roman" w:cs="Times New Roman"/>
          <w:sz w:val="24"/>
          <w:szCs w:val="24"/>
        </w:rPr>
      </w:pPr>
    </w:p>
    <w:tbl>
      <w:tblPr>
        <w:tblStyle w:val="TableGrid"/>
        <w:tblW w:w="981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0"/>
      </w:tblGrid>
      <w:tr w:rsidR="004C33B3" w:rsidRPr="003609FB" w14:paraId="4D1A56CC" w14:textId="77777777" w:rsidTr="009F64F4">
        <w:tc>
          <w:tcPr>
            <w:tcW w:w="9810" w:type="dxa"/>
          </w:tcPr>
          <w:p w14:paraId="45B508AB" w14:textId="5004D883" w:rsidR="004C33B3" w:rsidRPr="003609FB" w:rsidRDefault="00810B77" w:rsidP="00AB216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w:t>
            </w:r>
          </w:p>
        </w:tc>
      </w:tr>
      <w:tr w:rsidR="004C33B3" w:rsidRPr="003609FB" w14:paraId="6CB8A241" w14:textId="77777777" w:rsidTr="009F64F4">
        <w:tc>
          <w:tcPr>
            <w:tcW w:w="9810" w:type="dxa"/>
          </w:tcPr>
          <w:p w14:paraId="0F6C7351" w14:textId="3DA2CCCD" w:rsidR="004C33B3" w:rsidRPr="00810B77" w:rsidRDefault="004C33B3" w:rsidP="00AB2160">
            <w:pPr>
              <w:spacing w:line="360" w:lineRule="auto"/>
              <w:jc w:val="center"/>
              <w:rPr>
                <w:rFonts w:ascii="Times New Roman" w:hAnsi="Times New Roman" w:cs="Times New Roman"/>
                <w:b/>
                <w:bCs/>
                <w:sz w:val="24"/>
                <w:szCs w:val="24"/>
              </w:rPr>
            </w:pPr>
            <w:r w:rsidRPr="00810B77">
              <w:rPr>
                <w:rFonts w:ascii="Times New Roman" w:hAnsi="Times New Roman" w:cs="Times New Roman"/>
                <w:b/>
                <w:bCs/>
                <w:sz w:val="24"/>
                <w:szCs w:val="24"/>
              </w:rPr>
              <w:t>Chapter 2</w:t>
            </w:r>
          </w:p>
          <w:p w14:paraId="4E90A731" w14:textId="77777777" w:rsidR="004C33B3" w:rsidRPr="003609FB" w:rsidRDefault="004C33B3" w:rsidP="00AB2160">
            <w:pPr>
              <w:spacing w:line="360" w:lineRule="auto"/>
              <w:rPr>
                <w:rFonts w:ascii="Times New Roman" w:hAnsi="Times New Roman" w:cs="Times New Roman"/>
                <w:sz w:val="24"/>
                <w:szCs w:val="24"/>
              </w:rPr>
            </w:pPr>
          </w:p>
          <w:p w14:paraId="1E6AE88E" w14:textId="77777777" w:rsidR="004C33B3" w:rsidRPr="003609FB" w:rsidRDefault="004C33B3"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031659C9" wp14:editId="0B7F1A03">
                  <wp:extent cx="5172884" cy="2291256"/>
                  <wp:effectExtent l="0" t="0" r="0" b="0"/>
                  <wp:docPr id="175" name="Picture 174"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pic:nvPicPr>
                        <pic:blipFill>
                          <a:blip r:embed="rId18">
                            <a:extLst>
                              <a:ext uri="{FF2B5EF4-FFF2-40B4-BE49-F238E27FC236}">
                                <a16:creationId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20D099A2-B911-232E-834F-05C33E63FAD5}"/>
                              </a:ext>
                            </a:extLst>
                          </a:blip>
                          <a:srcRect l="2881" r="6126"/>
                          <a:stretch>
                            <a:fillRect/>
                          </a:stretch>
                        </pic:blipFill>
                        <pic:spPr>
                          <a:xfrm>
                            <a:off x="0" y="0"/>
                            <a:ext cx="5183956" cy="2296160"/>
                          </a:xfrm>
                          <a:prstGeom prst="rect">
                            <a:avLst/>
                          </a:prstGeom>
                        </pic:spPr>
                      </pic:pic>
                    </a:graphicData>
                  </a:graphic>
                </wp:inline>
              </w:drawing>
            </w:r>
          </w:p>
          <w:p w14:paraId="1C783EB0" w14:textId="77777777" w:rsidR="004C33B3" w:rsidRDefault="004C33B3"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26159C17" wp14:editId="2611F544">
                  <wp:extent cx="2404997" cy="801370"/>
                  <wp:effectExtent l="0" t="0" r="0" b="0"/>
                  <wp:docPr id="1" name="Picture 1" descr="A blue arrow pointing to the r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rrow pointing to the right&#10;&#10;Description automatically generated"/>
                          <pic:cNvPicPr/>
                        </pic:nvPicPr>
                        <pic:blipFill rotWithShape="1">
                          <a:blip r:embed="rId19" cstate="print">
                            <a:extLst>
                              <a:ext uri="{28A0092B-C50C-407E-A947-70E740481C1C}">
                                <a14:useLocalDpi xmlns:a14="http://schemas.microsoft.com/office/drawing/2010/main" val="0"/>
                              </a:ext>
                            </a:extLst>
                          </a:blip>
                          <a:srcRect r="33092"/>
                          <a:stretch/>
                        </pic:blipFill>
                        <pic:spPr bwMode="auto">
                          <a:xfrm>
                            <a:off x="0" y="0"/>
                            <a:ext cx="2416629" cy="805246"/>
                          </a:xfrm>
                          <a:prstGeom prst="rect">
                            <a:avLst/>
                          </a:prstGeom>
                          <a:ln>
                            <a:noFill/>
                          </a:ln>
                          <a:extLst>
                            <a:ext uri="{53640926-AAD7-44D8-BBD7-CCE9431645EC}">
                              <a14:shadowObscured xmlns:a14="http://schemas.microsoft.com/office/drawing/2010/main"/>
                            </a:ext>
                          </a:extLst>
                        </pic:spPr>
                      </pic:pic>
                    </a:graphicData>
                  </a:graphic>
                </wp:inline>
              </w:drawing>
            </w:r>
          </w:p>
          <w:p w14:paraId="1EA053B3" w14:textId="77777777" w:rsidR="00207C21" w:rsidRPr="00821181" w:rsidRDefault="00CD6A20" w:rsidP="00207C21">
            <w:pPr>
              <w:spacing w:line="360" w:lineRule="auto"/>
              <w:rPr>
                <w:rFonts w:ascii="Times New Roman" w:hAnsi="Times New Roman" w:cs="Times New Roman"/>
                <w:sz w:val="24"/>
                <w:szCs w:val="24"/>
              </w:rPr>
            </w:pPr>
            <w:bookmarkStart w:id="8" w:name="_Toc173148367"/>
            <w:r w:rsidRPr="00CD6A20">
              <w:rPr>
                <w:rFonts w:asciiTheme="majorBidi" w:hAnsiTheme="majorBidi"/>
                <w:sz w:val="24"/>
                <w:szCs w:val="24"/>
              </w:rPr>
              <w:t xml:space="preserve">Figure </w:t>
            </w:r>
            <w:r w:rsidR="000D7BCF">
              <w:rPr>
                <w:rFonts w:asciiTheme="majorBidi" w:hAnsiTheme="majorBidi"/>
                <w:sz w:val="24"/>
                <w:szCs w:val="24"/>
              </w:rPr>
              <w:fldChar w:fldCharType="begin"/>
            </w:r>
            <w:r w:rsidR="000D7BCF">
              <w:rPr>
                <w:rFonts w:asciiTheme="majorBidi" w:hAnsiTheme="majorBidi"/>
                <w:sz w:val="24"/>
                <w:szCs w:val="24"/>
              </w:rPr>
              <w:instrText xml:space="preserve"> STYLEREF 1 \s </w:instrText>
            </w:r>
            <w:r w:rsidR="000D7BCF">
              <w:rPr>
                <w:rFonts w:asciiTheme="majorBidi" w:hAnsiTheme="majorBidi"/>
                <w:sz w:val="24"/>
                <w:szCs w:val="24"/>
              </w:rPr>
              <w:fldChar w:fldCharType="separate"/>
            </w:r>
            <w:r w:rsidR="000D7BCF">
              <w:rPr>
                <w:rFonts w:asciiTheme="majorBidi" w:hAnsiTheme="majorBidi"/>
                <w:noProof/>
                <w:sz w:val="24"/>
                <w:szCs w:val="24"/>
                <w:cs/>
              </w:rPr>
              <w:t>‎</w:t>
            </w:r>
            <w:r w:rsidR="000D7BCF">
              <w:rPr>
                <w:rFonts w:asciiTheme="majorBidi" w:hAnsiTheme="majorBidi"/>
                <w:noProof/>
                <w:sz w:val="24"/>
                <w:szCs w:val="24"/>
              </w:rPr>
              <w:t>1</w:t>
            </w:r>
            <w:r w:rsidR="000D7BCF">
              <w:rPr>
                <w:rFonts w:asciiTheme="majorBidi" w:hAnsiTheme="majorBidi"/>
                <w:sz w:val="24"/>
                <w:szCs w:val="24"/>
              </w:rPr>
              <w:fldChar w:fldCharType="end"/>
            </w:r>
            <w:r w:rsidR="000D7BCF">
              <w:rPr>
                <w:rFonts w:asciiTheme="majorBidi" w:hAnsiTheme="majorBidi"/>
                <w:sz w:val="24"/>
                <w:szCs w:val="24"/>
              </w:rPr>
              <w:t>.</w:t>
            </w:r>
            <w:r w:rsidR="000D7BCF">
              <w:rPr>
                <w:rFonts w:asciiTheme="majorBidi" w:hAnsiTheme="majorBidi"/>
                <w:sz w:val="24"/>
                <w:szCs w:val="24"/>
              </w:rPr>
              <w:fldChar w:fldCharType="begin"/>
            </w:r>
            <w:r w:rsidR="000D7BCF">
              <w:rPr>
                <w:rFonts w:asciiTheme="majorBidi" w:hAnsiTheme="majorBidi"/>
                <w:sz w:val="24"/>
                <w:szCs w:val="24"/>
              </w:rPr>
              <w:instrText xml:space="preserve"> SEQ Figure \* ARABIC \s 1 </w:instrText>
            </w:r>
            <w:r w:rsidR="000D7BCF">
              <w:rPr>
                <w:rFonts w:asciiTheme="majorBidi" w:hAnsiTheme="majorBidi"/>
                <w:sz w:val="24"/>
                <w:szCs w:val="24"/>
              </w:rPr>
              <w:fldChar w:fldCharType="separate"/>
            </w:r>
            <w:r w:rsidR="000D7BCF">
              <w:rPr>
                <w:rFonts w:asciiTheme="majorBidi" w:hAnsiTheme="majorBidi"/>
                <w:noProof/>
                <w:sz w:val="24"/>
                <w:szCs w:val="24"/>
              </w:rPr>
              <w:t>2</w:t>
            </w:r>
            <w:r w:rsidR="000D7BCF">
              <w:rPr>
                <w:rFonts w:asciiTheme="majorBidi" w:hAnsiTheme="majorBidi"/>
                <w:sz w:val="24"/>
                <w:szCs w:val="24"/>
              </w:rPr>
              <w:fldChar w:fldCharType="end"/>
            </w:r>
            <w:r w:rsidRPr="00CD6A20">
              <w:rPr>
                <w:rFonts w:asciiTheme="majorBidi" w:hAnsiTheme="majorBidi"/>
                <w:sz w:val="24"/>
                <w:szCs w:val="24"/>
              </w:rPr>
              <w:t xml:space="preserve"> Roadmap of the stepwise model formation using divergent H</w:t>
            </w:r>
            <w:r w:rsidRPr="00CD6A20">
              <w:rPr>
                <w:rFonts w:asciiTheme="majorBidi" w:hAnsiTheme="majorBidi"/>
                <w:sz w:val="24"/>
                <w:szCs w:val="24"/>
                <w:vertAlign w:val="subscript"/>
              </w:rPr>
              <w:t>2</w:t>
            </w:r>
            <w:r w:rsidRPr="00CD6A20">
              <w:rPr>
                <w:rFonts w:asciiTheme="majorBidi" w:hAnsiTheme="majorBidi"/>
                <w:sz w:val="24"/>
                <w:szCs w:val="24"/>
              </w:rPr>
              <w:t>O</w:t>
            </w:r>
            <w:r w:rsidRPr="00CD6A20">
              <w:rPr>
                <w:rFonts w:asciiTheme="majorBidi" w:hAnsiTheme="majorBidi"/>
                <w:sz w:val="24"/>
                <w:szCs w:val="24"/>
                <w:vertAlign w:val="subscript"/>
              </w:rPr>
              <w:t>2</w:t>
            </w:r>
            <w:r w:rsidRPr="00CD6A20">
              <w:rPr>
                <w:rFonts w:asciiTheme="majorBidi" w:hAnsiTheme="majorBidi"/>
                <w:sz w:val="24"/>
                <w:szCs w:val="24"/>
              </w:rPr>
              <w:t xml:space="preserve"> phenotypes in dominant plankton</w:t>
            </w:r>
            <w:bookmarkEnd w:id="8"/>
            <w:r w:rsidR="00207C21">
              <w:rPr>
                <w:rFonts w:asciiTheme="majorBidi" w:hAnsiTheme="majorBidi"/>
                <w:sz w:val="24"/>
                <w:szCs w:val="24"/>
              </w:rPr>
              <w:t xml:space="preserve">. </w:t>
            </w:r>
            <w:r w:rsidR="00207C21" w:rsidRPr="00821181">
              <w:rPr>
                <w:rFonts w:ascii="Times New Roman" w:hAnsi="Times New Roman" w:cs="Times New Roman"/>
                <w:sz w:val="24"/>
                <w:szCs w:val="24"/>
              </w:rPr>
              <w:t>(a</w:t>
            </w:r>
            <w:r w:rsidR="00207C21">
              <w:rPr>
                <w:rFonts w:ascii="Times New Roman" w:hAnsi="Times New Roman" w:cs="Times New Roman"/>
                <w:sz w:val="24"/>
                <w:szCs w:val="24"/>
              </w:rPr>
              <w:t xml:space="preserve">) </w:t>
            </w:r>
            <w:r w:rsidR="00207C21" w:rsidRPr="00821181">
              <w:rPr>
                <w:rFonts w:ascii="Times New Roman" w:hAnsi="Times New Roman" w:cs="Times New Roman"/>
                <w:sz w:val="24"/>
                <w:szCs w:val="24"/>
              </w:rPr>
              <w:t>Chapter 2 uses multiple laboratory datasets to isolate different monoculture parameters for growth and H</w:t>
            </w:r>
            <w:r w:rsidR="00207C21" w:rsidRPr="00821181">
              <w:rPr>
                <w:rFonts w:ascii="Times New Roman" w:hAnsi="Times New Roman" w:cs="Times New Roman"/>
                <w:sz w:val="24"/>
                <w:szCs w:val="24"/>
                <w:vertAlign w:val="subscript"/>
              </w:rPr>
              <w:t>2</w:t>
            </w:r>
            <w:r w:rsidR="00207C21" w:rsidRPr="00821181">
              <w:rPr>
                <w:rFonts w:ascii="Times New Roman" w:hAnsi="Times New Roman" w:cs="Times New Roman"/>
                <w:sz w:val="24"/>
                <w:szCs w:val="24"/>
              </w:rPr>
              <w:t>O</w:t>
            </w:r>
            <w:r w:rsidR="00207C21" w:rsidRPr="00821181">
              <w:rPr>
                <w:rFonts w:ascii="Times New Roman" w:hAnsi="Times New Roman" w:cs="Times New Roman"/>
                <w:sz w:val="24"/>
                <w:szCs w:val="24"/>
                <w:vertAlign w:val="subscript"/>
              </w:rPr>
              <w:t>2</w:t>
            </w:r>
            <w:r w:rsidR="00207C21" w:rsidRPr="00821181">
              <w:rPr>
                <w:rFonts w:ascii="Times New Roman" w:hAnsi="Times New Roman" w:cs="Times New Roman"/>
                <w:sz w:val="24"/>
                <w:szCs w:val="24"/>
              </w:rPr>
              <w:t xml:space="preserve"> interactions. Using parameters found for different microbial species in Chapter 2, (b) Chapter 3 explores competition and coexistence outcomes between these species in various nutrient and H</w:t>
            </w:r>
            <w:r w:rsidR="00207C21" w:rsidRPr="00821181">
              <w:rPr>
                <w:rFonts w:ascii="Times New Roman" w:hAnsi="Times New Roman" w:cs="Times New Roman"/>
                <w:sz w:val="24"/>
                <w:szCs w:val="24"/>
                <w:vertAlign w:val="subscript"/>
              </w:rPr>
              <w:t>2</w:t>
            </w:r>
            <w:r w:rsidR="00207C21" w:rsidRPr="00821181">
              <w:rPr>
                <w:rFonts w:ascii="Times New Roman" w:hAnsi="Times New Roman" w:cs="Times New Roman"/>
                <w:sz w:val="24"/>
                <w:szCs w:val="24"/>
              </w:rPr>
              <w:t>O</w:t>
            </w:r>
            <w:r w:rsidR="00207C21" w:rsidRPr="00821181">
              <w:rPr>
                <w:rFonts w:ascii="Times New Roman" w:hAnsi="Times New Roman" w:cs="Times New Roman"/>
                <w:sz w:val="24"/>
                <w:szCs w:val="24"/>
                <w:vertAlign w:val="subscript"/>
              </w:rPr>
              <w:t>2</w:t>
            </w:r>
            <w:r w:rsidR="00207C21" w:rsidRPr="00821181">
              <w:rPr>
                <w:rFonts w:ascii="Times New Roman" w:hAnsi="Times New Roman" w:cs="Times New Roman"/>
                <w:sz w:val="24"/>
                <w:szCs w:val="24"/>
              </w:rPr>
              <w:t xml:space="preserve"> supplies. Following this intuition, (c) Chapter 4 utilizes a global model framework to visualize predicted </w:t>
            </w:r>
            <w:proofErr w:type="spellStart"/>
            <w:r w:rsidR="00207C21" w:rsidRPr="00821181">
              <w:rPr>
                <w:rFonts w:ascii="Times New Roman" w:hAnsi="Times New Roman" w:cs="Times New Roman"/>
                <w:sz w:val="24"/>
                <w:szCs w:val="24"/>
              </w:rPr>
              <w:t>biogeographies</w:t>
            </w:r>
            <w:proofErr w:type="spellEnd"/>
            <w:r w:rsidR="00207C21" w:rsidRPr="00821181">
              <w:rPr>
                <w:rFonts w:ascii="Times New Roman" w:hAnsi="Times New Roman" w:cs="Times New Roman"/>
                <w:sz w:val="24"/>
                <w:szCs w:val="24"/>
              </w:rPr>
              <w:t xml:space="preserve"> of globally important microbial analogues to those chosen for Chapter 2. </w:t>
            </w:r>
          </w:p>
          <w:p w14:paraId="06685CB1" w14:textId="07B7CF73" w:rsidR="00CD6A20" w:rsidRPr="00CD6A20" w:rsidRDefault="00207C21" w:rsidP="00AB2160">
            <w:pPr>
              <w:spacing w:line="360" w:lineRule="auto"/>
              <w:rPr>
                <w:rFonts w:asciiTheme="majorBidi" w:hAnsiTheme="majorBidi"/>
                <w:sz w:val="24"/>
                <w:szCs w:val="24"/>
              </w:rPr>
            </w:pPr>
            <w:r>
              <w:rPr>
                <w:rFonts w:asciiTheme="majorBidi" w:hAnsiTheme="majorBidi"/>
                <w:sz w:val="24"/>
                <w:szCs w:val="24"/>
              </w:rPr>
              <w:t xml:space="preserve"> </w:t>
            </w:r>
          </w:p>
        </w:tc>
      </w:tr>
      <w:tr w:rsidR="00821181" w:rsidRPr="003609FB" w14:paraId="77C7E17F" w14:textId="77777777" w:rsidTr="009F64F4">
        <w:tc>
          <w:tcPr>
            <w:tcW w:w="9810" w:type="dxa"/>
          </w:tcPr>
          <w:p w14:paraId="101F66D5" w14:textId="52B578F8" w:rsidR="00821181" w:rsidRDefault="00821181" w:rsidP="00AB2160">
            <w:pPr>
              <w:spacing w:line="360" w:lineRule="auto"/>
            </w:pPr>
          </w:p>
          <w:p w14:paraId="0A08A807" w14:textId="64F2EBA2" w:rsidR="00821181" w:rsidRDefault="00821181" w:rsidP="00AB2160">
            <w:pPr>
              <w:spacing w:line="360" w:lineRule="auto"/>
            </w:pPr>
          </w:p>
          <w:p w14:paraId="5646A215" w14:textId="77777777" w:rsidR="000B5994" w:rsidRDefault="000B5994" w:rsidP="00AB2160">
            <w:pPr>
              <w:spacing w:line="360" w:lineRule="auto"/>
            </w:pPr>
          </w:p>
          <w:p w14:paraId="7CDC3327" w14:textId="4C22B9E6" w:rsidR="00821181" w:rsidRPr="000B5994" w:rsidRDefault="00821181" w:rsidP="000B5994">
            <w:pPr>
              <w:spacing w:line="360" w:lineRule="auto"/>
              <w:rPr>
                <w:rFonts w:asciiTheme="majorBidi" w:hAnsiTheme="majorBidi"/>
                <w:sz w:val="24"/>
                <w:szCs w:val="24"/>
              </w:rPr>
            </w:pPr>
            <w:r w:rsidRPr="00821181">
              <w:rPr>
                <w:rFonts w:asciiTheme="majorBidi" w:hAnsiTheme="majorBidi"/>
                <w:sz w:val="24"/>
                <w:szCs w:val="24"/>
              </w:rPr>
              <w:t xml:space="preserve">b) </w:t>
            </w:r>
            <w:r w:rsidR="000B5994">
              <w:rPr>
                <w:rFonts w:asciiTheme="majorBidi" w:hAnsiTheme="majorBidi"/>
                <w:sz w:val="24"/>
                <w:szCs w:val="24"/>
              </w:rPr>
              <w:t xml:space="preserve">                                                                  </w:t>
            </w:r>
            <w:r w:rsidRPr="00810B77">
              <w:rPr>
                <w:rFonts w:ascii="Times New Roman" w:hAnsi="Times New Roman" w:cs="Times New Roman"/>
                <w:b/>
                <w:bCs/>
                <w:sz w:val="24"/>
                <w:szCs w:val="24"/>
              </w:rPr>
              <w:t>Chapter 3</w:t>
            </w:r>
          </w:p>
          <w:p w14:paraId="26A36AC3" w14:textId="77777777" w:rsidR="00821181" w:rsidRPr="003609FB" w:rsidRDefault="00821181"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Competitive Exclusion</w:t>
            </w:r>
          </w:p>
          <w:p w14:paraId="66437D99" w14:textId="30DB9DB4" w:rsidR="00821181" w:rsidRPr="003609FB" w:rsidRDefault="00821181"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p>
          <w:p w14:paraId="31327539" w14:textId="21CC5567" w:rsidR="00821181" w:rsidRPr="00821181" w:rsidRDefault="00821181" w:rsidP="00AB2160">
            <w:pPr>
              <w:spacing w:line="360" w:lineRule="auto"/>
            </w:pPr>
          </w:p>
        </w:tc>
      </w:tr>
      <w:tr w:rsidR="00821181" w:rsidRPr="003609FB" w14:paraId="09749C13" w14:textId="77777777" w:rsidTr="009F64F4">
        <w:tc>
          <w:tcPr>
            <w:tcW w:w="9810" w:type="dxa"/>
          </w:tcPr>
          <w:p w14:paraId="1142DB90" w14:textId="622E65FA" w:rsidR="00821181" w:rsidRPr="003609FB" w:rsidRDefault="00821181" w:rsidP="00AB2160">
            <w:pPr>
              <w:spacing w:line="360" w:lineRule="auto"/>
              <w:jc w:val="center"/>
              <w:rPr>
                <w:rFonts w:ascii="Times New Roman" w:hAnsi="Times New Roman" w:cs="Times New Roman"/>
                <w:sz w:val="24"/>
                <w:szCs w:val="24"/>
              </w:rPr>
            </w:pPr>
            <w:r w:rsidRPr="003609FB">
              <w:rPr>
                <w:rFonts w:ascii="Times New Roman" w:hAnsi="Times New Roman" w:cs="Times New Roman"/>
                <w:noProof/>
                <w:sz w:val="24"/>
                <w:szCs w:val="24"/>
              </w:rPr>
              <w:lastRenderedPageBreak/>
              <w:drawing>
                <wp:inline distT="0" distB="0" distL="0" distR="0" wp14:anchorId="290B0F73" wp14:editId="285C6A46">
                  <wp:extent cx="2754216" cy="2153631"/>
                  <wp:effectExtent l="0" t="0" r="0" b="5715"/>
                  <wp:docPr id="2" name="Picture 2" descr="A diagram of a pro and pr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pro and pro&#10;&#10;Description automatically generated"/>
                          <pic:cNvPicPr/>
                        </pic:nvPicPr>
                        <pic:blipFill rotWithShape="1">
                          <a:blip r:embed="rId20" cstate="print">
                            <a:extLst>
                              <a:ext uri="{28A0092B-C50C-407E-A947-70E740481C1C}">
                                <a14:useLocalDpi xmlns:a14="http://schemas.microsoft.com/office/drawing/2010/main" val="0"/>
                              </a:ext>
                            </a:extLst>
                          </a:blip>
                          <a:srcRect r="39937"/>
                          <a:stretch/>
                        </pic:blipFill>
                        <pic:spPr bwMode="auto">
                          <a:xfrm>
                            <a:off x="0" y="0"/>
                            <a:ext cx="2761837" cy="2159590"/>
                          </a:xfrm>
                          <a:prstGeom prst="rect">
                            <a:avLst/>
                          </a:prstGeom>
                          <a:ln>
                            <a:noFill/>
                          </a:ln>
                          <a:extLst>
                            <a:ext uri="{53640926-AAD7-44D8-BBD7-CCE9431645EC}">
                              <a14:shadowObscured xmlns:a14="http://schemas.microsoft.com/office/drawing/2010/main"/>
                            </a:ext>
                          </a:extLst>
                        </pic:spPr>
                      </pic:pic>
                    </a:graphicData>
                  </a:graphic>
                </wp:inline>
              </w:drawing>
            </w:r>
          </w:p>
          <w:p w14:paraId="27D16C49" w14:textId="77777777" w:rsidR="00821181" w:rsidRDefault="00821181" w:rsidP="00526CD2">
            <w:pPr>
              <w:spacing w:line="360" w:lineRule="auto"/>
              <w:rPr>
                <w:rFonts w:ascii="Times New Roman" w:hAnsi="Times New Roman" w:cs="Times New Roman"/>
                <w:sz w:val="24"/>
                <w:szCs w:val="24"/>
              </w:rPr>
            </w:pPr>
          </w:p>
          <w:p w14:paraId="6CDF605F" w14:textId="77777777" w:rsidR="00821181" w:rsidRDefault="00821181" w:rsidP="00AB2160">
            <w:pPr>
              <w:spacing w:line="360" w:lineRule="auto"/>
              <w:jc w:val="center"/>
              <w:rPr>
                <w:rFonts w:ascii="Times New Roman" w:hAnsi="Times New Roman" w:cs="Times New Roman"/>
                <w:sz w:val="24"/>
                <w:szCs w:val="24"/>
              </w:rPr>
            </w:pPr>
          </w:p>
          <w:p w14:paraId="176C1134" w14:textId="47694585" w:rsidR="00821181" w:rsidRDefault="00821181" w:rsidP="00526CD2">
            <w:pPr>
              <w:spacing w:line="360" w:lineRule="auto"/>
              <w:jc w:val="center"/>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78FBE868" wp14:editId="65EF452D">
                  <wp:extent cx="4390292" cy="2184357"/>
                  <wp:effectExtent l="0" t="0" r="4445" b="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pic:nvPicPr>
                        <pic:blipFill rotWithShape="1">
                          <a:blip r:embed="rId21" cstate="print">
                            <a:extLst>
                              <a:ext uri="{28A0092B-C50C-407E-A947-70E740481C1C}">
                                <a14:useLocalDpi xmlns:a14="http://schemas.microsoft.com/office/drawing/2010/main" val="0"/>
                              </a:ext>
                            </a:extLst>
                          </a:blip>
                          <a:srcRect b="19680"/>
                          <a:stretch/>
                        </pic:blipFill>
                        <pic:spPr bwMode="auto">
                          <a:xfrm>
                            <a:off x="0" y="0"/>
                            <a:ext cx="4430736" cy="2204479"/>
                          </a:xfrm>
                          <a:prstGeom prst="rect">
                            <a:avLst/>
                          </a:prstGeom>
                          <a:ln>
                            <a:noFill/>
                          </a:ln>
                          <a:extLst>
                            <a:ext uri="{53640926-AAD7-44D8-BBD7-CCE9431645EC}">
                              <a14:shadowObscured xmlns:a14="http://schemas.microsoft.com/office/drawing/2010/main"/>
                            </a:ext>
                          </a:extLst>
                        </pic:spPr>
                      </pic:pic>
                    </a:graphicData>
                  </a:graphic>
                </wp:inline>
              </w:drawing>
            </w:r>
          </w:p>
          <w:p w14:paraId="77D7EC8D" w14:textId="77777777" w:rsidR="00F17DAA" w:rsidRDefault="00F17DAA" w:rsidP="00F17DAA">
            <w:pPr>
              <w:spacing w:line="360" w:lineRule="auto"/>
              <w:rPr>
                <w:rFonts w:asciiTheme="majorBidi" w:hAnsiTheme="majorBidi"/>
                <w:sz w:val="28"/>
                <w:szCs w:val="28"/>
              </w:rPr>
            </w:pPr>
            <w:r w:rsidRPr="00CD6A20">
              <w:rPr>
                <w:rFonts w:asciiTheme="majorBidi" w:hAnsiTheme="majorBidi"/>
                <w:color w:val="000000"/>
                <w:sz w:val="24"/>
                <w:szCs w:val="24"/>
              </w:rPr>
              <w:t>Figure 1.2 continued</w:t>
            </w:r>
            <w:r w:rsidRPr="00CD6A20">
              <w:rPr>
                <w:rFonts w:asciiTheme="majorBidi" w:hAnsiTheme="majorBidi"/>
                <w:sz w:val="28"/>
                <w:szCs w:val="28"/>
              </w:rPr>
              <w:t xml:space="preserve"> </w:t>
            </w:r>
          </w:p>
          <w:p w14:paraId="4A2119B3" w14:textId="72E3B6D9" w:rsidR="00821181" w:rsidRDefault="00821181" w:rsidP="00526CD2">
            <w:pPr>
              <w:spacing w:line="360" w:lineRule="auto"/>
              <w:rPr>
                <w:rFonts w:ascii="Times New Roman" w:hAnsi="Times New Roman" w:cs="Times New Roman"/>
                <w:sz w:val="24"/>
                <w:szCs w:val="24"/>
              </w:rPr>
            </w:pPr>
          </w:p>
          <w:p w14:paraId="3F1547E1" w14:textId="77777777" w:rsidR="00821181" w:rsidRPr="003609FB" w:rsidRDefault="00821181"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Coexistence</w:t>
            </w:r>
          </w:p>
          <w:p w14:paraId="71B4C5CD" w14:textId="77777777" w:rsidR="00821181" w:rsidRPr="00CD6A20" w:rsidRDefault="00821181" w:rsidP="00AB2160">
            <w:pPr>
              <w:spacing w:line="360" w:lineRule="auto"/>
              <w:rPr>
                <w:rFonts w:asciiTheme="majorBidi" w:hAnsiTheme="majorBidi"/>
                <w:sz w:val="28"/>
                <w:szCs w:val="28"/>
              </w:rPr>
            </w:pPr>
          </w:p>
          <w:p w14:paraId="24EAA655" w14:textId="5BE82FD8" w:rsidR="00821181" w:rsidRDefault="00821181" w:rsidP="00AB2160">
            <w:pPr>
              <w:spacing w:line="360" w:lineRule="auto"/>
              <w:jc w:val="center"/>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75804E4D" wp14:editId="5648E232">
                  <wp:extent cx="4380495" cy="2368627"/>
                  <wp:effectExtent l="0" t="0" r="1270" b="0"/>
                  <wp:docPr id="4" name="Picture 4"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rotWithShape="1">
                          <a:blip r:embed="rId22" cstate="print">
                            <a:extLst>
                              <a:ext uri="{28A0092B-C50C-407E-A947-70E740481C1C}">
                                <a14:useLocalDpi xmlns:a14="http://schemas.microsoft.com/office/drawing/2010/main" val="0"/>
                              </a:ext>
                            </a:extLst>
                          </a:blip>
                          <a:srcRect b="-3"/>
                          <a:stretch/>
                        </pic:blipFill>
                        <pic:spPr bwMode="auto">
                          <a:xfrm>
                            <a:off x="0" y="0"/>
                            <a:ext cx="4405626" cy="2382216"/>
                          </a:xfrm>
                          <a:prstGeom prst="rect">
                            <a:avLst/>
                          </a:prstGeom>
                          <a:ln>
                            <a:noFill/>
                          </a:ln>
                          <a:extLst>
                            <a:ext uri="{53640926-AAD7-44D8-BBD7-CCE9431645EC}">
                              <a14:shadowObscured xmlns:a14="http://schemas.microsoft.com/office/drawing/2010/main"/>
                            </a:ext>
                          </a:extLst>
                        </pic:spPr>
                      </pic:pic>
                    </a:graphicData>
                  </a:graphic>
                </wp:inline>
              </w:drawing>
            </w:r>
          </w:p>
          <w:p w14:paraId="32D9CDB3" w14:textId="4780F559" w:rsidR="00821181" w:rsidRPr="003609FB" w:rsidRDefault="00821181" w:rsidP="00AB2160">
            <w:pPr>
              <w:spacing w:line="360" w:lineRule="auto"/>
              <w:jc w:val="center"/>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44F819CF" wp14:editId="7E2DB97E">
                  <wp:extent cx="4646686" cy="2126255"/>
                  <wp:effectExtent l="0" t="0" r="1905" b="0"/>
                  <wp:docPr id="5" name="Picture 5" descr="A diagram of different typ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86332" cy="2144396"/>
                          </a:xfrm>
                          <a:prstGeom prst="rect">
                            <a:avLst/>
                          </a:prstGeom>
                        </pic:spPr>
                      </pic:pic>
                    </a:graphicData>
                  </a:graphic>
                </wp:inline>
              </w:drawing>
            </w:r>
          </w:p>
          <w:p w14:paraId="7896D647" w14:textId="77777777" w:rsidR="003A2D2B" w:rsidRPr="00821181" w:rsidRDefault="003A2D2B" w:rsidP="00AB2160">
            <w:pPr>
              <w:spacing w:line="360" w:lineRule="auto"/>
              <w:rPr>
                <w:rFonts w:asciiTheme="majorBidi" w:hAnsiTheme="majorBidi"/>
                <w:sz w:val="28"/>
                <w:szCs w:val="28"/>
              </w:rPr>
            </w:pPr>
            <w:r w:rsidRPr="00CD6A20">
              <w:rPr>
                <w:rFonts w:asciiTheme="majorBidi" w:hAnsiTheme="majorBidi"/>
                <w:color w:val="000000"/>
                <w:sz w:val="24"/>
                <w:szCs w:val="24"/>
              </w:rPr>
              <w:t>Figure 1.2 continued</w:t>
            </w:r>
          </w:p>
          <w:p w14:paraId="4B6C7F02" w14:textId="1C513B2F" w:rsidR="00821181" w:rsidRDefault="00821181" w:rsidP="00AB2160">
            <w:pPr>
              <w:spacing w:line="360" w:lineRule="auto"/>
              <w:rPr>
                <w:rFonts w:asciiTheme="majorBidi" w:hAnsiTheme="majorBidi"/>
                <w:color w:val="000000"/>
                <w:sz w:val="24"/>
                <w:szCs w:val="24"/>
              </w:rPr>
            </w:pPr>
          </w:p>
          <w:p w14:paraId="1B8F5340" w14:textId="77777777" w:rsidR="005B43F7" w:rsidRDefault="005B43F7" w:rsidP="00AB2160">
            <w:pPr>
              <w:spacing w:line="360" w:lineRule="auto"/>
              <w:rPr>
                <w:rFonts w:asciiTheme="majorBidi" w:hAnsiTheme="majorBidi"/>
                <w:color w:val="000000"/>
                <w:sz w:val="24"/>
                <w:szCs w:val="24"/>
              </w:rPr>
            </w:pPr>
          </w:p>
          <w:p w14:paraId="24378549" w14:textId="77777777" w:rsidR="005B43F7" w:rsidRDefault="005B43F7" w:rsidP="00AB2160">
            <w:pPr>
              <w:spacing w:line="360" w:lineRule="auto"/>
              <w:rPr>
                <w:rFonts w:asciiTheme="majorBidi" w:hAnsiTheme="majorBidi"/>
                <w:color w:val="000000"/>
                <w:sz w:val="24"/>
                <w:szCs w:val="24"/>
              </w:rPr>
            </w:pPr>
          </w:p>
          <w:p w14:paraId="68B52C62" w14:textId="73ACC8A2" w:rsidR="00821181" w:rsidRPr="003609FB" w:rsidRDefault="00821181" w:rsidP="00AB216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c)</w:t>
            </w:r>
          </w:p>
        </w:tc>
      </w:tr>
      <w:tr w:rsidR="00821181" w:rsidRPr="003609FB" w14:paraId="59D6E860" w14:textId="77777777" w:rsidTr="009F64F4">
        <w:tc>
          <w:tcPr>
            <w:tcW w:w="9810" w:type="dxa"/>
          </w:tcPr>
          <w:p w14:paraId="68040BA5" w14:textId="121F9DBE" w:rsidR="00821181" w:rsidRPr="005B43F7" w:rsidRDefault="00821181" w:rsidP="005B43F7">
            <w:pPr>
              <w:spacing w:line="360" w:lineRule="auto"/>
              <w:jc w:val="center"/>
              <w:rPr>
                <w:rFonts w:ascii="Times New Roman" w:hAnsi="Times New Roman" w:cs="Times New Roman"/>
                <w:b/>
                <w:bCs/>
                <w:sz w:val="24"/>
                <w:szCs w:val="24"/>
              </w:rPr>
            </w:pPr>
            <w:r w:rsidRPr="00810B77">
              <w:rPr>
                <w:rFonts w:ascii="Times New Roman" w:hAnsi="Times New Roman" w:cs="Times New Roman"/>
                <w:b/>
                <w:bCs/>
                <w:sz w:val="24"/>
                <w:szCs w:val="24"/>
              </w:rPr>
              <w:lastRenderedPageBreak/>
              <w:t>Chapter 4</w:t>
            </w:r>
          </w:p>
          <w:p w14:paraId="5670F03B" w14:textId="77777777" w:rsidR="00821181" w:rsidRPr="003609FB" w:rsidRDefault="00821181"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75C91042" wp14:editId="3D81AC89">
                  <wp:extent cx="5423338" cy="3501415"/>
                  <wp:effectExtent l="0" t="0" r="0" b="0"/>
                  <wp:docPr id="6" name="Picture 6"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4">
                            <a:extLst>
                              <a:ext uri="{28A0092B-C50C-407E-A947-70E740481C1C}">
                                <a14:useLocalDpi xmlns:a14="http://schemas.microsoft.com/office/drawing/2010/main" val="0"/>
                              </a:ext>
                            </a:extLst>
                          </a:blip>
                          <a:stretch>
                            <a:fillRect/>
                          </a:stretch>
                        </pic:blipFill>
                        <pic:spPr>
                          <a:xfrm>
                            <a:off x="0" y="0"/>
                            <a:ext cx="5450745" cy="3519110"/>
                          </a:xfrm>
                          <a:prstGeom prst="rect">
                            <a:avLst/>
                          </a:prstGeom>
                        </pic:spPr>
                      </pic:pic>
                    </a:graphicData>
                  </a:graphic>
                </wp:inline>
              </w:drawing>
            </w:r>
          </w:p>
          <w:p w14:paraId="69F43D0C" w14:textId="7101CC2D" w:rsidR="00821181" w:rsidRPr="003609FB" w:rsidRDefault="00821181" w:rsidP="00511118">
            <w:pPr>
              <w:pStyle w:val="Caption"/>
            </w:pPr>
          </w:p>
        </w:tc>
      </w:tr>
      <w:tr w:rsidR="00821181" w:rsidRPr="003609FB" w14:paraId="48EDDE2E" w14:textId="77777777" w:rsidTr="009F64F4">
        <w:tc>
          <w:tcPr>
            <w:tcW w:w="9810" w:type="dxa"/>
          </w:tcPr>
          <w:p w14:paraId="249D7DBF" w14:textId="284E7384" w:rsidR="00821181" w:rsidRPr="003609FB" w:rsidRDefault="00821181" w:rsidP="00AB2160">
            <w:pPr>
              <w:spacing w:line="360" w:lineRule="auto"/>
              <w:rPr>
                <w:rFonts w:ascii="Times New Roman" w:hAnsi="Times New Roman" w:cs="Times New Roman"/>
                <w:sz w:val="24"/>
                <w:szCs w:val="24"/>
              </w:rPr>
            </w:pPr>
          </w:p>
        </w:tc>
      </w:tr>
    </w:tbl>
    <w:p w14:paraId="4A21A3A1" w14:textId="77777777" w:rsidR="005B43F7" w:rsidRDefault="005B43F7" w:rsidP="006258AA">
      <w:pPr>
        <w:spacing w:line="360" w:lineRule="auto"/>
        <w:rPr>
          <w:rFonts w:asciiTheme="majorBidi" w:hAnsiTheme="majorBidi"/>
          <w:color w:val="000000"/>
          <w:sz w:val="24"/>
          <w:szCs w:val="24"/>
        </w:rPr>
      </w:pPr>
    </w:p>
    <w:p w14:paraId="7AB69D4B" w14:textId="5DE42CF2" w:rsidR="00821181" w:rsidRDefault="003A2D2B" w:rsidP="006258AA">
      <w:pPr>
        <w:spacing w:line="360" w:lineRule="auto"/>
        <w:rPr>
          <w:rFonts w:asciiTheme="majorBidi" w:hAnsiTheme="majorBidi"/>
          <w:color w:val="000000"/>
          <w:sz w:val="24"/>
          <w:szCs w:val="24"/>
        </w:rPr>
      </w:pPr>
      <w:r w:rsidRPr="00CD6A20">
        <w:rPr>
          <w:rFonts w:asciiTheme="majorBidi" w:hAnsiTheme="majorBidi"/>
          <w:color w:val="000000"/>
          <w:sz w:val="24"/>
          <w:szCs w:val="24"/>
        </w:rPr>
        <w:t>Figure 1.2 continued</w:t>
      </w:r>
    </w:p>
    <w:p w14:paraId="286426FD" w14:textId="77777777" w:rsidR="006038AB" w:rsidRDefault="006038AB" w:rsidP="006258AA">
      <w:pPr>
        <w:spacing w:line="360" w:lineRule="auto"/>
        <w:rPr>
          <w:rFonts w:asciiTheme="majorBidi" w:hAnsiTheme="majorBidi"/>
          <w:color w:val="000000"/>
          <w:sz w:val="24"/>
          <w:szCs w:val="24"/>
        </w:rPr>
      </w:pPr>
    </w:p>
    <w:p w14:paraId="04EBF38F" w14:textId="77777777" w:rsidR="006038AB" w:rsidRDefault="006038AB" w:rsidP="006258AA">
      <w:pPr>
        <w:spacing w:line="360" w:lineRule="auto"/>
        <w:rPr>
          <w:rFonts w:asciiTheme="majorBidi" w:hAnsiTheme="majorBidi"/>
          <w:color w:val="000000"/>
          <w:sz w:val="24"/>
          <w:szCs w:val="24"/>
        </w:rPr>
      </w:pPr>
    </w:p>
    <w:p w14:paraId="3BA966E7" w14:textId="77777777" w:rsidR="006038AB" w:rsidRDefault="006038AB" w:rsidP="006258AA">
      <w:pPr>
        <w:spacing w:line="360" w:lineRule="auto"/>
        <w:rPr>
          <w:rFonts w:asciiTheme="majorBidi" w:hAnsiTheme="majorBidi"/>
          <w:sz w:val="28"/>
          <w:szCs w:val="28"/>
        </w:rPr>
      </w:pPr>
    </w:p>
    <w:p w14:paraId="6FFD559F" w14:textId="77777777" w:rsidR="00797D57" w:rsidRDefault="00797D57" w:rsidP="006258AA">
      <w:pPr>
        <w:spacing w:line="360" w:lineRule="auto"/>
        <w:rPr>
          <w:rFonts w:asciiTheme="majorBidi" w:hAnsiTheme="majorBidi"/>
          <w:sz w:val="28"/>
          <w:szCs w:val="28"/>
        </w:rPr>
      </w:pPr>
    </w:p>
    <w:p w14:paraId="4BEFA31F" w14:textId="77777777" w:rsidR="00797D57" w:rsidRPr="006258AA" w:rsidRDefault="00797D57" w:rsidP="006258AA">
      <w:pPr>
        <w:spacing w:line="360" w:lineRule="auto"/>
        <w:rPr>
          <w:rFonts w:asciiTheme="majorBidi" w:hAnsiTheme="majorBidi"/>
          <w:sz w:val="28"/>
          <w:szCs w:val="28"/>
        </w:rPr>
      </w:pPr>
    </w:p>
    <w:p w14:paraId="2BB46DE9" w14:textId="64F57F0E" w:rsidR="008C6B01" w:rsidRPr="00797D57" w:rsidRDefault="005E185F" w:rsidP="00797D57">
      <w:pPr>
        <w:pStyle w:val="Heading1"/>
        <w:rPr>
          <w:b w:val="0"/>
          <w:bCs w:val="0"/>
        </w:rPr>
      </w:pPr>
      <w:bookmarkStart w:id="9" w:name="_Toc173250013"/>
      <w:r w:rsidRPr="00797D57">
        <w:rPr>
          <w:b w:val="0"/>
          <w:bCs w:val="0"/>
        </w:rPr>
        <w:lastRenderedPageBreak/>
        <w:t>Quantification of the coupled dynamics of cell growth and hydrogen peroxide (</w:t>
      </w:r>
      <w:r w:rsidR="00F52F1E" w:rsidRPr="00797D57">
        <w:rPr>
          <w:b w:val="0"/>
          <w:bCs w:val="0"/>
        </w:rPr>
        <w:t>H</w:t>
      </w:r>
      <w:r w:rsidR="00F52F1E" w:rsidRPr="00797D57">
        <w:rPr>
          <w:b w:val="0"/>
          <w:bCs w:val="0"/>
          <w:vertAlign w:val="subscript"/>
        </w:rPr>
        <w:t>2</w:t>
      </w:r>
      <w:r w:rsidR="00F52F1E" w:rsidRPr="00797D57">
        <w:rPr>
          <w:b w:val="0"/>
          <w:bCs w:val="0"/>
        </w:rPr>
        <w:t>O</w:t>
      </w:r>
      <w:r w:rsidR="00F52F1E" w:rsidRPr="00797D57">
        <w:rPr>
          <w:b w:val="0"/>
          <w:bCs w:val="0"/>
          <w:vertAlign w:val="subscript"/>
        </w:rPr>
        <w:t>2</w:t>
      </w:r>
      <w:r w:rsidRPr="00797D57">
        <w:rPr>
          <w:b w:val="0"/>
          <w:bCs w:val="0"/>
        </w:rPr>
        <w:t>) in laboratory batch culture experiments</w:t>
      </w:r>
      <w:bookmarkEnd w:id="9"/>
    </w:p>
    <w:p w14:paraId="148EEB37" w14:textId="49E25C72" w:rsidR="00D171D6" w:rsidRPr="003609FB" w:rsidRDefault="00D171D6" w:rsidP="00AB2160">
      <w:pPr>
        <w:spacing w:line="360" w:lineRule="auto"/>
        <w:rPr>
          <w:rFonts w:ascii="Times New Roman" w:hAnsi="Times New Roman" w:cs="Times New Roman"/>
          <w:sz w:val="24"/>
          <w:szCs w:val="24"/>
        </w:rPr>
      </w:pPr>
    </w:p>
    <w:p w14:paraId="0C01557D" w14:textId="2A39483F" w:rsidR="00D171D6" w:rsidRPr="003609FB" w:rsidRDefault="00D171D6" w:rsidP="00AB2160">
      <w:pPr>
        <w:spacing w:line="360" w:lineRule="auto"/>
        <w:rPr>
          <w:rFonts w:ascii="Times New Roman" w:hAnsi="Times New Roman" w:cs="Times New Roman"/>
          <w:sz w:val="24"/>
          <w:szCs w:val="24"/>
        </w:rPr>
      </w:pPr>
    </w:p>
    <w:p w14:paraId="72955653" w14:textId="481145DA" w:rsidR="00D171D6" w:rsidRDefault="00D171D6" w:rsidP="00AB2160">
      <w:pPr>
        <w:spacing w:line="360" w:lineRule="auto"/>
        <w:rPr>
          <w:rFonts w:ascii="Times New Roman" w:hAnsi="Times New Roman" w:cs="Times New Roman"/>
          <w:sz w:val="24"/>
          <w:szCs w:val="24"/>
        </w:rPr>
      </w:pPr>
    </w:p>
    <w:p w14:paraId="59B19F79" w14:textId="08D6AB54" w:rsidR="006258AA" w:rsidRDefault="006258AA" w:rsidP="00AB2160">
      <w:pPr>
        <w:spacing w:line="360" w:lineRule="auto"/>
        <w:rPr>
          <w:rFonts w:ascii="Times New Roman" w:hAnsi="Times New Roman" w:cs="Times New Roman"/>
          <w:sz w:val="24"/>
          <w:szCs w:val="24"/>
        </w:rPr>
      </w:pPr>
    </w:p>
    <w:p w14:paraId="2E776B8A" w14:textId="3665658D" w:rsidR="006258AA" w:rsidRDefault="006258AA" w:rsidP="00AB2160">
      <w:pPr>
        <w:spacing w:line="360" w:lineRule="auto"/>
        <w:rPr>
          <w:rFonts w:ascii="Times New Roman" w:hAnsi="Times New Roman" w:cs="Times New Roman"/>
          <w:sz w:val="24"/>
          <w:szCs w:val="24"/>
        </w:rPr>
      </w:pPr>
    </w:p>
    <w:p w14:paraId="6AF59295" w14:textId="6A055F74" w:rsidR="006258AA" w:rsidRDefault="006258AA" w:rsidP="00AB2160">
      <w:pPr>
        <w:spacing w:line="360" w:lineRule="auto"/>
        <w:rPr>
          <w:rFonts w:ascii="Times New Roman" w:hAnsi="Times New Roman" w:cs="Times New Roman"/>
          <w:sz w:val="24"/>
          <w:szCs w:val="24"/>
        </w:rPr>
      </w:pPr>
    </w:p>
    <w:p w14:paraId="6B2BD2C2" w14:textId="0B4152B8" w:rsidR="006258AA" w:rsidRDefault="006258AA" w:rsidP="00AB2160">
      <w:pPr>
        <w:spacing w:line="360" w:lineRule="auto"/>
        <w:rPr>
          <w:rFonts w:ascii="Times New Roman" w:hAnsi="Times New Roman" w:cs="Times New Roman"/>
          <w:sz w:val="24"/>
          <w:szCs w:val="24"/>
        </w:rPr>
      </w:pPr>
    </w:p>
    <w:p w14:paraId="640F023B" w14:textId="2ED583C7" w:rsidR="006258AA" w:rsidRDefault="006258AA" w:rsidP="00AB2160">
      <w:pPr>
        <w:spacing w:line="360" w:lineRule="auto"/>
        <w:rPr>
          <w:rFonts w:ascii="Times New Roman" w:hAnsi="Times New Roman" w:cs="Times New Roman"/>
          <w:sz w:val="24"/>
          <w:szCs w:val="24"/>
        </w:rPr>
      </w:pPr>
    </w:p>
    <w:p w14:paraId="502D23D0" w14:textId="6EC3B714" w:rsidR="006258AA" w:rsidRDefault="006258AA" w:rsidP="00AB2160">
      <w:pPr>
        <w:spacing w:line="360" w:lineRule="auto"/>
        <w:rPr>
          <w:rFonts w:ascii="Times New Roman" w:hAnsi="Times New Roman" w:cs="Times New Roman"/>
          <w:sz w:val="24"/>
          <w:szCs w:val="24"/>
        </w:rPr>
      </w:pPr>
    </w:p>
    <w:p w14:paraId="65537645" w14:textId="4DED2695" w:rsidR="006258AA" w:rsidRDefault="006258AA" w:rsidP="00AB2160">
      <w:pPr>
        <w:spacing w:line="360" w:lineRule="auto"/>
        <w:rPr>
          <w:rFonts w:ascii="Times New Roman" w:hAnsi="Times New Roman" w:cs="Times New Roman"/>
          <w:sz w:val="24"/>
          <w:szCs w:val="24"/>
        </w:rPr>
      </w:pPr>
    </w:p>
    <w:p w14:paraId="1DEE0317" w14:textId="4EF93E7B" w:rsidR="006258AA" w:rsidRDefault="006258AA" w:rsidP="00AB2160">
      <w:pPr>
        <w:spacing w:line="360" w:lineRule="auto"/>
        <w:rPr>
          <w:rFonts w:ascii="Times New Roman" w:hAnsi="Times New Roman" w:cs="Times New Roman"/>
          <w:sz w:val="24"/>
          <w:szCs w:val="24"/>
        </w:rPr>
      </w:pPr>
    </w:p>
    <w:p w14:paraId="4ADEC635" w14:textId="5F66AAB5" w:rsidR="006258AA" w:rsidRDefault="006258AA" w:rsidP="00AB2160">
      <w:pPr>
        <w:spacing w:line="360" w:lineRule="auto"/>
        <w:rPr>
          <w:rFonts w:ascii="Times New Roman" w:hAnsi="Times New Roman" w:cs="Times New Roman"/>
          <w:sz w:val="24"/>
          <w:szCs w:val="24"/>
        </w:rPr>
      </w:pPr>
    </w:p>
    <w:p w14:paraId="00AFB83A" w14:textId="703B2DB5" w:rsidR="006258AA" w:rsidRDefault="006258AA" w:rsidP="00AB2160">
      <w:pPr>
        <w:spacing w:line="360" w:lineRule="auto"/>
        <w:rPr>
          <w:rFonts w:ascii="Times New Roman" w:hAnsi="Times New Roman" w:cs="Times New Roman"/>
          <w:sz w:val="24"/>
          <w:szCs w:val="24"/>
        </w:rPr>
      </w:pPr>
    </w:p>
    <w:p w14:paraId="29557224" w14:textId="4E0897FC" w:rsidR="006258AA" w:rsidRDefault="006258AA" w:rsidP="00AB2160">
      <w:pPr>
        <w:spacing w:line="360" w:lineRule="auto"/>
        <w:rPr>
          <w:rFonts w:ascii="Times New Roman" w:hAnsi="Times New Roman" w:cs="Times New Roman"/>
          <w:sz w:val="24"/>
          <w:szCs w:val="24"/>
        </w:rPr>
      </w:pPr>
    </w:p>
    <w:p w14:paraId="3ABB6E45" w14:textId="43823119" w:rsidR="006258AA" w:rsidRDefault="006258AA" w:rsidP="00AB2160">
      <w:pPr>
        <w:spacing w:line="360" w:lineRule="auto"/>
        <w:rPr>
          <w:rFonts w:ascii="Times New Roman" w:hAnsi="Times New Roman" w:cs="Times New Roman"/>
          <w:sz w:val="24"/>
          <w:szCs w:val="24"/>
        </w:rPr>
      </w:pPr>
    </w:p>
    <w:p w14:paraId="74A2525D" w14:textId="123EA22A" w:rsidR="006258AA" w:rsidRDefault="006258AA" w:rsidP="00AB2160">
      <w:pPr>
        <w:spacing w:line="360" w:lineRule="auto"/>
        <w:rPr>
          <w:rFonts w:ascii="Times New Roman" w:hAnsi="Times New Roman" w:cs="Times New Roman"/>
          <w:sz w:val="24"/>
          <w:szCs w:val="24"/>
        </w:rPr>
      </w:pPr>
    </w:p>
    <w:p w14:paraId="07DFD9C9" w14:textId="31B2B429" w:rsidR="006258AA" w:rsidRDefault="006258AA" w:rsidP="00AB2160">
      <w:pPr>
        <w:spacing w:line="360" w:lineRule="auto"/>
        <w:rPr>
          <w:rFonts w:ascii="Times New Roman" w:hAnsi="Times New Roman" w:cs="Times New Roman"/>
          <w:sz w:val="24"/>
          <w:szCs w:val="24"/>
        </w:rPr>
      </w:pPr>
    </w:p>
    <w:p w14:paraId="1093AB5A" w14:textId="77777777" w:rsidR="006258AA" w:rsidRDefault="006258AA" w:rsidP="00AB2160">
      <w:pPr>
        <w:spacing w:line="360" w:lineRule="auto"/>
        <w:rPr>
          <w:rFonts w:ascii="Times New Roman" w:hAnsi="Times New Roman" w:cs="Times New Roman"/>
          <w:sz w:val="24"/>
          <w:szCs w:val="24"/>
        </w:rPr>
      </w:pPr>
    </w:p>
    <w:p w14:paraId="1A7873EA" w14:textId="77777777" w:rsidR="00797D57" w:rsidRPr="003609FB" w:rsidRDefault="00797D57" w:rsidP="00AB2160">
      <w:pPr>
        <w:spacing w:line="360" w:lineRule="auto"/>
        <w:rPr>
          <w:rFonts w:ascii="Times New Roman" w:hAnsi="Times New Roman" w:cs="Times New Roman"/>
          <w:sz w:val="24"/>
          <w:szCs w:val="24"/>
        </w:rPr>
      </w:pPr>
    </w:p>
    <w:p w14:paraId="5967C356" w14:textId="78B7C01C" w:rsidR="001058D9" w:rsidRDefault="001058D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Author(s): D</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K</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M</w:t>
      </w:r>
      <w:r w:rsidR="00BE5BE4" w:rsidRPr="003609FB">
        <w:rPr>
          <w:rFonts w:ascii="Times New Roman" w:hAnsi="Times New Roman" w:cs="Times New Roman"/>
          <w:sz w:val="24"/>
          <w:szCs w:val="24"/>
        </w:rPr>
        <w:t>.</w:t>
      </w:r>
      <w:r w:rsidRPr="003609FB">
        <w:rPr>
          <w:rFonts w:ascii="Times New Roman" w:hAnsi="Times New Roman" w:cs="Times New Roman"/>
          <w:sz w:val="24"/>
          <w:szCs w:val="24"/>
        </w:rPr>
        <w:t>, E</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B</w:t>
      </w:r>
      <w:r w:rsidR="00BE5BE4" w:rsidRPr="003609FB">
        <w:rPr>
          <w:rFonts w:ascii="Times New Roman" w:hAnsi="Times New Roman" w:cs="Times New Roman"/>
          <w:sz w:val="24"/>
          <w:szCs w:val="24"/>
        </w:rPr>
        <w:t>.</w:t>
      </w:r>
      <w:r w:rsidRPr="003609FB">
        <w:rPr>
          <w:rFonts w:ascii="Times New Roman" w:hAnsi="Times New Roman" w:cs="Times New Roman"/>
          <w:sz w:val="24"/>
          <w:szCs w:val="24"/>
        </w:rPr>
        <w:t>, M</w:t>
      </w:r>
      <w:r w:rsidR="00B009F8" w:rsidRPr="003609FB">
        <w:rPr>
          <w:rFonts w:ascii="Times New Roman" w:hAnsi="Times New Roman" w:cs="Times New Roman"/>
          <w:sz w:val="24"/>
          <w:szCs w:val="24"/>
        </w:rPr>
        <w:t>.A.</w:t>
      </w:r>
      <w:r w:rsidRPr="003609FB">
        <w:rPr>
          <w:rFonts w:ascii="Times New Roman" w:hAnsi="Times New Roman" w:cs="Times New Roman"/>
          <w:sz w:val="24"/>
          <w:szCs w:val="24"/>
        </w:rPr>
        <w:t>G</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 B</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C</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C</w:t>
      </w:r>
      <w:r w:rsidR="00640FB6" w:rsidRPr="003609FB">
        <w:rPr>
          <w:rFonts w:ascii="Times New Roman" w:hAnsi="Times New Roman" w:cs="Times New Roman"/>
          <w:sz w:val="24"/>
          <w:szCs w:val="24"/>
        </w:rPr>
        <w:t>.</w:t>
      </w:r>
      <w:r w:rsidRPr="003609FB">
        <w:rPr>
          <w:rFonts w:ascii="Times New Roman" w:hAnsi="Times New Roman" w:cs="Times New Roman"/>
          <w:sz w:val="24"/>
          <w:szCs w:val="24"/>
        </w:rPr>
        <w:t>, E</w:t>
      </w:r>
      <w:r w:rsidR="00B009F8" w:rsidRPr="003609FB">
        <w:rPr>
          <w:rFonts w:ascii="Times New Roman" w:hAnsi="Times New Roman" w:cs="Times New Roman"/>
          <w:sz w:val="24"/>
          <w:szCs w:val="24"/>
        </w:rPr>
        <w:t>.R.</w:t>
      </w:r>
      <w:r w:rsidRPr="003609FB">
        <w:rPr>
          <w:rFonts w:ascii="Times New Roman" w:hAnsi="Times New Roman" w:cs="Times New Roman"/>
          <w:sz w:val="24"/>
          <w:szCs w:val="24"/>
        </w:rPr>
        <w:t>Z</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 and D</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T</w:t>
      </w:r>
      <w:r w:rsidR="00B009F8" w:rsidRPr="003609FB">
        <w:rPr>
          <w:rFonts w:ascii="Times New Roman" w:hAnsi="Times New Roman" w:cs="Times New Roman"/>
          <w:sz w:val="24"/>
          <w:szCs w:val="24"/>
        </w:rPr>
        <w:t>.</w:t>
      </w:r>
    </w:p>
    <w:p w14:paraId="3C51D980" w14:textId="646E466B" w:rsidR="006258AA" w:rsidRPr="003609FB" w:rsidRDefault="006258AA" w:rsidP="006258AA">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Manuscript reviewed at Applied and Environmental Microbiology and submitted Microbiology Spectrum under the title: Quantification of the coupled dynamics of cyanobacteria and reactive oxygen species in laboratory batch culture experiments. </w:t>
      </w:r>
    </w:p>
    <w:p w14:paraId="017E3806" w14:textId="60443ED0" w:rsidR="00D171D6" w:rsidRPr="003609FB" w:rsidRDefault="001058D9" w:rsidP="006258AA">
      <w:pPr>
        <w:spacing w:line="360" w:lineRule="auto"/>
        <w:rPr>
          <w:rFonts w:ascii="Times New Roman" w:hAnsi="Times New Roman" w:cs="Times New Roman"/>
          <w:sz w:val="24"/>
          <w:szCs w:val="24"/>
        </w:rPr>
      </w:pPr>
      <w:r w:rsidRPr="003609FB">
        <w:rPr>
          <w:rFonts w:ascii="Times New Roman" w:hAnsi="Times New Roman" w:cs="Times New Roman"/>
          <w:sz w:val="24"/>
          <w:szCs w:val="24"/>
        </w:rPr>
        <w:t>Author contribution statements: Written and edited by D</w:t>
      </w:r>
      <w:r w:rsidR="00640FB6" w:rsidRPr="003609FB">
        <w:rPr>
          <w:rFonts w:ascii="Times New Roman" w:hAnsi="Times New Roman" w:cs="Times New Roman"/>
          <w:sz w:val="24"/>
          <w:szCs w:val="24"/>
        </w:rPr>
        <w:t>.</w:t>
      </w:r>
      <w:r w:rsidRPr="003609FB">
        <w:rPr>
          <w:rFonts w:ascii="Times New Roman" w:hAnsi="Times New Roman" w:cs="Times New Roman"/>
          <w:sz w:val="24"/>
          <w:szCs w:val="24"/>
        </w:rPr>
        <w:t>K</w:t>
      </w:r>
      <w:r w:rsidR="00640FB6" w:rsidRPr="003609FB">
        <w:rPr>
          <w:rFonts w:ascii="Times New Roman" w:hAnsi="Times New Roman" w:cs="Times New Roman"/>
          <w:sz w:val="24"/>
          <w:szCs w:val="24"/>
        </w:rPr>
        <w:t>.</w:t>
      </w:r>
      <w:r w:rsidRPr="003609FB">
        <w:rPr>
          <w:rFonts w:ascii="Times New Roman" w:hAnsi="Times New Roman" w:cs="Times New Roman"/>
          <w:sz w:val="24"/>
          <w:szCs w:val="24"/>
        </w:rPr>
        <w:t>M</w:t>
      </w:r>
      <w:r w:rsidR="00640FB6" w:rsidRPr="003609FB">
        <w:rPr>
          <w:rFonts w:ascii="Times New Roman" w:hAnsi="Times New Roman" w:cs="Times New Roman"/>
          <w:sz w:val="24"/>
          <w:szCs w:val="24"/>
        </w:rPr>
        <w:t>.</w:t>
      </w:r>
      <w:r w:rsidR="00EC5227" w:rsidRPr="003609FB">
        <w:rPr>
          <w:rFonts w:ascii="Times New Roman" w:hAnsi="Times New Roman" w:cs="Times New Roman"/>
          <w:sz w:val="24"/>
          <w:szCs w:val="24"/>
        </w:rPr>
        <w:t xml:space="preserve">, M.A.G., and </w:t>
      </w:r>
      <w:r w:rsidRPr="003609FB">
        <w:rPr>
          <w:rFonts w:ascii="Times New Roman" w:hAnsi="Times New Roman" w:cs="Times New Roman"/>
          <w:sz w:val="24"/>
          <w:szCs w:val="24"/>
        </w:rPr>
        <w:t>D</w:t>
      </w:r>
      <w:r w:rsidR="00640FB6" w:rsidRPr="003609FB">
        <w:rPr>
          <w:rFonts w:ascii="Times New Roman" w:hAnsi="Times New Roman" w:cs="Times New Roman"/>
          <w:sz w:val="24"/>
          <w:szCs w:val="24"/>
        </w:rPr>
        <w:t>.</w:t>
      </w:r>
      <w:r w:rsidRPr="003609FB">
        <w:rPr>
          <w:rFonts w:ascii="Times New Roman" w:hAnsi="Times New Roman" w:cs="Times New Roman"/>
          <w:sz w:val="24"/>
          <w:szCs w:val="24"/>
        </w:rPr>
        <w:t>T</w:t>
      </w:r>
      <w:r w:rsidR="00640FB6" w:rsidRPr="003609FB">
        <w:rPr>
          <w:rFonts w:ascii="Times New Roman" w:hAnsi="Times New Roman" w:cs="Times New Roman"/>
          <w:sz w:val="24"/>
          <w:szCs w:val="24"/>
        </w:rPr>
        <w:t>.</w:t>
      </w:r>
      <w:r w:rsidRPr="003609FB">
        <w:rPr>
          <w:rFonts w:ascii="Times New Roman" w:hAnsi="Times New Roman" w:cs="Times New Roman"/>
          <w:sz w:val="24"/>
          <w:szCs w:val="24"/>
        </w:rPr>
        <w:t xml:space="preserve"> with feedback</w:t>
      </w:r>
      <w:r w:rsidR="00EC5227" w:rsidRPr="003609FB">
        <w:rPr>
          <w:rFonts w:ascii="Times New Roman" w:hAnsi="Times New Roman" w:cs="Times New Roman"/>
          <w:sz w:val="24"/>
          <w:szCs w:val="24"/>
        </w:rPr>
        <w:t xml:space="preserve"> from</w:t>
      </w:r>
      <w:r w:rsidR="00B009F8" w:rsidRPr="003609FB">
        <w:rPr>
          <w:rFonts w:ascii="Times New Roman" w:hAnsi="Times New Roman" w:cs="Times New Roman"/>
          <w:sz w:val="24"/>
          <w:szCs w:val="24"/>
        </w:rPr>
        <w:t xml:space="preserve"> </w:t>
      </w:r>
      <w:r w:rsidRPr="003609FB">
        <w:rPr>
          <w:rFonts w:ascii="Times New Roman" w:hAnsi="Times New Roman" w:cs="Times New Roman"/>
          <w:sz w:val="24"/>
          <w:szCs w:val="24"/>
        </w:rPr>
        <w:t>E</w:t>
      </w:r>
      <w:r w:rsidR="00B009F8" w:rsidRPr="003609FB">
        <w:rPr>
          <w:rFonts w:ascii="Times New Roman" w:hAnsi="Times New Roman" w:cs="Times New Roman"/>
          <w:sz w:val="24"/>
          <w:szCs w:val="24"/>
        </w:rPr>
        <w:t>.R.</w:t>
      </w:r>
      <w:r w:rsidRPr="003609FB">
        <w:rPr>
          <w:rFonts w:ascii="Times New Roman" w:hAnsi="Times New Roman" w:cs="Times New Roman"/>
          <w:sz w:val="24"/>
          <w:szCs w:val="24"/>
        </w:rPr>
        <w:t>Z, and B</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C</w:t>
      </w:r>
      <w:r w:rsidR="00B009F8" w:rsidRPr="003609FB">
        <w:rPr>
          <w:rFonts w:ascii="Times New Roman" w:hAnsi="Times New Roman" w:cs="Times New Roman"/>
          <w:sz w:val="24"/>
          <w:szCs w:val="24"/>
        </w:rPr>
        <w:t>.</w:t>
      </w:r>
      <w:r w:rsidRPr="003609FB">
        <w:rPr>
          <w:rFonts w:ascii="Times New Roman" w:hAnsi="Times New Roman" w:cs="Times New Roman"/>
          <w:sz w:val="24"/>
          <w:szCs w:val="24"/>
        </w:rPr>
        <w:t>C.</w:t>
      </w:r>
      <w:r w:rsidR="006258AA">
        <w:rPr>
          <w:rFonts w:ascii="Times New Roman" w:hAnsi="Times New Roman" w:cs="Times New Roman"/>
          <w:sz w:val="24"/>
          <w:szCs w:val="24"/>
        </w:rPr>
        <w:t xml:space="preserve"> </w:t>
      </w:r>
      <w:r w:rsidR="00D171D6" w:rsidRPr="003609FB">
        <w:rPr>
          <w:rFonts w:ascii="Times New Roman" w:hAnsi="Times New Roman" w:cs="Times New Roman"/>
          <w:sz w:val="24"/>
          <w:szCs w:val="24"/>
        </w:rPr>
        <w:t>Experiments were designed by B.C.C., E.B., and E.R.Z.; experiments were performed by B.C.C. and E.B.</w:t>
      </w:r>
    </w:p>
    <w:p w14:paraId="3EE6D48A" w14:textId="62E02401" w:rsidR="001F7278" w:rsidRPr="003609FB" w:rsidRDefault="001F7278" w:rsidP="00AB2160">
      <w:pPr>
        <w:spacing w:line="360" w:lineRule="auto"/>
        <w:rPr>
          <w:rFonts w:ascii="Times New Roman" w:hAnsi="Times New Roman" w:cs="Times New Roman"/>
          <w:sz w:val="24"/>
          <w:szCs w:val="24"/>
        </w:rPr>
      </w:pPr>
    </w:p>
    <w:p w14:paraId="4BD2298E" w14:textId="43E93DDD" w:rsidR="00625953" w:rsidRPr="003609FB" w:rsidRDefault="00625953" w:rsidP="00AB2160">
      <w:pPr>
        <w:spacing w:line="360" w:lineRule="auto"/>
        <w:rPr>
          <w:rFonts w:ascii="Times New Roman" w:hAnsi="Times New Roman" w:cs="Times New Roman"/>
          <w:sz w:val="24"/>
          <w:szCs w:val="24"/>
        </w:rPr>
      </w:pPr>
    </w:p>
    <w:p w14:paraId="65F7264B" w14:textId="5584F15F" w:rsidR="008C6B01" w:rsidRPr="003609FB" w:rsidRDefault="008C6B01" w:rsidP="00AB2160">
      <w:pPr>
        <w:spacing w:line="360" w:lineRule="auto"/>
        <w:rPr>
          <w:rFonts w:ascii="Times New Roman" w:hAnsi="Times New Roman" w:cs="Times New Roman"/>
          <w:sz w:val="24"/>
          <w:szCs w:val="24"/>
        </w:rPr>
      </w:pPr>
    </w:p>
    <w:p w14:paraId="682CB974" w14:textId="66C9282C" w:rsidR="008C6B01" w:rsidRPr="003609FB" w:rsidRDefault="008C6B01" w:rsidP="00AB2160">
      <w:pPr>
        <w:spacing w:line="360" w:lineRule="auto"/>
        <w:rPr>
          <w:rFonts w:ascii="Times New Roman" w:hAnsi="Times New Roman" w:cs="Times New Roman"/>
          <w:sz w:val="24"/>
          <w:szCs w:val="24"/>
        </w:rPr>
      </w:pPr>
    </w:p>
    <w:p w14:paraId="4E170F07" w14:textId="42129E1B" w:rsidR="008C6B01" w:rsidRPr="003609FB" w:rsidRDefault="008C6B01" w:rsidP="00AB2160">
      <w:pPr>
        <w:spacing w:line="360" w:lineRule="auto"/>
        <w:rPr>
          <w:rFonts w:ascii="Times New Roman" w:hAnsi="Times New Roman" w:cs="Times New Roman"/>
          <w:sz w:val="24"/>
          <w:szCs w:val="24"/>
        </w:rPr>
      </w:pPr>
    </w:p>
    <w:p w14:paraId="5F483E62" w14:textId="07BEF1F5" w:rsidR="008C6B01" w:rsidRPr="003609FB" w:rsidRDefault="008C6B01" w:rsidP="00AB2160">
      <w:pPr>
        <w:spacing w:line="360" w:lineRule="auto"/>
        <w:rPr>
          <w:rFonts w:ascii="Times New Roman" w:hAnsi="Times New Roman" w:cs="Times New Roman"/>
          <w:sz w:val="24"/>
          <w:szCs w:val="24"/>
        </w:rPr>
      </w:pPr>
    </w:p>
    <w:p w14:paraId="4354F2FC" w14:textId="00AC5CD7" w:rsidR="008C6B01" w:rsidRPr="003609FB" w:rsidRDefault="008C6B01" w:rsidP="00AB2160">
      <w:pPr>
        <w:spacing w:line="360" w:lineRule="auto"/>
        <w:rPr>
          <w:rFonts w:ascii="Times New Roman" w:hAnsi="Times New Roman" w:cs="Times New Roman"/>
          <w:sz w:val="24"/>
          <w:szCs w:val="24"/>
        </w:rPr>
      </w:pPr>
    </w:p>
    <w:p w14:paraId="2D08C2F6" w14:textId="00392B49" w:rsidR="008C6B01" w:rsidRDefault="008C6B01" w:rsidP="00AB2160">
      <w:pPr>
        <w:spacing w:line="360" w:lineRule="auto"/>
        <w:rPr>
          <w:rFonts w:ascii="Times New Roman" w:hAnsi="Times New Roman" w:cs="Times New Roman"/>
          <w:sz w:val="24"/>
          <w:szCs w:val="24"/>
        </w:rPr>
      </w:pPr>
    </w:p>
    <w:p w14:paraId="2C3E37C2" w14:textId="69EDD5B5" w:rsidR="00182B51" w:rsidRDefault="00182B51" w:rsidP="00AB2160">
      <w:pPr>
        <w:spacing w:line="360" w:lineRule="auto"/>
        <w:rPr>
          <w:rFonts w:ascii="Times New Roman" w:hAnsi="Times New Roman" w:cs="Times New Roman"/>
          <w:sz w:val="24"/>
          <w:szCs w:val="24"/>
        </w:rPr>
      </w:pPr>
    </w:p>
    <w:p w14:paraId="642C6CE0" w14:textId="1759AB56" w:rsidR="00182B51" w:rsidRDefault="00182B51" w:rsidP="00AB2160">
      <w:pPr>
        <w:spacing w:line="360" w:lineRule="auto"/>
        <w:rPr>
          <w:rFonts w:ascii="Times New Roman" w:hAnsi="Times New Roman" w:cs="Times New Roman"/>
          <w:sz w:val="24"/>
          <w:szCs w:val="24"/>
        </w:rPr>
      </w:pPr>
    </w:p>
    <w:p w14:paraId="660ED38A" w14:textId="61D6320B" w:rsidR="00182B51" w:rsidRDefault="00182B51" w:rsidP="00AB2160">
      <w:pPr>
        <w:spacing w:line="360" w:lineRule="auto"/>
        <w:rPr>
          <w:rFonts w:ascii="Times New Roman" w:hAnsi="Times New Roman" w:cs="Times New Roman"/>
          <w:sz w:val="24"/>
          <w:szCs w:val="24"/>
        </w:rPr>
      </w:pPr>
    </w:p>
    <w:p w14:paraId="714AB2D3" w14:textId="59BB38E5" w:rsidR="00182B51" w:rsidRDefault="00182B51" w:rsidP="00AB2160">
      <w:pPr>
        <w:spacing w:line="360" w:lineRule="auto"/>
        <w:rPr>
          <w:rFonts w:ascii="Times New Roman" w:hAnsi="Times New Roman" w:cs="Times New Roman"/>
          <w:sz w:val="24"/>
          <w:szCs w:val="24"/>
        </w:rPr>
      </w:pPr>
    </w:p>
    <w:p w14:paraId="003EBCA8" w14:textId="77777777" w:rsidR="00206342" w:rsidRDefault="00206342" w:rsidP="00AB2160">
      <w:pPr>
        <w:spacing w:line="360" w:lineRule="auto"/>
        <w:rPr>
          <w:rFonts w:ascii="Times New Roman" w:hAnsi="Times New Roman" w:cs="Times New Roman"/>
          <w:sz w:val="24"/>
          <w:szCs w:val="24"/>
        </w:rPr>
      </w:pPr>
    </w:p>
    <w:p w14:paraId="21462CC8" w14:textId="77777777" w:rsidR="00CB79D8" w:rsidRDefault="00CB79D8" w:rsidP="00AB2160">
      <w:pPr>
        <w:spacing w:line="360" w:lineRule="auto"/>
        <w:rPr>
          <w:rFonts w:ascii="Times New Roman" w:hAnsi="Times New Roman" w:cs="Times New Roman"/>
          <w:sz w:val="24"/>
          <w:szCs w:val="24"/>
        </w:rPr>
      </w:pPr>
    </w:p>
    <w:p w14:paraId="2FE73FF0" w14:textId="77777777" w:rsidR="002F6825" w:rsidRPr="003609FB" w:rsidRDefault="002F6825" w:rsidP="00AB2160">
      <w:pPr>
        <w:spacing w:line="360" w:lineRule="auto"/>
        <w:rPr>
          <w:rFonts w:ascii="Times New Roman" w:hAnsi="Times New Roman" w:cs="Times New Roman"/>
          <w:sz w:val="24"/>
          <w:szCs w:val="24"/>
        </w:rPr>
      </w:pPr>
    </w:p>
    <w:p w14:paraId="1AA4E457" w14:textId="15AB4821" w:rsidR="005E185F" w:rsidRPr="00F17DAA" w:rsidRDefault="005E185F" w:rsidP="00AB2160">
      <w:pPr>
        <w:pStyle w:val="Heading2"/>
        <w:spacing w:line="360" w:lineRule="auto"/>
      </w:pPr>
      <w:bookmarkStart w:id="10" w:name="_Toc173250014"/>
      <w:r w:rsidRPr="003609FB">
        <w:lastRenderedPageBreak/>
        <w:t>Abstract</w:t>
      </w:r>
      <w:bookmarkEnd w:id="10"/>
    </w:p>
    <w:p w14:paraId="2E7324CF" w14:textId="2576F4ED" w:rsidR="005E185F" w:rsidRPr="003609FB" w:rsidRDefault="00691B65" w:rsidP="00AB2160">
      <w:pPr>
        <w:spacing w:line="360" w:lineRule="auto"/>
        <w:ind w:firstLine="720"/>
        <w:rPr>
          <w:rFonts w:ascii="Times New Roman" w:hAnsi="Times New Roman" w:cs="Times New Roman"/>
          <w:sz w:val="24"/>
          <w:szCs w:val="24"/>
        </w:rPr>
      </w:pPr>
      <w:r w:rsidRPr="00691B65">
        <w:rPr>
          <w:rFonts w:ascii="Times New Roman" w:hAnsi="Times New Roman" w:cs="Times New Roman"/>
          <w:i/>
          <w:iCs/>
          <w:sz w:val="24"/>
          <w:szCs w:val="24"/>
        </w:rPr>
        <w:t>Prochlorococcus</w:t>
      </w:r>
      <w:r w:rsidR="005E185F" w:rsidRPr="003609FB">
        <w:rPr>
          <w:rFonts w:ascii="Times New Roman" w:hAnsi="Times New Roman" w:cs="Times New Roman"/>
          <w:sz w:val="24"/>
          <w:szCs w:val="24"/>
        </w:rPr>
        <w:t>, the smallest and most numerous phytoplankter of the oligotrophic surface ocean, requires coexisting ‘helper’ microbes to detoxify hydrogen peroxide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produced in the surface ocean. In this </w:t>
      </w:r>
      <w:r w:rsidR="00941AE4">
        <w:rPr>
          <w:rFonts w:ascii="Times New Roman" w:hAnsi="Times New Roman" w:cs="Times New Roman"/>
          <w:sz w:val="24"/>
          <w:szCs w:val="24"/>
        </w:rPr>
        <w:t>chapter</w:t>
      </w:r>
      <w:r w:rsidR="00EF68D4">
        <w:rPr>
          <w:rFonts w:ascii="Times New Roman" w:hAnsi="Times New Roman" w:cs="Times New Roman"/>
          <w:sz w:val="24"/>
          <w:szCs w:val="24"/>
        </w:rPr>
        <w:t>,</w:t>
      </w:r>
      <w:r w:rsidR="005E185F" w:rsidRPr="003609FB">
        <w:rPr>
          <w:rFonts w:ascii="Times New Roman" w:hAnsi="Times New Roman" w:cs="Times New Roman"/>
          <w:sz w:val="24"/>
          <w:szCs w:val="24"/>
        </w:rPr>
        <w:t xml:space="preserve"> we present coupled ordinary differential equation models of the dynamics of multiple oligotrophic plankton grown in different levels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We evaluate and fit our model to monoculture time series data of peroxide-sensitive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and peroxide-resistant </w:t>
      </w:r>
      <w:proofErr w:type="spellStart"/>
      <w:r w:rsidRPr="00691B65">
        <w:rPr>
          <w:rFonts w:ascii="Times New Roman" w:hAnsi="Times New Roman" w:cs="Times New Roman"/>
          <w:i/>
          <w:iCs/>
          <w:sz w:val="24"/>
          <w:szCs w:val="24"/>
        </w:rPr>
        <w:t>Synechococcus</w:t>
      </w:r>
      <w:proofErr w:type="spellEnd"/>
      <w:r w:rsidR="005E185F" w:rsidRPr="003609FB">
        <w:rPr>
          <w:rFonts w:ascii="Times New Roman" w:hAnsi="Times New Roman" w:cs="Times New Roman"/>
          <w:sz w:val="24"/>
          <w:szCs w:val="24"/>
        </w:rPr>
        <w:t xml:space="preserve"> and bacteria. Our fits provide estimates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cell damage and detoxification rates in these ecologically dominant microbes. Our results indicate that catalase containing microbes, like </w:t>
      </w:r>
      <w:proofErr w:type="spellStart"/>
      <w:r w:rsidRPr="00691B65">
        <w:rPr>
          <w:rFonts w:ascii="Times New Roman" w:hAnsi="Times New Roman" w:cs="Times New Roman"/>
          <w:i/>
          <w:iCs/>
          <w:sz w:val="24"/>
          <w:szCs w:val="24"/>
        </w:rPr>
        <w:t>Synechococcus</w:t>
      </w:r>
      <w:proofErr w:type="spellEnd"/>
      <w:r w:rsidR="005E185F" w:rsidRPr="003609FB">
        <w:rPr>
          <w:rFonts w:ascii="Times New Roman" w:hAnsi="Times New Roman" w:cs="Times New Roman"/>
          <w:sz w:val="24"/>
          <w:szCs w:val="24"/>
        </w:rPr>
        <w:t xml:space="preserve"> and</w:t>
      </w:r>
      <w:r w:rsidR="006038AB">
        <w:rPr>
          <w:rFonts w:ascii="Times New Roman" w:hAnsi="Times New Roman" w:cs="Times New Roman"/>
          <w:sz w:val="24"/>
          <w:szCs w:val="24"/>
        </w:rPr>
        <w:t xml:space="preserve"> </w:t>
      </w:r>
      <w:r w:rsidR="005E185F" w:rsidRPr="003609FB">
        <w:rPr>
          <w:rFonts w:ascii="Times New Roman" w:hAnsi="Times New Roman" w:cs="Times New Roman"/>
          <w:sz w:val="24"/>
          <w:szCs w:val="24"/>
        </w:rPr>
        <w:t>known heterotroph helpers</w:t>
      </w:r>
      <w:r w:rsidR="006038AB">
        <w:rPr>
          <w:rFonts w:ascii="Times New Roman" w:hAnsi="Times New Roman" w:cs="Times New Roman"/>
          <w:sz w:val="24"/>
          <w:szCs w:val="24"/>
        </w:rPr>
        <w:t xml:space="preserve"> (</w:t>
      </w:r>
      <w:proofErr w:type="spellStart"/>
      <w:r w:rsidR="006038AB" w:rsidRPr="006038AB">
        <w:rPr>
          <w:rFonts w:ascii="Times" w:hAnsi="Times" w:cs="Times New Roman"/>
          <w:i/>
          <w:iCs/>
          <w:color w:val="000000" w:themeColor="text1"/>
          <w:sz w:val="24"/>
          <w:szCs w:val="24"/>
        </w:rPr>
        <w:t>Alteromonas</w:t>
      </w:r>
      <w:proofErr w:type="spellEnd"/>
      <w:r w:rsidR="006038AB">
        <w:rPr>
          <w:rFonts w:ascii="Times New Roman" w:hAnsi="Times New Roman" w:cs="Times New Roman"/>
          <w:sz w:val="24"/>
          <w:szCs w:val="24"/>
        </w:rPr>
        <w:t>)</w:t>
      </w:r>
      <w:r w:rsidR="005E185F" w:rsidRPr="003609FB">
        <w:rPr>
          <w:rFonts w:ascii="Times New Roman" w:hAnsi="Times New Roman" w:cs="Times New Roman"/>
          <w:sz w:val="24"/>
          <w:szCs w:val="24"/>
        </w:rPr>
        <w:t xml:space="preserve">, have high rates of detoxification and low rates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mediated cell death</w:t>
      </w:r>
      <w:r w:rsidR="001E6072">
        <w:rPr>
          <w:rFonts w:ascii="Times New Roman" w:hAnsi="Times New Roman" w:cs="Times New Roman"/>
          <w:sz w:val="24"/>
          <w:szCs w:val="24"/>
        </w:rPr>
        <w:t>.</w:t>
      </w:r>
      <w:r w:rsidR="005E185F" w:rsidRPr="003609FB">
        <w:rPr>
          <w:rFonts w:ascii="Times New Roman" w:hAnsi="Times New Roman" w:cs="Times New Roman"/>
          <w:sz w:val="24"/>
          <w:szCs w:val="24"/>
        </w:rPr>
        <w:t xml:space="preserve"> In contrast, the catalase-negative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has high rates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mediated cell death and low rates of cell-specific detoxification. Our results quantify the possible trade-off between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detoxification and cell death due to the presence of detoxifying enzymes. </w:t>
      </w:r>
      <w:r w:rsidR="00DD7621">
        <w:rPr>
          <w:rFonts w:ascii="Times New Roman" w:hAnsi="Times New Roman" w:cs="Times New Roman"/>
          <w:sz w:val="24"/>
          <w:szCs w:val="24"/>
        </w:rPr>
        <w:t>The</w:t>
      </w:r>
      <w:r w:rsidR="005E185F" w:rsidRPr="003609FB">
        <w:rPr>
          <w:rFonts w:ascii="Times New Roman" w:hAnsi="Times New Roman" w:cs="Times New Roman"/>
          <w:sz w:val="24"/>
          <w:szCs w:val="24"/>
        </w:rPr>
        <w:t xml:space="preserve"> use of differential equation models to quantify parameters underlying microbe-</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dynamics provides a basis for ecosystem models to explore the impact of reactive oxygen species on cell mortality and microbial community composition.</w:t>
      </w:r>
    </w:p>
    <w:p w14:paraId="51F4253D" w14:textId="7B29FD97" w:rsidR="005E185F" w:rsidRPr="00F17DAA" w:rsidRDefault="005E185F" w:rsidP="00AB2160">
      <w:pPr>
        <w:pStyle w:val="Heading2"/>
        <w:spacing w:line="360" w:lineRule="auto"/>
      </w:pPr>
      <w:bookmarkStart w:id="11" w:name="_Toc173250015"/>
      <w:r w:rsidRPr="00854015">
        <w:t>Introduction</w:t>
      </w:r>
      <w:bookmarkEnd w:id="11"/>
      <w:r w:rsidRPr="00854015">
        <w:t xml:space="preserve">  </w:t>
      </w:r>
    </w:p>
    <w:p w14:paraId="5C92E573" w14:textId="52251A6C" w:rsidR="00537E28" w:rsidRPr="003609FB" w:rsidRDefault="005E185F"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Oceans cover 70% of the earth</w:t>
      </w:r>
      <w:r w:rsidR="00D82F5D">
        <w:rPr>
          <w:rFonts w:ascii="Times New Roman" w:hAnsi="Times New Roman" w:cs="Times New Roman"/>
          <w:sz w:val="24"/>
          <w:szCs w:val="24"/>
        </w:rPr>
        <w:t xml:space="preserve"> </w:t>
      </w:r>
      <w:r w:rsidR="00D82F5D" w:rsidRPr="003609FB">
        <w:rPr>
          <w:rFonts w:ascii="Times New Roman" w:hAnsi="Times New Roman" w:cs="Times New Roman"/>
          <w:sz w:val="24"/>
          <w:szCs w:val="24"/>
        </w:rPr>
        <w:t>and</w:t>
      </w:r>
      <w:r w:rsidRPr="003609FB">
        <w:rPr>
          <w:rFonts w:ascii="Times New Roman" w:hAnsi="Times New Roman" w:cs="Times New Roman"/>
          <w:sz w:val="24"/>
          <w:szCs w:val="24"/>
        </w:rPr>
        <w:t xml:space="preserve"> </w:t>
      </w:r>
      <w:r w:rsidR="00E6594D"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{"citationID":"GSp5V3sJ","properties":{"formattedCitation":"(Raven and Falkowski 1999)","plainCitation":"(Raven and Falkowski 1999)","noteIndex":0},"citationItems":[{"id":1521,"uris":["http://zotero.org/users/6128296/items/4A2ABMGD"],"itemData":{"id":1521,"type":"article-journal","abstract":"There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G."}],"issued":{"date-parts":[["1999",6]]}}}],"schema":"https://github.com/citation-style-language/schema/raw/master/csl-citation.json"} </w:instrText>
      </w:r>
      <w:r w:rsidR="00E6594D"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(Raven and Falkowski 1999)</w:t>
      </w:r>
      <w:r w:rsidR="00E6594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outside the inputs of coastal and cold water upwelling inputs </w:t>
      </w:r>
      <w:r w:rsidR="00E6594D"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{"citationID":"88ItUZE3","properties":{"formattedCitation":"(Field 1998; Bristow et al. 2017)","plainCitation":"(Field 1998; Bristow et al. 2017)","noteIndex":0},"citationItems":[{"id":1135,"uris":["http://zotero.org/users/6128296/items/C5KCL4KW"],"itemData":{"id":1135,"type":"article-journal","abstract":"Integrating conceptually similar models of the growth of marine and terrestrial primary producers yielded an estimated global net primary production (NPP) of 104.9 petagrams of carbon per year, with roughly equal contributions from land and oceans. Approaches based on satellite indices of absorbed solar radiation indicate marked heterogeneity in NPP for both land and oceans, reØecting the inØuence of physical and ecological processes. The spatial and temporal distributions of ocean NPP are consistent with primary limitation by light, nutrients, and temperature. On land, water limitation imposes additional constraints. On land and ocean, progressive changes in NPP can result in altered carbon storage, although contrasts in mechanisms of carbon storage and rates of organic matter turnover result in a range of relations between carbon storage and changes in NPP.","container-title":"Science","DOI":"10.1126/science.281.5374.237","issue":"5374","language":"en","page":"237-240","source":"DOI.org (Crossref)","title":"Primary Production of the Biosphere: Integrating Terrestrial and Oceanic Components","title-short":"Primary Production of the Biosphere","volume":"281","author":[{"family":"Field","given":""}],"issued":{"date-parts":[["1998",7,10]]}}},{"id":1672,"uris":["http://zotero.org/users/6128296/items/VLJ2EQFT"],"itemData":{"id":1672,"type":"article-journal","abstract":"Phytoplankton form the basis of the marine food web and are responsible for approximately half of global carbon dioxide (CO2) fixation (~ 50 Pg of carbon per year). Thus, these microscopic, photosynthetic organisms are vital in controlling the atmospheric CO2 concentration and Earth’s climate. Phytoplankton are dependent on sunlight and their CO2-fixation activity is therefore restricted to the upper, sunlit surface ocean (that is, the euphotic zone). CO2 usually does not limit phytoplankton growth due to its high concentration in seawater. However, the vast majority of oceanic surface waters are depleted in inorganic nitrogen, phosphorus, iron and/or silica; nutrients that limit primary production in the ocean (Figure 1). Phytoplankton growth is mainly supported by either the recycling of nutrients or by reintroduction of nutrients from deeper waters by mixing. A small percentage of primary production, though, is fueled by ‘external’ or ‘new’ nutrients and it is these nutrients that determine the amount of carbon that can be sequestered long term in the deep ocean. For most nutrients such as phosphorus, iron, and silica, the external supply is limited to atmospheric deposition and/or coastal and riverine inputs, whereas their main sink is the sedimentation of particulate matter. Nitrogen, however, has an additional, biological source, the fixation of N2 gas, as well as biological sinks via the processes of denitrification and anammox.","container-title":"Current Biology","DOI":"10.1016/j.cub.2017.03.030","ISSN":"09609822","issue":"11","journalAbbreviation":"Current Biology","language":"en","page":"R474-R478","source":"DOI.org (Crossref)","title":"Nutrients that limit growth in the ocean","volume":"27","author":[{"family":"Bristow","given":""},{"family":"Mohr","given":"Wiebke"},{"family":"Ahmerkamp","given":"Soeren"},{"family":"Kuypers","given":"Marcel M.M."}],"issued":{"date-parts":[["2017",6]]}}}],"schema":"https://github.com/citation-style-language/schema/raw/master/csl-citation.json"} </w:instrText>
      </w:r>
      <w:r w:rsidR="00E6594D"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(Field 1998; Bristow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w:t>
      </w:r>
      <w:r w:rsidR="00E6594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are largely composed of nitrogen limited ‘nutrient deserts’</w:t>
      </w:r>
      <w:r w:rsidR="000B1AE2" w:rsidRPr="003609FB">
        <w:rPr>
          <w:rFonts w:ascii="Times New Roman" w:hAnsi="Times New Roman" w:cs="Times New Roman"/>
          <w:sz w:val="24"/>
          <w:szCs w:val="24"/>
        </w:rPr>
        <w:t xml:space="preserve"> </w:t>
      </w:r>
      <w:r w:rsidR="000B1AE2" w:rsidRPr="003609FB">
        <w:rPr>
          <w:rFonts w:ascii="Times New Roman" w:hAnsi="Times New Roman" w:cs="Times New Roman"/>
          <w:sz w:val="24"/>
          <w:szCs w:val="24"/>
        </w:rPr>
        <w:fldChar w:fldCharType="begin"/>
      </w:r>
      <w:r w:rsidR="00A53B46">
        <w:rPr>
          <w:rFonts w:ascii="Times New Roman" w:hAnsi="Times New Roman" w:cs="Times New Roman"/>
          <w:sz w:val="24"/>
          <w:szCs w:val="24"/>
        </w:rPr>
        <w:instrText xml:space="preserve"> ADDIN ZOTERO_ITEM CSL_CITATION {"citationID":"MAFliDJi","properties":{"formattedCitation":"(Ustick 2022)","plainCitation":"(Ustick 2022)","noteIndex":0},"citationItems":[{"id":4665,"uris":["http://zotero.org/users/6128296/items/ZT3E24QU"],"itemData":{"id":4665,"type":"thesis","abstract":"Nutrient\tsupply\tregulates\tthe\tactivity\tof\tphytoplankton,\tbut\tthe\tglobal\tbiogeography\t of\tnutrient\tlimitation\tand\tco-limitation\tare\tpoorly\tunderstood.\tBottle\tincubation\t experiments\thave\trevealed\tpatterns\tof\tnutrient\tlimitation\tbut\thave\tlimited\tspatial\t coverage,\tand\tsurface\tnutrient\tconcentrations\tare\tbelow\tdetection\tlimits\tin\tmuch\tof\tthe\t oligotrophic\tocean.\tIn\tmy\tfirst\tchapter\tI\tused\tgenomic\tchanges\tas\tan\tindicator\tof\tadaptation\t to\tnutrient\tstress.\tWe\tcollected\t909\tsurface\tmetagenomes\tfrom\tthe\tAtlantic,\tPacific,\tand\t Indian\tOcean,\tquantified\tthe\tglobal\tgenome\tcontent\tof\tProchlorococcus\tand\tinferred\tlocal\t nutrient\tstress\tbased\ton\tshifts\tin\tnitrogen,\tphosphorus,\tand\tiron\tassimilation\tgenes.\tOur\t ‘omics-based\tdescription\tof\tphytoplankton\tresource\tuse\tprovided\ta\tnuanced\tand\thighly\t resolved\tquantification\tof\tnutrient\tstress\tin\tthe\tglobal\tocean.\t \t We\tsee\ta\tclear\tassociation\tbetween\tgenome\tcontent\tand\tnutrient\tlimitation,\t but\tthe\tunderlying\tpopulation\tgenetics\tof\tthese\tgenomic\tdifferences\tand\tthe\tmechanisms\t by\twhich\tthey\tarise\tare\tunknown.\tIn\tmy\tsecond\tchapter,\tI\tdescribed\tthe\tfunctional\t diversity\tfound\twithin\tProchlorococcus\tand\tcaptured\tthe\tlink\tbetween\tlow\tnutrient\n\nviii adaptation\tand\tphylogeography.\tI\tanalyzed\t630\tsurface\tocean\tmetagenomes\tand\tquantified\t global\tvariation\tin\tgene\tabundance,\tphylogeny,\tand\tgenomic\tstructure\tthrough\tconsensus\t marker\tgenes\tand\tmetagenomically\tassembled\tgenomes\t(MAGs).\tThe\tanalysis\tof\tfunctional\t diversity\tand\tphylogeography\trevealed\twidespread\tflexibility\tin\tgenomic\tcontent,\twith\ta\t phylogenetically\tconserved\thaplotype\tdriven\tby\tP\tlimitation.\t \t While\tomics-based\tanalysis\tcan\tgive\ta\tdetailed\trepresentation\tof\ta\tmicrobial\t community,\tthese\tmethods\tare\tspatially\tand\ttemporally\tlimited\tto\tthe\ttime\tand\tlocation\tof\t sampling.\tRemote\tsensing-based\tdescriptions\tof\tmicrobial\tnutrient\tlimitation\thave\tbeen\t proposed\tbut\thave\tnever\tbeen\tvalidated\tin\tsitu.\tFor\tmy\tthird\tchapter,\tI\tcombined\tremote\t sensing\tand\tmetagenomically\tderived\testimates\tof\tnutrient\tlimitation\tto\texpand\tboth\tthe\t temporal\tand\tspatial extent\tof\tour\tcharacterization of nutrient\tlimitation.\t Based on\tthis in situ\tvalidation\tof the remote sensing\tproducts\tI analyzed\tthe past 10\tyears of data and captured\tnovel seasonal variation and a recent reduction\tin global nutrient limitation.","event-place":"Irvine","publisher":"UNIVERSITY OF CALIFORNIA","publisher-place":"Irvine","title":"Global Analysis\tof Nutrient Limitation\tand Microdiversity of Prochlorococcus","author":[{"family":"Ustick","given":""}],"issued":{"date-parts":[["2022"]]}}}],"schema":"https://github.com/citation-style-language/schema/raw/master/csl-citation.json"} </w:instrText>
      </w:r>
      <w:r w:rsidR="000B1AE2"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(Ustick 2022)</w:t>
      </w:r>
      <w:r w:rsidR="000B1AE2" w:rsidRPr="003609FB">
        <w:rPr>
          <w:rFonts w:ascii="Times New Roman" w:hAnsi="Times New Roman" w:cs="Times New Roman"/>
          <w:sz w:val="24"/>
          <w:szCs w:val="24"/>
        </w:rPr>
        <w:fldChar w:fldCharType="end"/>
      </w:r>
      <w:r w:rsidR="000B1AE2" w:rsidRPr="003609FB">
        <w:rPr>
          <w:rFonts w:ascii="Times New Roman" w:hAnsi="Times New Roman" w:cs="Times New Roman"/>
          <w:sz w:val="24"/>
          <w:szCs w:val="24"/>
        </w:rPr>
        <w:t>.</w:t>
      </w:r>
      <w:r w:rsidR="00E6594D"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Two globally dominant genera of cyanobacteria,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0B1AE2" w:rsidRPr="003609FB">
        <w:rPr>
          <w:rFonts w:ascii="Times New Roman" w:hAnsi="Times New Roman" w:cs="Times New Roman"/>
          <w:sz w:val="24"/>
          <w:szCs w:val="24"/>
        </w:rPr>
        <w:t xml:space="preserve"> </w:t>
      </w:r>
      <w:r w:rsidR="000B1AE2"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{"citationID":"ItvtQMpf","properties":{"formattedCitation":"(Flombaum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0B1AE2"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0B1AE2"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perform ~50% of marine carbon fixation, serving as the basal step of the food chain </w:t>
      </w:r>
      <w:r w:rsidR="000B1AE2"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{"citationID":"sqEHj3Ti","properties":{"formattedCitation":"(Field 1998; Bristow et al. 2017; Follows and Dutkiewicz 2011)","plainCitation":"(Field 1998; Bristow et al. 2017; Follows and Dutkiewicz 2011)","noteIndex":0},"citationItems":[{"id":1135,"uris":["http://zotero.org/users/6128296/items/C5KCL4KW"],"itemData":{"id":1135,"type":"article-journal","abstract":"Integrating conceptually similar models of the growth of marine and terrestrial primary producers yielded an estimated global net primary production (NPP) of 104.9 petagrams of carbon per year, with roughly equal contributions from land and oceans. Approaches based on satellite indices of absorbed solar radiation indicate marked heterogeneity in NPP for both land and oceans, reØecting the inØuence of physical and ecological processes. The spatial and temporal distributions of ocean NPP are consistent with primary limitation by light, nutrients, and temperature. On land, water limitation imposes additional constraints. On land and ocean, progressive changes in NPP can result in altered carbon storage, although contrasts in mechanisms of carbon storage and rates of organic matter turnover result in a range of relations between carbon storage and changes in NPP.","container-title":"Science","DOI":"10.1126/science.281.5374.237","issue":"5374","language":"en","page":"237-240","source":"DOI.org (Crossref)","title":"Primary Production of the Biosphere: Integrating Terrestrial and Oceanic Components","title-short":"Primary Production of the Biosphere","volume":"281","author":[{"family":"Field","given":""}],"issued":{"date-parts":[["1998",7,10]]}}},{"id":1672,"uris":["http://zotero.org/users/6128296/items/VLJ2EQFT"],"itemData":{"id":1672,"type":"article-journal","abstract":"Phytoplankton form the basis of the marine food web and are responsible for approximately half of global carbon dioxide (CO2) fixation (~ 50 Pg of carbon per year). Thus, these microscopic, photosynthetic organisms are vital in controlling the atmospheric CO2 concentration and Earth’s climate. Phytoplankton are dependent on sunlight and their CO2-fixation activity is therefore restricted to the upper, sunlit surface ocean (that is, the euphotic zone). CO2 usually does not limit phytoplankton growth due to its high concentration in seawater. However, the vast majority of oceanic surface waters are depleted in inorganic nitrogen, phosphorus, iron and/or silica; nutrients that limit primary production in the ocean (Figure 1). Phytoplankton growth is mainly supported by either the recycling of nutrients or by reintroduction of nutrients from deeper waters by mixing. A small percentage of primary production, though, is fueled by ‘external’ or ‘new’ nutrients and it is these nutrients that determine the amount of carbon that can be sequestered long term in the deep ocean. For most nutrients such as phosphorus, iron, and silica, the external supply is limited to atmospheric deposition and/or coastal and riverine inputs, whereas their main sink is the sedimentation of particulate matter. Nitrogen, however, has an additional, biological source, the fixation of N2 gas, as well as biological sinks via the processes of denitrification and anammox.","container-title":"Current Biology","DOI":"10.1016/j.cub.2017.03.030","ISSN":"09609822","issue":"11","journalAbbreviation":"Current Biology","language":"en","page":"R474-R478","source":"DOI.org (Crossref)","title":"Nutrients that limit growth in the ocean","volume":"27","author":[{"family":"Bristow","given":""},{"family":"Mohr","given":"Wiebke"},{"family":"Ahmerkamp","given":"Soeren"},{"family":"Kuypers","given":"Marcel M.M."}],"issued":{"date-parts":[["2017",6]]}}},{"id":199,"uris":["http://zotero.org/users/6128296/items/E4NTIY5C"],"itemData":{"id":199,"type":"article-journal","abstract":"Biogeochemical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Microbes","volume":"3","author":[{"family":"Follows","given":""},{"family":"Dutkiewicz","given":"Stephanie"}],"issued":{"date-parts":[["2011",1,15]]}}}],"schema":"https://github.com/citation-style-language/schema/raw/master/csl-citation.json"} </w:instrText>
      </w:r>
      <w:r w:rsidR="000B1AE2"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(Field 1998; Bristow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 Follows and Dutkiewicz 2011)</w:t>
      </w:r>
      <w:r w:rsidR="000B1AE2"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is the most numerous phytoplankter gen</w:t>
      </w:r>
      <w:r w:rsidR="006753E2">
        <w:rPr>
          <w:rFonts w:ascii="Times New Roman" w:hAnsi="Times New Roman" w:cs="Times New Roman"/>
          <w:sz w:val="24"/>
          <w:szCs w:val="24"/>
        </w:rPr>
        <w:t>us</w:t>
      </w:r>
      <w:r w:rsidRPr="003609FB">
        <w:rPr>
          <w:rFonts w:ascii="Times New Roman" w:hAnsi="Times New Roman" w:cs="Times New Roman"/>
          <w:sz w:val="24"/>
          <w:szCs w:val="24"/>
        </w:rPr>
        <w:t xml:space="preserve"> of the ocean </w:t>
      </w:r>
      <w:r w:rsidR="000B1AE2"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{"citationID":"wFslbBhu","properties":{"formattedCitation":"(Kent et al. 2016; Zinser et al. 2006; Biller, Berube, et al. 2018; Berube et al. 2018; Johnson 2006; Zinser and Martiny 2023)","plainCitation":"(Kent et al. 2016; Zinser et al. 2006; Biller, Berube, et al. 2018; Berube et al. 2018; Johnson 2006; Zinser and Martiny 2023)","noteIndex":0},"citationItems":[{"id":4668,"uris":["http://zotero.org/users/6128296/items/RLZWTZ9L"],"itemData":{"id":4668,"type":"article-journal","abstract":"Abstract\n            Prochlorococcus, the smallest known photosynthetic bacterium, is abundant in the ocean’s surface layer despite large variation in environmental conditions. There are several genetically divergent lineages within Prochlorococcus and superimposed on this phylogenetic diversity is extensive gene gain and loss. The environmental role in shaping the global ocean distribution of genome diversity in Prochlorococcus is largely unknown, particularly in a framework that considers the vertical and lateral mechanisms of evolution. Here we show that Prochlorococcus field populations from a global circumnavigation harbor extensive genome diversity across the surface ocean, but this diversity is not randomly distributed. We observed a significant correspondence between phylogenetic and gene content diversity, including regional differences in both phylogenetic composition and gene content that were related to environmental factors. Several gene families were strongly associated with specific regions and environmental factors, including the identification of a set of genes related to lower nutrient and temperature regions. Metagenomic assemblies of natural Prochlorococcus genomes reinforced this association by providing linkage of genes across genomic backbones. Overall, our results show that the phylogeography in Prochlorococcus taxonomy is echoed in its genome content. Thus environmental variation shapes the functional capabilities and associated ecosystem role of the globally abundant Prochlorococcus.","container-title":"The ISME Journal","DOI":"10.1038/ismej.2015.265","ISSN":"1751-7362, 1751-7370","issue":"8","language":"en","page":"1856-1865","source":"DOI.org (Crossref)","title":"Global biogeography of &lt;i&gt;Prochlorococcus&lt;/i&gt; genome diversity in the surface ocean","volume":"10","author":[{"family":"Kent","given":""},{"family":"Dupont","given":"Chris L"},{"family":"Yooseph","given":"Shibu"},{"family":"Martiny","given":"Adam C"}],"issued":{"date-parts":[["2016",8,1]]}}},{"id":1944,"uris":["http://zotero.org/users/6128296/items/NSJCG552"],"itemData":{"id":1944,"type":"article-journal","container-title":"Applied and Environmental Microbiology","DOI":"10.1128/AEM.72.1.723-732.2006","ISSN":"0099-2240","issue":"1","journalAbbreviation":"Applied and Environmental Microbiology","language":"en","page":"723-732","source":"DOI.org (Crossref)","title":"Prochlorococcus Ecotype Abundances in the North Atlantic Ocean As Revealed by an Improved Quantitative PCR Method","volume":"72","author":[{"family":"Zinser","given":""},{"family":"Coe","given":"A."},{"family":"Johnson","given":"Z. I."},{"family":"Martiny","given":"A. C."},{"family":"Fuller","given":"N. J."},{"family":"Scanlan","given":"D. J."},{"family":"Chisholm","given":"S. W."}],"issued":{"date-parts":[["2006",1,1]]}}},{"id":1775,"uris":["http://zotero.org/users/6128296/items/HT66CGZV"],"itemData":{"id":1775,"type":"article-journal","container-title":"Scientific Data","DOI":"10.1038/sdata.2018.176","ISSN":"2052-4463","issue":"1","journalAbbreviation":"Sci Data","language":"en","page":"180176","source":"DOI.org (Crossref)","title":"Marine microbial metagenomes sampled across space and time","volume":"5","author":[{"family":"Biller","given":""},{"family":"Berube","given":"Paul M."},{"family":"Dooley","given":"Keven"},{"family":"Williams","given":"Madeline"},{"family":"Satinsky","given":"Brandon M."},{"family":"Hackl","given":"Thomas"},{"family":"Hogle","given":"Shane L."},{"family":"Coe","given":"Allison"},{"family":"Bergauer","given":"Kristin"},{"family":"Bouman","given":"Heather A."},{"family":"Browning","given":"Thomas J."},{"family":"De Corte","given":"Daniele"},{"family":"Hassler","given":"Christel"},{"family":"Hulston","given":"Debbie"},{"family":"Jacquot","given":"Jeremy E."},{"family":"Maas","given":"Elizabeth W."},{"family":"Reinthaler","given":"Thomas"},{"family":"Sintes","given":"Eva"},{"family":"Yokokawa","given":"Taichi"},{"family":"Chisholm","given":"Sallie W."}],"issued":{"date-parts":[["2018",12]]}}},{"id":73,"uris":["http://zotero.org/users/6128296/items/7V52D87R"],"itemData":{"id":73,"type":"article-journal","abstract":"Prochlorococcus and Synechococcus are the dominant primary producers in marine ecosystems and perform a significant fraction of ocean carbon fixation. These cyanobacteria interact with a diverse microbial community that coexists with them. Comparative genomics of cultivated isolates has helped address questions regarding patterns of evolution and diversity among microbes, but the fraction that can be cultivated is miniscule compared to the diversity in the wild. To further probe the diversity of these groups and extend the utility of reference sequence databases, we report a data set of single cell genomes for 489 Prochlorococcus, 50 Synechococcus, 9 extracellular virus particles, and 190 additional microorganisms from a diverse range of bacterial, archaeal, and viral groups. Many of these uncultivated single cell genomes are derived from samples obtained on GEOTRACES cruises and at well-studied oceanographic stations, each with extensive suites of physical, chemical, and biological measurements. The genomic data reported here greatly increases the number of available Prochlorococcus genomes and will facilitate studies on evolutionary biology, microbial ecology, and biological oceanography.","container-title":"Scientific Data","DOI":"10.1038/sdata.2018.154","ISSN":"2052-4463","issue":"1","journalAbbreviation":"Sci Data","language":"en","page":"180154","source":"DOI.org (Crossref)","title":"Single cell genomes of Prochlorococcus, Synechococcus, and sympatric microbes from diverse marine environments","volume":"5","author":[{"family":"Berube","given":""},{"family":"Biller","given":"Steven J."},{"family":"Hackl","given":"Thomas"},{"family":"Hogle","given":"Shane L."},{"family":"Satinsky","given":"Brandon M."},{"family":"Becker","given":"Jamie W."},{"family":"Braakman","given":"Rogier"},{"family":"Collins","given":"Sara B."},{"family":"Kelly","given":"Libusha"},{"family":"Berta-Thompson","given":"Jessie"},{"family":"Coe","given":"Allison"},{"family":"Bergauer","given":"Kristin"},{"family":"Bouman","given":"Heather A."},{"family":"Browning","given":"Thomas J."},{"family":"De Corte","given":"Daniele"},{"family":"Hassler","given":"Christel"},{"family":"Hulata","given":"Yotam"},{"family":"Jacquot","given":"Jeremy E."},{"family":"Maas","given":"Elizabeth W."},{"family":"Reinthaler","given":"Thomas"},{"family":"Sintes","given":"Eva"},{"family":"Yokokawa","given":"Taichi"},{"family":"Lindell","given":"Debbie"},{"family":"Stepanauskas","given":"Ramunas"},{"family":"Chisholm","given":"Sallie W."}],"issued":{"date-parts":[["2018",12]]}}},{"id":98,"uris":["http://zotero.org/users/6128296/items/TMRNWUJU"],"itemData":{"id":98,"type":"article-journal","container-title":"Science","DOI":"10.1126/science.1118052","ISSN":"0036-8075, 1095-9203","issue":"5768","journalAbbreviation":"Science","language":"en","page":"1737-1740","source":"DOI.org (Crossref)","title":"Niche Partitioning Among Prochlorococcus Ecotypes Along Ocean-Scale Environmental Gradients","volume":"311","author":[{"family":"Johnson","given":""}],"issued":{"date-parts":[["2006",3,24]]}}},{"id":6667,"uris":["http://zotero.org/users/6128296/items/GNQZ58HZ"],"itemData":{"id":6667,"type":"chapter","abstract":"Abstract\n            \n              Pro.chlor.o.coc.cus. Gr. prep.\n              pro\n              , before, primitive; Gr. masc. adj. chlôros green; Gr. masc. n.\n              kokkos\n              , grain or kernel; N.L. masc. n.\n              Prochlorococcus\n              , primitive green kernel (cell).\n            \n            Cyanobacteriota / Cyanophyceae / “Synechococcales” / Synechococcaceae / Prochlorococcus\n            \n              The genus\n              Prochlorococcus\n              currently includes the species\n              Prochlorococcus marinus\n              . Cells are oxygenic photoautotrophs that lack phycobilisomes.\n              Prochlorococcus\n              is prototrophic, requiring no organic substrates for growth, altho</w:instrText>
      </w:r>
      <w:r w:rsidR="009D7443">
        <w:rPr>
          <w:rFonts w:ascii="Times New Roman" w:hAnsi="Times New Roman" w:cs="Times New Roman" w:hint="eastAsia"/>
          <w:sz w:val="24"/>
          <w:szCs w:val="24"/>
        </w:rPr>
        <w:instrText>ugh some strains can import several types of organic carbon. Cells do not fix dinitrogen. Cells are small non</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 xml:space="preserve">motile cocci that possess no known extracellular appendages. The major core lipids of cell membranes are sulfolipids and glycolipids.\n          </w:instrText>
      </w:r>
      <w:r w:rsidR="009D7443">
        <w:rPr>
          <w:rFonts w:ascii="Times New Roman" w:hAnsi="Times New Roman" w:cs="Times New Roman"/>
          <w:sz w:val="24"/>
          <w:szCs w:val="24"/>
        </w:rPr>
        <w:instrText xml:space="preserve">    Prochlorococcus\n              is strictly marine and numerically dominates the phytoplankton community in the oligotrophic region of the ocean.\n            \n            \n              DNA G + C content (mol%)\n              : 31–51.\n            \n            \n              Type species\n              :\n              Prochlorococcus marinus\n              Chisholm et al. 1992, VL79.","container-title":"Bergey's Manual of Systematics of Archaea and Bacteria","edition":"1","ISBN":"978-1-118-96060-8","language":"en","note":"DOI: 10.1002/9781118960608.gbm00420.pub2","page":"1-18","publisher":"Wiley","source":"DOI.org (Crossref)","title":"&lt;i&gt;Prochlorococcus&lt;/i&gt;","URL":"https://onlinelibrary.wiley.com/doi/10.1002/9781118960608.gbm00420.pub2","editor":[{"family":"Whitman","given":"William B."}],"author":[{"family":"Zinser","given":""},{"family":"Martiny","given":"Adam C."}],"accessed":{"date-parts":[["2024",4,23]]},"issued":{"date-parts":[["2023",10,30]]}}}],"schema":"https://github.com/citation-style-language/schema/raw/master/csl-citation.json"} </w:instrText>
      </w:r>
      <w:r w:rsidR="000B1AE2" w:rsidRPr="003609FB">
        <w:rPr>
          <w:rFonts w:ascii="Times New Roman" w:hAnsi="Times New Roman" w:cs="Times New Roman"/>
          <w:sz w:val="24"/>
          <w:szCs w:val="24"/>
        </w:rPr>
        <w:fldChar w:fldCharType="separate"/>
      </w:r>
      <w:r w:rsidR="00BF4898">
        <w:rPr>
          <w:rFonts w:ascii="Times New Roman" w:hAnsi="Times New Roman" w:cs="Times New Roman"/>
          <w:sz w:val="24"/>
          <w:szCs w:val="24"/>
        </w:rPr>
        <w:t xml:space="preserve">(Kent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2016; Zinser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2006; Biller, Berube,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xml:space="preserve">. 2018; Berube </w:t>
      </w:r>
      <w:r w:rsidR="00183222" w:rsidRPr="00183222">
        <w:rPr>
          <w:rFonts w:ascii="Times New Roman" w:hAnsi="Times New Roman" w:cs="Times New Roman"/>
          <w:i/>
          <w:iCs/>
          <w:sz w:val="24"/>
          <w:szCs w:val="24"/>
        </w:rPr>
        <w:t>et al</w:t>
      </w:r>
      <w:r w:rsidR="00BF4898">
        <w:rPr>
          <w:rFonts w:ascii="Times New Roman" w:hAnsi="Times New Roman" w:cs="Times New Roman"/>
          <w:sz w:val="24"/>
          <w:szCs w:val="24"/>
        </w:rPr>
        <w:t>. 2018; Johnson 2006; Zinser and Martiny 2023)</w:t>
      </w:r>
      <w:r w:rsidR="000B1AE2"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numerically dwarfs its sister genus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 nutrient deplete gyres </w:t>
      </w:r>
      <w:r w:rsidR="00DE78C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{"citationID":"LoABnjYk","properties":{"formattedCitation":"(Partensky et al. 1996)","plainCitation":"(Partensky et al. 1996)","noteIndex":0},"citationItems":[{"id":3476,"uris":["http://zotero.org/users/6128296/items/ISR39QQR"],"itemData":{"id":3476,"type":"article-journal","container-title":"Deep Sea Research Part I: Oceanographic Research Papers","DOI":"10.1016/0967-0637(96)00056-8","ISSN":"09670637","issue":"8","journalAbbreviation":"Deep Sea Research Part I: Oceanographic Research Papers","language":"en","page":"1191-1213","source":"DOI.org (Crossref)","title":"Vertical structure of picophytoplankton at different trophic sites of the tropical northeastern Atlantic Ocean","volume":"43","author":[{"family":"Partensky","given":""},{"family":"Blanchot","given":"Jean"},{"family":"Lantoine","given":"François"},{"family":"Neveux","given":"Jacques"},{"family":"Marie","given":"Dominique"}],"issued":{"date-parts":[["1996",8]]}}}],"schema":"https://github.com/citation-style-language/schema/raw/master/csl-citation.json"} </w:instrText>
      </w:r>
      <w:r w:rsidR="00DE78C7"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1996)</w:t>
      </w:r>
      <w:r w:rsidR="00DE78C7" w:rsidRPr="003609FB">
        <w:rPr>
          <w:rFonts w:ascii="Times New Roman" w:hAnsi="Times New Roman" w:cs="Times New Roman"/>
          <w:sz w:val="24"/>
          <w:szCs w:val="24"/>
        </w:rPr>
        <w:fldChar w:fldCharType="end"/>
      </w:r>
      <w:r w:rsidR="00DE78C7" w:rsidRPr="003609FB">
        <w:rPr>
          <w:rFonts w:ascii="Times New Roman" w:hAnsi="Times New Roman" w:cs="Times New Roman"/>
          <w:sz w:val="24"/>
          <w:szCs w:val="24"/>
        </w:rPr>
        <w:t xml:space="preserve">. </w:t>
      </w:r>
      <w:r w:rsidR="006D202E">
        <w:rPr>
          <w:rFonts w:ascii="Times New Roman" w:hAnsi="Times New Roman" w:cs="Times New Roman"/>
          <w:sz w:val="24"/>
          <w:szCs w:val="24"/>
        </w:rPr>
        <w:t>Predictions of f</w:t>
      </w:r>
      <w:r w:rsidRPr="003609FB">
        <w:rPr>
          <w:rFonts w:ascii="Times New Roman" w:hAnsi="Times New Roman" w:cs="Times New Roman"/>
          <w:sz w:val="24"/>
          <w:szCs w:val="24"/>
        </w:rPr>
        <w:t xml:space="preserve">uture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6D202E" w:rsidRPr="003609FB">
        <w:rPr>
          <w:rFonts w:ascii="Times New Roman" w:hAnsi="Times New Roman" w:cs="Times New Roman"/>
          <w:sz w:val="24"/>
          <w:szCs w:val="24"/>
        </w:rPr>
        <w:t>distributions</w:t>
      </w:r>
      <w:r w:rsidRPr="003609FB">
        <w:rPr>
          <w:rFonts w:ascii="Times New Roman" w:hAnsi="Times New Roman" w:cs="Times New Roman"/>
          <w:sz w:val="24"/>
          <w:szCs w:val="24"/>
        </w:rPr>
        <w:t xml:space="preserve"> </w:t>
      </w:r>
      <w:r w:rsidR="006D202E">
        <w:rPr>
          <w:rFonts w:ascii="Times New Roman" w:hAnsi="Times New Roman" w:cs="Times New Roman"/>
          <w:sz w:val="24"/>
          <w:szCs w:val="24"/>
        </w:rPr>
        <w:t>show</w:t>
      </w:r>
      <w:r w:rsidRPr="003609FB">
        <w:rPr>
          <w:rFonts w:ascii="Times New Roman" w:hAnsi="Times New Roman" w:cs="Times New Roman"/>
          <w:sz w:val="24"/>
          <w:szCs w:val="24"/>
        </w:rPr>
        <w:t xml:space="preserve"> numerical dominance</w:t>
      </w:r>
      <w:r w:rsidR="006D202E">
        <w:rPr>
          <w:rFonts w:ascii="Times New Roman" w:hAnsi="Times New Roman" w:cs="Times New Roman"/>
          <w:sz w:val="24"/>
          <w:szCs w:val="24"/>
        </w:rPr>
        <w:t xml:space="preserve"> </w:t>
      </w:r>
      <w:r w:rsidR="007B7835">
        <w:rPr>
          <w:rFonts w:ascii="Times New Roman" w:hAnsi="Times New Roman" w:cs="Times New Roman"/>
          <w:sz w:val="24"/>
          <w:szCs w:val="24"/>
        </w:rPr>
        <w:t xml:space="preserve">of </w:t>
      </w:r>
      <w:r w:rsidR="007B7835" w:rsidRPr="007B7835">
        <w:rPr>
          <w:rFonts w:ascii="Times" w:hAnsi="Times" w:cs="Times New Roman"/>
          <w:i/>
          <w:iCs/>
          <w:color w:val="000000" w:themeColor="text1"/>
          <w:sz w:val="24"/>
          <w:szCs w:val="24"/>
        </w:rPr>
        <w:t>Prochlorococcus</w:t>
      </w:r>
      <w:r w:rsidR="007B7835">
        <w:rPr>
          <w:rFonts w:ascii="Times New Roman" w:hAnsi="Times New Roman" w:cs="Times New Roman"/>
          <w:sz w:val="24"/>
          <w:szCs w:val="24"/>
        </w:rPr>
        <w:t>; again</w:t>
      </w:r>
      <w:r w:rsidRPr="003609FB">
        <w:rPr>
          <w:rFonts w:ascii="Times New Roman" w:hAnsi="Times New Roman" w:cs="Times New Roman"/>
          <w:sz w:val="24"/>
          <w:szCs w:val="24"/>
        </w:rPr>
        <w:t xml:space="preserve"> at mid to low latitudes throughout much of the surface open ocean </w:t>
      </w:r>
      <w:r w:rsidR="00DE78C7"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{"citationID":"diSGxMyg","properties":{"formattedCitation":"(Flombaum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DE78C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DE78C7" w:rsidRPr="003609FB">
        <w:rPr>
          <w:rFonts w:ascii="Times New Roman" w:hAnsi="Times New Roman" w:cs="Times New Roman"/>
          <w:sz w:val="24"/>
          <w:szCs w:val="24"/>
        </w:rPr>
        <w:fldChar w:fldCharType="end"/>
      </w:r>
      <w:r w:rsidR="006D202E">
        <w:rPr>
          <w:rFonts w:ascii="Times New Roman" w:hAnsi="Times New Roman" w:cs="Times New Roman"/>
          <w:sz w:val="24"/>
          <w:szCs w:val="24"/>
        </w:rPr>
        <w:t xml:space="preserve">, </w:t>
      </w:r>
      <w:r w:rsidRPr="003609FB">
        <w:rPr>
          <w:rFonts w:ascii="Times New Roman" w:hAnsi="Times New Roman" w:cs="Times New Roman"/>
          <w:sz w:val="24"/>
          <w:szCs w:val="24"/>
        </w:rPr>
        <w:t xml:space="preserve">despite </w:t>
      </w:r>
      <w:r w:rsidR="00C433AF">
        <w:rPr>
          <w:rFonts w:ascii="Times New Roman" w:hAnsi="Times New Roman" w:cs="Times New Roman"/>
          <w:sz w:val="24"/>
          <w:szCs w:val="24"/>
        </w:rPr>
        <w:t>future shifting</w:t>
      </w:r>
      <w:r w:rsidR="00324480">
        <w:rPr>
          <w:rFonts w:ascii="Times New Roman" w:hAnsi="Times New Roman" w:cs="Times New Roman"/>
          <w:sz w:val="24"/>
          <w:szCs w:val="24"/>
        </w:rPr>
        <w:t xml:space="preserve"> </w:t>
      </w:r>
      <w:r w:rsidRPr="003609FB">
        <w:rPr>
          <w:rFonts w:ascii="Times New Roman" w:hAnsi="Times New Roman" w:cs="Times New Roman"/>
          <w:sz w:val="24"/>
          <w:szCs w:val="24"/>
        </w:rPr>
        <w:t>environmental pressures</w:t>
      </w:r>
      <w:r w:rsidR="00DE78C7" w:rsidRPr="003609FB">
        <w:rPr>
          <w:rFonts w:ascii="Times New Roman" w:hAnsi="Times New Roman" w:cs="Times New Roman"/>
          <w:sz w:val="24"/>
          <w:szCs w:val="24"/>
        </w:rPr>
        <w:t xml:space="preserve"> </w:t>
      </w:r>
      <w:r w:rsidR="00DE78C7"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{"citationID":"o2oVXSP2","properties":{"formattedCitation":"(Dutkiewicz et al. 2015; Hutchins and Fu 2017)","plainCitation":"(Dutkiewicz et al. 2015; Hutchins and Fu 2017)","noteIndex":0},"citationItems":[{"id":3188,"uris":["http://zotero.org/users/6128296/items/C5M8U2TV"],"itemData":{"id":3188,"type":"article-journal","abstract":"Phytoplankton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T."},{"family":"Berman-Frank","given":"Ilana"}],"issued":{"date-parts":[["2015",11]]}}},{"id":1661,"uris":["http://zotero.org/users/6128296/items/W5C6RR5T"],"itemData":{"id":1661,"type":"article-journal","container-title":"Nature Microbiology","DOI":"10.1038/nmicrobiol.2017.58","ISSN":"2058-5276","issue":"6","journalAbbreviation":"Nat Microbiol","language":"en","page":"17058","source":"DOI.org (Crossref)","title":"Microorganisms and ocean global change","volume":"2","author":[{"family":"Hutchins","given":""},{"family":"Fu","given":""}],"issued":{"date-parts":[["2017",6]]}}}],"schema":"https://github.com/citation-style-language/schema/raw/master/csl-citation.json"} </w:instrText>
      </w:r>
      <w:r w:rsidR="00DE78C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(Dutkiewicz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2015; Hutchins and Fu 2017)</w:t>
      </w:r>
      <w:r w:rsidR="00DE78C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The numerical dominance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in these areas is thought to be due to its minimal nutrient </w:t>
      </w:r>
      <w:r w:rsidRPr="003609FB">
        <w:rPr>
          <w:rFonts w:ascii="Times New Roman" w:hAnsi="Times New Roman" w:cs="Times New Roman"/>
          <w:sz w:val="24"/>
          <w:szCs w:val="24"/>
        </w:rPr>
        <w:lastRenderedPageBreak/>
        <w:t>requirements and high surface area to volume ratio associated with its smaller cell (0.6</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0.8 </w:t>
      </w:r>
      <w:proofErr w:type="spellStart"/>
      <w:r w:rsidRPr="003609FB">
        <w:rPr>
          <w:rFonts w:ascii="Times New Roman" w:hAnsi="Times New Roman" w:cs="Times New Roman"/>
          <w:sz w:val="24"/>
          <w:szCs w:val="24"/>
        </w:rPr>
        <w:t>μm</w:t>
      </w:r>
      <w:proofErr w:type="spellEnd"/>
      <w:r w:rsidRPr="003609FB">
        <w:rPr>
          <w:rFonts w:ascii="Times New Roman" w:hAnsi="Times New Roman" w:cs="Times New Roman"/>
          <w:sz w:val="24"/>
          <w:szCs w:val="24"/>
        </w:rPr>
        <w:t xml:space="preserve"> vs 0.6</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2</w:t>
      </w:r>
      <w:r w:rsidR="002751EC" w:rsidRPr="003609FB">
        <w:rPr>
          <w:rFonts w:ascii="Times New Roman" w:hAnsi="Times New Roman" w:cs="Times New Roman"/>
          <w:sz w:val="24"/>
          <w:szCs w:val="24"/>
        </w:rPr>
        <w:t>.0</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μm</w:t>
      </w:r>
      <w:proofErr w:type="spellEnd"/>
      <w:r w:rsidRPr="003609FB">
        <w:rPr>
          <w:rFonts w:ascii="Times New Roman" w:hAnsi="Times New Roman" w:cs="Times New Roman"/>
          <w:sz w:val="24"/>
          <w:szCs w:val="24"/>
        </w:rPr>
        <w:t xml:space="preserve">) and </w:t>
      </w:r>
      <w:r w:rsidR="00FD0C60">
        <w:rPr>
          <w:rFonts w:ascii="Times New Roman" w:hAnsi="Times New Roman" w:cs="Times New Roman"/>
          <w:sz w:val="24"/>
          <w:szCs w:val="24"/>
        </w:rPr>
        <w:t xml:space="preserve">total </w:t>
      </w:r>
      <w:r w:rsidRPr="003609FB">
        <w:rPr>
          <w:rFonts w:ascii="Times New Roman" w:hAnsi="Times New Roman" w:cs="Times New Roman"/>
          <w:sz w:val="24"/>
          <w:szCs w:val="24"/>
        </w:rPr>
        <w:t xml:space="preserve">genome </w:t>
      </w:r>
      <w:r w:rsidR="00FD0C60">
        <w:rPr>
          <w:rFonts w:ascii="Times New Roman" w:hAnsi="Times New Roman" w:cs="Times New Roman"/>
          <w:sz w:val="24"/>
          <w:szCs w:val="24"/>
        </w:rPr>
        <w:t>lengths</w:t>
      </w:r>
      <w:r w:rsidRPr="003609FB">
        <w:rPr>
          <w:rFonts w:ascii="Times New Roman" w:hAnsi="Times New Roman" w:cs="Times New Roman"/>
          <w:sz w:val="24"/>
          <w:szCs w:val="24"/>
        </w:rPr>
        <w:t xml:space="preserve"> (1.5</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2.5 M</w:t>
      </w:r>
      <w:r w:rsidR="00FD0C60">
        <w:rPr>
          <w:rFonts w:ascii="Times New Roman" w:hAnsi="Times New Roman" w:cs="Times New Roman"/>
          <w:sz w:val="24"/>
          <w:szCs w:val="24"/>
        </w:rPr>
        <w:t xml:space="preserve">illion </w:t>
      </w:r>
      <w:proofErr w:type="spellStart"/>
      <w:r w:rsidRPr="003609FB">
        <w:rPr>
          <w:rFonts w:ascii="Times New Roman" w:hAnsi="Times New Roman" w:cs="Times New Roman"/>
          <w:sz w:val="24"/>
          <w:szCs w:val="24"/>
        </w:rPr>
        <w:t>b</w:t>
      </w:r>
      <w:r w:rsidR="00FD0C60">
        <w:rPr>
          <w:rFonts w:ascii="Times New Roman" w:hAnsi="Times New Roman" w:cs="Times New Roman"/>
          <w:sz w:val="24"/>
          <w:szCs w:val="24"/>
        </w:rPr>
        <w:t>ase</w:t>
      </w:r>
      <w:r w:rsidRPr="003609FB">
        <w:rPr>
          <w:rFonts w:ascii="Times New Roman" w:hAnsi="Times New Roman" w:cs="Times New Roman"/>
          <w:sz w:val="24"/>
          <w:szCs w:val="24"/>
        </w:rPr>
        <w:t>p</w:t>
      </w:r>
      <w:r w:rsidR="00FD0C60">
        <w:rPr>
          <w:rFonts w:ascii="Times New Roman" w:hAnsi="Times New Roman" w:cs="Times New Roman"/>
          <w:sz w:val="24"/>
          <w:szCs w:val="24"/>
        </w:rPr>
        <w:t>airs</w:t>
      </w:r>
      <w:proofErr w:type="spellEnd"/>
      <w:r w:rsidR="00182B51">
        <w:rPr>
          <w:rFonts w:ascii="Times New Roman" w:hAnsi="Times New Roman" w:cs="Times New Roman"/>
          <w:sz w:val="24"/>
          <w:szCs w:val="24"/>
        </w:rPr>
        <w:t xml:space="preserve"> </w:t>
      </w:r>
      <w:r w:rsidR="00FD0C60">
        <w:rPr>
          <w:rFonts w:ascii="Times New Roman" w:hAnsi="Times New Roman" w:cs="Times New Roman"/>
          <w:sz w:val="24"/>
          <w:szCs w:val="24"/>
        </w:rPr>
        <w:t>(</w:t>
      </w:r>
      <w:proofErr w:type="spellStart"/>
      <w:r w:rsidR="00FD0C60">
        <w:rPr>
          <w:rFonts w:ascii="Times New Roman" w:hAnsi="Times New Roman" w:cs="Times New Roman"/>
          <w:sz w:val="24"/>
          <w:szCs w:val="24"/>
        </w:rPr>
        <w:t>Mbp</w:t>
      </w:r>
      <w:proofErr w:type="spellEnd"/>
      <w:r w:rsidR="00FD0C60">
        <w:rPr>
          <w:rFonts w:ascii="Times New Roman" w:hAnsi="Times New Roman" w:cs="Times New Roman"/>
          <w:sz w:val="24"/>
          <w:szCs w:val="24"/>
        </w:rPr>
        <w:t>)</w:t>
      </w:r>
      <w:r w:rsidRPr="003609FB">
        <w:rPr>
          <w:rFonts w:ascii="Times New Roman" w:hAnsi="Times New Roman" w:cs="Times New Roman"/>
          <w:sz w:val="24"/>
          <w:szCs w:val="24"/>
        </w:rPr>
        <w:t xml:space="preserve"> vs &gt;</w:t>
      </w:r>
      <w:r w:rsidR="002751E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2.4 </w:t>
      </w:r>
      <w:proofErr w:type="spellStart"/>
      <w:r w:rsidRPr="003609FB">
        <w:rPr>
          <w:rFonts w:ascii="Times New Roman" w:hAnsi="Times New Roman" w:cs="Times New Roman"/>
          <w:sz w:val="24"/>
          <w:szCs w:val="24"/>
        </w:rPr>
        <w:t>Mbp</w:t>
      </w:r>
      <w:proofErr w:type="spellEnd"/>
      <w:r w:rsidRPr="003609FB">
        <w:rPr>
          <w:rFonts w:ascii="Times New Roman" w:hAnsi="Times New Roman" w:cs="Times New Roman"/>
          <w:sz w:val="24"/>
          <w:szCs w:val="24"/>
        </w:rPr>
        <w:t xml:space="preserve">) as compared to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937960"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{"citationID":"G1dyrEPa","properties":{"formattedCitation":"(Giovannoni, Cameron Thrash, and Temperton 2014; Rocap et al. 2003; Dao 2013; Partensky and Garczarek 2010)","plainCitation":"(Giovannoni, Cameron Thrash, and Temperton 2014; Rocap et al. 2003; Dao 2013; Partensky and Garczarek 2010)","noteIndex":0},"citationItems":[{"id":1217,"uris":["http://zotero.org/users/6128296/items/TM8BPJ2Z"],"itemData":{"id":1217,"type":"article-journal","abstract":"Whether a small cell, a small genome or a minimal set of chemical reactions with self-replicating properties, simplicity is beguiling. As Leonardo da Vinci reportedly said, ‘simplicity is the ultimate sophistication’. Two diverging views of simplicity have emerged in accounts of symbiotic and commensal bacteria and cosmopolitan free-living bacteria with small genomes. The small genomes of obligate insect endosymbionts have been attributed to genetic drift caused by small effective population sizes (Ne). In contrast, streamlining theory attributes small cells and genomes to selection for efficient use of nutrients in populations where Ne is large and nutrients limit growth. Regardless of the cause of genome reduction, lost coding potential eventually dictates loss of function. Consequences of reductive evolution in streamlined organisms include atypical patterns of prototrophy and the absence of common regulatory systems, which have been linked to difficulty in culturing these cells. Recent evidence from metagenomics suggests that streamlining is commonplace, may broadly explain the phenomenon of the uncultured microbial majority, and might also explain the highly interdependent (connected) behavior of many microbial ecosystems. Streamlining theory is belied by the observation that many successful bacteria are large cells with complex genomes. To fully appreciate streamlining, we must look to the life histories and adaptive strategies of cells, which impose minimum requirements for complexity that vary with niche.","container-title":"The ISME Journal","DOI":"10.1038/ismej.2014.60","ISSN":"1751-7362, 1751-7370","issue":"8","journalAbbreviation":"ISME J","language":"en","page":"1553-1565","source":"DOI.org (Crossref)","title":"Implications of streamlining theory for microbial ecology","volume":"8","author":[{"family":"Giovannoni","given":""},{"family":"Cameron Thrash","given":"J"},{"family":"Temperton","given":"Ben"}],"issued":{"date-parts":[["2014",8]]}}},{"id":1327,"uris":["http://zotero.org/users/6128296/items/GMAK2UVV"],"itemData":{"id":1327,"type":"article-journal","abstract":"The marine unicellular cyanobacterium Prochlorococcus is the smallest-known oxygen-evolving autotroph1.Itnumerically dominates the phytoplankton in the tropical and subtropical oceans2,3, and is responsible for a significant fraction of global photosynthesis. Here we compare the genomes of two Prochlorococcus strains that span the largest evolutionary distance within the Prochlorococcus lineage4 and that have different minimum, maximum and optimal light intensities for growth5. The highlight-adapted ecotype has the smallest genome (1,657,990 base pairs, 1,716 genes) of any known oxygenic phototroph, whereas the genome of its low-light-adapted counterpart is significantly larger, at 2,410,873 base pairs (2,275 genes). The comparative architectures of these two strains reveal dynamic genomes that are constantly changing in response to myriad selection pressures. Although the two strains have 1,350 genes in common, a significant number are not shared, and these have been differentially retained from the common ancestor, or acquired through duplication or lateral transfer. Some of these genes have obvious roles in determining the relative fitness of the ecotypes in response to key environmental variables, and hence in regulating their distribution and abundance in the oceans","container-title":"Nature","DOI":"10.1038/nature01947","ISSN":"0028-0836, 1476-4687","issue":"6952","journalAbbreviation":"Nature","language":"en","page":"1042-1047","source":"DOI.org (Crossref)","title":"Genome divergence in two Prochlorococcus ecotypes reflects oceanic niche differentiation","volume":"424","author":[{"family":"Rocap","given":""},{"family":"Larimer","given":"Frank W."},{"family":"Lamerdin","given":"Jane"},{"family":"Malfatti","given":"Stephanie"},{"family":"Chain","given":"Patrick"},{"family":"Ahlgren","given":"Nathan A."},{"family":"Arellano","given":"Andrae"},{"family":"Coleman","given":"Maureen"},{"family":"Hauser","given":"Loren"},{"family":"Hess","given":"Wolfgang R."},{"family":"Johnson","given":"Zackary I."},{"family":"Land","given":"Miriam"},{"family":"Lindell","given":"Debbie"},{"family":"Post","given":"Anton F."},{"family":"Regala","given":"Warren"},{"family":"Shah","given":"Manesh"},{"family":"Shaw","given":"Stephanie L."},{"family":"Steglich","given":"Claudia"},{"family":"Sullivan","given":"Matthew B."},{"family":"Ting","given":"Claire S."},{"family":"Tolonen","given":"Andrew"},{"family":"Webb","given":"Eric A."},{"family":"Zinser","given":"Erik R."},{"family":"Chisholm","given":"Sallie W."}],"issued":{"date-parts":[["2003",8]]}}},{"id":197,"uris":["http://zotero.org/users/6128296/items/7KPPEWFR"],"itemData":{"id":197,"type":"article-journal","abstract":"In many past theoretical and empirical studies of phytoplankton nutrient allometry, cell surface area has been considered the main limiting factor to nutrient uptake rates because of an assumption that the cell surface area is not large enough to accommodate enough uptake sites to meet the uptake demand. However, calculations in this paper show that the required uptake sites may only cover approximately 76% of the surface area of a typical phytoplankton cell. Cell volume could be the main factor controlling the maximum nutrient uptake rates of phytoplankton cells with a cell volume of &lt; 40 μm3, while the cell surface becomes limiting for larger cells. The maximum nutrient uptake rate of phytoplankton cells generally increases almost linearly with cell volume, and that of smaller cells increases faster than that of larger cells.","container-title":"Marine Ecology Progress Series","DOI":"10.3354/meps10434","ISSN":"0171-8630, 1616-1599","journalAbbreviation":"Mar. Ecol. Prog. Ser.","language":"en","page":"87-92","source":"DOI.org (Crossref)","title":"Reassessment of the cell surface area limitation to nutrient uptake in phytoplankton","volume":"489","author":[{"family":"Dao","given":""}],"issued":{"date-parts":[["2013",8,28]]}}},{"id":2095,"uris":["http://zotero.org/users/6128296/items/MGSFTWLC"],"itemData":{"id":2095,"type":"article-journal","abstract":"Prochlorococcus is the key phytoplanktonic organism of tropical gyres, large ocean regions that are depleted of the essential macronutrients needed for photosynthesis and cell growth. This cyanobacterium has adapted itself to oligotrophy by minimizing the resources necessary for life through a drastic reduction of cell and genome sizes. This rarely observed strategy in freeliving organisms has conferred on Prochlorococcus a considerable advantage over other phototrophs, including its closest relative Synechococcus, for life in this vast yet little variable ecosystem. However, this strategy seems to reach its limits in the upper layer of the S Paciﬁc gyre, the most oligotrophic region of the world ocean. By losing some important genes and/or functions during evolution, Prochlorococcus has seemingly become dependent on co-occurring microorganisms. In this review, we present some of the recent advances in the ecology, biology, and evolution of Prochlorococcus, which because of its ecological importance and tiny genome is rapidly imposing itself as a model organism in environmental microbiology.","container-title":"Annual Review of Marine Science","DOI":"10.1146/annurev-marine-120308-081034","ISSN":"1941-1405, 1941-0611","issue":"1","journalAbbreviation":"Annu. Rev. Mar. Sci.","language":"en","page":"305-331","source":"DOI.org (Crossref)","title":"&lt;i&gt;Prochlorococcus&lt;/i&gt; : Advantages and Limits of Minimalism","title-short":"&lt;i&gt;Prochlorococcus&lt;/i&gt;","volume":"2","author":[{"family":"Partensky","given":""},{"family":"Garczarek","given":"Laurence"}],"issued":{"date-parts":[["2010",1]]}}}],"schema":"https://github.com/citation-style-language/schema/raw/master/csl-citation.json"} </w:instrText>
      </w:r>
      <w:r w:rsidR="00937960" w:rsidRPr="003609FB">
        <w:rPr>
          <w:rFonts w:ascii="Times New Roman" w:hAnsi="Times New Roman" w:cs="Times New Roman"/>
          <w:sz w:val="24"/>
          <w:szCs w:val="24"/>
        </w:rPr>
        <w:fldChar w:fldCharType="separate"/>
      </w:r>
      <w:r w:rsidR="009D7443">
        <w:rPr>
          <w:rFonts w:ascii="Times New Roman" w:hAnsi="Times New Roman" w:cs="Times New Roman"/>
          <w:sz w:val="24"/>
        </w:rPr>
        <w:t xml:space="preserve">(Giovannoni, Cameron Thrash, and Temperton 2014; Rocap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2003; Dao 2013;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Garczarek</w:t>
      </w:r>
      <w:proofErr w:type="spellEnd"/>
      <w:r w:rsidR="009D7443">
        <w:rPr>
          <w:rFonts w:ascii="Times New Roman" w:hAnsi="Times New Roman" w:cs="Times New Roman"/>
          <w:sz w:val="24"/>
        </w:rPr>
        <w:t xml:space="preserve"> 2010)</w:t>
      </w:r>
      <w:r w:rsidR="00937960"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One striking aspect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streamlined genome is its evolutionary loss of catalase, a key enzyme in the protection against the reactive oxygen species (ROS) hydrogen peroxide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w:t>
      </w:r>
      <w:r w:rsidR="000C01F3" w:rsidRPr="003609FB">
        <w:rPr>
          <w:rFonts w:ascii="Times New Roman" w:hAnsi="Times New Roman" w:cs="Times New Roman"/>
          <w:sz w:val="24"/>
          <w:szCs w:val="24"/>
        </w:rPr>
        <w:t xml:space="preserve"> that is present in surface ocean environments</w:t>
      </w:r>
      <w:r w:rsidRPr="003609FB">
        <w:rPr>
          <w:rFonts w:ascii="Times New Roman" w:hAnsi="Times New Roman" w:cs="Times New Roman"/>
          <w:sz w:val="24"/>
          <w:szCs w:val="24"/>
        </w:rPr>
        <w:t xml:space="preserve"> </w:t>
      </w:r>
      <w:r w:rsidR="00937960" w:rsidRPr="003609FB">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{"citationID":"Ihz3pDcS","properties":{"formattedCitation":"(Bernroitner et al. 2009; Biller, Berube, et al. 2015; Berube et al. 2015; Morris et al. 2011; Morris, Papoulis, and Lenski 2014)","plainCitation":"(Bernroitner et al. 2009; Biller, Berube, et al. 2015; Berube et al. 2015; Morris et al. 2011; Morris, Papoulis, and Lenski 2014)","noteIndex":0},"citationItems":[{"id":1979,"uris":["http://zotero.org/users/6128296/items/UK4V58GU"],"itemData":{"id":1979,"type":"article-journal","abstract":"Cyanobacteria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W."}],"issued":{"date-parts":[["2015",1]]}}},{"id":79,"uris":["http://zotero.org/users/6128296/items/CSGUAYT6"],"itemData":{"id":79,"type":"article-journal","container-title":"The ISME Journal","DOI":"10.1038/ismej.2014.211","ISSN":"1751-7362, 1751-7370","issue":"5","journalAbbreviation":"ISME J","language":"en","page":"1195-1207","source":"DOI.org (Crossref)","title":"Physiology and evolution of nitrate acquisition in Prochlorococcus","volume":"9","author":[{"family":"Berube","given":""},{"family":"Biller","given":"Steven J"},{"family":"Kent","given":"Alyssa G"},{"family":"Berta-Thompson","given":"Jessie W"},{"family":"Roggensack","given":"Sara E"},{"family":"Roache-Johnson","given":"Kathryn H"},{"family":"Ackerman","given":"Marcia"},{"family":"Moore","given":"Lisa R"},{"family":"Meisel","given":"Joshua D"},{"family":"Sher","given":"Daniel"},{"family":"Thompson","given":"Luke R"},{"family":"Campbell","given":"Lisa"},{"family":"Martiny","given":"Adam C"},{"family":"Chisholm","given":"Sallie W"}],"issued":{"date-parts":[["2015",5]]}}},{"id":113,"uris":["http://zotero.org/users/6128296/items/PIIBXCZZ"],"itemData":{"id":113,"type":"article-journal","abstract":"The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809,"uris":["http://zotero.org/users/6128296/items/24U3N932"],"itemData":{"id":809,"type":"article-journal","container-title":"Evolution","DOI":"10.1111/evo.12485","ISSN":"00143820","issue":"10","journalAbbreviation":"Evolution","language":"en","page":"2960-2971","source":"DOI.org (Crossref)","title":"COEXISTENCE OF EVOLVING BACTERIA STABILIZED BY A SHARED BLACK QUEEN FUNCTION: EXPERIMENTAL EVOLUTION OF A BLACK QUEEN COMMUNITY","title-short":"COEXISTENCE OF EVOLVING BACTERIA STABILIZED BY A SHARED BLACK QUEEN FUNCTION","volume":"68","author":[{"family":"Morris","given":""},{"family":"Papoulis","given":"Spiridon E."},{"family":"Lenski","given":"Richard E."}],"issued":{"date-parts":[["2014",10]]}}}],"schema":"https://github.com/citation-style-language/schema/raw/master/csl-citation.json"} </w:instrText>
      </w:r>
      <w:r w:rsidR="00937960"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Bernroitner</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2009; 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 Morris, Papoulis, and Lenski 2014)</w:t>
      </w:r>
      <w:r w:rsidR="00937960" w:rsidRPr="003609FB">
        <w:rPr>
          <w:rFonts w:ascii="Times New Roman" w:hAnsi="Times New Roman" w:cs="Times New Roman"/>
          <w:sz w:val="24"/>
          <w:szCs w:val="24"/>
        </w:rPr>
        <w:fldChar w:fldCharType="end"/>
      </w:r>
      <w:r w:rsidR="00937960"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p>
    <w:p w14:paraId="67337684" w14:textId="0651F4CF" w:rsidR="005E185F" w:rsidRPr="003609FB" w:rsidRDefault="007D6C10" w:rsidP="00AB2160">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m</w:t>
      </w:r>
      <w:r w:rsidR="00010832">
        <w:rPr>
          <w:rFonts w:ascii="Times New Roman" w:hAnsi="Times New Roman" w:cs="Times New Roman"/>
          <w:sz w:val="24"/>
          <w:szCs w:val="24"/>
        </w:rPr>
        <w:t>onofunctional c</w:t>
      </w:r>
      <w:r w:rsidR="005E185F" w:rsidRPr="003609FB">
        <w:rPr>
          <w:rFonts w:ascii="Times New Roman" w:hAnsi="Times New Roman" w:cs="Times New Roman"/>
          <w:sz w:val="24"/>
          <w:szCs w:val="24"/>
        </w:rPr>
        <w:t>atalase (and bifunctional catalase-peroxidase)</w:t>
      </w:r>
      <w:r>
        <w:rPr>
          <w:rFonts w:ascii="Times New Roman" w:hAnsi="Times New Roman" w:cs="Times New Roman"/>
          <w:sz w:val="24"/>
          <w:szCs w:val="24"/>
        </w:rPr>
        <w:t xml:space="preserve"> enzyme</w:t>
      </w:r>
      <w:r w:rsidR="00BA57F3">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has been shown to be extremely efficient </w:t>
      </w:r>
      <w:r w:rsidR="00AF2337">
        <w:rPr>
          <w:rFonts w:ascii="Times New Roman" w:hAnsi="Times New Roman" w:cs="Times New Roman"/>
          <w:sz w:val="24"/>
          <w:szCs w:val="24"/>
        </w:rPr>
        <w:t xml:space="preserve">in the face of </w:t>
      </w:r>
      <w:r w:rsidR="00AF2337" w:rsidRPr="003609FB">
        <w:rPr>
          <w:rFonts w:ascii="Times New Roman" w:hAnsi="Times New Roman" w:cs="Times New Roman"/>
          <w:sz w:val="24"/>
          <w:szCs w:val="24"/>
        </w:rPr>
        <w:t>H</w:t>
      </w:r>
      <w:r w:rsidR="00AF2337" w:rsidRPr="00351FC4">
        <w:rPr>
          <w:rFonts w:ascii="Times New Roman" w:hAnsi="Times New Roman" w:cs="Times New Roman"/>
          <w:sz w:val="24"/>
          <w:szCs w:val="24"/>
          <w:vertAlign w:val="subscript"/>
        </w:rPr>
        <w:t>2</w:t>
      </w:r>
      <w:r w:rsidR="00AF2337" w:rsidRPr="003609FB">
        <w:rPr>
          <w:rFonts w:ascii="Times New Roman" w:hAnsi="Times New Roman" w:cs="Times New Roman"/>
          <w:sz w:val="24"/>
          <w:szCs w:val="24"/>
        </w:rPr>
        <w:t>O</w:t>
      </w:r>
      <w:r w:rsidR="00AF2337" w:rsidRPr="00351FC4">
        <w:rPr>
          <w:rFonts w:ascii="Times New Roman" w:hAnsi="Times New Roman" w:cs="Times New Roman"/>
          <w:sz w:val="24"/>
          <w:szCs w:val="24"/>
          <w:vertAlign w:val="subscript"/>
        </w:rPr>
        <w:t>2</w:t>
      </w:r>
      <w:r w:rsidR="00AF2337">
        <w:rPr>
          <w:rFonts w:ascii="Times New Roman" w:hAnsi="Times New Roman" w:cs="Times New Roman"/>
          <w:sz w:val="24"/>
          <w:szCs w:val="24"/>
        </w:rPr>
        <w:t xml:space="preserve"> spikes </w:t>
      </w:r>
      <w:r w:rsidR="005E185F" w:rsidRPr="003609FB">
        <w:rPr>
          <w:rFonts w:ascii="Times New Roman" w:hAnsi="Times New Roman" w:cs="Times New Roman"/>
          <w:sz w:val="24"/>
          <w:szCs w:val="24"/>
        </w:rPr>
        <w:t xml:space="preserve">whether isolated from mammalian cells, </w:t>
      </w:r>
      <w:r w:rsidR="000C01F3" w:rsidRPr="00023BB4">
        <w:rPr>
          <w:rFonts w:ascii="Times New Roman" w:hAnsi="Times New Roman" w:cs="Times New Roman"/>
          <w:i/>
          <w:iCs/>
          <w:sz w:val="24"/>
          <w:szCs w:val="24"/>
        </w:rPr>
        <w:t>Escherichia</w:t>
      </w:r>
      <w:r w:rsidR="005E185F" w:rsidRPr="00023BB4">
        <w:rPr>
          <w:rFonts w:ascii="Times New Roman" w:hAnsi="Times New Roman" w:cs="Times New Roman"/>
          <w:i/>
          <w:iCs/>
          <w:sz w:val="24"/>
          <w:szCs w:val="24"/>
        </w:rPr>
        <w:t xml:space="preserve"> coli</w:t>
      </w:r>
      <w:r w:rsidR="005E185F" w:rsidRPr="003609FB">
        <w:rPr>
          <w:rFonts w:ascii="Times New Roman" w:hAnsi="Times New Roman" w:cs="Times New Roman"/>
          <w:sz w:val="24"/>
          <w:szCs w:val="24"/>
        </w:rPr>
        <w:t xml:space="preserve">, or </w:t>
      </w:r>
      <w:proofErr w:type="spellStart"/>
      <w:r w:rsidR="00691B65" w:rsidRPr="00691B65">
        <w:rPr>
          <w:rFonts w:ascii="Times New Roman" w:hAnsi="Times New Roman" w:cs="Times New Roman"/>
          <w:i/>
          <w:iCs/>
          <w:sz w:val="24"/>
          <w:szCs w:val="24"/>
        </w:rPr>
        <w:t>Synechococcus</w:t>
      </w:r>
      <w:proofErr w:type="spellEnd"/>
      <w:r w:rsidR="005E185F" w:rsidRPr="003609FB">
        <w:rPr>
          <w:rFonts w:ascii="Times New Roman" w:hAnsi="Times New Roman" w:cs="Times New Roman"/>
          <w:sz w:val="24"/>
          <w:szCs w:val="24"/>
        </w:rPr>
        <w:t xml:space="preserve"> </w:t>
      </w:r>
      <w:r w:rsidR="00936851" w:rsidRPr="00936851">
        <w:rPr>
          <w:rFonts w:ascii="Times New Roman" w:hAnsi="Times New Roman" w:cs="Times New Roman"/>
          <w:i/>
          <w:iCs/>
          <w:sz w:val="24"/>
          <w:szCs w:val="24"/>
        </w:rPr>
        <w:t>spp.</w:t>
      </w:r>
      <w:r w:rsidR="005A7F8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{"citationID":"zYjmJ2XV","properties":{"formattedCitation":"(Curtin, Donovan, and Cotter 2002; Ravishankar, Rao, and Ramasarma 1995; Alfonso-Prieto et al. 2009; Zamocky et al. 2012)","plainCitation":"(Curtin, Donovan, and Cotter 2002; Ravishankar, Rao, and Ramasarma 1995; Alfonso-Prieto et al. 2009; Zamocky et al. 2012)","noteIndex":0},"citationItems":[{"id":1486,"uris":["http://zotero.org/users/6128296/items/EDZ5CN76"],"itemData":{"id":1486,"type":"article-journal","abstract":"Cells are constantly generating reactive oxygen species (ROS) during aerobic metabolism. As a consequence, each cell is equipped with an extensive antioxidant defence system to combat excessive production of ROS. Oxidative stress occurs in cells when the generation of ROS overwhelms the cell’s natural antioxidant defences. There is a growing consensus that oxidative stress and the redox state of a cell plays a pivotal role in regulating apoptosis, a tightly controlled form of cell death in which a cell partakes in its own demise. More recently, a role for reactive nitrogen species (RNI) as both positive and negative regulators of cell death has been established. This review describes the major sources of ROS and RNI in a cell, the control of cell death by these species and the role of antioxidants as regulators of oxidative stress and apoptosis. Finally, the various methods that can be employed in establishing a role for both ROS and RNI in apoptosis will be discussed with particular emphasis on their intracellular detection. D 2002 Published by Elsevier Science B.V.","container-title":"Journal of Immunological Methods","DOI":"10.1016/S0022-1759(02)00070-4","ISSN":"00221759","issue":"1-2","journalAbbreviation":"Journal of Immunological Methods","language":"en","page":"49-72","source":"DOI.org (Crossref)","title":"Regulation and measurement of oxidative stress in apoptosis","volume":"265","author":[{"family":"Curtin","given":""},{"family":"Donovan","given":"Maryanne"},{"family":"Cotter","given":"Thomas G"}],"issued":{"date-parts":[["2002",7]]}}},{"id":4747,"uris":["http://zotero.org/users/6128296/items/U7VFX6DI"],"itemData":{"id":4747,"type":"article-journal","container-title":"Archives of Biochemistry and Biophysics","DOI":"10.1006/abbi.1995.1420","ISSN":"00039861","issue":"2","journalAbbreviation":"Archives of Biochemistry and Biophysics","language":"en","page":"477-484","source":"DOI.org (Crossref)","title":"Catalase Degrades Diperoxovanadate and Releases Oxygen","volume":"321","author":[{"family":"Ravishankar","given":""},{"family":"Rao","given":"A.V.S."},{"family":"Ramasarma","given":"T."}],"issued":{"date-parts":[["1995",8]]}}},{"id":4101,"uris":["http://zotero.org/users/6128296/items/B3P3UGED"],"itemData":{"id":4101,"type":"article-journal","abstract":"Catalases are ubiquitous enzymes that prevent cell oxidative damage by degrading hydrogen peroxide to water and oxygen (2H2O2 f 2 H2O + O2) with high efﬁciency. The enzyme is ﬁrst oxidized to a high-valent iron intermediate, known as Compound I (Cpd I) which, in contrast to other hydroperoxidases, is reduced back to the resting state by further reacting with H2O2. By means of hybrid QM/MM Car-Parrinello metadynamics simulations, we have investigated the mechanism of the reduction of Compound I by H2O2 in Helicobacter pylori catalase (HPC) and Penicillium vitale catalase (PVC). We found that the Cpd I-H2O2 complex evolves to a Cpd II-like species through the transfer of a hydrogen atom from the peroxide to the oxoferryl unit. To complete the reaction, two mechanisms may be operative: a His-mediated (Fita-Rossmann) mechanism, which involves the distal His as an acid-base catalyst mediating the transfer of a proton (associated with an electron transfer), and a direct mechanism, in which a hydrogen atom transfer occurs. Independently of the mechanism, the reaction proceeds by two one-electron transfers rather than one two-electron transfer, as has long been the lore. The calculations provide a detailed view of the atomic and electronic reorganizations during the reaction, and highlight the key role of the distal residues to assist the reaction. Additional calculations on the in silico HPC His56Gly mutant and gas-phase models provide clues to understand the requirements for the reaction to proceed with low barriers.","container-title":"Journal of the American Chemical Society","DOI":"10.1021/ja9018572","ISSN":"0002-7863, 1520-5126","issue":"33","journalAbbreviation":"J. Am. Chem. Soc.","language":"en","page":"11751-11761","source":"DOI.org (Crossref)","title":"The Molecular Mechanism of the Catalase Reaction","volume":"131","author":[{"family":"Alfonso-Prieto","given":""},{"family":"Biarnés","given":"Xevi"},{"family":"Vidossich","given":"Pietro"},{"family":"Rovira","given":"Carme"}],"issued":{"date-parts":[["2009",8,26]]}}},{"id":3281,"uris":["http://zotero.org/users/6128296/items/2XC7RVH7"],"itemData":{"id":3281,"type":"chapter","container-title":"Bioenergetic processes of cyanobacteria: from evolutionary singularity to ecological diversity","ISBN":"978-94-007-0388-9","language":"en","source":"DOI.org (Crossref)","title":"Chapter 7 Hydrogen Peroxide Degradation in Cyanobacteria and Chapter 23 Cyanobacterial Respiratory Electron Transport: Heme-Copper Oxidases and Their Electron Donors","URL":"http://choicereviews.org/review/10.5860/CHOICE.49-5658","volume":"49","author":[{"family":"Zamocky","given":""},{"family":"Bernroitner","given":"Margit"},{"family":"Peschek","given":"Günter A."},{"family":"Obinger","given":"Christian"},{"family":"Renger","given":"Gernot"}],"accessed":{"date-parts":[["2022",11,16]]},"issued":{"date-parts":[["2012",6,1]]}}}],"schema":"https://github.com/citation-style-language/schema/raw/master/csl-citation.json"} </w:instrText>
      </w:r>
      <w:r w:rsidR="005A7F8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(Curtin, Donovan, and Cotter 2002; Ravishankar, Rao, and </w:t>
      </w:r>
      <w:proofErr w:type="spellStart"/>
      <w:r w:rsidR="006C2922">
        <w:rPr>
          <w:rFonts w:ascii="Times New Roman" w:hAnsi="Times New Roman" w:cs="Times New Roman"/>
          <w:sz w:val="24"/>
          <w:szCs w:val="24"/>
        </w:rPr>
        <w:t>Ramasarma</w:t>
      </w:r>
      <w:proofErr w:type="spellEnd"/>
      <w:r w:rsidR="006C2922">
        <w:rPr>
          <w:rFonts w:ascii="Times New Roman" w:hAnsi="Times New Roman" w:cs="Times New Roman"/>
          <w:sz w:val="24"/>
          <w:szCs w:val="24"/>
        </w:rPr>
        <w:t xml:space="preserve"> 1995; Alfonso-Prieto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2009; </w:t>
      </w:r>
      <w:proofErr w:type="spellStart"/>
      <w:r w:rsidR="006C2922">
        <w:rPr>
          <w:rFonts w:ascii="Times New Roman" w:hAnsi="Times New Roman" w:cs="Times New Roman"/>
          <w:sz w:val="24"/>
          <w:szCs w:val="24"/>
        </w:rPr>
        <w:t>Zamocky</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2012)</w:t>
      </w:r>
      <w:r w:rsidR="005A7F87" w:rsidRPr="003609FB">
        <w:rPr>
          <w:rFonts w:ascii="Times New Roman" w:hAnsi="Times New Roman" w:cs="Times New Roman"/>
          <w:sz w:val="24"/>
          <w:szCs w:val="24"/>
        </w:rPr>
        <w:fldChar w:fldCharType="end"/>
      </w:r>
      <w:r w:rsidR="00023BB4">
        <w:rPr>
          <w:rFonts w:ascii="Times New Roman" w:hAnsi="Times New Roman" w:cs="Times New Roman"/>
          <w:sz w:val="24"/>
          <w:szCs w:val="24"/>
        </w:rPr>
        <w:t>.</w:t>
      </w:r>
      <w:r w:rsidR="005E185F" w:rsidRPr="003609FB">
        <w:rPr>
          <w:rFonts w:ascii="Times New Roman" w:hAnsi="Times New Roman" w:cs="Times New Roman"/>
          <w:sz w:val="24"/>
          <w:szCs w:val="24"/>
        </w:rPr>
        <w:t xml:space="preserve"> </w:t>
      </w:r>
      <w:r w:rsidR="00BA57F3">
        <w:rPr>
          <w:rFonts w:ascii="Times New Roman" w:hAnsi="Times New Roman" w:cs="Times New Roman"/>
          <w:sz w:val="24"/>
          <w:szCs w:val="24"/>
        </w:rPr>
        <w:t xml:space="preserve">The function of catalase specifically is expeditated by the closeness of the binding sites and protein side chains helping stabilize </w:t>
      </w:r>
      <w:r w:rsidR="00BA57F3" w:rsidRPr="003609FB">
        <w:rPr>
          <w:rFonts w:ascii="Times New Roman" w:hAnsi="Times New Roman" w:cs="Times New Roman"/>
          <w:sz w:val="24"/>
          <w:szCs w:val="24"/>
        </w:rPr>
        <w:t>H</w:t>
      </w:r>
      <w:r w:rsidR="00BA57F3" w:rsidRPr="00351FC4">
        <w:rPr>
          <w:rFonts w:ascii="Times New Roman" w:hAnsi="Times New Roman" w:cs="Times New Roman"/>
          <w:sz w:val="24"/>
          <w:szCs w:val="24"/>
          <w:vertAlign w:val="subscript"/>
        </w:rPr>
        <w:t>2</w:t>
      </w:r>
      <w:r w:rsidR="00BA57F3" w:rsidRPr="003609FB">
        <w:rPr>
          <w:rFonts w:ascii="Times New Roman" w:hAnsi="Times New Roman" w:cs="Times New Roman"/>
          <w:sz w:val="24"/>
          <w:szCs w:val="24"/>
        </w:rPr>
        <w:t>O</w:t>
      </w:r>
      <w:r w:rsidR="00BA57F3" w:rsidRPr="00351FC4">
        <w:rPr>
          <w:rFonts w:ascii="Times New Roman" w:hAnsi="Times New Roman" w:cs="Times New Roman"/>
          <w:sz w:val="24"/>
          <w:szCs w:val="24"/>
          <w:vertAlign w:val="subscript"/>
        </w:rPr>
        <w:t>2</w:t>
      </w:r>
      <w:r w:rsidR="00BA57F3">
        <w:rPr>
          <w:rFonts w:ascii="Times New Roman" w:hAnsi="Times New Roman" w:cs="Times New Roman"/>
          <w:sz w:val="24"/>
          <w:szCs w:val="24"/>
        </w:rPr>
        <w:t xml:space="preserve"> during the reaction </w:t>
      </w:r>
      <w:r w:rsidR="00BA57F3">
        <w:rPr>
          <w:rFonts w:ascii="Times New Roman" w:hAnsi="Times New Roman" w:cs="Times New Roman"/>
          <w:sz w:val="24"/>
          <w:szCs w:val="24"/>
        </w:rPr>
        <w:fldChar w:fldCharType="begin"/>
      </w:r>
      <w:r w:rsidR="00BA57F3">
        <w:rPr>
          <w:rFonts w:ascii="Times New Roman" w:hAnsi="Times New Roman" w:cs="Times New Roman"/>
          <w:sz w:val="24"/>
          <w:szCs w:val="24"/>
        </w:rPr>
        <w:instrText xml:space="preserve"> ADDIN ZOTERO_ITEM CSL_CITATION {"citationID":"09pU6fW5","properties":{"formattedCitation":"(Alfonso-Prieto et al. 2009; Bernroitner et al. 2009)","plainCitation":"(Alfonso-Prieto et al. 2009; Bernroitner et al. 2009)","noteIndex":0},"citationItems":[{"id":4101,"uris":["http://zotero.org/users/6128296/items/B3P3UGED"],"itemData":{"id":4101,"type":"article-journal","abstract":"Catalases are ubiquitous enzymes that prevent cell oxidative damage by degrading hydrogen peroxide to water and oxygen (2H2O2 f 2 H2O + O2) with high efﬁciency. The enzyme is ﬁrst oxidized to a high-valent iron intermediate, known as Compound I (Cpd I) which, in contrast to other hydroperoxidases, is reduced back to the resting state by further reacting with H2O2. By means of hybrid QM/MM Car-Parrinello metadynamics simulations, we have investigated the mechanism of the reduction of Compound I by H2O2 in Helicobacter pylori catalase (HPC) and Penicillium vitale catalase (PVC). We found that the Cpd I-H2O2 complex evolves to a Cpd II-like species through the transfer of a hydrogen atom from the peroxide to the oxoferryl unit. To complete the reaction, two mechanisms may be operative: a His-mediated (Fita-Rossmann) mechanism, which involves the distal His as an acid-base catalyst mediating the transfer of a proton (associated with an electron transfer), and a direct mechanism, in which a hydrogen atom transfer occurs. Independently of the mechanism, the reaction proceeds by two one-electron transfers rather than one two-electron transfer, as has long been the lore. The calculations provide a detailed view of the atomic and electronic reorganizations during the reaction, and highlight the key role of the distal residues to assist the reaction. Additional calculations on the in silico HPC His56Gly mutant and gas-phase models provide clues to understand the requirements for the reaction to proceed with low barriers.","container-title":"Journal of the American Chemical Society","DOI":"10.1021/ja9018572","ISSN":"0002-7863, 1520-5126","issue":"33","journalAbbreviation":"J. Am. Chem. Soc.","language":"en","page":"11751-11761","source":"DOI.org (Crossref)","title":"The Molecular Mechanism of the Catalase Reaction","volume":"131","author":[{"family":"Alfonso-Prieto","given":""},{"family":"Biarnés","given":"Xevi"},{"family":"Vidossich","given":"Pietro"},{"family":"Rovira","given":"Carme"}],"issued":{"date-parts":[["2009",8,26]]}}},{"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BA57F3">
        <w:rPr>
          <w:rFonts w:ascii="Times New Roman" w:hAnsi="Times New Roman" w:cs="Times New Roman"/>
          <w:sz w:val="24"/>
          <w:szCs w:val="24"/>
        </w:rPr>
        <w:fldChar w:fldCharType="separate"/>
      </w:r>
      <w:r w:rsidR="00BA57F3">
        <w:rPr>
          <w:rFonts w:ascii="Times New Roman" w:hAnsi="Times New Roman" w:cs="Times New Roman"/>
          <w:noProof/>
          <w:sz w:val="24"/>
          <w:szCs w:val="24"/>
        </w:rPr>
        <w:t xml:space="preserve">(Alfonso-Prieto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xml:space="preserve">. 2009; Bernroitner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2009)</w:t>
      </w:r>
      <w:r w:rsidR="00BA57F3">
        <w:rPr>
          <w:rFonts w:ascii="Times New Roman" w:hAnsi="Times New Roman" w:cs="Times New Roman"/>
          <w:sz w:val="24"/>
          <w:szCs w:val="24"/>
        </w:rPr>
        <w:fldChar w:fldCharType="end"/>
      </w:r>
      <w:r w:rsidR="00BA57F3">
        <w:rPr>
          <w:rFonts w:ascii="Times New Roman" w:hAnsi="Times New Roman" w:cs="Times New Roman"/>
          <w:sz w:val="24"/>
          <w:szCs w:val="24"/>
        </w:rPr>
        <w:t xml:space="preserve">. </w:t>
      </w:r>
      <w:r w:rsidR="00BA57F3" w:rsidRPr="003609FB">
        <w:rPr>
          <w:rFonts w:ascii="Times New Roman" w:hAnsi="Times New Roman" w:cs="Times New Roman"/>
          <w:sz w:val="24"/>
          <w:szCs w:val="24"/>
        </w:rPr>
        <w:t xml:space="preserve">It is found in all domains of life </w:t>
      </w:r>
      <w:r w:rsidR="00BA57F3" w:rsidRPr="003609FB">
        <w:rPr>
          <w:rFonts w:ascii="Times New Roman" w:hAnsi="Times New Roman" w:cs="Times New Roman"/>
          <w:sz w:val="24"/>
          <w:szCs w:val="24"/>
        </w:rPr>
        <w:fldChar w:fldCharType="begin"/>
      </w:r>
      <w:r w:rsidR="00BA57F3">
        <w:rPr>
          <w:rFonts w:ascii="Times New Roman" w:hAnsi="Times New Roman" w:cs="Times New Roman"/>
          <w:sz w:val="24"/>
          <w:szCs w:val="24"/>
        </w:rPr>
        <w:instrText xml:space="preserve"> ADDIN ZOTERO_ITEM CSL_CITATION {"citationID":"cIphI9jw","properties":{"formattedCitation":"(Zamocky et al. 2012)","plainCitation":"(Zamocky et al. 2012)","noteIndex":0},"citationItems":[{"id":3281,"uris":["http://zotero.org/users/6128296/items/2XC7RVH7"],"itemData":{"id":3281,"type":"chapter","container-title":"Bioenergetic processes of cyanobacteria: from evolutionary singularity to ecological diversity","ISBN":"978-94-007-0388-9","language":"en","source":"DOI.org (Crossref)","title":"Chapter 7 Hydrogen Peroxide Degradation in Cyanobacteria and Chapter 23 Cyanobacterial Respiratory Electron Transport: Heme-Copper Oxidases and Their Electron Donors","URL":"http://choicereviews.org/review/10.5860/CHOICE.49-5658","volume":"49","author":[{"family":"Zamocky","given":""},{"family":"Bernroitner","given":"Margit"},{"family":"Peschek","given":"Günter A."},{"family":"Obinger","given":"Christian"},{"family":"Renger","given":"Gernot"}],"accessed":{"date-parts":[["2022",11,16]]},"issued":{"date-parts":[["2012",6,1]]}}}],"schema":"https://github.com/citation-style-language/schema/raw/master/csl-citation.json"} </w:instrText>
      </w:r>
      <w:r w:rsidR="00BA57F3" w:rsidRPr="003609FB">
        <w:rPr>
          <w:rFonts w:ascii="Times New Roman" w:hAnsi="Times New Roman" w:cs="Times New Roman"/>
          <w:sz w:val="24"/>
          <w:szCs w:val="24"/>
        </w:rPr>
        <w:fldChar w:fldCharType="separate"/>
      </w:r>
      <w:r w:rsidR="00BA57F3">
        <w:rPr>
          <w:rFonts w:ascii="Times New Roman" w:hAnsi="Times New Roman" w:cs="Times New Roman"/>
          <w:sz w:val="24"/>
          <w:szCs w:val="24"/>
        </w:rPr>
        <w:t>(</w:t>
      </w:r>
      <w:proofErr w:type="spellStart"/>
      <w:r w:rsidR="00BA57F3">
        <w:rPr>
          <w:rFonts w:ascii="Times New Roman" w:hAnsi="Times New Roman" w:cs="Times New Roman"/>
          <w:sz w:val="24"/>
          <w:szCs w:val="24"/>
        </w:rPr>
        <w:t>Zamocky</w:t>
      </w:r>
      <w:proofErr w:type="spellEnd"/>
      <w:r w:rsidR="00BA57F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BA57F3">
        <w:rPr>
          <w:rFonts w:ascii="Times New Roman" w:hAnsi="Times New Roman" w:cs="Times New Roman"/>
          <w:sz w:val="24"/>
          <w:szCs w:val="24"/>
        </w:rPr>
        <w:t>. 2012)</w:t>
      </w:r>
      <w:r w:rsidR="00BA57F3" w:rsidRPr="003609FB">
        <w:rPr>
          <w:rFonts w:ascii="Times New Roman" w:hAnsi="Times New Roman" w:cs="Times New Roman"/>
          <w:sz w:val="24"/>
          <w:szCs w:val="24"/>
        </w:rPr>
        <w:fldChar w:fldCharType="end"/>
      </w:r>
      <w:r w:rsidR="00BA57F3" w:rsidRPr="003609FB">
        <w:rPr>
          <w:rFonts w:ascii="Times New Roman" w:hAnsi="Times New Roman" w:cs="Times New Roman"/>
          <w:sz w:val="24"/>
          <w:szCs w:val="24"/>
        </w:rPr>
        <w:t xml:space="preserve"> including most cultured, aerobic microbial species </w:t>
      </w:r>
      <w:r w:rsidR="00BA57F3" w:rsidRPr="003609FB">
        <w:rPr>
          <w:rFonts w:ascii="Times New Roman" w:hAnsi="Times New Roman" w:cs="Times New Roman"/>
          <w:sz w:val="24"/>
          <w:szCs w:val="24"/>
        </w:rPr>
        <w:fldChar w:fldCharType="begin"/>
      </w:r>
      <w:r w:rsidR="00BA57F3">
        <w:rPr>
          <w:rFonts w:ascii="Times New Roman" w:hAnsi="Times New Roman" w:cs="Times New Roman"/>
          <w:sz w:val="24"/>
          <w:szCs w:val="24"/>
        </w:rPr>
        <w:instrText xml:space="preserve"> ADDIN ZOTERO_ITEM CSL_CITATION {"citationID":"CpcTfzak","properties":{"formattedCitation":"(Bernroitner et al. 2009; Harada et al. 2021; Kawasaki et al. 1997)","plainCitation":"(Bernroitner et al. 2009; Harada et al. 2021; Kawasaki et al. 1997)","noteIndex":0},"citationItems":[{"id":1979,"uris":["http://zotero.org/users/6128296/items/UK4V58GU"],"itemData":{"id":1979,"type":"article-journal","abstract":"Cyanobacteria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A."},{"family":"Obinger","given":"Christian"}],"issued":{"date-parts":[["2009",2]]}}},{"id":4019,"uris":["http://zotero.org/users/6128296/items/H75NZL6B"],"itemData":{"id":4019,"type":"article-journal","abstract":"Knowledge on the evolution of antioxidant systems in cyanobacteria is crucial for elucidating the cause and consequence of the rise of atmospheric oxygen in the Earth’s history. In this study, to elucidate the origin and evolution of cyanobacterial antioxidant enzymes, we analyzed the occurrence of genes encoding four types of superoxide dismutases and three types of catalases in 85 complete cyanobacterial genomes, followed by phylogenetic analyses. We found that Fe superoxide dismutase (FeSOD), Mn superoxide dismutase (MnSOD), and Mn catalase (MnCat) are widely distributed among modern cyanobacteria, whereas CuZn superoxide dismutase (CuZnSOD), bifunctional catalase (KatG), and monofunctional catalase (KatE) are less common. Ni superoxide dismutase (NiSOD) is distributed among marine Prochlorococcus and Synechococcus species. Phylogenetic analyses suggested that bacterial MnSOD evolved from cambialistic Fe/MnSOD before the diversification of major bacterial lineages. The analyses suggested that FeSOD evolved from MnSOD before the origin of cyanobacteria. MnCat also evolved in the early stages of bacterial evolution, predating the emergence of cyanobacteria. KatG, KatE, and NiSOD appeared 2.3–2.5 billion years ago. Thus, almost all cyanobacterial antioxidant enzymes emerged before or during the rise of atmospheric oxygen. The loss and appearance of these enzymes in marine cyanobacteria may be also related to the change in the metal concentration induced by the increased oxygen concentration in the ocean.","container-title":"Journal of Molecular Evolution","DOI":"10.1007/s00239-021-10021-5","ISSN":"0022-2844, 1432-1432","issue":"8","journalAbbreviation":"J Mol Evol","language":"en","page":"527-543","source":"DOI.org (Crossref)","title":"Evolution of Superoxide Dismutases and Catalases in Cyanobacteria: Occurrence of the Antioxidant Enzyme Genes before the Rise of Atmospheric Oxygen","title-short":"Evolution of Superoxide Dismutases and Catalases in Cyanobacteria","volume":"89","author":[{"family":"Harada","given":""},{"family":"Akiyama","given":"Ayumi"},{"family":"Furukawa","given":"Ryutaro"},{"family":"Yokobori","given":"Shin-ichi"},{"family":"Tajika","given":"Eiichi"},{"family":"Yamagishi","given":"Akihiko"}],"issued":{"date-parts":[["2021",10]]}}},{"id":1964,"uris":["http://zotero.org/users/6128296/items/9YZCQCV2"],"itemData":{"id":1964,"type":"article-journal","container-title":"Journal of bacteriology","DOI":"10.1128/JB.179.10.3284-3292.1997","ISSN":"0021-9193","issue":"10","language":"en","page":"3284-3292","source":"DOI.org (Crossref)","title":"Two divergent catalase genes are differentially regulated during Aspergillus nidulans development and oxidative stress.","volume":"179","author":[{"family":"Kawasaki","given":""},{"family":"Wysong","given":"D"},{"family":"Diamond","given":"R"},{"family":"Aguirre","given":"J"}],"issued":{"date-parts":[["1997"]]}}}],"schema":"https://github.com/citation-style-language/schema/raw/master/csl-citation.json"} </w:instrText>
      </w:r>
      <w:r w:rsidR="00BA57F3" w:rsidRPr="003609FB">
        <w:rPr>
          <w:rFonts w:ascii="Times New Roman" w:hAnsi="Times New Roman" w:cs="Times New Roman"/>
          <w:sz w:val="24"/>
          <w:szCs w:val="24"/>
        </w:rPr>
        <w:fldChar w:fldCharType="separate"/>
      </w:r>
      <w:r w:rsidR="00BA57F3">
        <w:rPr>
          <w:rFonts w:ascii="Times New Roman" w:hAnsi="Times New Roman" w:cs="Times New Roman"/>
          <w:sz w:val="24"/>
          <w:szCs w:val="24"/>
        </w:rPr>
        <w:t>(</w:t>
      </w:r>
      <w:proofErr w:type="spellStart"/>
      <w:r w:rsidR="00BA57F3">
        <w:rPr>
          <w:rFonts w:ascii="Times New Roman" w:hAnsi="Times New Roman" w:cs="Times New Roman"/>
          <w:sz w:val="24"/>
          <w:szCs w:val="24"/>
        </w:rPr>
        <w:t>Bernroitner</w:t>
      </w:r>
      <w:proofErr w:type="spellEnd"/>
      <w:r w:rsidR="00BA57F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BA57F3">
        <w:rPr>
          <w:rFonts w:ascii="Times New Roman" w:hAnsi="Times New Roman" w:cs="Times New Roman"/>
          <w:sz w:val="24"/>
          <w:szCs w:val="24"/>
        </w:rPr>
        <w:t xml:space="preserve">. 2009; Harada </w:t>
      </w:r>
      <w:r w:rsidR="00183222" w:rsidRPr="00183222">
        <w:rPr>
          <w:rFonts w:ascii="Times New Roman" w:hAnsi="Times New Roman" w:cs="Times New Roman"/>
          <w:i/>
          <w:iCs/>
          <w:sz w:val="24"/>
          <w:szCs w:val="24"/>
        </w:rPr>
        <w:t>et al</w:t>
      </w:r>
      <w:r w:rsidR="00BA57F3">
        <w:rPr>
          <w:rFonts w:ascii="Times New Roman" w:hAnsi="Times New Roman" w:cs="Times New Roman"/>
          <w:sz w:val="24"/>
          <w:szCs w:val="24"/>
        </w:rPr>
        <w:t xml:space="preserve">. 2021; Kawasaki </w:t>
      </w:r>
      <w:r w:rsidR="00183222" w:rsidRPr="00183222">
        <w:rPr>
          <w:rFonts w:ascii="Times New Roman" w:hAnsi="Times New Roman" w:cs="Times New Roman"/>
          <w:i/>
          <w:iCs/>
          <w:sz w:val="24"/>
          <w:szCs w:val="24"/>
        </w:rPr>
        <w:t>et al</w:t>
      </w:r>
      <w:r w:rsidR="00BA57F3">
        <w:rPr>
          <w:rFonts w:ascii="Times New Roman" w:hAnsi="Times New Roman" w:cs="Times New Roman"/>
          <w:sz w:val="24"/>
          <w:szCs w:val="24"/>
        </w:rPr>
        <w:t>. 1997)</w:t>
      </w:r>
      <w:r w:rsidR="00BA57F3" w:rsidRPr="003609FB">
        <w:rPr>
          <w:rFonts w:ascii="Times New Roman" w:hAnsi="Times New Roman" w:cs="Times New Roman"/>
          <w:sz w:val="24"/>
          <w:szCs w:val="24"/>
        </w:rPr>
        <w:fldChar w:fldCharType="end"/>
      </w:r>
      <w:r w:rsidR="00BA57F3" w:rsidRPr="003609FB">
        <w:rPr>
          <w:rFonts w:ascii="Times New Roman" w:hAnsi="Times New Roman" w:cs="Times New Roman"/>
          <w:sz w:val="24"/>
          <w:szCs w:val="24"/>
        </w:rPr>
        <w:t xml:space="preserve">. Despite being </w:t>
      </w:r>
      <w:r w:rsidR="00DA5B62">
        <w:rPr>
          <w:rFonts w:ascii="Times New Roman" w:hAnsi="Times New Roman" w:cs="Times New Roman"/>
          <w:sz w:val="24"/>
          <w:szCs w:val="24"/>
        </w:rPr>
        <w:t>found in all kingdoms of life</w:t>
      </w:r>
      <w:r w:rsidR="00BA57F3" w:rsidRPr="003609FB">
        <w:rPr>
          <w:rFonts w:ascii="Times New Roman" w:hAnsi="Times New Roman" w:cs="Times New Roman"/>
          <w:sz w:val="24"/>
          <w:szCs w:val="24"/>
        </w:rPr>
        <w:t xml:space="preserve">, catalases are </w:t>
      </w:r>
      <w:r w:rsidR="00DA5B62">
        <w:rPr>
          <w:rFonts w:ascii="Times New Roman" w:hAnsi="Times New Roman" w:cs="Times New Roman"/>
          <w:sz w:val="24"/>
          <w:szCs w:val="24"/>
        </w:rPr>
        <w:t xml:space="preserve">isolated </w:t>
      </w:r>
      <w:r w:rsidR="00BA57F3" w:rsidRPr="003609FB">
        <w:rPr>
          <w:rFonts w:ascii="Times New Roman" w:hAnsi="Times New Roman" w:cs="Times New Roman"/>
          <w:sz w:val="24"/>
          <w:szCs w:val="24"/>
        </w:rPr>
        <w:t xml:space="preserve">infrequently in natural </w:t>
      </w:r>
      <w:r w:rsidR="00936851">
        <w:rPr>
          <w:rFonts w:ascii="Times New Roman" w:hAnsi="Times New Roman" w:cs="Times New Roman"/>
          <w:sz w:val="24"/>
          <w:szCs w:val="24"/>
        </w:rPr>
        <w:t xml:space="preserve">ocean </w:t>
      </w:r>
      <w:r w:rsidR="00BA57F3" w:rsidRPr="003609FB">
        <w:rPr>
          <w:rFonts w:ascii="Times New Roman" w:hAnsi="Times New Roman" w:cs="Times New Roman"/>
          <w:sz w:val="24"/>
          <w:szCs w:val="24"/>
        </w:rPr>
        <w:t xml:space="preserve">samples </w:t>
      </w:r>
      <w:r w:rsidR="00BA57F3" w:rsidRPr="003609FB">
        <w:rPr>
          <w:rFonts w:ascii="Times New Roman" w:hAnsi="Times New Roman" w:cs="Times New Roman"/>
          <w:sz w:val="24"/>
          <w:szCs w:val="24"/>
        </w:rPr>
        <w:fldChar w:fldCharType="begin"/>
      </w:r>
      <w:r w:rsidR="00BA57F3">
        <w:rPr>
          <w:rFonts w:ascii="Times New Roman" w:hAnsi="Times New Roman" w:cs="Times New Roman"/>
          <w:sz w:val="24"/>
          <w:szCs w:val="24"/>
        </w:rPr>
        <w:instrText xml:space="preserve"> ADDIN ZOTERO_ITEM CSL_CITATION {"citationID":"ohG5cQOk","properties":{"formattedCitation":"(Bernroitner et al. 2009)","plainCitation":"(Bernroitner et al. 2009)","noteIndex":0},"citationItems":[{"id":1979,"uris":["http://zotero.org/users/6128296/items/UK4V58GU"],"itemData":{"id":1979,"type":"article-journal","abstract":"Cyanobacteria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BA57F3" w:rsidRPr="003609FB">
        <w:rPr>
          <w:rFonts w:ascii="Times New Roman" w:hAnsi="Times New Roman" w:cs="Times New Roman"/>
          <w:sz w:val="24"/>
          <w:szCs w:val="24"/>
        </w:rPr>
        <w:fldChar w:fldCharType="separate"/>
      </w:r>
      <w:r w:rsidR="00BA57F3">
        <w:rPr>
          <w:rFonts w:ascii="Times New Roman" w:hAnsi="Times New Roman" w:cs="Times New Roman"/>
          <w:sz w:val="24"/>
          <w:szCs w:val="24"/>
        </w:rPr>
        <w:t>(</w:t>
      </w:r>
      <w:proofErr w:type="spellStart"/>
      <w:r w:rsidR="00BA57F3">
        <w:rPr>
          <w:rFonts w:ascii="Times New Roman" w:hAnsi="Times New Roman" w:cs="Times New Roman"/>
          <w:sz w:val="24"/>
          <w:szCs w:val="24"/>
        </w:rPr>
        <w:t>Bernroitner</w:t>
      </w:r>
      <w:proofErr w:type="spellEnd"/>
      <w:r w:rsidR="00BA57F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BA57F3">
        <w:rPr>
          <w:rFonts w:ascii="Times New Roman" w:hAnsi="Times New Roman" w:cs="Times New Roman"/>
          <w:sz w:val="24"/>
          <w:szCs w:val="24"/>
        </w:rPr>
        <w:t>. 2009)</w:t>
      </w:r>
      <w:r w:rsidR="00BA57F3" w:rsidRPr="003609FB">
        <w:rPr>
          <w:rFonts w:ascii="Times New Roman" w:hAnsi="Times New Roman" w:cs="Times New Roman"/>
          <w:sz w:val="24"/>
          <w:szCs w:val="24"/>
        </w:rPr>
        <w:fldChar w:fldCharType="end"/>
      </w:r>
      <w:r w:rsidR="00BA57F3" w:rsidRPr="003609FB">
        <w:rPr>
          <w:rFonts w:ascii="Times New Roman" w:hAnsi="Times New Roman" w:cs="Times New Roman"/>
          <w:sz w:val="24"/>
          <w:szCs w:val="24"/>
        </w:rPr>
        <w:t>.</w:t>
      </w:r>
      <w:r w:rsidR="00BA57F3">
        <w:rPr>
          <w:rFonts w:ascii="Times New Roman" w:hAnsi="Times New Roman" w:cs="Times New Roman"/>
          <w:sz w:val="24"/>
          <w:szCs w:val="24"/>
        </w:rPr>
        <w:t xml:space="preserve"> </w:t>
      </w:r>
      <w:r w:rsidR="005E185F" w:rsidRPr="003609FB">
        <w:rPr>
          <w:rFonts w:ascii="Times New Roman" w:hAnsi="Times New Roman" w:cs="Times New Roman"/>
          <w:sz w:val="24"/>
          <w:szCs w:val="24"/>
        </w:rPr>
        <w:t>In contrast, monofunctional peroxidases, are found across the tree of life</w:t>
      </w:r>
      <w:r w:rsidR="00537E28" w:rsidRPr="003609FB">
        <w:rPr>
          <w:rFonts w:ascii="Times New Roman" w:hAnsi="Times New Roman" w:cs="Times New Roman"/>
          <w:sz w:val="24"/>
          <w:szCs w:val="24"/>
        </w:rPr>
        <w:t xml:space="preserve"> and</w:t>
      </w:r>
      <w:r w:rsidR="005E185F" w:rsidRPr="003609FB">
        <w:rPr>
          <w:rFonts w:ascii="Times New Roman" w:hAnsi="Times New Roman" w:cs="Times New Roman"/>
          <w:sz w:val="24"/>
          <w:szCs w:val="24"/>
        </w:rPr>
        <w:t xml:space="preserve"> are also widespread, including within </w:t>
      </w:r>
      <w:r w:rsidR="00691B65" w:rsidRPr="00691B65">
        <w:rPr>
          <w:rFonts w:ascii="Times New Roman" w:hAnsi="Times New Roman" w:cs="Times New Roman"/>
          <w:i/>
          <w:iCs/>
          <w:sz w:val="24"/>
          <w:szCs w:val="24"/>
        </w:rPr>
        <w:t>Prochlorococcus</w:t>
      </w:r>
      <w:r w:rsidR="005E185F" w:rsidRPr="003609FB">
        <w:rPr>
          <w:rFonts w:ascii="Times New Roman" w:hAnsi="Times New Roman" w:cs="Times New Roman"/>
          <w:sz w:val="24"/>
          <w:szCs w:val="24"/>
        </w:rPr>
        <w:fldChar w:fldCharType="begin"/>
      </w:r>
      <w:r w:rsidR="00000000">
        <w:rPr>
          <w:rFonts w:ascii="Times New Roman" w:hAnsi="Times New Roman" w:cs="Times New Roman"/>
          <w:sz w:val="24"/>
          <w:szCs w:val="24"/>
        </w:rPr>
        <w:fldChar w:fldCharType="separate"/>
      </w:r>
      <w:r w:rsidR="005E185F" w:rsidRPr="003609FB">
        <w:rPr>
          <w:rFonts w:ascii="Times New Roman" w:hAnsi="Times New Roman" w:cs="Times New Roman"/>
          <w:sz w:val="24"/>
          <w:szCs w:val="24"/>
        </w:rPr>
        <w:fldChar w:fldCharType="end"/>
      </w:r>
      <w:r w:rsidR="005E185F" w:rsidRPr="003609FB">
        <w:rPr>
          <w:rFonts w:ascii="Times New Roman" w:hAnsi="Times New Roman" w:cs="Times New Roman"/>
          <w:sz w:val="24"/>
          <w:szCs w:val="24"/>
        </w:rPr>
        <w:t>. The pervasiveness of peroxidases and relative rarity of catalases suggest a functional copy of the latter enzyme is costly to express.</w:t>
      </w:r>
      <w:r w:rsidR="00023BB4">
        <w:rPr>
          <w:rFonts w:ascii="Times New Roman" w:hAnsi="Times New Roman" w:cs="Times New Roman"/>
          <w:sz w:val="24"/>
          <w:szCs w:val="24"/>
        </w:rPr>
        <w:t xml:space="preserve"> </w:t>
      </w:r>
      <w:r w:rsidR="0010789D">
        <w:rPr>
          <w:rFonts w:ascii="Times New Roman" w:hAnsi="Times New Roman" w:cs="Times New Roman"/>
          <w:sz w:val="24"/>
          <w:szCs w:val="24"/>
        </w:rPr>
        <w:t xml:space="preserve">Catalases and peroxidases both detoxify </w:t>
      </w:r>
      <w:r w:rsidR="0010789D" w:rsidRPr="003609FB">
        <w:rPr>
          <w:rFonts w:ascii="Times New Roman" w:hAnsi="Times New Roman" w:cs="Times New Roman"/>
          <w:sz w:val="24"/>
          <w:szCs w:val="24"/>
        </w:rPr>
        <w:t>H</w:t>
      </w:r>
      <w:r w:rsidR="0010789D" w:rsidRPr="00351FC4">
        <w:rPr>
          <w:rFonts w:ascii="Times New Roman" w:hAnsi="Times New Roman" w:cs="Times New Roman"/>
          <w:sz w:val="24"/>
          <w:szCs w:val="24"/>
          <w:vertAlign w:val="subscript"/>
        </w:rPr>
        <w:t>2</w:t>
      </w:r>
      <w:r w:rsidR="0010789D" w:rsidRPr="003609FB">
        <w:rPr>
          <w:rFonts w:ascii="Times New Roman" w:hAnsi="Times New Roman" w:cs="Times New Roman"/>
          <w:sz w:val="24"/>
          <w:szCs w:val="24"/>
        </w:rPr>
        <w:t>O</w:t>
      </w:r>
      <w:r w:rsidR="0010789D" w:rsidRPr="00351FC4">
        <w:rPr>
          <w:rFonts w:ascii="Times New Roman" w:hAnsi="Times New Roman" w:cs="Times New Roman"/>
          <w:sz w:val="24"/>
          <w:szCs w:val="24"/>
          <w:vertAlign w:val="subscript"/>
        </w:rPr>
        <w:t>2</w:t>
      </w:r>
      <w:r w:rsidR="0010789D">
        <w:rPr>
          <w:rFonts w:ascii="Times New Roman" w:hAnsi="Times New Roman" w:cs="Times New Roman"/>
          <w:sz w:val="24"/>
          <w:szCs w:val="24"/>
        </w:rPr>
        <w:t xml:space="preserve"> to </w:t>
      </w:r>
      <w:r w:rsidR="0010789D" w:rsidRPr="003609FB">
        <w:rPr>
          <w:rFonts w:ascii="Times New Roman" w:hAnsi="Times New Roman" w:cs="Times New Roman"/>
          <w:sz w:val="24"/>
          <w:szCs w:val="24"/>
        </w:rPr>
        <w:t>H</w:t>
      </w:r>
      <w:r w:rsidR="0010789D" w:rsidRPr="00351FC4">
        <w:rPr>
          <w:rFonts w:ascii="Times New Roman" w:hAnsi="Times New Roman" w:cs="Times New Roman"/>
          <w:sz w:val="24"/>
          <w:szCs w:val="24"/>
          <w:vertAlign w:val="subscript"/>
        </w:rPr>
        <w:t>2</w:t>
      </w:r>
      <w:r w:rsidR="0010789D" w:rsidRPr="003609FB">
        <w:rPr>
          <w:rFonts w:ascii="Times New Roman" w:hAnsi="Times New Roman" w:cs="Times New Roman"/>
          <w:sz w:val="24"/>
          <w:szCs w:val="24"/>
        </w:rPr>
        <w:t>O</w:t>
      </w:r>
      <w:r w:rsidR="0010789D">
        <w:rPr>
          <w:rFonts w:ascii="Times New Roman" w:hAnsi="Times New Roman" w:cs="Times New Roman"/>
          <w:sz w:val="24"/>
          <w:szCs w:val="24"/>
        </w:rPr>
        <w:t xml:space="preserve"> and </w:t>
      </w:r>
      <w:r w:rsidR="00A15353">
        <w:rPr>
          <w:rFonts w:ascii="Times New Roman" w:hAnsi="Times New Roman" w:cs="Times New Roman"/>
          <w:sz w:val="24"/>
          <w:szCs w:val="24"/>
        </w:rPr>
        <w:t>another</w:t>
      </w:r>
      <w:r w:rsidR="0010789D">
        <w:rPr>
          <w:rFonts w:ascii="Times New Roman" w:hAnsi="Times New Roman" w:cs="Times New Roman"/>
          <w:sz w:val="24"/>
          <w:szCs w:val="24"/>
        </w:rPr>
        <w:t xml:space="preserve"> non-toxic</w:t>
      </w:r>
      <w:r w:rsidR="00A15353">
        <w:rPr>
          <w:rFonts w:ascii="Times New Roman" w:hAnsi="Times New Roman" w:cs="Times New Roman"/>
          <w:sz w:val="24"/>
          <w:szCs w:val="24"/>
        </w:rPr>
        <w:t xml:space="preserve"> molecule </w:t>
      </w:r>
      <w:r w:rsidR="00A15353">
        <w:rPr>
          <w:rFonts w:ascii="Times New Roman" w:hAnsi="Times New Roman" w:cs="Times New Roman"/>
          <w:sz w:val="24"/>
          <w:szCs w:val="24"/>
        </w:rPr>
        <w:fldChar w:fldCharType="begin"/>
      </w:r>
      <w:r w:rsidR="00A15353">
        <w:rPr>
          <w:rFonts w:ascii="Times New Roman" w:hAnsi="Times New Roman" w:cs="Times New Roman"/>
          <w:sz w:val="24"/>
          <w:szCs w:val="24"/>
        </w:rPr>
        <w:instrText xml:space="preserve"> ADDIN ZOTERO_TEMP </w:instrText>
      </w:r>
      <w:r w:rsidR="00A15353">
        <w:rPr>
          <w:rFonts w:ascii="Times New Roman" w:hAnsi="Times New Roman" w:cs="Times New Roman"/>
          <w:sz w:val="24"/>
          <w:szCs w:val="24"/>
        </w:rPr>
        <w:fldChar w:fldCharType="separate"/>
      </w:r>
      <w:r w:rsidR="00A15353">
        <w:rPr>
          <w:rFonts w:ascii="Times New Roman" w:hAnsi="Times New Roman" w:cs="Times New Roman"/>
          <w:noProof/>
          <w:sz w:val="24"/>
          <w:szCs w:val="24"/>
        </w:rPr>
        <w:t xml:space="preserve">(Bernroitner </w:t>
      </w:r>
      <w:r w:rsidR="00183222" w:rsidRPr="00183222">
        <w:rPr>
          <w:rFonts w:ascii="Times New Roman" w:hAnsi="Times New Roman" w:cs="Times New Roman"/>
          <w:i/>
          <w:iCs/>
          <w:sz w:val="24"/>
          <w:szCs w:val="24"/>
        </w:rPr>
        <w:t>et al</w:t>
      </w:r>
      <w:r w:rsidR="00A15353">
        <w:rPr>
          <w:rFonts w:ascii="Times New Roman" w:hAnsi="Times New Roman" w:cs="Times New Roman"/>
          <w:noProof/>
          <w:sz w:val="24"/>
          <w:szCs w:val="24"/>
        </w:rPr>
        <w:t xml:space="preserve">. 2009; Ighodaro and Akinloye 2018; Regelsberger </w:t>
      </w:r>
      <w:r w:rsidR="00183222" w:rsidRPr="00183222">
        <w:rPr>
          <w:rFonts w:ascii="Times New Roman" w:hAnsi="Times New Roman" w:cs="Times New Roman"/>
          <w:i/>
          <w:iCs/>
          <w:sz w:val="24"/>
          <w:szCs w:val="24"/>
        </w:rPr>
        <w:t>et al</w:t>
      </w:r>
      <w:r w:rsidR="00A15353">
        <w:rPr>
          <w:rFonts w:ascii="Times New Roman" w:hAnsi="Times New Roman" w:cs="Times New Roman"/>
          <w:noProof/>
          <w:sz w:val="24"/>
          <w:szCs w:val="24"/>
        </w:rPr>
        <w:t>. 2002)</w:t>
      </w:r>
      <w:r w:rsidR="00A15353">
        <w:rPr>
          <w:rFonts w:ascii="Times New Roman" w:hAnsi="Times New Roman" w:cs="Times New Roman"/>
          <w:sz w:val="24"/>
          <w:szCs w:val="24"/>
        </w:rPr>
        <w:fldChar w:fldCharType="end"/>
      </w:r>
      <w:r w:rsidR="0010789D">
        <w:rPr>
          <w:rFonts w:ascii="Times New Roman" w:hAnsi="Times New Roman" w:cs="Times New Roman"/>
          <w:sz w:val="24"/>
          <w:szCs w:val="24"/>
        </w:rPr>
        <w:t xml:space="preserve">. </w:t>
      </w:r>
      <w:r w:rsidR="00BA57F3">
        <w:rPr>
          <w:rFonts w:ascii="Times New Roman" w:hAnsi="Times New Roman" w:cs="Times New Roman"/>
          <w:sz w:val="24"/>
          <w:szCs w:val="24"/>
        </w:rPr>
        <w:t>And p</w:t>
      </w:r>
      <w:r w:rsidR="0010789D">
        <w:rPr>
          <w:rFonts w:ascii="Times New Roman" w:hAnsi="Times New Roman" w:cs="Times New Roman"/>
          <w:sz w:val="24"/>
          <w:szCs w:val="24"/>
        </w:rPr>
        <w:t xml:space="preserve">roteins within these groups have separately been shown to both be </w:t>
      </w:r>
      <w:r w:rsidR="00A15353">
        <w:rPr>
          <w:rFonts w:ascii="Times New Roman" w:hAnsi="Times New Roman" w:cs="Times New Roman"/>
          <w:sz w:val="24"/>
          <w:szCs w:val="24"/>
        </w:rPr>
        <w:t>constitutive</w:t>
      </w:r>
      <w:r w:rsidR="0010789D">
        <w:rPr>
          <w:rFonts w:ascii="Times New Roman" w:hAnsi="Times New Roman" w:cs="Times New Roman"/>
          <w:sz w:val="24"/>
          <w:szCs w:val="24"/>
        </w:rPr>
        <w:t xml:space="preserve"> and stress</w:t>
      </w:r>
      <w:r w:rsidR="00A15353">
        <w:rPr>
          <w:rFonts w:ascii="Times New Roman" w:hAnsi="Times New Roman" w:cs="Times New Roman"/>
          <w:sz w:val="24"/>
          <w:szCs w:val="24"/>
        </w:rPr>
        <w:t xml:space="preserve">-induced regulation </w:t>
      </w:r>
      <w:r w:rsidR="00A15353">
        <w:rPr>
          <w:rFonts w:ascii="Times New Roman" w:hAnsi="Times New Roman" w:cs="Times New Roman"/>
          <w:sz w:val="24"/>
          <w:szCs w:val="24"/>
        </w:rPr>
        <w:fldChar w:fldCharType="begin"/>
      </w:r>
      <w:r w:rsidR="00A15353">
        <w:rPr>
          <w:rFonts w:ascii="Times New Roman" w:hAnsi="Times New Roman" w:cs="Times New Roman"/>
          <w:sz w:val="24"/>
          <w:szCs w:val="24"/>
        </w:rPr>
        <w:instrText xml:space="preserve"> ADDIN ZOTERO_ITEM CSL_CITATION {"citationID":"da9pNLfW","properties":{"formattedCitation":"(Brown 1995; Venkatesan et al. 2007; Schellhorn 1995; Sato et al. 1992)","plainCitation":"(Brown 1995; Venkatesan et al. 2007; Schellhorn 1995; Sato et al. 1992)","noteIndex":0},"citationItems":[{"id":3114,"uris":["http://zotero.org/users/6128296/items/XVUUYSP5"],"itemData":{"id":3114,"type":"article-journal","container-title":"European Journal of Biochemistry","DOI":"10.1111/j.1432-1033.1995.tb20798.x","ISSN":"0014-2956, 1432-1033","issue":"1","journalAbbreviation":"Eur J Biochem","language":"en","page":"188-191","source":"DOI.org (Crossref)","title":"Reversible Binding and Inhibition of Catalase by Nitric Oxide","volume":"232","author":[{"family":"Brown","given":""}],"issued":{"date-parts":[["1995",8]]}}},{"id":3623,"uris":["http://zotero.org/users/6128296/items/F73RVSKD"],"itemData":{"id":3623,"type":"article-journal","container-title":"Journal of Cellular Physiology","DOI":"10.1002/jcp.20953","ISSN":"00219541, 10974652","issue":"2","journalAbbreviation":"J. Cell. Physiol.","language":"en","page":"457-467","source":"DOI.org (Crossref)","title":"Downregulation of catalase by reactive oxygen species via PI 3 kinase/Akt signaling in mesangial cells","volume":"211","author":[{"family":"Venkatesan","given":""},{"family":"Mahimainathan","given":"Lenin"},{"family":"Das","given":"Falguni"},{"family":"Ghosh-Choudhury","given":"Nandini"},{"family":"Ghosh Choudhury","given":"Goutam"}],"issued":{"date-parts":[["2007",5]]}}},{"id":2235,"uris":["http://zotero.org/users/6128296/items/H3ZUN9JP"],"itemData":{"id":2235,"type":"article-journal","abstract":"As part of its adaptive response to oxidative stress, Escherichia coli produces two inducible hydroperoxidases called HPI and I-MI. Upon exposure to sublethal levels of hydrogen peroxide, HP1 expression is induced at the transcriptional level by OxyR, a member of the LysR family of autoregulators. OxyR, functioning as both a sensor and transducer, contains a critical redox-sensitive Cys residue that is oxidized by hydrogen peroxide. This is thought to induce a conformational change in the tertiary structure of the OxyR tetramer altering its DNA-binding specificity and resulting in an increase in the transcription of katc and several other OxyR-dependent genes. In contrast, synthesis of the HP11 enzyme is not induced by hydrogen peroxide. Expression of both HP1 and HP11 is growth phase-dependent levels of HP1 and HP11 are lo-fold higher in stationary phase than exponential phase cultures. These growth phase-dependent increases are largely dependent on RpoS, a stationary phase specific sigma factor that is itself subject to complex transcriptional and post-transcriptional controls. Several metabolic signals have been proposed to activate the RpoS regulon including hyperosmolarity, weak acids, homoserine la&amp;one and UDP-glucose. Since both HP1 and HP11 are members of the RpoS regulon, elucidation of the mechanism of regulation of RpoS should contribute to our general understanding of hydroperoxidase regulation.","container-title":"FEMS Microbiology Letters","DOI":"10.1111/j.1574-6968.1995.tb07764.x","ISSN":"03781097, 15746968","issue":"2","language":"en","page":"113-119","source":"DOI.org (Crossref)","title":"Regulation of hydroperoxidase (catalase) expression in &lt;i&gt;Escherichia coli&lt;/i&gt;","volume":"131","author":[{"family":"Schellhorn","given":""}],"issued":{"date-parts":[["1995",9]]}}},{"id":2236,"uris":["http://zotero.org/users/6128296/items/5DFU6HDQ"],"itemData":{"id":2236,"type":"article-journal","abstract":"For an understanding of the molecular basis of the marked decrease in catalase activity of various tumor cells, expression of the catalase gene was studied in rat and human hepatoma cell lines and in rat liver, which was used as a control with high activity. RNA blot hybridization profiles and run-on assays indicated that the decrease in catalase activity was due to depression of catalase gene transcription. Chloramphenicol acetyltransferase (CAT) assays for the fragments with various lengths of the 5'-flanking region (up to -4.5 kb from the ATG codon) of the catalase gene revealed the presence of several cis-acting elements involved in the negative regulation of transcription. The most-upstream element with the strongest activity (-3504 to -3364 bp), when linked to the catalase promoter region (-126 bp) of the CAT construct and subjected to an in vitro transcription assay, did not yield transcripts in experiments with the hepatoma nuclear extract, whereas the unlinked template did yield transcripts. A gel shift competition assay using hepatoma nuclear extract showed the core sequence of the silencer element to be 5'-TGGGGGGAG-3'. A homology search found that the same core sequence was also present in 5'-flanking regions of the albumin gene and of some other liver enzyme genes, the expression of which has been reported to be down regulated in some hepatoma cells. Southwestern (DNA-protein) analysis demonstrated that an approximately 35-kDa nuclear protein bound to the silencer element was present in hepatoma cells but not in rat liver cells.","container-title":"Molecular and Cellular Biology","DOI":"10.1128/MCB.12.6.2525","ISSN":"0270-7306, 1098-5549","issue":"6","journalAbbreviation":"Mol. Cell. Biol.","language":"en","page":"2525-2533","source":"DOI.org (Crossref)","title":"Negative regulation of catalase gene expression in hepatoma cells.","volume":"12","author":[{"family":"Sato","given":""},{"family":"Ito","given":"K"},{"family":"Kohara","given":"H"},{"family":"Yamaguchi","given":"Y"},{"family":"Adachi","given":"K"},{"family":"Endo","given":"H"}],"issued":{"date-parts":[["1992",6]]}}}],"schema":"https://github.com/citation-style-language/schema/raw/master/csl-citation.json"} </w:instrText>
      </w:r>
      <w:r w:rsidR="00A15353">
        <w:rPr>
          <w:rFonts w:ascii="Times New Roman" w:hAnsi="Times New Roman" w:cs="Times New Roman"/>
          <w:sz w:val="24"/>
          <w:szCs w:val="24"/>
        </w:rPr>
        <w:fldChar w:fldCharType="separate"/>
      </w:r>
      <w:r w:rsidR="00A15353">
        <w:rPr>
          <w:rFonts w:ascii="Times New Roman" w:hAnsi="Times New Roman" w:cs="Times New Roman"/>
          <w:noProof/>
          <w:sz w:val="24"/>
          <w:szCs w:val="24"/>
        </w:rPr>
        <w:t xml:space="preserve">(Brown 1995; Venkatesan </w:t>
      </w:r>
      <w:r w:rsidR="00183222" w:rsidRPr="00183222">
        <w:rPr>
          <w:rFonts w:ascii="Times New Roman" w:hAnsi="Times New Roman" w:cs="Times New Roman"/>
          <w:i/>
          <w:iCs/>
          <w:sz w:val="24"/>
          <w:szCs w:val="24"/>
        </w:rPr>
        <w:t>et al</w:t>
      </w:r>
      <w:r w:rsidR="00A15353">
        <w:rPr>
          <w:rFonts w:ascii="Times New Roman" w:hAnsi="Times New Roman" w:cs="Times New Roman"/>
          <w:noProof/>
          <w:sz w:val="24"/>
          <w:szCs w:val="24"/>
        </w:rPr>
        <w:t xml:space="preserve">. 2007; Schellhorn 1995; Sato </w:t>
      </w:r>
      <w:r w:rsidR="00183222" w:rsidRPr="00183222">
        <w:rPr>
          <w:rFonts w:ascii="Times New Roman" w:hAnsi="Times New Roman" w:cs="Times New Roman"/>
          <w:i/>
          <w:iCs/>
          <w:sz w:val="24"/>
          <w:szCs w:val="24"/>
        </w:rPr>
        <w:t>et al</w:t>
      </w:r>
      <w:r w:rsidR="00A15353">
        <w:rPr>
          <w:rFonts w:ascii="Times New Roman" w:hAnsi="Times New Roman" w:cs="Times New Roman"/>
          <w:noProof/>
          <w:sz w:val="24"/>
          <w:szCs w:val="24"/>
        </w:rPr>
        <w:t>. 1992)</w:t>
      </w:r>
      <w:r w:rsidR="00A15353">
        <w:rPr>
          <w:rFonts w:ascii="Times New Roman" w:hAnsi="Times New Roman" w:cs="Times New Roman"/>
          <w:sz w:val="24"/>
          <w:szCs w:val="24"/>
        </w:rPr>
        <w:fldChar w:fldCharType="end"/>
      </w:r>
      <w:r w:rsidR="00A15353">
        <w:rPr>
          <w:rFonts w:ascii="Times New Roman" w:hAnsi="Times New Roman" w:cs="Times New Roman"/>
          <w:sz w:val="24"/>
          <w:szCs w:val="24"/>
        </w:rPr>
        <w:t xml:space="preserve">. </w:t>
      </w:r>
      <w:r w:rsidR="00BA57F3">
        <w:rPr>
          <w:rFonts w:ascii="Times New Roman" w:hAnsi="Times New Roman" w:cs="Times New Roman"/>
          <w:sz w:val="24"/>
          <w:szCs w:val="24"/>
        </w:rPr>
        <w:t>Further</w:t>
      </w:r>
      <w:r w:rsidR="00AF2337">
        <w:rPr>
          <w:rFonts w:ascii="Times New Roman" w:hAnsi="Times New Roman" w:cs="Times New Roman"/>
          <w:sz w:val="24"/>
          <w:szCs w:val="24"/>
        </w:rPr>
        <w:t xml:space="preserve"> peroxidase and </w:t>
      </w:r>
      <w:r w:rsidR="00DA29C6">
        <w:rPr>
          <w:rFonts w:ascii="Times New Roman" w:hAnsi="Times New Roman" w:cs="Times New Roman"/>
          <w:sz w:val="24"/>
          <w:szCs w:val="24"/>
        </w:rPr>
        <w:t>catalase</w:t>
      </w:r>
      <w:r w:rsidR="00AF2337">
        <w:rPr>
          <w:rFonts w:ascii="Times New Roman" w:hAnsi="Times New Roman" w:cs="Times New Roman"/>
          <w:sz w:val="24"/>
          <w:szCs w:val="24"/>
        </w:rPr>
        <w:t xml:space="preserve"> require metals to operate properly </w:t>
      </w:r>
      <w:r w:rsidR="00DA29C6">
        <w:rPr>
          <w:rFonts w:ascii="Times New Roman" w:hAnsi="Times New Roman" w:cs="Times New Roman"/>
          <w:sz w:val="24"/>
          <w:szCs w:val="24"/>
        </w:rPr>
        <w:fldChar w:fldCharType="begin"/>
      </w:r>
      <w:r w:rsidR="00BA57F3">
        <w:rPr>
          <w:rFonts w:ascii="Times New Roman" w:hAnsi="Times New Roman" w:cs="Times New Roman"/>
          <w:sz w:val="24"/>
          <w:szCs w:val="24"/>
        </w:rPr>
        <w:instrText xml:space="preserve"> ADDIN ZOTERO_ITEM CSL_CITATION {"citationID":"EPr4Kmvg","properties":{"formattedCitation":"(Pinnix et al. 1994; Regelsberger et al. 2002; Bernroitner et al. 2009; Tovmasyan et al. 2015)","plainCitation":"(Pinnix et al. 1994; Regelsberger et al. 2002; Bernroitner et al. 2009; Tovmasyan et al. 2015)","noteIndex":0},"citationItems":[{"id":4439,"uris":["http://zotero.org/users/6128296/items/3XH6QR7W"],"itemData":{"id":4439,"type":"article-journal","container-title":"Archives of Biochemistry and Biophysics","DOI":"10.1006/abbi.1994.1331","ISSN":"00039861","issue":"2","journalAbbreviation":"Archives of Biochemistry and Biophysics","language":"en","page":"447-458","source":"DOI.org (Crossref)","title":"The Post-translational Processing of Myeloperoxidase Is Regulated by the Availability of Heme","volume":"312","author":[{"family":"Pinnix","given":""},{"family":"Guzman","given":"G.S."},{"family":"Bonkovsky","given":"H.L."},{"family":"Zaki","given":"S.R."},{"family":"Kinkade","given":"J.M."}],"issued":{"date-parts":[["1994",8]]}}},{"id":4145,"uris":["http://zotero.org/users/6128296/items/H56Z38NG"],"itemData":{"id":4145,"type":"article-journal","abstract":"Blue-green algae (cyanobacteria) have evolved as the most primitive, oxygenic, plant-type photosynthetic organisms. They were the ﬁrst which produced molecular oxygen as a byproduct of photosynthetic activity. Also today they live in habitats with potentially damaging photooxidative conditions due to high irradiation and oxygen concentrations. Therefore, the cells must have evolved protective mechanisms to cope with reactive oxygen species produced by incomplete reduction of molecular oxygen via electron transport processes to prevent damage of biologically important macromolecules. Hydrogen peroxide and organic peroxides can be removed by enzymes called hydroperoxidases which on the one hand disproportionate it (catalases and catalase-peroxidases) and on the other hand use electron donors to reduce it to water or the corresponding alcohols. Until now the sequenced or partially sequenced genomes of six cyanobacteria are available in databases. Based on similarity searches and multiple sequence alignments, several cyanobacterial hydroperoxidases can be detected. All the cyanobacteria possess peroxiredoxins which use thioredoxin or other reduced thiols to get rid of hydrogen peroxide and lipid peroxides. Nearly all cyanobacteria contain an NADPH-dependent glutathione peroxidase-like protein which uses NADPH to reduce unsaturated fatty acid hydroperoxides. The best analyzed cyanobacterial antioxidative enzyme is the hemoprotein catalase-peroxidase which has a high catalase activity but concerning the sequence it is a typical peroxidase. Two species seem to encode a manganese-containing catalase and Nostoc punctiforme could use a monofunctional catalase. There are as well additional peroxidases encoded in cyanobacteria whose physiological relevance is unknown. © 2002 Éditions scientiﬁques et médicales Elsevier SAS. All rights reserved.","container-title":"Plant Physiology and Biochemistry","DOI":"10.1016/S0981-9428(02)01405-5","ISSN":"09819428","issue":"6-8","journalAbbreviation":"Plant Physiology and Biochemistry","language":"en","page":"479-490","source":"DOI.org (Crossref)","title":"Occurrence and biochemistry of hydroperoxidases in oxygenic phototrophic prokaryotes (cyanobacteria)","volume":"40","author":[{"family":"Regelsberger","given":""},{"family":"Jakopitsch","given":"Christa"},{"family":"Plasser","given":"Lisa"},{"family":"Schwaiger","given":"Hansjörg"},{"family":"Furtmüller","given":"Paul Georg"},{"family":"Peschek","given":"Günter A."},{"family":"Zámocký","given":"Marcel"},{"family":"Obinger","given":"Christian"}],"issued":{"date-parts":[["2002",6]]}}},{"id":1979,"uris":["http://zotero.org/users/6128296/items/UK4V58GU"],"itemData":{"id":1979,"type":"article-journal","abstract":"Cyanobacteria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A."},{"family":"Obinger","given":"Christian"}],"issued":{"date-parts":[["2009",2]]}}},{"id":2234,"uris":["http://zotero.org/users/6128296/items/YNV2WQKD"],"itemData":{"id":2234,"type":"article-journal","container-title":"Free Radical Biology and Medicine","DOI":"10.1016/j.freeradbiomed.2015.05.018","ISSN":"08915849","journalAbbreviation":"Free Radical Biology and Medicine","language":"en","page":"308-321","source":"DOI.org (Crossref)","title":"A comprehensive evaluation of catalase-like activity of different classes of redox-active therapeutics","volume":"86","author":[{"family":"Tovmasyan","given":""},{"family":"Maia","given":"Clarissa G.C."},{"family":"Weitner","given":"Tin"},{"family":"Carballal","given":"Sebastián"},{"family":"Sampaio","given":"Romulo S."},{"family":"Lieb","given":"Dominik"},{"family":"Ghazaryan","given":"Robert"},{"family":"Ivanovic-Burmazovic","given":"Ivana"},{"family":"Ferrer-Sueta","given":"Gerardo"},{"family":"Radi","given":"Rafael"},{"family":"Reboucas","given":"Julio S."},{"family":"Spasojevic","given":"Ivan"},{"family":"Benov","given":"Ludmil"},{"family":"Batinic-Haberle","given":"Ines"}],"issued":{"date-parts":[["2015",9]]}}}],"schema":"https://github.com/citation-style-language/schema/raw/master/csl-citation.json"} </w:instrText>
      </w:r>
      <w:r w:rsidR="00DA29C6">
        <w:rPr>
          <w:rFonts w:ascii="Times New Roman" w:hAnsi="Times New Roman" w:cs="Times New Roman"/>
          <w:sz w:val="24"/>
          <w:szCs w:val="24"/>
        </w:rPr>
        <w:fldChar w:fldCharType="separate"/>
      </w:r>
      <w:r w:rsidR="00BA57F3">
        <w:rPr>
          <w:rFonts w:ascii="Times New Roman" w:hAnsi="Times New Roman" w:cs="Times New Roman"/>
          <w:noProof/>
          <w:sz w:val="24"/>
          <w:szCs w:val="24"/>
        </w:rPr>
        <w:t xml:space="preserve">(Pinnix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xml:space="preserve">. 1994; Regelsberger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xml:space="preserve">. 2002; Bernroitner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xml:space="preserve">. 2009; Tovmasyan </w:t>
      </w:r>
      <w:r w:rsidR="00183222" w:rsidRPr="00183222">
        <w:rPr>
          <w:rFonts w:ascii="Times New Roman" w:hAnsi="Times New Roman" w:cs="Times New Roman"/>
          <w:i/>
          <w:iCs/>
          <w:sz w:val="24"/>
          <w:szCs w:val="24"/>
        </w:rPr>
        <w:t>et al</w:t>
      </w:r>
      <w:r w:rsidR="00BA57F3">
        <w:rPr>
          <w:rFonts w:ascii="Times New Roman" w:hAnsi="Times New Roman" w:cs="Times New Roman"/>
          <w:noProof/>
          <w:sz w:val="24"/>
          <w:szCs w:val="24"/>
        </w:rPr>
        <w:t>. 2015)</w:t>
      </w:r>
      <w:r w:rsidR="00DA29C6">
        <w:rPr>
          <w:rFonts w:ascii="Times New Roman" w:hAnsi="Times New Roman" w:cs="Times New Roman"/>
          <w:sz w:val="24"/>
          <w:szCs w:val="24"/>
        </w:rPr>
        <w:fldChar w:fldCharType="end"/>
      </w:r>
      <w:r w:rsidR="00DA29C6">
        <w:rPr>
          <w:rFonts w:ascii="Times New Roman" w:hAnsi="Times New Roman" w:cs="Times New Roman"/>
          <w:sz w:val="24"/>
          <w:szCs w:val="24"/>
        </w:rPr>
        <w:t xml:space="preserve">, </w:t>
      </w:r>
      <w:r w:rsidR="00AF2337">
        <w:rPr>
          <w:rFonts w:ascii="Times New Roman" w:hAnsi="Times New Roman" w:cs="Times New Roman"/>
          <w:sz w:val="24"/>
          <w:szCs w:val="24"/>
        </w:rPr>
        <w:t xml:space="preserve">thus a warming ocean may influence all detox mechanisms of </w:t>
      </w:r>
      <w:r w:rsidR="00AF2337" w:rsidRPr="003609FB">
        <w:rPr>
          <w:rFonts w:ascii="Times New Roman" w:hAnsi="Times New Roman" w:cs="Times New Roman"/>
          <w:sz w:val="24"/>
          <w:szCs w:val="24"/>
        </w:rPr>
        <w:t>H</w:t>
      </w:r>
      <w:r w:rsidR="00AF2337" w:rsidRPr="00351FC4">
        <w:rPr>
          <w:rFonts w:ascii="Times New Roman" w:hAnsi="Times New Roman" w:cs="Times New Roman"/>
          <w:sz w:val="24"/>
          <w:szCs w:val="24"/>
          <w:vertAlign w:val="subscript"/>
        </w:rPr>
        <w:t>2</w:t>
      </w:r>
      <w:r w:rsidR="00AF2337" w:rsidRPr="003609FB">
        <w:rPr>
          <w:rFonts w:ascii="Times New Roman" w:hAnsi="Times New Roman" w:cs="Times New Roman"/>
          <w:sz w:val="24"/>
          <w:szCs w:val="24"/>
        </w:rPr>
        <w:t>O</w:t>
      </w:r>
      <w:r w:rsidR="00AF2337" w:rsidRPr="00351FC4">
        <w:rPr>
          <w:rFonts w:ascii="Times New Roman" w:hAnsi="Times New Roman" w:cs="Times New Roman"/>
          <w:sz w:val="24"/>
          <w:szCs w:val="24"/>
          <w:vertAlign w:val="subscript"/>
        </w:rPr>
        <w:t>2</w:t>
      </w:r>
      <w:r w:rsidR="00406E13">
        <w:rPr>
          <w:rFonts w:ascii="Times New Roman" w:hAnsi="Times New Roman" w:cs="Times New Roman"/>
          <w:sz w:val="24"/>
          <w:szCs w:val="24"/>
          <w:vertAlign w:val="subscript"/>
        </w:rPr>
        <w:t xml:space="preserve"> </w:t>
      </w:r>
      <w:r w:rsidR="00406E13">
        <w:rPr>
          <w:rFonts w:ascii="Times New Roman" w:hAnsi="Times New Roman" w:cs="Times New Roman"/>
          <w:sz w:val="24"/>
          <w:szCs w:val="24"/>
        </w:rPr>
        <w:t>in microbes</w:t>
      </w:r>
      <w:r w:rsidR="00AF2337">
        <w:rPr>
          <w:rFonts w:ascii="Times New Roman" w:hAnsi="Times New Roman" w:cs="Times New Roman"/>
          <w:sz w:val="24"/>
          <w:szCs w:val="24"/>
        </w:rPr>
        <w:t>.</w:t>
      </w:r>
      <w:r w:rsidR="00DA29C6">
        <w:rPr>
          <w:rFonts w:ascii="Times New Roman" w:hAnsi="Times New Roman" w:cs="Times New Roman"/>
          <w:sz w:val="24"/>
          <w:szCs w:val="24"/>
        </w:rPr>
        <w:t xml:space="preserve"> </w:t>
      </w:r>
      <w:r w:rsidR="00406E13">
        <w:rPr>
          <w:rFonts w:ascii="Times New Roman" w:hAnsi="Times New Roman" w:cs="Times New Roman"/>
          <w:sz w:val="24"/>
          <w:szCs w:val="24"/>
        </w:rPr>
        <w:t xml:space="preserve">Thus </w:t>
      </w:r>
      <w:r w:rsidR="00691B65" w:rsidRPr="00691B65">
        <w:rPr>
          <w:rFonts w:ascii="Times New Roman" w:hAnsi="Times New Roman" w:cs="Times New Roman"/>
          <w:i/>
          <w:iCs/>
          <w:sz w:val="24"/>
          <w:szCs w:val="24"/>
        </w:rPr>
        <w:t>Prochlorococcus</w:t>
      </w:r>
      <w:r w:rsidR="005E185F" w:rsidRPr="003609FB">
        <w:rPr>
          <w:rFonts w:ascii="Times New Roman" w:hAnsi="Times New Roman" w:cs="Times New Roman"/>
          <w:sz w:val="24"/>
          <w:szCs w:val="24"/>
        </w:rPr>
        <w:t xml:space="preserve">’s lack of a catalase </w:t>
      </w:r>
      <w:r w:rsidR="001B5DA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{"citationID":"wUXyNelK","properties":{"formattedCitation":"(Morris, Rose, and Lu 2022; Zhu et al. 2022; Goldstone and Voelker 2000)","plainCitation":"(Morris, Rose, and Lu 2022; Zhu et al. 2022; Goldstone and Voelker 2000)","noteIndex":0},"citationItems":[{"id":3443,"uris":["http://zotero.org/users/6128296/items/NAWLWA5Q"],"itemData":{"id":3443,"type":"article-journal","abstract":"Reactive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L."}],"issued":{"date-parts":[["2022",10,20]]}}},{"id":3232,"uris":["http://zotero.org/users/6128296/items/WATYGSLQ"],"itemData":{"id":3232,"type":"article-journal","abstract":"Colored dissolved organic matter (CDOM) and humic substances contain a nonmetallic redox-cycling component capable of catalyzing superoxide (O2-) dismutation. Firstorder rate coefficients (kpseudo) measured for this O2- sink in a number of coastal and Chesapeake Bay water samples range up to 1.4 s-1, comparable in magnitude to catalyzed dismutation by Cu species. A significant (r 2 ) 0.73) correlation is observed between kpseudo and the optical absorption and salinity of individual coastal water samples, suggesting an association with non-marine-derived CDOM. The activity of this sink is not changed by acidification or boiling of samples but is removed by photooxidation, indicating that it is an organic compound, but that it is neither enzymatic nor likely to consist of tightly bound metals. The stoichiometry of hydrogen peroxide formation from O2 decay indicates that this sink is capable of a redox cycle catalyzing the dismutation of O2-. This CDOM sink combined with the organic copper sink previously described will produce a steady-state superoxide concentration in coastal waters that is 100-1000-fold lower than that predicted from bimolecular dismutation alone. Catalyzed O2- decay was also observed in a variety of humic and fulvic acid samples, possibly occurring through quinone functionalities. Although the presence of quinone moieties in humic and fulvic acids has been demonstrated, there do not appear to be good correlations between several measures of quinone content and the O2- dismutation rates of these samples.","container-title":"Environmental Science &amp; Technology","DOI":"10.1021/es9905445","ISSN":"0013-936X, 1520-5851","issue":"6","journalAbbreviation":"Environ. Sci. Technol.","language":"en","page":"1043-1048","source":"DOI.org (Crossref)","title":"Chemistry of Superoxide Radical in Seawater: CDOM Associated Sink of Superoxide in Coastal Waters","title-short":"Chemistry of Superoxide Radical in Seawater","volume":"34","author":[{"family":"Goldstone","given":""},{"family":"Voelker","given":""}],"issued":{"date-parts":[["2000",3,1]]}}}],"schema":"https://github.com/citation-style-language/schema/raw/master/csl-citation.json"} </w:instrText>
      </w:r>
      <w:r w:rsidR="001B5DA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Rose, and Lu 2022; Zhu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 Goldstone and Voelker 2000)</w:t>
      </w:r>
      <w:r w:rsidR="001B5DA7" w:rsidRPr="003609FB">
        <w:rPr>
          <w:rFonts w:ascii="Times New Roman" w:hAnsi="Times New Roman" w:cs="Times New Roman"/>
          <w:sz w:val="24"/>
          <w:szCs w:val="24"/>
        </w:rPr>
        <w:fldChar w:fldCharType="end"/>
      </w:r>
      <w:r w:rsidR="005E185F" w:rsidRPr="003609FB">
        <w:rPr>
          <w:rFonts w:ascii="Times New Roman" w:hAnsi="Times New Roman" w:cs="Times New Roman"/>
          <w:sz w:val="24"/>
          <w:szCs w:val="24"/>
        </w:rPr>
        <w:t xml:space="preserve"> is all the more striking given that abiotic production from a single diel cycle results in ambient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concentrations ten times higher than those shown to kill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 </w:t>
      </w:r>
      <w:r w:rsidR="00CB1847"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{"citationID":"IxVEi4j0","properties":{"formattedCitation":"(Morris 2011)","plainCitation":"(Morris 2011)","noteIndex":0},"citationItems":[{"id":3438,"uris":["http://zotero.org/users/6128296/items/QHAPA57S"],"itemData":{"id":3438,"type":"thesis","language":"en","publisher":"University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CB184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(Morris 2011)</w:t>
      </w:r>
      <w:r w:rsidR="00CB1847" w:rsidRPr="003609FB">
        <w:rPr>
          <w:rFonts w:ascii="Times New Roman" w:hAnsi="Times New Roman" w:cs="Times New Roman"/>
          <w:sz w:val="24"/>
          <w:szCs w:val="24"/>
        </w:rPr>
        <w:fldChar w:fldCharType="end"/>
      </w:r>
      <w:r w:rsidR="00CB1847" w:rsidRPr="003609FB">
        <w:rPr>
          <w:rFonts w:ascii="Times New Roman" w:hAnsi="Times New Roman" w:cs="Times New Roman"/>
          <w:sz w:val="24"/>
          <w:szCs w:val="24"/>
        </w:rPr>
        <w:t>.</w:t>
      </w:r>
    </w:p>
    <w:p w14:paraId="3BE12FBE" w14:textId="6DA951B2" w:rsidR="00853EA8" w:rsidRPr="003609FB" w:rsidRDefault="005E185F" w:rsidP="00AB2160">
      <w:pPr>
        <w:spacing w:line="360" w:lineRule="auto"/>
        <w:ind w:firstLine="720"/>
        <w:rPr>
          <w:rFonts w:ascii="Times New Roman" w:hAnsi="Times New Roman" w:cs="Times New Roman"/>
          <w:sz w:val="24"/>
          <w:szCs w:val="24"/>
        </w:rPr>
      </w:pPr>
      <w:r w:rsidRPr="00854015">
        <w:rPr>
          <w:rFonts w:ascii="Times New Roman" w:hAnsi="Times New Roman" w:cs="Times New Roman"/>
          <w:sz w:val="24"/>
          <w:szCs w:val="24"/>
        </w:rPr>
        <w:lastRenderedPageBreak/>
        <w:t xml:space="preserve">Without the ability to robustly detoxify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023BB4">
        <w:rPr>
          <w:rFonts w:ascii="Times New Roman" w:hAnsi="Times New Roman" w:cs="Times New Roman"/>
          <w:sz w:val="24"/>
          <w:szCs w:val="24"/>
        </w:rPr>
        <w:t xml:space="preserve"> proficiently</w:t>
      </w:r>
      <w:r w:rsidRPr="00854015">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854015">
        <w:rPr>
          <w:rFonts w:ascii="Times New Roman" w:hAnsi="Times New Roman" w:cs="Times New Roman"/>
          <w:sz w:val="24"/>
          <w:szCs w:val="24"/>
        </w:rPr>
        <w:t xml:space="preserve">is </w:t>
      </w:r>
      <w:r w:rsidR="00023BB4">
        <w:rPr>
          <w:rFonts w:ascii="Times New Roman" w:hAnsi="Times New Roman" w:cs="Times New Roman"/>
          <w:sz w:val="24"/>
          <w:szCs w:val="24"/>
        </w:rPr>
        <w:t xml:space="preserve">left itself to be </w:t>
      </w:r>
      <w:r w:rsidRPr="00854015">
        <w:rPr>
          <w:rFonts w:ascii="Times New Roman" w:hAnsi="Times New Roman" w:cs="Times New Roman"/>
          <w:sz w:val="24"/>
          <w:szCs w:val="24"/>
        </w:rPr>
        <w:t xml:space="preserve">dependent on other species for this vital </w:t>
      </w:r>
      <w:r w:rsidR="00023BB4">
        <w:rPr>
          <w:rFonts w:ascii="Times New Roman" w:hAnsi="Times New Roman" w:cs="Times New Roman"/>
          <w:sz w:val="24"/>
          <w:szCs w:val="24"/>
        </w:rPr>
        <w:t xml:space="preserve">detoxification </w:t>
      </w:r>
      <w:r w:rsidRPr="00854015">
        <w:rPr>
          <w:rFonts w:ascii="Times New Roman" w:hAnsi="Times New Roman" w:cs="Times New Roman"/>
          <w:sz w:val="24"/>
          <w:szCs w:val="24"/>
        </w:rPr>
        <w:t xml:space="preserve">function </w:t>
      </w:r>
      <w:r w:rsidR="00CB1847" w:rsidRPr="00854015">
        <w:rPr>
          <w:rFonts w:ascii="Times New Roman" w:hAnsi="Times New Roman" w:cs="Times New Roman"/>
          <w:sz w:val="24"/>
          <w:szCs w:val="24"/>
        </w:rPr>
        <w:fldChar w:fldCharType="begin"/>
      </w:r>
      <w:r w:rsidR="004A122C" w:rsidRPr="00854015">
        <w:rPr>
          <w:rFonts w:ascii="Times New Roman" w:hAnsi="Times New Roman" w:cs="Times New Roman"/>
          <w:sz w:val="24"/>
          <w:szCs w:val="24"/>
        </w:rPr>
        <w:instrText xml:space="preserve"> ADDIN ZOTERO_ITEM CSL_CITATION {"citationID":"Fgn85Y6q","properties":{"formattedCitation":"(Morris 2011; Morris et al. 2008; 2011; Morris, Lenski, and Zinser 2012; Morris 2015)","plainCitation":"(Morris 2011; Morris et al. 2008; 2011; Morris, Lenski, and Zinser 2012; Morris 2015)","noteIndex":0},"citationItems":[{"id":3438,"uris":["http://zotero.org/users/6128296/items/QHAPA57S"],"itemData":{"id":3438,"type":"thesis","language":"en","publisher":"University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R."}],"issued":{"date-parts":[["2012",3,23]]}}},{"id":4042,"uris":["http://zotero.org/users/6128296/items/CSSF4USS"],"itemData":{"id":4042,"type":"article-journal","container-title":"Trends in Genetics","DOI":"10.1016/j.tig.2015.05.004","ISSN":"01689525","issue":"8","journalAbbreviation":"Trends in Genetics","language":"en","page":"475-482","source":"DOI.org (Crossref)","title":"Black Queen evolution: the role of leakiness in structuring microbial communities","title-short":"Black Queen evolution","volume":"31","author":[{"family":"Morris","given":""}],"issued":{"date-parts":[["2015",8]]}}}],"schema":"https://github.com/citation-style-language/schema/raw/master/csl-citation.json"} </w:instrText>
      </w:r>
      <w:r w:rsidR="00CB1847"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2011;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2008; 2011; Morris, Lenski, and Zinser 2012; Morris 2015)</w:t>
      </w:r>
      <w:r w:rsidR="00CB1847"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854015">
        <w:rPr>
          <w:rFonts w:ascii="Times New Roman" w:hAnsi="Times New Roman" w:cs="Times New Roman"/>
          <w:sz w:val="24"/>
          <w:szCs w:val="24"/>
        </w:rPr>
        <w:t>, unlike most other reactive oxygen species, is uncharged and thus can readily diffuse across cell membranes</w:t>
      </w:r>
      <w:r w:rsidR="00CB1847" w:rsidRPr="00854015">
        <w:rPr>
          <w:rFonts w:ascii="Times New Roman" w:hAnsi="Times New Roman" w:cs="Times New Roman"/>
          <w:sz w:val="24"/>
          <w:szCs w:val="24"/>
        </w:rPr>
        <w:t xml:space="preserve"> </w:t>
      </w:r>
      <w:r w:rsidR="00CB1847"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{"citationID":"8iAHDEb9","properties":{"formattedCitation":"(Ohno and Gallin 1985; Omar et al. 2022; M\\uc0\\u246{}ller et al. 2019; Morris, Lenski, and Zinser 2012; Seaver and Imlay 2001)","plainCitation":"(Ohno and Gallin 1985; Omar et al. 2022; Möller et al. 2019; Morris, Lenski, and Zinser 2012; Seaver and Imlay 2001)","noteIndex":0},"citationItems":[{"id":4051,"uris":["http://zotero.org/users/6128296/items/TY52KWLW"],"itemData":{"id":4051,"type":"article-journal","abstract":"It is well known that catalaseis transformed tonitric oxide-Fez*-catalaseby hydrogen peroxide (Hz02)plus azide. In this report,we show that myeloperoxidase is also inactivated by HzOzplus azide. Utilizing this system, we studied the presenceand source of intracellular Hz02 generated by activated neutrophils. Stimulation of neutrophilswith phorbol myristateacetate (PMA,100 ng/ml) plus azide (5 mM) for 30 min completely inactivated intragranular myeloperoxidaseand reduced cytosolic catalase to35% of resting cells. This intracellular inactivationof heme enzymes did not occur in normal neutrophils incubated with either PMA or azide alone or in neutrophils from patients with chronicgranulomatous disease (CDG) which cannot produce HzOzin response to PMA.Incubation of neutrophils with azide and a Ha02 generating system (glucose-glucose oxidase) inactivated 41% of neutrophil myeloperoxidase. Glutathione-glutathione peroxidase (GSH-GSH peroxidase), an extracellular H2O2 scavenger,totallyprotectedneutrophil myeloperoxidase from inactivation by azide plus glucose-glucose oxidase. In addition, when a mixture of normal andCGD cells was stimulated with PMA in thepresence of azide, 90% of the myeloperoxidase in CGD neutrophils was inactivated. Therefore, H2O2 released extracellularly from activated neutrophils can diffuse into cells. In contrast, myeloperoxidase in normal polymorphonuclear leukocytes stimulated withPMA in thepresence of azide and GSH-GSH peroxidase was 75% inactivated. Thus, the results indicate that a GSH-GSH peroxidase-insensitive pool of H202is also generated, presumably at theplasma membrane, and thispool of HaOz can undergo direct internal diffusion to inactivatemyeloperoxidase.","container-title":"Journal of Biological Chemistry","DOI":"10.1016/S0021-9258(17)39493-0","ISSN":"00219258","issue":"14","journalAbbreviation":"Journal of Biological Chemistry","language":"en","page":"8438-8446","source":"DOI.org (Crossref)","title":"Diffusion of extracellular hydrogen peroxide into intracellular compartments of human neutrophils. Studies utilizing the inactivation of myeloperoxidase by hydrogen peroxide and azide.","volume":"260","author":[{"family":"Ohno","given":""},{"family":"Gallin","given":"J I"}],"issued":{"date-parts":[["1985",7]]}}},{"id":2246,"uris":["http://zotero.org/users/6128296/items/CA9EXVYE"],"itemData":{"id":2246,"type":"article-journal","abstract":"Marine phytoplankton vary widely in size across taxa, and in cell suspension densities\nacross habitats and growth states. Cell suspension density and total biovolume determine the\nbulk influence of a phytoplankton community upon its environment. Cell suspension density also\ndetermines the intercellular spacings separating phytoplankton cells from each other, or from cooccurring\nbacterioplankton. Intercellular spacing then determines the mean diffusion paths for\nexchanges of solutes among co-occurring cells. Marine phytoplankton and bacterioplankton both\nproduce and scavenge reactive oxygen species (ROS), to maintain intracellular ROS homeostasis\nto support their cellular processes, while limiting damaging reactions. Among ROS, hydrogen\nperoxide (H2O2) has relatively low reactivity, long intracellular and extracellular lifetimes, and\nreadily crosses cell membranes. Our objective was to quantify how cells can influence other cells\nvia diffusional interactions, using H2O2 as a case study. To visualize and constrain potentials for\ncell-to-cell exchanges of H2O2, we simulated the decrease of [H2O2] outwards from representative\nphytoplankton taxa maintaining internal [H2O2] above representative seawater [H2O2]. [H2O2]\ngradients outwards from static cell surfaces were dominated by volumetric dilution, with only a\nnegligible influence from decay. The simulated [H2O2] fell to background [H2O2] within ~3.1  m\nfrom a Prochlorococcus cell surface, but extended outwards 90  m from a diatom cell surface. More\nrapid decays of other, less stable ROS, would lower these threshold distances. Bacterioplankton\nlowered simulated local [H2O2] below background only out to 1.2  m from the surface of a static\ncell, even though bacterioplankton collectively act to influence seawater ROS. These small diffusional\nspheres around cells mean that direct cell-to-cell exchange of H2O2 is unlikely in oligotrophic habits\nwith widely spaced, small cells; moderate in eutrophic habits with shorter cell-to-cell spacing; but\nextensive within phytoplankton colonies.","container-title":"Microorganisms 2022","DOI":"https://doi.org/10.3390/ microorganisms10040821","issue":"821","title":"Diffusional Interactions among Marine Phytoplankton and Bacterioplankton: Modelling H2O2 as a Case Study","volume":"10","author":[{"family":"Omar","given":""},{"family":"Prášil","given":"Ondrej"},{"family":"McCain","given":"Scott"},{"family":"Campbell","given":"Douglas"}],"issued":{"date-parts":[["2022",4,15]]}}},{"id":4102,"uris":["http://zotero.org/users/6128296/items/IFIZUZAN"],"itemData":{"id":4102,"type":"chapter","container-title":"Bioactive Lipids in Health and Disease","event-place":"Cham","ISBN":"978-3-030-11487-9","language":"en","note":"collection-title: Advances in Experimental Medicine and Biology\nDOI: 10.1007/978-3-030-11488-6_1","page":"3-19","publisher":"Springer International Publishing","publisher-place":"Cham","source":"DOI.org (Crossref)","title":"Diffusion and Transport of Reactive Species Across Cell Membranes","URL":"http://link.springer.com/10.1007/978-3-030-11488-6_1","volume":"1127","editor":[{"family":"Trostchansky","given":""},{"family":"Rubbo","given":"Homero"}],"author":[{"family":"Möller","given":"Matias N."},{"family":"Cuevasanta","given":"Ernesto"},{"family":"Orrico","given":"Florencia"},{"family":"Lopez","given":"Ana C."},{"family":"Thomson","given":"Leonor"},{"family":"Denicola","given":"Ana"}],"accessed":{"date-parts":[["2024",2,2]]},"issued":{"date-parts":[["2019"]]}}},{"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R."}],"issued":{"date-parts":[["2012",3,23]]}}},{"id":6669,"uris":["http://zotero.org/users/6128296/items/NUFBRLS3"],"itemData":{"id":6669,"type":"article-journal","abstract":"ABSTRACT\n            \n              Escherichia coli\n              generates about 14 μM hydrogen peroxide (H\n              2\n              O\n              2\n              ) per s when it grows exponentially in glucose medium. The steady-state intracellular concentration of H\n              2\n              O\n              2\n              depends on the rates at which this H\n              2\n              O\n              2\n              is dissipated by scavenging enzymes and by efflux from the cell. The rates of H\n              2\n              O\n              2\n              degradation by the two major scavenging enzymes, alkyl hydroperoxide reductase and catalase, were quantified. In order to estimate the rate of efflux, the permeability coefficient of membranes for H\n              2\n              O\n              2\n              was determined. The coefficient is 1.6 × 10\n              −3\n              cm/s, indicating that permeability is substantial but not unlimited. These data allowed internal H\n              2\n              O\n              2\n              fluxes and concentrations to be calculated. Under these growth conditions, Ahp scavenges the majority of the endogenous H\n              2\n              O\n              2\n              , with a small fraction degraded by catalase and virtually none persisting long enough to penetrate the membrane and exit the cell. The robust scavenging activity maintains the H\n              2\n              O\n              2\n              concentration inside glucose-grown cells at &lt;10\n              −7\n              M, substantially below the level (10\n              −6\n              M) at which toxicity is evident. When extracellular H\n              2\n              O\n              2\n              is present, its flux into the cell can be rapid, but the internal concentration may still be an order of magnitude lower than that outside. The presence of such gradients was confirmed in experiments that revealed different degrees of oxidative stress in cocultured scavenger-deficient mutants. The limited permeability of membranes to H\n              2\n              O\n              2\n              rationalizes the compartmentalization of scavenging systems and predicts that bacteria that excrete redox-cycling drugs do not experience the same H\n              2\n              O\n              2\n              dose that they impose on their competitors.","container-title":"Journal of Bacteriology","DOI":"10.1128/JB.183.24.7182-7189.2001","ISSN":"0021-9193, 1098-5530","issue":"24","journalAbbreviation":"J Bacteriol","language":"en","page":"7182-7189","source":"DOI.org (Crossref)","title":"Hydrogen Peroxide Fluxes and Compartmentalization inside Growing &lt;i&gt;Escherichia coli&lt;/i&gt;","volume":"183","author":[{"family":"Seaver","given":""},{"family":"Imlay","given":"James A."}],"issued":{"date-parts":[["2001",12,15]]}}}],"schema":"https://github.com/citation-style-language/schema/raw/master/csl-citation.json"} </w:instrText>
      </w:r>
      <w:r w:rsidR="00CB1847" w:rsidRPr="00854015">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(Ohno and Gallin 1985; Omar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2022; Möller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2019; Morris, Lenski, and Zinser 2012; Seaver and Imlay 2001)</w:t>
      </w:r>
      <w:r w:rsidR="00CB1847"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Facilitated by aquaporins </w:t>
      </w:r>
      <w:r w:rsidR="009A51FD" w:rsidRPr="0085401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{"citationID":"JwZQndqK","properties":{"formattedCitation":"(Bienert et al. 2007)","plainCitation":"(Bienert et al. 2007)","noteIndex":0},"citationItems":[{"id":4124,"uris":["http://zotero.org/users/6128296/items/XRK6BV7C"],"itemData":{"id":4124,"type":"article-journal","abstract":"The metabolism of aerobic organisms continuously produces reactive oxygen species. Although potentially toxic, these compounds also function in signaling. One important feature of signaling compounds is their ability to move between different compartments, e.g. to cross membranes. Here we present evidence that aquaporins can channel hydrogen peroxide (H2O2). Twenty-four aquaporins from plants and mammals were screened in five yeast strains differing in sensitivity toward oxidative stress. Expression of human AQP8 and plant Arabidopsis TIP1;1 and TIP1;2 in yeast decreased growth and survival in the presence of H2O2. Further evidence for aquaporin-mediated H2O2 diffusion was obtained by a fluorescence assay with intact yeast cells using an intracellular reactive oxygen species-sensitive fluorescent dye. Application of silver ions (Ag ), which block aquaporin-mediated water diffusion in a fast kinetics swelling assay, also reversed both the aquaporindependent growth repression and the H2O2-induced fluorescence. Our results present the first molecular genetic evidence for the diffusion of H2O2 through specific members of the aquaporin family.","container-title":"Journal of Biological Chemistry","DOI":"10.1074/jbc.M603761200","ISSN":"00219258","issue":"2","journalAbbreviation":"Journal of Biological Chemistry","language":"en","page":"1183-1192","source":"DOI.org (Crossref)","title":"Specific Aquaporins Facilitate the Diffusion of Hydrogen Peroxide across Membranes","volume":"282","author":[{"family":"Bienert","given":""},{"family":"Møller","given":"Anders L.B."},{"family":"Kristiansen","given":"Kim A."},{"family":"Schulz","given":"Alexander"},{"family":"Møller","given":"Ian M."},{"family":"Schjoerring","given":"Jan K."},{"family":"Jahn","given":"Thomas P."}],"issued":{"date-parts":[["2007",1]]}}}],"schema":"https://github.com/citation-style-language/schema/raw/master/csl-citation.json"} </w:instrText>
      </w:r>
      <w:r w:rsidR="009A51FD"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(Bienert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2007)</w:t>
      </w:r>
      <w:r w:rsidR="009A51FD"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the internal and external cellular environments can equilibrate in less than 1 second after external peroxide addition </w:t>
      </w:r>
      <w:r w:rsidR="009A51FD" w:rsidRPr="0085401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{"citationID":"EPoSfqly","properties":{"formattedCitation":"(Antunes and Cadenas 2000)","plainCitation":"(Antunes and Cadenas 2000)","noteIndex":0},"citationItems":[{"id":6671,"uris":["http://zotero.org/users/6128296/items/RLT6GBNC"],"itemData":{"id":6671,"type":"article-journal","abstract":"When cells are exposed to an external source of H2O2, the rapid enzymatic consumption of H2O2 inside the cell provides the driving force for the formation of the gradient across the plasma and other subcellular membranes. By using the concepts of enzyme latency, the following gradients ^ formed after a few seconds following the exposure to H2O2 ^ were estimated in Jurkat T-cells : [H2O2]cytosol/[H2O2]peroxisomes = 3 ; [H2O2]extracellular/[H2O2]cytosol = 7. The procedure presented in this work can easily be applied to other cell lines and provides a quantitative framework to interpret the data obtained when cells are exposed to an external source of H2O2. ß 2000 Federation of European Biochemical Societies. Published by Elsevier Science B.V. All rights reserved.","container-title":"FEBS Letters","DOI":"10.1016/S0014-5793(00)01638-0","ISSN":"0014-5793, 1873-3468","issue":"2","journalAbbreviation":"FEBS Letters","language":"en","license":"http://onlinelibrary.wiley.com/termsAndConditions#vor","page":"121-126","source":"DOI.org (Crossref)","title":"Estimation of H &lt;sub&gt;2&lt;/sub&gt; O &lt;sub&gt;2&lt;/sub&gt; gradients across biomembranes","volume":"475","author":[{"family":"Antunes","given":""},{"family":"Cadenas","given":"Enrique"}],"issued":{"date-parts":[["2000",6,16]]}}}],"schema":"https://github.com/citation-style-language/schema/raw/master/csl-citation.json"} </w:instrText>
      </w:r>
      <w:r w:rsidR="009A51FD"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(Antunes and Cadenas 2000)</w:t>
      </w:r>
      <w:r w:rsidR="009A51FD" w:rsidRPr="00854015">
        <w:rPr>
          <w:rFonts w:ascii="Times New Roman" w:hAnsi="Times New Roman" w:cs="Times New Roman"/>
          <w:sz w:val="24"/>
          <w:szCs w:val="24"/>
        </w:rPr>
        <w:fldChar w:fldCharType="end"/>
      </w:r>
      <w:r w:rsidR="009A51FD" w:rsidRPr="00854015">
        <w:rPr>
          <w:rFonts w:ascii="Times New Roman" w:hAnsi="Times New Roman" w:cs="Times New Roman"/>
          <w:sz w:val="24"/>
          <w:szCs w:val="24"/>
        </w:rPr>
        <w:t>.</w:t>
      </w:r>
      <w:r w:rsidR="00CB1847" w:rsidRPr="00854015">
        <w:rPr>
          <w:rFonts w:ascii="Times New Roman" w:hAnsi="Times New Roman" w:cs="Times New Roman"/>
          <w:sz w:val="24"/>
          <w:szCs w:val="24"/>
        </w:rPr>
        <w:t xml:space="preserve"> </w:t>
      </w:r>
      <w:r w:rsidRPr="00854015">
        <w:rPr>
          <w:rFonts w:ascii="Times New Roman" w:hAnsi="Times New Roman" w:cs="Times New Roman"/>
          <w:sz w:val="24"/>
          <w:szCs w:val="24"/>
        </w:rPr>
        <w:t xml:space="preserve">Exogenous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854015">
        <w:rPr>
          <w:rFonts w:ascii="Times New Roman" w:hAnsi="Times New Roman" w:cs="Times New Roman"/>
          <w:sz w:val="24"/>
          <w:szCs w:val="24"/>
        </w:rPr>
        <w:t xml:space="preserve"> that enters bacterial cells is detoxified quickly </w:t>
      </w:r>
      <w:r w:rsidR="006A3FDC"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{"citationID":"qW12RYf1","properties":{"formattedCitation":"(Alfonso-Prieto et al. 2009; Seaver and Imlay 2001)","plainCitation":"(Alfonso-Prieto et al. 2009; Seaver and Imlay 2001)","noteIndex":0},"citationItems":[{"id":4101,"uris":["http://zotero.org/users/6128296/items/B3P3UGED"],"itemData":{"id":4101,"type":"article-journal","abstract":"Catalases are ubiquitous enzymes that prevent cell oxidative damage by degrading hydrogen peroxide to water and oxygen (2H2O2 f 2 H2O + O2) with high efﬁciency. The enzyme is ﬁrst oxidized to a high-valent iron intermediate, known as Compound I (Cpd I) which, in contrast to other hydroperoxidases, is reduced back to the resting state by further reacting with H2O2. By means of hybrid QM/MM Car-Parrinello metadynamics simulations, we have investigated the mechanism of the reduction of Compound I by H2O2 in Helicobacter pylori catalase (HPC) and Penicillium vitale catalase (PVC). We found that the Cpd I-H2O2 complex evolves to a Cpd II-like species through the transfer of a hydrogen atom from the peroxide to the oxoferryl unit. To complete the reaction, two mechanisms may be operative: a His-mediated (Fita-Rossmann) mechanism, which involves the distal His as an acid-base catalyst mediating the transfer of a proton (associated with an electron transfer), and a direct mechanism, in which a hydrogen atom transfer occurs. Independently of the mechanism, the reaction proceeds by two one-electron transfers rather than one two-electron transfer, as has long been the lore. The calculations provide a detailed view of the atomic and electronic reorganizations during the reaction, and highlight the key role of the distal residues to assist the reaction. Additional calculations on the in silico HPC His56Gly mutant and gas-phase models provide clues to understand the requirements for the reaction to proceed with low barriers.","container-title":"Journal of the American Chemical Society","DOI":"10.1021/ja9018572","ISSN":"0002-7863, 1520-5126","issue":"33","journalAbbreviation":"J. Am. Chem. Soc.","language":"en","page":"11751-11761","source":"DOI.org (Crossref)","title":"The Molecular Mechanism of the Catalase Reaction","volume":"131","author":[{"family":"Alfonso-Prieto","given":""},{"family":"Biarnés","given":"Xevi"},{"family":"Vidossich","given":"Pietro"},{"family":"Rovira","given":"Carme"}],"issued":{"date-parts":[["2009",8,26]]}}},{"id":6669,"uris":["http://zotero.org/users/6128296/items/NUFBRLS3"],"itemData":{"id":6669,"type":"article-journal","abstract":"ABSTRACT\n            \n              Escherichia coli\n              generates about 14 μM hydrogen peroxide (H\n              2\n              O\n              2\n              ) per s when it grows exponentially in glucose medium. The steady-state intracellular concentration of H\n              2\n              O\n              2\n              depends on the rates at which this H\n              2\n              O\n              2\n              is dissipated by scavenging enzymes and by efflux from the cell. The rates of H\n              2\n              O\n              2\n              degradation by the two major scavenging enzymes, alkyl hydroperoxide reductase and catalase, were quantified. In order to estimate the rate of efflux, the permeability coefficient of membranes for H\n              2\n              O\n              2\n              was determined. The coefficient is 1.6 × 10\n              −3\n              cm/s, indicating that permeability is substantial but not unlimited. These data allowed internal H\n              2\n              O\n              2\n              fluxes and concentrations to be calculated. Under these growth conditions, Ahp scavenges the majority of the endogenous H\n              2\n              O\n              2\n              , with a small fraction degraded by catalase and virtually none persisting long enough to penetrate the membrane and exit the cell. The robust scavenging activity maintains the H\n              2\n              O\n              2\n              concentration inside glucose-grown cells at &lt;10\n              −7\n              M, substantially below the level (10\n              −6\n              M) at which toxicity is evident. When extracellular H\n              2\n              O\n              2\n              is present, its flux into the cell can be rapid, but the internal concentration may still be an order of magnitude lower than that outside. The presence of such gradients was confirmed in experiments that revealed different degrees of oxidative stress in cocultured scavenger-deficient mutants. The limited permeability of membranes to H\n              2\n              O\n              2\n              rationalizes the compartmentalization of scavenging systems and predicts that bacteria that excrete redox-cycling drugs do not experience the same H\n              2\n              O\n              2\n              dose that they impose on their competitors.","container-title":"Journal of Bacteriology","DOI":"10.1128/JB.183.24.7182-7189.2001","ISSN":"0021-9193, 1098-5530","issue":"24","journalAbbreviation":"J Bacteriol","language":"en","page":"7182-7189","source":"DOI.org (Crossref)","title":"Hydrogen Peroxide Fluxes and Compartmentalization inside Growing &lt;i&gt;Escherichia coli&lt;/i&gt;","volume":"183","author":[{"family":"Seaver","given":""},{"family":"Imlay","given":"James A."}],"issued":{"date-parts":[["2001",12,15]]}}}],"schema":"https://github.com/citation-style-language/schema/raw/master/csl-citation.json"} </w:instrText>
      </w:r>
      <w:r w:rsidR="006A3FDC"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(Alfonso-Prieto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2009; Seaver and Imlay 2001)</w:t>
      </w:r>
      <w:r w:rsidR="006A3FDC"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in organisms that contain catalase enzymes, serving as an important sink of endogenous and exogenous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854015">
        <w:rPr>
          <w:rFonts w:ascii="Times New Roman" w:hAnsi="Times New Roman" w:cs="Times New Roman"/>
          <w:sz w:val="24"/>
          <w:szCs w:val="24"/>
        </w:rPr>
        <w:t xml:space="preserve"> </w:t>
      </w:r>
      <w:r w:rsidR="006A3FDC" w:rsidRPr="00854015">
        <w:rPr>
          <w:rFonts w:ascii="Times New Roman" w:hAnsi="Times New Roman" w:cs="Times New Roman"/>
          <w:sz w:val="24"/>
          <w:szCs w:val="24"/>
        </w:rPr>
        <w:fldChar w:fldCharType="begin"/>
      </w:r>
      <w:r w:rsidR="004A122C" w:rsidRPr="00854015">
        <w:rPr>
          <w:rFonts w:ascii="Times New Roman" w:hAnsi="Times New Roman" w:cs="Times New Roman"/>
          <w:sz w:val="24"/>
          <w:szCs w:val="24"/>
        </w:rPr>
        <w:instrText xml:space="preserve"> ADDIN ZOTERO_ITEM CSL_CITATION {"citationID":"YDmpcNdR","properties":{"formattedCitation":"(Morris 2011)","plainCitation":"(Morris 2011)","noteIndex":0},"citationItems":[{"id":3438,"uris":["http://zotero.org/users/6128296/items/QHAPA57S"],"itemData":{"id":3438,"type":"thesis","language":"en","publisher":"University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6A3FDC"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(Morris 2011)</w:t>
      </w:r>
      <w:r w:rsidR="006A3FDC"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Bacteria with catalases can therefore provide a benefit </w:t>
      </w:r>
      <w:r w:rsidR="00AC13C3">
        <w:rPr>
          <w:rFonts w:ascii="Times New Roman" w:hAnsi="Times New Roman" w:cs="Times New Roman"/>
          <w:sz w:val="24"/>
          <w:szCs w:val="24"/>
        </w:rPr>
        <w:t xml:space="preserve">to </w:t>
      </w:r>
      <w:r w:rsidRPr="00854015">
        <w:rPr>
          <w:rFonts w:ascii="Times New Roman" w:hAnsi="Times New Roman" w:cs="Times New Roman"/>
          <w:sz w:val="24"/>
          <w:szCs w:val="24"/>
        </w:rPr>
        <w:t xml:space="preserve">their community through exogeneous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854015">
        <w:rPr>
          <w:rFonts w:ascii="Times New Roman" w:hAnsi="Times New Roman" w:cs="Times New Roman"/>
          <w:sz w:val="24"/>
          <w:szCs w:val="24"/>
        </w:rPr>
        <w:t xml:space="preserve"> detoxification </w:t>
      </w:r>
      <w:r w:rsidR="00D83289"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{"citationID":"jV8Cy0q1","properties":{"formattedCitation":"(Morris 2011; Morris, Lenski, and Zinser 2012; Ma and Eaton 1992)","plainCitation":"(Morris 2011; Morris, Lenski, and Zinser 2012; Ma and Eaton 1992)","noteIndex":0},"citationItems":[{"id":3438,"uris":["http://zotero.org/users/6128296/items/QHAPA57S"],"itemData":{"id":3438,"type":"thesis","language":"en","publisher":"University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R."}],"issued":{"date-parts":[["2012",3,23]]}}},{"id":3372,"uris":["http://zotero.org/users/6128296/items/Q5E234VC"],"itemData":{"id":3372,"type":"article-journal","abstract":"Although catalase is thought to be a major defense against hydrogen peroxide (H202), the catalase activity within individual Escherichia coil fails to protect against exogenous H202. Contrary to earlier reports, we find that dilute suspensions, of wild-type and catalase-deficient E. colt are identical in their sensitivity to H202, perhaps because even wild-type, catalase-positive E. colU cannot maintain an internal/externail concentration gradient of this highly diffusible oxidant. However, concentrated suspensions or colonies of catalase-positive E. colt do preferentially survive H202 challenge and can even cross-protect adjacent catalase-deficient organisms. Furthermore, high-density catalase-positive-but not catalase-negative-E. colt can survive and multiply in the presence of competitive, peroxide-generating streptococci. These observations support the concept that bacterial catalase may defend colonial, but not individual, E. colU against environmental H202. Group protection by the activity of enzymes that mitigate oxidative stress may have been a driving force in the evolution of multicellular organisms.","container-title":"Proceedings of the National Academy of Sciences","DOI":"10.1073/pnas.89.17.7924","ISSN":"0027-8424, 1091-6490","issue":"17","journalAbbreviation":"Proc. Natl. Acad. Sci. U.S.A.","language":"en","page":"7924-7928","source":"DOI.org (Crossref)","title":"Multicellular oxidant defense in unicellular organisms.","volume":"89","author":[{"family":"Ma","given":""},{"family":"Eaton","given":"J W"}],"issued":{"date-parts":[["1992",9]]}}}],"schema":"https://github.com/citation-style-language/schema/raw/master/csl-citation.json"} </w:instrText>
      </w:r>
      <w:r w:rsidR="00D83289" w:rsidRPr="00854015">
        <w:rPr>
          <w:rFonts w:ascii="Times New Roman" w:hAnsi="Times New Roman" w:cs="Times New Roman"/>
          <w:sz w:val="24"/>
          <w:szCs w:val="24"/>
        </w:rPr>
        <w:fldChar w:fldCharType="separate"/>
      </w:r>
      <w:r w:rsidR="009D7443">
        <w:rPr>
          <w:rFonts w:ascii="Times New Roman" w:hAnsi="Times New Roman" w:cs="Times New Roman"/>
          <w:sz w:val="24"/>
          <w:szCs w:val="24"/>
        </w:rPr>
        <w:t>(Morris 2011; Morris, Lenski, and Zinser 2012; Ma and Eaton 1992)</w:t>
      </w:r>
      <w:r w:rsidR="00D83289"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As a result,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854015">
        <w:rPr>
          <w:rFonts w:ascii="Times New Roman" w:hAnsi="Times New Roman" w:cs="Times New Roman"/>
          <w:sz w:val="24"/>
          <w:szCs w:val="24"/>
        </w:rPr>
        <w:t xml:space="preserve">and other globally dominant, </w:t>
      </w:r>
      <w:r w:rsidR="00293440" w:rsidRPr="00854015">
        <w:rPr>
          <w:rFonts w:ascii="Times New Roman" w:hAnsi="Times New Roman" w:cs="Times New Roman"/>
          <w:sz w:val="24"/>
          <w:szCs w:val="24"/>
        </w:rPr>
        <w:t>genetically streamlined</w:t>
      </w:r>
      <w:r w:rsidRPr="00854015">
        <w:rPr>
          <w:rFonts w:ascii="Times New Roman" w:hAnsi="Times New Roman" w:cs="Times New Roman"/>
          <w:sz w:val="24"/>
          <w:szCs w:val="24"/>
        </w:rPr>
        <w:t xml:space="preserve">, and catalase-deficient organisms like SAR11 </w:t>
      </w:r>
      <w:r w:rsidR="00D83289" w:rsidRPr="0085401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{"citationID":"IUFalWwX","properties":{"formattedCitation":"(Giovannoni 2017; Grote et al. 2012)","plainCitation":"(Giovannoni 2017; Grote et al. 2012)","noteIndex":0},"citationItems":[{"id":4035,"uris":["http://zotero.org/users/6128296/items/DUZXA7JG"],"itemData":{"id":4035,"type":"article-journal","abstract":"SAR11 is a group of small, carbon-oxidizing bacteria that reach a global estimated population size of 2.4 × 1028 cells—approximately 25% of all plankton. They are found throughout the oceans but reach their largest numbers in stratiﬁed, oligotrophic gyres, which are an expanding habitat in the warming oceans. SAR11 likely had a Precambrian origin and, over geological time, evolved into the niche of harvesting labile, low-molecular-weight dissolved organic matter (DOM). SAR11 cells are minimal in size and complexity, a phenomenon known as streamlining that is thought to beneﬁt them by lowering the material costs of replication and maximizing transport functions that are essential to competition at ultralow nutrient concentrations. One of the surprises in SAR11 metabolism is their ability to both oxidize and produce a variety of volatile organic compounds that can diffuse into the atmosphere. SAR11 cells divide slowly and lack many forms of regulation commonly used by bacterial cells to adjust to changing environmental conditions. As a result of genome reduction, they require an unusual range of nutrients, which leads to complex biochemical interactions with other plankton. The study of SAR11 is providing insight into the biogeochemistry of labile DOM and is affecting microbiology beyond marine science by providing a model for understanding the evolution and function of streamlined cells.","container-title":"Annual Review of Marine Science","DOI":"10.1146/annurev-marine-010814-015934","ISSN":"1941-1405, 1941-0611","issue":"1","journalAbbreviation":"Annu. Rev. Mar. Sci.","language":"en","page":"231-255","source":"DOI.org (Crossref)","title":"SAR11 Bacteria: The Most Abundant Plankton in the Oceans","title-short":"SAR11 Bacteria","volume":"9","author":[{"family":"Giovannoni","given":""}],"issued":{"date-parts":[["2017",1,3]]}}},{"id":4036,"uris":["http://zotero.org/users/6128296/items/DGJRD6C9"],"itemData":{"id":4036,"type":"article-journal","abstract":"SAR11 is an ancient and diverse clade of heterotrophic bacteria that are abundant throughout the world’s oceans, where they play a major role in the ocean carbon cycle. Correlations between the phylogenetic branching order and spatiotemporal patterns in cell distributions from planktonic ocean environments indicate that SAR11 has evolved into perhaps a dozen or more specialized ecotypes that span evolutionary distances equivalent to a bacterial order. We isolated and sequenced genomes from diverse SAR11 cultures that represent three major lineages and encompass the full breadth of the clade. The new data expand observations about genome evolution and gene content that previously had been restricted to the SAR11 Ia subclade, providing a much broader perspective on the clade’s origins, evolution, and ecology. We found small genomes throughout the clade and a very high proportion of core genome genes (48 to 56%), indicating that small genome size is probably an ancestral characteristic. In their level of core genome conservation, the members of SAR11 are outliers, the most conserved free-living bacteria known. Shared features of the clade include low GC content, high gene synteny, a large hypervariable region bounded by rRNA genes, and low numbers of paralogs. Variation among the genomes included genes for phosphorus metabolism, glycolysis, and C1 metabolism, suggesting that adaptive specialization in nutrient resource utilization is important to niche partitioning and ecotype divergence within the clade. These data provide support for the conclusion that streamlining selection for efﬁcient cell replication in the planktonic habitat has occurred throughout the evolution and diversiﬁcation of this clade. IMPORTANCE The SAR11 clade is the most abundant group of marine microorganisms worldwide, making them key players in the global carbon cycle. Growing knowledge about their biochemistry and metabolism is leading to a more mechanistic understanding of organic carbon oxidation and sequestration in the oceans. The discovery of small genomes in SAR11 provided crucial support for the theory that streamlining selection can drive genome reduction in low-nutrient environments. Study of isolates in culture revealed atypical organic nutrient requirements that can be attributed to genome reduction, such as conditional auxotrophy for glycine and its precursors, a requirement for reduced sulfur compounds, and evidence for widespread cycling of C1 compounds in marine environments. However, understanding the genetic variation and distribution of such pathways and characteristics like streamlining throughout the group has required the isolation and genome sequencing of diverse SAR11 representatives, an analysis of which we provide here.","container-title":"mBio","DOI":"10.1128/mBio.00252-12","ISSN":"2161-2129, 2150-7511","issue":"5","journalAbbreviation":"mBio","language":"en","page":"e00252-12","source":"DOI.org (Crossref)","title":"Streamlining and Core Genome Conservation among Highly Divergent Members of the SAR11 Clade","volume":"3","author":[{"family":"Grote","given":""},{"family":"Thrash","given":"J. Cameron"},{"family":"Huggett","given":"Megan J."},{"family":"Landry","given":"Zachary C."},{"family":"Carini","given":"Paul"},{"family":"Giovannoni","given":"Stephen J."},{"family":"Rappé","given":"Michael S."}],"editor":[{"family":"Taylor","given":"John W."}],"issued":{"date-parts":[["2012",11]]}}}],"schema":"https://github.com/citation-style-language/schema/raw/master/csl-citation.json"} </w:instrText>
      </w:r>
      <w:r w:rsidR="00D83289"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(Giovannoni 2017; Grote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2012)</w:t>
      </w:r>
      <w:r w:rsidR="00D83289" w:rsidRPr="00854015">
        <w:rPr>
          <w:rFonts w:ascii="Times New Roman" w:hAnsi="Times New Roman" w:cs="Times New Roman"/>
          <w:sz w:val="24"/>
          <w:szCs w:val="24"/>
        </w:rPr>
        <w:fldChar w:fldCharType="end"/>
      </w:r>
      <w:r w:rsidR="00537E28" w:rsidRPr="00854015">
        <w:rPr>
          <w:rFonts w:ascii="Times New Roman" w:hAnsi="Times New Roman" w:cs="Times New Roman"/>
          <w:sz w:val="24"/>
          <w:szCs w:val="24"/>
        </w:rPr>
        <w:t>,</w:t>
      </w:r>
      <w:r w:rsidRPr="00854015">
        <w:rPr>
          <w:rFonts w:ascii="Times New Roman" w:hAnsi="Times New Roman" w:cs="Times New Roman"/>
          <w:sz w:val="24"/>
          <w:szCs w:val="24"/>
        </w:rPr>
        <w:t xml:space="preserve"> are essentially obligate symbionts, dependent on other catalase containing microbes </w:t>
      </w:r>
      <w:r w:rsidR="00D83289" w:rsidRPr="00854015">
        <w:rPr>
          <w:rFonts w:ascii="Times New Roman" w:hAnsi="Times New Roman" w:cs="Times New Roman"/>
          <w:sz w:val="24"/>
          <w:szCs w:val="24"/>
        </w:rPr>
        <w:fldChar w:fldCharType="begin"/>
      </w:r>
      <w:r w:rsidR="004A122C" w:rsidRPr="00854015">
        <w:rPr>
          <w:rFonts w:ascii="Times New Roman" w:hAnsi="Times New Roman" w:cs="Times New Roman"/>
          <w:sz w:val="24"/>
          <w:szCs w:val="24"/>
        </w:rPr>
        <w:instrText xml:space="preserve"> ADDIN ZOTERO_ITEM CSL_CITATION {"citationID":"Y3SndHEm","properties":{"formattedCitation":"(Morris, Lenski, and Zinser 2012)","plainCitation":"(Morris, Lenski, and Zinser 2012)","noteIndex":0},"citationItems":[{"id":114,"uris":["http://zotero.org/users/6128296/items/RAQDXC7K"],"itemData":{"id":114,"type":"article-journal","abstract":"Reductive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D83289"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(Morris, Lenski, and Zinser 2012)</w:t>
      </w:r>
      <w:r w:rsidR="00D83289" w:rsidRPr="00854015">
        <w:rPr>
          <w:rFonts w:ascii="Times New Roman" w:hAnsi="Times New Roman" w:cs="Times New Roman"/>
          <w:sz w:val="24"/>
          <w:szCs w:val="24"/>
        </w:rPr>
        <w:fldChar w:fldCharType="end"/>
      </w:r>
      <w:r w:rsidRPr="00854015">
        <w:rPr>
          <w:rFonts w:ascii="Times New Roman" w:hAnsi="Times New Roman" w:cs="Times New Roman"/>
          <w:sz w:val="24"/>
          <w:szCs w:val="24"/>
        </w:rPr>
        <w:t xml:space="preserve">. While data suggests the transmission and expression of singular genes do not have exorbitant energetic costs, (Lynch and Marinov 2015), catalase is a large, </w:t>
      </w:r>
      <w:r w:rsidR="008149F7" w:rsidRPr="00854015">
        <w:rPr>
          <w:rFonts w:ascii="Times New Roman" w:hAnsi="Times New Roman" w:cs="Times New Roman"/>
          <w:sz w:val="24"/>
          <w:szCs w:val="24"/>
        </w:rPr>
        <w:t>metal (iron or manganese)</w:t>
      </w:r>
      <w:r w:rsidRPr="00854015">
        <w:rPr>
          <w:rFonts w:ascii="Times New Roman" w:hAnsi="Times New Roman" w:cs="Times New Roman"/>
          <w:sz w:val="24"/>
          <w:szCs w:val="24"/>
        </w:rPr>
        <w:t xml:space="preserve"> </w:t>
      </w:r>
      <w:r w:rsidR="008149F7" w:rsidRPr="00854015">
        <w:rPr>
          <w:rFonts w:ascii="Times New Roman" w:hAnsi="Times New Roman" w:cs="Times New Roman"/>
          <w:sz w:val="24"/>
          <w:szCs w:val="24"/>
        </w:rPr>
        <w:t>containing</w:t>
      </w:r>
      <w:r w:rsidRPr="00854015">
        <w:rPr>
          <w:rFonts w:ascii="Times New Roman" w:hAnsi="Times New Roman" w:cs="Times New Roman"/>
          <w:sz w:val="24"/>
          <w:szCs w:val="24"/>
        </w:rPr>
        <w:t xml:space="preserve"> enzyme </w:t>
      </w:r>
      <w:r w:rsidR="006C3243" w:rsidRPr="0085401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{"citationID":"BrbcNfBh","properties":{"formattedCitation":"(Barynin et al. 2001; Chelikani, Fita, and Loewen 2004)","plainCitation":"(Barynin et al. 2001; Chelikani, Fita, and Loewen 2004)","noteIndex":0},"citationItems":[{"id":3057,"uris":["http://zotero.org/users/6128296/items/H374IG4C"],"itemData":{"id":3057,"type":"article-journal","abstract":"Background: Catalases are important antioxidant metalloenzymes that catalyze disproportionation of hydrogen peroxide, forming dioxygen and water. Two families of catalases are known, one having a heme cofactor, and the other, a structurally distinct family containing nonheme manganese. We have solved the structure of the mesophilic manganese catalase from Lactobacillus plantarum and its azide-inhibited complex.","container-title":"Elsevier Science : Structure","language":"en","page":"725–738,","source":"Zotero","title":"Crystal Structure of Manganese Catalase from Lactobacillus plantarum","volume":"Vol. 9","author":[{"family":"Barynin","given":""},{"family":"Whittaker","given":"Mei M"},{"family":"Antonyuk","given":"Svetlana V"},{"family":"Lamzin","given":"Victor S"},{"family":"Harrison","given":"Pauline M"},{"family":"Artymiuk","given":"Peter J"},{"family":"Whittaker","given":"James W"}],"issued":{"date-parts":[["2001"]]}}},{"id":3139,"uris":["http://zotero.org/users/6128296/items/TTNFG3TL"],"itemData":{"id":3139,"type":"article-journal","abstract":"Abstract. More than 300 catalase sequences are now available, divided among monofunctional catalases (&gt; 225), bifunctional catalase-peroxidases (&gt; 50) and manganese-containing catalases (&gt; 25). When combined with the recent appearance of crystal structures from at least two representatives from each of these groups (nine from the monofunctional catalases), valuable insights into the catalatic reaction mechanism in its various forms and into catalase evolution have been gained. The structures have revealed an unusually large number of modifiCMLS, Cell. Mol. Life Sci. 61 (2004) 192 – 208 1420-682X/04/020192-17 DOI 10.1007/s00018-003-3206-5 © Birkhäuser Verlag, Basel, 2004 CMLS Cellular and Molecular Life Sciences cations unique to catalases, a result of interacting with reactive oxygen species. Biochemical and physiological characterization of catalases from many different organisms has revealed a surprisingly wide range of catalatic efficiencies, despite similar sequences. Catalase gene expression in micro-organisms generally is controlled either by sensors of reactive oxygen species or by growth phase regulons, although the detailed mechanisms vary considerably.","container-title":"Cellular and Molecular Life Sciences (CMLS)","DOI":"10.1007/s00018-003-3206-5","ISSN":"1420-682X, 1420-9071","issue":"2","journalAbbreviation":"Cellular and Molecular Life Sciences (CMLS)","language":"en","page":"192-208","source":"DOI.org (Crossref)","title":"Diversity of structures and properties among catalases","volume":"61","author":[{"family":"Chelikani","given":""},{"family":"Fita","given":"I."},{"family":"Loewen","given":"P. C."}],"issued":{"date-parts":[["2004",1,1]]}}}],"schema":"https://github.com/citation-style-language/schema/raw/master/csl-citation.json"} </w:instrText>
      </w:r>
      <w:r w:rsidR="006C3243"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(Barynin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2001; </w:t>
      </w:r>
      <w:proofErr w:type="spellStart"/>
      <w:r w:rsidR="006C2922">
        <w:rPr>
          <w:rFonts w:ascii="Times New Roman" w:hAnsi="Times New Roman" w:cs="Times New Roman"/>
          <w:sz w:val="24"/>
          <w:szCs w:val="24"/>
        </w:rPr>
        <w:t>Chelikani</w:t>
      </w:r>
      <w:proofErr w:type="spellEnd"/>
      <w:r w:rsidR="006C2922">
        <w:rPr>
          <w:rFonts w:ascii="Times New Roman" w:hAnsi="Times New Roman" w:cs="Times New Roman"/>
          <w:sz w:val="24"/>
          <w:szCs w:val="24"/>
        </w:rPr>
        <w:t>, Fita, and Loewen 2004)</w:t>
      </w:r>
      <w:r w:rsidR="006C3243" w:rsidRPr="00854015">
        <w:rPr>
          <w:rFonts w:ascii="Times New Roman" w:hAnsi="Times New Roman" w:cs="Times New Roman"/>
          <w:sz w:val="24"/>
          <w:szCs w:val="24"/>
        </w:rPr>
        <w:fldChar w:fldCharType="end"/>
      </w:r>
      <w:r w:rsidR="003B284F">
        <w:rPr>
          <w:rFonts w:ascii="Times New Roman" w:hAnsi="Times New Roman" w:cs="Times New Roman"/>
          <w:sz w:val="24"/>
          <w:szCs w:val="24"/>
        </w:rPr>
        <w:t xml:space="preserve">. Catalase also has </w:t>
      </w:r>
      <w:r w:rsidR="003B284F" w:rsidRPr="00854015">
        <w:rPr>
          <w:rFonts w:ascii="Times New Roman" w:hAnsi="Times New Roman" w:cs="Times New Roman"/>
          <w:sz w:val="24"/>
          <w:szCs w:val="24"/>
        </w:rPr>
        <w:t xml:space="preserve">a high turnover rate, </w:t>
      </w:r>
      <w:r w:rsidRPr="00854015">
        <w:rPr>
          <w:rFonts w:ascii="Times New Roman" w:hAnsi="Times New Roman" w:cs="Times New Roman"/>
          <w:sz w:val="24"/>
          <w:szCs w:val="24"/>
        </w:rPr>
        <w:t>requir</w:t>
      </w:r>
      <w:r w:rsidR="003B284F">
        <w:rPr>
          <w:rFonts w:ascii="Times New Roman" w:hAnsi="Times New Roman" w:cs="Times New Roman"/>
          <w:sz w:val="24"/>
          <w:szCs w:val="24"/>
        </w:rPr>
        <w:t>ing</w:t>
      </w:r>
      <w:r w:rsidRPr="00854015">
        <w:rPr>
          <w:rFonts w:ascii="Times New Roman" w:hAnsi="Times New Roman" w:cs="Times New Roman"/>
          <w:sz w:val="24"/>
          <w:szCs w:val="24"/>
        </w:rPr>
        <w:t xml:space="preserve"> re</w:t>
      </w:r>
      <w:r w:rsidR="003B284F">
        <w:rPr>
          <w:rFonts w:ascii="Times New Roman" w:hAnsi="Times New Roman" w:cs="Times New Roman"/>
          <w:sz w:val="24"/>
          <w:szCs w:val="24"/>
        </w:rPr>
        <w:t>newal of protein structures</w:t>
      </w:r>
      <w:r w:rsidRPr="00854015">
        <w:rPr>
          <w:rFonts w:ascii="Times New Roman" w:hAnsi="Times New Roman" w:cs="Times New Roman"/>
          <w:sz w:val="24"/>
          <w:szCs w:val="24"/>
        </w:rPr>
        <w:t xml:space="preserve"> after activity </w:t>
      </w:r>
      <w:r w:rsidR="006C3243" w:rsidRPr="00854015">
        <w:rPr>
          <w:rFonts w:ascii="Times New Roman" w:hAnsi="Times New Roman" w:cs="Times New Roman"/>
          <w:sz w:val="24"/>
          <w:szCs w:val="24"/>
        </w:rPr>
        <w:fldChar w:fldCharType="begin"/>
      </w:r>
      <w:r w:rsidR="003B284F">
        <w:rPr>
          <w:rFonts w:ascii="Times New Roman" w:hAnsi="Times New Roman" w:cs="Times New Roman"/>
          <w:sz w:val="24"/>
          <w:szCs w:val="24"/>
        </w:rPr>
        <w:instrText xml:space="preserve"> ADDIN ZOTERO_ITEM CSL_CITATION {"citationID":"1LB4kbCz","properties":{"formattedCitation":"(Nicholls 2012; Cao et al. 2003)","plainCitation":"(Nicholls 2012; Cao et al. 2003)","noteIndex":0},"citationItems":[{"id":2239,"uris":["http://zotero.org/users/6128296/items/PQLLPNCK"],"itemData":{"id":2239,"type":"article-journal","abstract":"This review describes the historical difﬁculties in devising a kinetically satisfactory mechanism for the classical catalase after its identiﬁcation as a unique catalytic entity in 1902 and prior to the breakthrough 1947 analysis by Chance and co-workers which led to the identiﬁcation of peroxide compounds I and II. The role of protons in the formation of these two ferryl complexes is discussed and current problems of inhibitory ligand and hydrogen donor binding at the active site are outlined, especially the multiple roles involving formate or formic acid. A previous mechanism of NADPH-dependent catalase protection against substrate inhibition is defended. A revised model linking the catalytic (‘catalatic’) action and the oneelectron side reactions involving compound II is suggested. And it is concluded that, contrary to an idea proposed in 1963 that eukaryotic catalase might be a ‘fossil enzyme’, current thinking gives it a central role in the redox protective processes of long term importance for human and other eukaryotic and prokaryotic life.","container-title":"Archives of Biochemistry and Biophysics","DOI":"10.1016/j.abb.2012.01.015","ISSN":"00039861","issue":"2","journalAbbreviation":"Archives of Biochemistry and Biophysics","language":"en","page":"95-101","source":"DOI.org (Crossref)","title":"Classical catalase: Ancient and modern","title-short":"Classical catalase","volume":"525","author":[{"family":"Nicholls","given":""}],"issued":{"date-parts":[["2012",9]]}}},{"id":1939,"uris":["http://zotero.org/users/6128296/items/HHFM5UI8"],"itemData":{"id":1939,"type":"article-journal","abstract":"Catalase is a major effector in the defense of aerobic cells against oxidative stress. Recent studies have shown that catalase activity is stimulated by the c-Abl and Arg tyrosine kinases. Little, however, is otherwise known about the mechanisms responsible for catalase regulation. The present work demonstrates that mouse cells deficient in both c-Abl and Arg exhibit increased catalase stability. The results also show that catalase is subject to ubiquitination and degradation by the 26S proteosome. Significantly, ubiquitination of catalase is dependent on c-Abl- and Arg-mediated phosphorylation of catalase on both Y231 and Y386. In concert with these results, human 293 cells expressing catalase mutated at Y231 and Y386 exhibit attenuated levels of reactive oxygen species when exposed to hydrogen peroxide. These findings indicate that, in addition to stimulating catalase activity, c-Abl and Arg promote catalase degradation in the oxidative stress response.","container-title":"Biochemistry","DOI":"10.1021/bi035023f","ISSN":"0006-2960, 1520-4995","issue":"35","journalAbbreviation":"Biochemistry","language":"en","page":"10348-10353","source":"DOI.org (Crossref)","title":"Catalase Is Regulated by Ubiquitination and Proteosomal Degradation. Role of the c-Abl and Arg Tyrosine Kinases","volume":"42","author":[{"family":"Cao","given":""},{"family":"Leng","given":"Yumei"},{"family":"Liu","given":"Xuan"},{"family":"Yi","given":"Yanping"},{"family":"Li","given":"Ping"},{"family":"Kufe","given":"Donald"}],"issued":{"date-parts":[["2003",9]]}}}],"schema":"https://github.com/citation-style-language/schema/raw/master/csl-citation.json"} </w:instrText>
      </w:r>
      <w:r w:rsidR="006C3243" w:rsidRPr="00854015">
        <w:rPr>
          <w:rFonts w:ascii="Times New Roman" w:hAnsi="Times New Roman" w:cs="Times New Roman"/>
          <w:sz w:val="24"/>
          <w:szCs w:val="24"/>
        </w:rPr>
        <w:fldChar w:fldCharType="separate"/>
      </w:r>
      <w:r w:rsidR="003B284F">
        <w:rPr>
          <w:rFonts w:ascii="Times New Roman" w:hAnsi="Times New Roman" w:cs="Times New Roman"/>
          <w:sz w:val="24"/>
          <w:szCs w:val="24"/>
        </w:rPr>
        <w:t xml:space="preserve">(Nicholls 2012; Cao </w:t>
      </w:r>
      <w:r w:rsidR="00183222" w:rsidRPr="00183222">
        <w:rPr>
          <w:rFonts w:ascii="Times New Roman" w:hAnsi="Times New Roman" w:cs="Times New Roman"/>
          <w:i/>
          <w:iCs/>
          <w:sz w:val="24"/>
          <w:szCs w:val="24"/>
        </w:rPr>
        <w:t>et al</w:t>
      </w:r>
      <w:r w:rsidR="003B284F">
        <w:rPr>
          <w:rFonts w:ascii="Times New Roman" w:hAnsi="Times New Roman" w:cs="Times New Roman"/>
          <w:sz w:val="24"/>
          <w:szCs w:val="24"/>
        </w:rPr>
        <w:t>. 2003)</w:t>
      </w:r>
      <w:r w:rsidR="006C3243" w:rsidRPr="00854015">
        <w:rPr>
          <w:rFonts w:ascii="Times New Roman" w:hAnsi="Times New Roman" w:cs="Times New Roman"/>
          <w:sz w:val="24"/>
          <w:szCs w:val="24"/>
        </w:rPr>
        <w:fldChar w:fldCharType="end"/>
      </w:r>
      <w:r w:rsidR="003B284F">
        <w:rPr>
          <w:rFonts w:ascii="Times New Roman" w:hAnsi="Times New Roman" w:cs="Times New Roman"/>
          <w:sz w:val="24"/>
          <w:szCs w:val="24"/>
        </w:rPr>
        <w:t xml:space="preserve">. </w:t>
      </w:r>
      <w:r w:rsidR="008149F7" w:rsidRPr="00854015">
        <w:rPr>
          <w:rFonts w:ascii="Times New Roman" w:hAnsi="Times New Roman" w:cs="Times New Roman"/>
          <w:sz w:val="24"/>
          <w:szCs w:val="24"/>
        </w:rPr>
        <w:t>High</w:t>
      </w:r>
      <w:r w:rsidRPr="00854015">
        <w:rPr>
          <w:rFonts w:ascii="Times New Roman" w:hAnsi="Times New Roman" w:cs="Times New Roman"/>
          <w:sz w:val="24"/>
          <w:szCs w:val="24"/>
        </w:rPr>
        <w:t xml:space="preserve"> enzyme production and maintenance costs </w:t>
      </w:r>
      <w:r w:rsidR="0033666D">
        <w:rPr>
          <w:rFonts w:ascii="Times New Roman" w:hAnsi="Times New Roman" w:cs="Times New Roman"/>
          <w:sz w:val="24"/>
          <w:szCs w:val="24"/>
        </w:rPr>
        <w:t xml:space="preserve">of catalase for </w:t>
      </w:r>
      <w:r w:rsidR="0033666D" w:rsidRPr="0033666D">
        <w:rPr>
          <w:rFonts w:ascii="Times" w:hAnsi="Times" w:cs="Times New Roman"/>
          <w:i/>
          <w:iCs/>
          <w:color w:val="000000" w:themeColor="text1"/>
          <w:sz w:val="24"/>
          <w:szCs w:val="24"/>
        </w:rPr>
        <w:t>Prochlorococcus</w:t>
      </w:r>
      <w:r w:rsidR="00836D65">
        <w:rPr>
          <w:rFonts w:ascii="Times" w:hAnsi="Times" w:cs="Times New Roman"/>
          <w:i/>
          <w:iCs/>
          <w:color w:val="000000" w:themeColor="text1"/>
          <w:sz w:val="24"/>
          <w:szCs w:val="24"/>
        </w:rPr>
        <w:t>,</w:t>
      </w:r>
      <w:r w:rsidR="0033666D">
        <w:rPr>
          <w:rFonts w:ascii="Times New Roman" w:hAnsi="Times New Roman" w:cs="Times New Roman"/>
          <w:sz w:val="24"/>
          <w:szCs w:val="24"/>
        </w:rPr>
        <w:t xml:space="preserve"> </w:t>
      </w:r>
      <w:r w:rsidRPr="00854015">
        <w:rPr>
          <w:rFonts w:ascii="Times New Roman" w:hAnsi="Times New Roman" w:cs="Times New Roman"/>
          <w:sz w:val="24"/>
          <w:szCs w:val="24"/>
        </w:rPr>
        <w:t xml:space="preserve">when combined </w:t>
      </w:r>
      <w:r w:rsidR="00836D65">
        <w:rPr>
          <w:rFonts w:ascii="Times New Roman" w:hAnsi="Times New Roman" w:cs="Times New Roman"/>
          <w:sz w:val="24"/>
          <w:szCs w:val="24"/>
        </w:rPr>
        <w:t xml:space="preserve">with the low nutrient supplies </w:t>
      </w:r>
      <w:r w:rsidR="0033666D">
        <w:rPr>
          <w:rFonts w:ascii="Times New Roman" w:hAnsi="Times New Roman" w:cs="Times New Roman"/>
          <w:sz w:val="24"/>
          <w:szCs w:val="24"/>
        </w:rPr>
        <w:t xml:space="preserve">in </w:t>
      </w:r>
      <w:r w:rsidRPr="00854015">
        <w:rPr>
          <w:rFonts w:ascii="Times New Roman" w:hAnsi="Times New Roman" w:cs="Times New Roman"/>
          <w:sz w:val="24"/>
          <w:szCs w:val="24"/>
        </w:rPr>
        <w:t>oligotrophic waters</w:t>
      </w:r>
      <w:r w:rsidR="0033666D">
        <w:rPr>
          <w:rFonts w:ascii="Times New Roman" w:hAnsi="Times New Roman" w:cs="Times New Roman"/>
          <w:sz w:val="24"/>
          <w:szCs w:val="24"/>
        </w:rPr>
        <w:t xml:space="preserve"> </w:t>
      </w:r>
      <w:r w:rsidR="00836D65">
        <w:rPr>
          <w:rFonts w:ascii="Times New Roman" w:hAnsi="Times New Roman" w:cs="Times New Roman"/>
          <w:sz w:val="24"/>
          <w:szCs w:val="24"/>
        </w:rPr>
        <w:t>and</w:t>
      </w:r>
      <w:r w:rsidR="0033666D">
        <w:rPr>
          <w:rFonts w:ascii="Times New Roman" w:hAnsi="Times New Roman" w:cs="Times New Roman"/>
          <w:sz w:val="24"/>
          <w:szCs w:val="24"/>
        </w:rPr>
        <w:t xml:space="preserve"> </w:t>
      </w:r>
      <w:r w:rsidR="00836D65">
        <w:rPr>
          <w:rFonts w:ascii="Times New Roman" w:hAnsi="Times New Roman" w:cs="Times New Roman"/>
          <w:sz w:val="24"/>
          <w:szCs w:val="24"/>
        </w:rPr>
        <w:t xml:space="preserve">the </w:t>
      </w:r>
      <w:r w:rsidRPr="00854015">
        <w:rPr>
          <w:rFonts w:ascii="Times New Roman" w:hAnsi="Times New Roman" w:cs="Times New Roman"/>
          <w:sz w:val="24"/>
          <w:szCs w:val="24"/>
        </w:rPr>
        <w:t xml:space="preserve">presence of </w:t>
      </w:r>
      <w:r w:rsidR="00836D65">
        <w:rPr>
          <w:rFonts w:ascii="Times New Roman" w:hAnsi="Times New Roman" w:cs="Times New Roman"/>
          <w:sz w:val="24"/>
          <w:szCs w:val="24"/>
        </w:rPr>
        <w:t xml:space="preserve">other </w:t>
      </w:r>
      <w:r w:rsidRPr="00854015">
        <w:rPr>
          <w:rFonts w:ascii="Times New Roman" w:hAnsi="Times New Roman" w:cs="Times New Roman"/>
          <w:sz w:val="24"/>
          <w:szCs w:val="24"/>
        </w:rPr>
        <w:t>catalase expressing community members</w:t>
      </w:r>
      <w:r w:rsidR="008149F7" w:rsidRPr="00854015">
        <w:rPr>
          <w:rFonts w:ascii="Times New Roman" w:hAnsi="Times New Roman" w:cs="Times New Roman"/>
          <w:sz w:val="24"/>
          <w:szCs w:val="24"/>
        </w:rPr>
        <w:t xml:space="preserve"> (e.g. </w:t>
      </w:r>
      <w:proofErr w:type="spellStart"/>
      <w:r w:rsidR="00691B65" w:rsidRPr="00691B65">
        <w:rPr>
          <w:rFonts w:ascii="Times New Roman" w:hAnsi="Times New Roman" w:cs="Times New Roman"/>
          <w:i/>
          <w:iCs/>
          <w:sz w:val="24"/>
          <w:szCs w:val="24"/>
        </w:rPr>
        <w:t>Synechococcus</w:t>
      </w:r>
      <w:proofErr w:type="spellEnd"/>
      <w:r w:rsidRPr="00854015">
        <w:rPr>
          <w:rFonts w:ascii="Times New Roman" w:hAnsi="Times New Roman" w:cs="Times New Roman"/>
          <w:sz w:val="24"/>
          <w:szCs w:val="24"/>
        </w:rPr>
        <w:t xml:space="preserve"> and </w:t>
      </w:r>
      <w:proofErr w:type="spellStart"/>
      <w:r w:rsidRPr="003B284F">
        <w:rPr>
          <w:rFonts w:ascii="Times New Roman" w:hAnsi="Times New Roman" w:cs="Times New Roman"/>
          <w:i/>
          <w:iCs/>
          <w:sz w:val="24"/>
          <w:szCs w:val="24"/>
        </w:rPr>
        <w:t>Alteromonas</w:t>
      </w:r>
      <w:proofErr w:type="spellEnd"/>
      <w:r w:rsidRPr="003B284F">
        <w:rPr>
          <w:rFonts w:ascii="Times New Roman" w:hAnsi="Times New Roman" w:cs="Times New Roman"/>
          <w:i/>
          <w:iCs/>
          <w:sz w:val="24"/>
          <w:szCs w:val="24"/>
        </w:rPr>
        <w:t xml:space="preserve"> </w:t>
      </w:r>
      <w:proofErr w:type="spellStart"/>
      <w:r w:rsidRPr="003B284F">
        <w:rPr>
          <w:rFonts w:ascii="Times New Roman" w:hAnsi="Times New Roman" w:cs="Times New Roman"/>
          <w:i/>
          <w:iCs/>
          <w:sz w:val="24"/>
          <w:szCs w:val="24"/>
        </w:rPr>
        <w:t>spp</w:t>
      </w:r>
      <w:proofErr w:type="spellEnd"/>
      <w:r w:rsidR="008149F7" w:rsidRPr="00854015">
        <w:rPr>
          <w:rFonts w:ascii="Times New Roman" w:hAnsi="Times New Roman" w:cs="Times New Roman"/>
          <w:sz w:val="24"/>
          <w:szCs w:val="24"/>
        </w:rPr>
        <w:t>)</w:t>
      </w:r>
      <w:r w:rsidR="00836D65">
        <w:rPr>
          <w:rFonts w:ascii="Times New Roman" w:hAnsi="Times New Roman" w:cs="Times New Roman"/>
          <w:sz w:val="24"/>
          <w:szCs w:val="24"/>
        </w:rPr>
        <w:t xml:space="preserve">, </w:t>
      </w:r>
      <w:r w:rsidRPr="00854015">
        <w:rPr>
          <w:rFonts w:ascii="Times New Roman" w:hAnsi="Times New Roman" w:cs="Times New Roman"/>
          <w:sz w:val="24"/>
          <w:szCs w:val="24"/>
        </w:rPr>
        <w:t xml:space="preserve">may explain the evolutionary loss of catalase in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8A6613"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{"citationID":"Y0sKMpeS","properties":{"formattedCitation":"(Morris, Lenski, and Zinser 2012; Morris 2015; Morris et al. 2016; Morris 2011; Ma et al. 2018)","plainCitation":"(Morris, Lenski, and Zinser 2012; Morris 2015; Morris et al. 2016; Morris 2011; Ma et al. 2018)","noteIndex":0},"citationItems":[{"id":114,"uris":["http://zotero.org/users/6128296/items/RAQDXC7K"],"itemData":{"id":114,"type":"article-journal","abstract":"Reductive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R."}],"issued":{"date-parts":[["2012",3,23]]}}},{"id":4042,"uris":["http://zotero.org/users/6128296/items/CSSF4USS"],"itemData":{"id":4042,"type":"article-journal","container-title":"Trends in Genetics","DOI":"10.1016/j.tig.2015.05.004","ISSN":"01689525","issue":"8","journalAbbreviation":"Trends in Genetics","language":"en","page":"475-482","source":"DOI.org (Crossref)","title":"Black Queen evolution: the role of leakiness in structuring microbial communities","title-short":"Black Queen evolution","volume":"31","author":[{"family":"Morris","given":""}],"issued":{"date-parts":[["2015",8]]}}},{"id":1698,"uris":["http://zotero.org/users/6128296/items/EVC4QN3I"],"itemData":{"id":1698,"type":"article-journal","container-title":"Journal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Microorganisms","author":[{"family":"Morris","given":""}],"issued":{"date-parts":[["2011"]]}}},{"id":2142,"uris":["http://zotero.org/users/6128296/items/V83EGSC2"],"itemData":{"id":2142,"type":"article-journal","abstract":"Prochlorococcus, the smallest and most abundant phytoplankter in the ocean, is highly sensitive to hydrogen peroxide (HOOH), and co-occurring heterotrophs such as Alteromonas facilitate the growth of Prochlorococcus by scavenging HOOH. Temperature is also a major influence on Prochlorococcus abundance and distribution in the ocean, and studies in other photosynthetic organisms have shown that HOOH and temperature extremes can act together as synergistic stressors. To address potential synergistic effects of temperature and HOOH on Prochlorococcus growth, high- and low-temperatureadapted representative strains were cultured at ecologically relevant concentrations under a range of HOOH concentrations and temperatures. Higher concentrations of HOOH severely diminished the permissive temperature range for growth of both Prochlorococcus strains. At the permissive temperatures, the growth rates of both Prochlorococcus strains decreased as a function of HOOH, and cold temperature increased susceptibility of photosystem II to HOOH-mediated damage. Serving as a proxy for the natural community, co-cultured heterotrophic bacteria increased the Prochlorococcus growth rate under these temperatures, and expanded the permissive range of temperature for growth. These studies indicate that in the ocean, the cross-protective function of the microbial community may confer a fitness increase for Prochlorococcus at its temperature extremes, especially near the ocean surface where oxidative stress is highest. This interaction may play a substantial role in defining the realized thermal niche and habitat range of Prochlorococcus with respect to latitude.","container-title":"The ISME Journal","DOI":"10.1038/ismej.2017.182","ISSN":"1751-7362, 1751-7370","issue":"2","journalAbbreviation":"ISME J","language":"en","page":"473-484","source":"DOI.org (Crossref)","title":"Degradation of hydrogen peroxide at the ocean’s surface: the influence of the microbial community on the realized thermal niche of Prochlorococcus","title-short":"Degradation of hydrogen peroxide at the ocean’s surface","volume":"12","author":[{"family":"Ma","given":""},{"family":"Calfee","given":"Benjamin C"},{"family":"Morris","given":"J Jeffrey"},{"family":"Johnson","given":"Zackary I"},{"family":"Zinser","given":"Erik R"}],"issued":{"date-parts":[["2018",2]]}}}],"schema":"https://github.com/citation-style-language/schema/raw/master/csl-citation.json"} </w:instrText>
      </w:r>
      <w:r w:rsidR="008A6613" w:rsidRPr="00854015">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(Morris, Lenski, and Zinser 2012; Morris 2015; Morris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2016; Morris 2011; Ma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2018)</w:t>
      </w:r>
      <w:r w:rsidR="008A6613" w:rsidRPr="00854015">
        <w:rPr>
          <w:rFonts w:ascii="Times New Roman" w:hAnsi="Times New Roman" w:cs="Times New Roman"/>
          <w:sz w:val="24"/>
          <w:szCs w:val="24"/>
        </w:rPr>
        <w:fldChar w:fldCharType="end"/>
      </w:r>
      <w:r w:rsidR="008A6613" w:rsidRPr="00854015">
        <w:rPr>
          <w:rFonts w:ascii="Times New Roman" w:hAnsi="Times New Roman" w:cs="Times New Roman"/>
          <w:sz w:val="24"/>
          <w:szCs w:val="24"/>
        </w:rPr>
        <w:t>.</w:t>
      </w:r>
    </w:p>
    <w:p w14:paraId="4C07A6EA" w14:textId="498C94A1" w:rsidR="005E185F" w:rsidRPr="003609FB" w:rsidRDefault="00490E61" w:rsidP="00AB2160">
      <w:pPr>
        <w:spacing w:line="360" w:lineRule="auto"/>
        <w:ind w:firstLine="720"/>
        <w:rPr>
          <w:rFonts w:ascii="Times New Roman" w:hAnsi="Times New Roman" w:cs="Times New Roman"/>
          <w:sz w:val="24"/>
          <w:szCs w:val="24"/>
        </w:rPr>
      </w:pPr>
      <w:r>
        <w:rPr>
          <w:rFonts w:ascii="Times New Roman" w:hAnsi="Times New Roman" w:cs="Times New Roman"/>
          <w:i/>
          <w:iCs/>
          <w:sz w:val="24"/>
          <w:szCs w:val="24"/>
        </w:rPr>
        <w:t>I</w:t>
      </w:r>
      <w:r w:rsidR="00825514" w:rsidRPr="00825514">
        <w:rPr>
          <w:rFonts w:ascii="Times New Roman" w:hAnsi="Times New Roman" w:cs="Times New Roman"/>
          <w:i/>
          <w:iCs/>
          <w:sz w:val="24"/>
          <w:szCs w:val="24"/>
        </w:rPr>
        <w:t>n situ</w:t>
      </w:r>
      <w:r w:rsidR="00825514">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measurements cover only a small percentage of the ocean so our current understanding of </w:t>
      </w:r>
      <w:r w:rsidR="00691B65" w:rsidRPr="00691B65">
        <w:rPr>
          <w:rFonts w:ascii="Times New Roman" w:hAnsi="Times New Roman" w:cs="Times New Roman"/>
          <w:i/>
          <w:iCs/>
          <w:sz w:val="24"/>
          <w:szCs w:val="24"/>
        </w:rPr>
        <w:t>Prochlorococcus</w:t>
      </w:r>
      <w:r w:rsidR="005E185F" w:rsidRPr="00854015">
        <w:rPr>
          <w:rFonts w:ascii="Times New Roman" w:hAnsi="Times New Roman" w:cs="Times New Roman"/>
          <w:sz w:val="24"/>
          <w:szCs w:val="24"/>
        </w:rPr>
        <w:t xml:space="preserve">, and other picoplankton </w:t>
      </w:r>
      <w:r w:rsidR="008A6613"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{"citationID":"oVyaRbOc","properties":{"formattedCitation":"(Visintini, Martiny, and Flombaum 2021)","plainCitation":"(Visintini, Martiny, and Flombaum 2021)","noteIndex":0},"citationItems":[{"id":3999,"uris":["http://zotero.org/users/6128296/items/8G87M8S5"],"itemData":{"id":3999,"type":"article-journal","abstract":"Abstract\n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C."},{"family":"Flombaum","given":"Pedro"}],"issued":{"date-parts":[["2021",8]]}}}],"schema":"https://github.com/citation-style-language/schema/raw/master/csl-citation.json"} </w:instrText>
      </w:r>
      <w:r w:rsidR="008A6613"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(Visintini, Martiny, and </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2021)</w:t>
      </w:r>
      <w:r w:rsidR="008A6613" w:rsidRPr="00854015">
        <w:rPr>
          <w:rFonts w:ascii="Times New Roman" w:hAnsi="Times New Roman" w:cs="Times New Roman"/>
          <w:sz w:val="24"/>
          <w:szCs w:val="24"/>
        </w:rPr>
        <w:fldChar w:fldCharType="end"/>
      </w:r>
      <w:r w:rsidR="008A6613" w:rsidRPr="00854015">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abundances and distributions are explored through global models. Ecosystem </w:t>
      </w:r>
      <w:r w:rsidR="000E6D9B"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{"citationID":"5LOCfNHU","properties":{"formattedCitation":"(Carroll et al. 2020; Ward et al. 2012)","plainCitation":"(Carroll et al. 2020; Ward et al. 2012)","noteIndex":0},"citationItems":[{"id":2251,"uris":["http://zoter</w:instrText>
      </w:r>
      <w:r w:rsidR="009D7443">
        <w:rPr>
          <w:rFonts w:ascii="Times New Roman" w:hAnsi="Times New Roman" w:cs="Times New Roman" w:hint="eastAsia"/>
          <w:sz w:val="24"/>
          <w:szCs w:val="24"/>
        </w:rPr>
        <w:instrText>o.org/users/6128296/items/HU3BK8EJ"],"itemData":{"id":2251,"type":"article-journal","container-title":"Journal of Advances in Modeling Earth Systems","DOI":"https://doi.org/10.1029/2019MS001888","issue":"e2019MS001888","title":"The ECCO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Darwin data</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assimilative global ocean biogeochemistry model: Estimates of seasonal to multidecadal surface ocean pCO2 and air</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sea CO2 flux.","volume":"23","author":[{"family":"Carroll","given":""},{"family":"Menemenlis","given":"D"},{"family":"Adkins","given":"J.F."},{"fam</w:instrText>
      </w:r>
      <w:r w:rsidR="009D7443">
        <w:rPr>
          <w:rFonts w:ascii="Times New Roman" w:hAnsi="Times New Roman" w:cs="Times New Roman"/>
          <w:sz w:val="24"/>
          <w:szCs w:val="24"/>
        </w:rPr>
        <w:instrText xml:space="preserve">ily":"Bowman","given":"K.W."},{"family":"Brix","given":"H"},{"family":"Dutkiewicz","given":"S"}],"issued":{"date-parts":[["2020"]]}}},{"id":237,"uris":["http://zotero.org/users/6128296/items/ITNRJJCA"],"itemData":{"id":237,"type":"article-journal","abstract":"We present a model of diverse phytoplankton and zooplankton populations embedded in a global ocean circulation model. Physiological and ecological traits of the organisms are constrained by relationships with cell size. The model qualitatively reproduces global distributions of nutrients, biomass, and primary productivity, and captures the power-law relationship between cell size and numerical density, which has realistic slopes of between 21.3 and 20.8. We use the model to explore the global structure of marine ecosystems, highlighting the importance of both nutrient and grazer controls. The model suggests that zooplankton : phytoplankton (Z : P) biomass ratios may vary from an order of 0.1 in the oligotrophic gyres to an order of 10 in upwelling and highlatitude regions. Global estimates of the strength of bottom-up and top-down controls within plankton size classes suggest that these large-scale gradients in Z : P ratios are driven by a shift from strong bottom-up, nutrient limitation in the oligotrophic gyres to the dominance of top-down, grazing controls in more productive regions.","container-title":"Limnology and Oceanography","DOI":"10.4319/lo.2012.57.6.1877","ISSN":"00243590","issue":"6","journalAbbreviation":"Limnol. Oceanogr.","language":"en","page":"1877-1891","source":"DOI.org (Crossref)","title":"A size-structured food-web model for the global ocean","volume":"57","author":[{"family":"Ward","given":"B. A."},{"family":"Dutkiewicz","given":"S."},{"family":"Jahn","given":"O."},{"family":"Follows","given":"M. J."}],"issued":{"date-parts":[["2012",11]]}}}],"schema":"https://github.com/citation-style-language/schema/raw/master/csl-citation.json"} </w:instrText>
      </w:r>
      <w:r w:rsidR="000E6D9B" w:rsidRPr="00854015">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(Carroll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2020;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2012)</w:t>
      </w:r>
      <w:r w:rsidR="000E6D9B" w:rsidRPr="00854015">
        <w:rPr>
          <w:rFonts w:ascii="Times New Roman" w:hAnsi="Times New Roman" w:cs="Times New Roman"/>
          <w:sz w:val="24"/>
          <w:szCs w:val="24"/>
        </w:rPr>
        <w:fldChar w:fldCharType="end"/>
      </w:r>
      <w:r w:rsidR="000E6D9B" w:rsidRPr="00854015">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and statistical niche models </w:t>
      </w:r>
      <w:r w:rsidR="000E6D9B"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{"citationID":"enUJuhuG","properties":{"formattedCitation":"(Flombaum et al. 2013; Luo et al. 2015; Carroll et al. 2020)","plainCitation":"(Flombaum et al. 2013; Luo et al. 2015; Carroll et al. 2020)","noteIndex":0},"citationItems":[{"id":89,"uris":["http://zotero.org/users/6128296/items/MCUHQ8Y3"],"itemData":{"id":89,"type":"article-journal","container-title":"Proceedings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C."}],"issued":{"date-parts":[["2013",6,11]]}}},{"id":1657,"uris":["http://zotero.org/users/6128296/items/FGBZW6YJ"],"itemData":{"id":1657,"type":"article-journal","abstract":"Ammonia (NH3) and carbon monoxide (CO) are primary pollutants emitted to the Earth's atmosphere from common as well as distinct sources associated with anthropogenic and natural activities. The seasonal and global distributions and correlations of NH3 and CO from the Tropospheric Emission Spectrometer (TES) satellite observations and GEOS-Chem model simulations for 2007 are investigated to evaluate how well the global and seasonal pollutant sources are prescribed in the model. Although the GEOS-Chem simulations of NH3 and CO atmospheric mixing ratio values are lower than the TES satellite observations, the global distribution patterns from the model reasonably agree with the observations, indicating that the model represents the general location of the source regions and the seasonal enhancements of NH3 and CO globally over large regional scales. In regions and seasons where biomass burning is the dominant source of both NH3 and CO emissions into the atmosphere, there are strong NH3:CO correlations, which is consistent with the relationship demonstrated by surface measurements over ﬁres. In regions where the enhanced NH3 and CO are known to be produced by different sources, the NH3:CO correlations from TES observations and model simulations are weak or non-existent. For biomass burning regions the NH3:CO ratios are 0.015 (TES) and 0.013 (GEOS-Chem). In regions of high-population density, known heavy trafﬁc, and limited biomass burning sources, such as the rapidly developing areas of South Asia and northern China, which include mixtures of megacities, industrial, and agricultural areas, the two species show weaker but still positive correlations and NH3:CO ratios of 0.051 (TES) and 0.036 (GEOS-Chem). These enhancement ratios of NH3 relative to CO are useful in constraining NH3 emission inventories when CO emission inventories are better known for some events or regions (i.e. biomass burning).","container-title":"Atmospheric Environment","DOI":"10.1016/j.atmosenv.2015.02.007","ISSN":"13522310","journalAbbreviation":"Atmospheric Environment","language":"en","page":"262-277","source":"DOI.org (Crossref)","title":"Satellite observations of tropospheric ammonia and carbon monoxide: Global distributions, regional correlations and comparisons to model simulations","title-short":"Satellite observations of tropospheric ammonia and carbon monoxide","volume":"106","author":[{"family":"Luo","given":""},{"family":"Shephard","given":"Mark W."},{"family":"Cady-Pereira","given":"Karen E."},{"family":"Henze","given":"Daven K."},{"family":"Zhu","given":"Liye"},{"family":"Bash","given":"Jesse O."},{"family":"Pinder","given":"Robert W."},{"family":"Capps","given":"Shannon L."},{"family":"Walker","given":"John T."},{"family":"Jones","given":"Matthew R."}],"issued":{"date-parts":[["2015",4]]}}},{"id":2251,"uris":["http://zotero.org/users/6128296/items/HU3BK8EJ"],"itemData":{"id":2251,"</w:instrText>
      </w:r>
      <w:r w:rsidR="009D7443">
        <w:rPr>
          <w:rFonts w:ascii="Times New Roman" w:hAnsi="Times New Roman" w:cs="Times New Roman" w:hint="eastAsia"/>
          <w:sz w:val="24"/>
          <w:szCs w:val="24"/>
        </w:rPr>
        <w:instrText>type":"article-journal","container-title":"Journal of Advances in Modeling Earth Systems","DOI":"https://doi.org/10.1029/2019MS001888","issue":"e2019MS001888","title":"The ECCO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Darwin data</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assimilative global ocean biogeochemistry model: Estimates of seasonal to multidecadal surface ocean pCO2 and air</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sea CO2 flux.","volume":"23","author":[{"family":"Carroll","given":""},{"family":"Menemenlis","given":"D"},{"family":"Adkins","given":"J.F."},{"family":"Bowman","given":"K.W."},{"family":"Brix","given":"H"},</w:instrText>
      </w:r>
      <w:r w:rsidR="009D7443">
        <w:rPr>
          <w:rFonts w:ascii="Times New Roman" w:hAnsi="Times New Roman" w:cs="Times New Roman"/>
          <w:sz w:val="24"/>
          <w:szCs w:val="24"/>
        </w:rPr>
        <w:instrText xml:space="preserve">{"family":"Dutkiewicz","given":"S"}],"issued":{"date-parts":[["2020"]]}}}],"schema":"https://github.com/citation-style-language/schema/raw/master/csl-citation.json"} </w:instrText>
      </w:r>
      <w:r w:rsidR="000E6D9B"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2013; Luo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Carroll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2020)</w:t>
      </w:r>
      <w:r w:rsidR="000E6D9B" w:rsidRPr="00854015">
        <w:rPr>
          <w:rFonts w:ascii="Times New Roman" w:hAnsi="Times New Roman" w:cs="Times New Roman"/>
          <w:sz w:val="24"/>
          <w:szCs w:val="24"/>
        </w:rPr>
        <w:fldChar w:fldCharType="end"/>
      </w:r>
      <w:r w:rsidR="005E185F" w:rsidRPr="00854015">
        <w:rPr>
          <w:rFonts w:ascii="Times New Roman" w:hAnsi="Times New Roman" w:cs="Times New Roman"/>
          <w:sz w:val="24"/>
          <w:szCs w:val="24"/>
        </w:rPr>
        <w:t xml:space="preserve"> calculate abundance differently but both indicate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 dominates in the most oligotrophic regions of the ocean </w:t>
      </w:r>
      <w:r w:rsidR="009A65B1"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{"citationID":"upIjsim8","properties":{"formattedCitation":"(Dutkiewicz, Follows, and Bragg 2009; Ward et al. 2017; Follows and Dutkiewicz 2011)","plainCitation":"(Dutkiewicz, Follows, and Bragg 2009; Ward et al. 2017; Follows and Dutkiewicz 2011)","noteIndex":0},"citationItems":[{"id":88,"uris":["http://zotero.org/users/6128296/items/GNGVK9JM"],"itemData":{"id":88,"type":"article-journal","abstract":"We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Microbes","volume":"3","author":[{"family":"Follows","given":""},{"family":"Dutkiewicz","given":"Stephanie"}],"issued":{"date-parts":[["2011",1,15]]}}}],"schema":"https://github.com/citation-style-language/schema/raw/master/csl-citation.json"} </w:instrText>
      </w:r>
      <w:r w:rsidR="009A65B1" w:rsidRPr="00854015">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w:t>
      </w:r>
      <w:r w:rsidR="009D7443">
        <w:rPr>
          <w:rFonts w:ascii="Times New Roman" w:hAnsi="Times New Roman" w:cs="Times New Roman"/>
          <w:sz w:val="24"/>
          <w:szCs w:val="24"/>
        </w:rPr>
        <w:lastRenderedPageBreak/>
        <w:t xml:space="preserve">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2017; Follows and Dutkiewicz 2011)</w:t>
      </w:r>
      <w:r w:rsidR="009A65B1" w:rsidRPr="00854015">
        <w:rPr>
          <w:rFonts w:ascii="Times New Roman" w:hAnsi="Times New Roman" w:cs="Times New Roman"/>
          <w:sz w:val="24"/>
          <w:szCs w:val="24"/>
        </w:rPr>
        <w:fldChar w:fldCharType="end"/>
      </w:r>
      <w:r w:rsidR="009A65B1" w:rsidRPr="00854015">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Realistic patterns of </w:t>
      </w:r>
      <w:r w:rsidR="00691B65" w:rsidRPr="00691B65">
        <w:rPr>
          <w:rFonts w:ascii="Times New Roman" w:hAnsi="Times New Roman" w:cs="Times New Roman"/>
          <w:i/>
          <w:iCs/>
          <w:sz w:val="24"/>
          <w:szCs w:val="24"/>
        </w:rPr>
        <w:t>Prochlorococcus</w:t>
      </w:r>
      <w:r w:rsidR="00836D65">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biogeography are recreated in ecosystem trait models that assume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has superior competitive ability for ammonium </w:t>
      </w:r>
      <w:r w:rsidR="009A65B1" w:rsidRPr="00854015">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{"citationID":"1c8YVYlo","properties":{"formattedCitation":"(Dutkiewicz, Follows, and Bragg 2009; Masuda et al. 2023; Ward and Follows 2016)","plainCitation":"(Dutkiewicz, Follows, and Bragg 2009; Masuda et al. 2023; Ward and Follows 2016)","noteIndex":0},"citationItems":[{"id":88,"uris":["http://zotero.org/users/6128296/items/GNGVK9JM"],"itemData":{"id":88,"type":"article-journal","abstract":"We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Ying"}],"issued":{"date-parts":[["2023",8,17]]}}},{"id":3635,"uris":["http://zotero.org/users/6128296/items/8T4KZPDH"],"itemData":{"id":3635,"type":"article-journal","abstract":"Significance\n            Marine plankton commonly combine the autotrophic use of light and inorganic resources with the heterotrophic ingestion of prey. These mixotrophs blur the strict boundary between producers and consumers and allow energy and biomass to enter the food web across multiple trophic levels. Incorporating this flexibility into a global simulation of the surface ocean food web reveals that mixotrophy enhances the transfer of biomass to larger organisms at higher trophic levels, which in turn increases the efficiency of oceanic carbon storage through the production of larger, faster-sinking, and carbon-enriched organic detritus.\n          , \n            Mixotrophic plankton, which combine the uptake of inorganic resources and the ingestion of living prey, are ubiquitous in marine ecosystems, but their integrated biogeochemical impacts remain unclear. We address this issue by removing the strict distinction between phytoplankton and zooplankton from a global model of the marine plankton food web. This simplification allows the emergence of a realistic trophic network with increased fidelity to empirical estimates of plankton community structure and elemental stoichiometry, relative to a system in which autotrophy and heterotrophy are mutually exclusive. Mixotrophy enhances the transfer of biomass to larger sizes classes further up the food chain, leading to an approximately threefold increase in global mean organism size and 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35% increase in sinking carbon flux.","container-title":"Proceedings of the National Academy of Sciences","DOI":"10.1073/pnas.1517118113","ISSN":"0027-8424, 1091-6490","issue":"11","journalAbbreviation":"Proc. Natl. Acad. Sci. U.S.A.","language":"en","page":"2958-2963","source":"DOI.org (Crossref)","title":"Marine mixotrophy increases trophic transfer efficiency, mean organism size, and vertical carbon flux","volume":"113","author":[{"family":"Ward","given":""},{"family":"Follows","given":"Michael J."}],"issued":{"date-parts":[["2016",3,15]]}}}],"schema":"https://github.com/citation-style-language/schema/raw/master/csl-citation.json"} </w:instrText>
      </w:r>
      <w:r w:rsidR="009A65B1" w:rsidRPr="00854015">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Masuda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2023; Ward and Follows 2016)</w:t>
      </w:r>
      <w:r w:rsidR="009A65B1" w:rsidRPr="00854015">
        <w:rPr>
          <w:rFonts w:ascii="Times New Roman" w:hAnsi="Times New Roman" w:cs="Times New Roman"/>
          <w:sz w:val="24"/>
          <w:szCs w:val="24"/>
        </w:rPr>
        <w:fldChar w:fldCharType="end"/>
      </w:r>
      <w:r w:rsidR="005E185F" w:rsidRPr="00854015">
        <w:rPr>
          <w:rFonts w:ascii="Times New Roman" w:hAnsi="Times New Roman" w:cs="Times New Roman"/>
          <w:sz w:val="24"/>
          <w:szCs w:val="24"/>
        </w:rPr>
        <w:t xml:space="preserve">. More recent modeling studies indicate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loss processes, such as viral predation and grazing, are also important influences on </w:t>
      </w:r>
      <w:r w:rsidR="00691B65" w:rsidRPr="00691B65">
        <w:rPr>
          <w:rFonts w:ascii="Times New Roman" w:hAnsi="Times New Roman" w:cs="Times New Roman"/>
          <w:i/>
          <w:iCs/>
          <w:sz w:val="24"/>
          <w:szCs w:val="24"/>
        </w:rPr>
        <w:t>Prochlorococcus</w:t>
      </w:r>
      <w:r w:rsidR="00836D65">
        <w:rPr>
          <w:rFonts w:ascii="Times New Roman" w:hAnsi="Times New Roman" w:cs="Times New Roman"/>
          <w:sz w:val="24"/>
          <w:szCs w:val="24"/>
        </w:rPr>
        <w:t xml:space="preserve"> </w:t>
      </w:r>
      <w:r w:rsidR="005E185F" w:rsidRPr="00854015">
        <w:rPr>
          <w:rFonts w:ascii="Times New Roman" w:hAnsi="Times New Roman" w:cs="Times New Roman"/>
          <w:sz w:val="24"/>
          <w:szCs w:val="24"/>
        </w:rPr>
        <w:t xml:space="preserve"> biogeography </w:t>
      </w:r>
      <w:r w:rsidR="00E54269" w:rsidRPr="00854015">
        <w:rPr>
          <w:rFonts w:ascii="Times New Roman" w:hAnsi="Times New Roman" w:cs="Times New Roman"/>
          <w:sz w:val="24"/>
          <w:szCs w:val="24"/>
        </w:rPr>
        <w:fldChar w:fldCharType="begin"/>
      </w:r>
      <w:r w:rsidR="00BF4898">
        <w:rPr>
          <w:rFonts w:ascii="Times New Roman" w:hAnsi="Times New Roman" w:cs="Times New Roman"/>
          <w:sz w:val="24"/>
          <w:szCs w:val="24"/>
        </w:rPr>
        <w:instrText xml:space="preserve"> ADDIN ZOTERO_ITEM CSL_CITATION {"citationID":"3J7sgGvV","properties":{"formattedCitation":"(Follett et al. 2022; Carlson et al. 2022)","plainCitation":"(Follett et al. 2022; Carlson et al. 2022)","noteIndex":0},"citationItems":[{"id":4609,"uris":["http://zotero.org/users/6128296/items/HNL5SLN9"],"itemData":{"id":4609,"type":"article-journal","abstract":"Prochlorococcus is the smallest and most abundant photosynthetic organism on Earth and is thought to be confined to low-latitude regions by its requirement for warm waters. Latitudinal transects in the North Pacific, however, demonstrate that the poleward decrease of this species occurs across a wide range of temperatures. An additional mechanism is likely required. 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structure.\nProchlorococcus is both the smallest and numerically most abundant photosynthesizing organism on the planet. While thriving in the warm oligotrophic gyres, Pro concentrations drop rapidly in higher-latitude regions. Transect data from the North Pacific show the collapse occurring at a wide range of temperatures and latitudes (temperature is often hypothesized to cause this shift), suggesting an ecological mechanism may be at play. An often used size-based theory of phytoplankton community structure that has been incorporated into computational models correctly predicts the dominance of Prochlorococcus in the gyres, and the relative dominance of larger cells at high latitudes. However, both theory and computational models fail to explain the poleward collapse. When heterotrophic bacteria and predators that prey nonspecifically on both\n              Prochlorococcus\n              and bacteria are included in the theoretical framework, the collapse of\n              Prochlorococcus\n              occurs with increasing nutrient supplies. \n\nWe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structure.\n\nThe poleward collapse of\n              Prochlorococcus\n              populations then naturally emerges when this mechanism of “shared predation” is implemented in a complex global ecosystem model. Additionally, the theory correctly predicts trends in both the abundance and mean size of the heterotrophic bacteria. These results suggest that ecological controls need to be considered to understand the biogeography of Prochlorococcus and predict its changes under future ocean conditions. Indirect interactions within a microbial network can be essential in setting community structure.","container-title":"Proceedings of the National Academy of Sciences","DOI":"10.1073/pnas.2110993118","ISSN":"0027-8424, 1091-6490","issue":"2","journalAbbreviation":"Proc. Natl. Acad. Sci. U.S.A.","language":"en","page":"e2110993118","source":"DOI.org (Crossref)","title":"Trophic interactions with heterotrophic bacteria limit the range of &lt;i&gt;Prochlorococcus&lt;/i&gt;","volume":"119","author":[{"family":"Follett","given":""},{"family":"Dutkiewicz","given":"Stephanie"},{"family":"Ribalet","given":"François"},{"family":"Zakem","given":"Emily"},{"family":"Caron","given":"David"},{"family":"Armbrust","given":"E. Virginia"},{"family":"Follows","given":"Michael J."}],"issued":{"date-parts":[["2022",1,11]]}}},{"id":6508,"uris":["http://zotero.org/users/6128296/items/SJNGIGV6"],"itemData":{"id":6508,"type":"article-journal","abstract":"Abstract\n            \n              The photosynthetic picocyanobacteria\n              Prochlorococcus\n              and\n              Synechococcus\n              are models for dissecting how ecological niches are defined by environmental conditions, but how interactions with bacteriophages affect picocyanobacterial biogeography in open ocean biomes has rarely been assessed. We applied single-virus and single-cell infection approaches to quantify cyanophage abundance and infected picocyanobacteria in 87 surface water samples from five transects that traversed approximately 2,200 km in the North Pacific Ocean on three cruises, with a duration of 2–4 weeks, between 2015 and 2017. We detected a 550-km-wide hotspot of cyanophages and virus-infected picocyanobacteria in the transition zone between the North Pacific Subtropical and Subpolar gyres that was present in each transect. Notably, the hotspot occurred at a consistent temperature and displayed distinct cyanophage-lineage composition on all transects. On two of these transects, the levels of infection in the hotspot were estimated to be sufficient to substantially limit the geographical range of\n              Prochlorococcus\n              . Coincident with the detection of high levels of virally infected picocyanobacteria, we measured an increase of 10–100-fold in the\n              Synechococcus\n              populations in samples that are usually dominated by\n              Prochlorococcus\n              . We developed a multiple regression model of cyanophages, temperature and chlorophyll concentrations that inferred that the hotspot extended across the North Pacific Ocean, creating a biological boundary between gyres, with the potential to release organic matter comparable to that of the sevenfold-larger North Pacific Subtropical Gyre. Our results highlight the probable impact of viruses on large-scale phytoplankton biogeography and biogeochemistry in distinct regions of the oceans.","container-title":"Nature Microbiology","DOI":"10.1038/s41564-022-01088-x","ISSN":"2058-5276","issue":"4","journalAbbreviation":"Nat Microbiol","language":"en","page":"570-580","source":"DOI.org (Crossref)","title":"Viruses affect picocyanobacterial abundance and biogeography in the North Pacific Ocean","volume":"7","author":[{"family":"Carlson","given":""},{"family":"Ribalet","given":"François"},{"family":"Maidanik","given":"Ilia"},{"family":"Durham","given":"Bryndan P."},{"family":"Hulata","given":"Yotam"},{"family":"Ferrón","given":"Sara"},{"family":"Weissenbach","given":"Julia"},{"family":"Shamir","given":"Nitzan"},{"family":"Goldin","given":"Svetlana"},{"family":"Baran","given":"Nava"},{"family":"Cael","given":"B. B."},{"family":"Karl","given":"David M."},{"family":"White","given":"Angelicque E."},{"family":"Armbrust","given":"E. Virginia"},{"family":"Lindell","given":"Debbie"}],"issued":{"date-parts":[["2022",4,1]]}}}],"schema":"https://github.com/citation-style-language/schema/raw/master/csl-citation.json"} </w:instrText>
      </w:r>
      <w:r w:rsidR="00E54269"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(Follett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2022; Carlson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E54269" w:rsidRPr="00854015">
        <w:rPr>
          <w:rFonts w:ascii="Times New Roman" w:hAnsi="Times New Roman" w:cs="Times New Roman"/>
          <w:sz w:val="24"/>
          <w:szCs w:val="24"/>
        </w:rPr>
        <w:fldChar w:fldCharType="end"/>
      </w:r>
      <w:r w:rsidR="005E185F" w:rsidRPr="00854015">
        <w:rPr>
          <w:rFonts w:ascii="Times New Roman" w:hAnsi="Times New Roman" w:cs="Times New Roman"/>
          <w:sz w:val="24"/>
          <w:szCs w:val="24"/>
        </w:rPr>
        <w:t xml:space="preserve">. In contrast, the role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854015">
        <w:rPr>
          <w:rFonts w:ascii="Times New Roman" w:hAnsi="Times New Roman" w:cs="Times New Roman"/>
          <w:sz w:val="24"/>
          <w:szCs w:val="24"/>
        </w:rPr>
        <w:t xml:space="preserve"> dynamics on dominant oceanic microbial abundances has not been modeled, despite observed susceptibilities of the same plankton </w:t>
      </w:r>
      <w:r w:rsidR="0033666D">
        <w:rPr>
          <w:rFonts w:ascii="Times New Roman" w:hAnsi="Times New Roman" w:cs="Times New Roman"/>
          <w:sz w:val="24"/>
          <w:szCs w:val="24"/>
        </w:rPr>
        <w:t>when in cultivated settings</w:t>
      </w:r>
      <w:r w:rsidR="00CA3AA8">
        <w:rPr>
          <w:rFonts w:ascii="Times New Roman" w:hAnsi="Times New Roman" w:cs="Times New Roman"/>
          <w:sz w:val="24"/>
          <w:szCs w:val="24"/>
        </w:rPr>
        <w:t xml:space="preserve"> </w:t>
      </w:r>
      <w:r w:rsidR="00E54269" w:rsidRPr="00854015">
        <w:rPr>
          <w:rFonts w:ascii="Times New Roman" w:hAnsi="Times New Roman" w:cs="Times New Roman"/>
          <w:sz w:val="24"/>
          <w:szCs w:val="24"/>
        </w:rPr>
        <w:fldChar w:fldCharType="begin"/>
      </w:r>
      <w:r w:rsidR="004A122C" w:rsidRPr="00854015">
        <w:rPr>
          <w:rFonts w:ascii="Times New Roman" w:hAnsi="Times New Roman" w:cs="Times New Roman"/>
          <w:sz w:val="24"/>
          <w:szCs w:val="24"/>
        </w:rPr>
        <w:instrText xml:space="preserve"> ADDIN ZOTERO_ITEM CSL_CITATION {"citationID":"c6uDHm62","properties":{"formattedCitation":"(Morris et al. 2011)","plainCitation":"(Morris et al. 2011)","noteIndex":0},"citationItems":[{"id":113,"uris":["http://zotero.org/users/6128296/items/PIIBXCZZ"],"itemData":{"id":113,"type":"article-journal","abstract":"The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E54269" w:rsidRPr="00854015">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w:t>
      </w:r>
      <w:r w:rsidR="00E54269" w:rsidRPr="00854015">
        <w:rPr>
          <w:rFonts w:ascii="Times New Roman" w:hAnsi="Times New Roman" w:cs="Times New Roman"/>
          <w:sz w:val="24"/>
          <w:szCs w:val="24"/>
        </w:rPr>
        <w:fldChar w:fldCharType="end"/>
      </w:r>
      <w:r w:rsidR="00E54269" w:rsidRPr="00854015">
        <w:rPr>
          <w:rFonts w:ascii="Times New Roman" w:hAnsi="Times New Roman" w:cs="Times New Roman"/>
          <w:sz w:val="24"/>
          <w:szCs w:val="24"/>
        </w:rPr>
        <w:t>.</w:t>
      </w:r>
    </w:p>
    <w:p w14:paraId="4C701104" w14:textId="0C76E3B1" w:rsidR="005E185F" w:rsidRPr="003609FB" w:rsidRDefault="005E185F"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Here, we present a coupled ordinary differential equation (ODE) model for microbial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As our model illustrates, coupled ODEs are well suited to quantification of cell-</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As microbial populations grow and die, their ability to detoxify exogenous reactive oxygen species changes. Our ODE model explicitly quantifies changes in population sizes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By fitting our model to laboratory time-series data using a Bayesian Monte Carlo Markov Chain (MCMC) approach, we obtain estimates of cell specific death and detoxification rates for globally important genera.  Finally, we illustrate how our ODE model can be used to explore the impact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cell mortality and community composition. </w:t>
      </w:r>
    </w:p>
    <w:p w14:paraId="57B56098" w14:textId="779CC492" w:rsidR="00CA3AA8" w:rsidRPr="00CA3AA8" w:rsidRDefault="005E185F" w:rsidP="00CA3AA8">
      <w:pPr>
        <w:pStyle w:val="Heading2"/>
        <w:spacing w:line="360" w:lineRule="auto"/>
      </w:pPr>
      <w:bookmarkStart w:id="12" w:name="_Toc173250016"/>
      <w:r w:rsidRPr="003609FB">
        <w:t>Methods</w:t>
      </w:r>
      <w:bookmarkEnd w:id="12"/>
    </w:p>
    <w:p w14:paraId="0E512B58" w14:textId="463403C6" w:rsidR="002F6825" w:rsidRDefault="005E185F"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Below we describe the system of ordinary differential equations (ODEs) we used to model the population dynamics of bacteria across a range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values. Special cases of our model were fitted in different permutations of laboratory community assays using a Bayesian Metropolis-Hastings MCMC to estimate the posterior distributions of the relevant model parameters (See Fig</w:t>
      </w:r>
      <w:r w:rsidR="008149F7" w:rsidRPr="003609FB">
        <w:rPr>
          <w:rFonts w:ascii="Times New Roman" w:hAnsi="Times New Roman" w:cs="Times New Roman"/>
          <w:sz w:val="24"/>
          <w:szCs w:val="24"/>
        </w:rPr>
        <w:t>ure</w:t>
      </w:r>
      <w:r w:rsidRPr="003609FB">
        <w:rPr>
          <w:rFonts w:ascii="Times New Roman" w:hAnsi="Times New Roman" w:cs="Times New Roman"/>
          <w:sz w:val="24"/>
          <w:szCs w:val="24"/>
        </w:rPr>
        <w:t xml:space="preserve"> </w:t>
      </w:r>
      <w:r w:rsidR="008149F7" w:rsidRPr="003609FB">
        <w:rPr>
          <w:rFonts w:ascii="Times New Roman" w:hAnsi="Times New Roman" w:cs="Times New Roman"/>
          <w:sz w:val="24"/>
          <w:szCs w:val="24"/>
        </w:rPr>
        <w:t>2.</w:t>
      </w:r>
      <w:r w:rsidRPr="003609FB">
        <w:rPr>
          <w:rFonts w:ascii="Times New Roman" w:hAnsi="Times New Roman" w:cs="Times New Roman"/>
          <w:sz w:val="24"/>
          <w:szCs w:val="24"/>
        </w:rPr>
        <w:t xml:space="preserve">1 for a model schematic and Table 1 for a definition of all parameters) </w:t>
      </w:r>
      <w:r w:rsidR="00E54269"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{"citationID":"ENEZbmDh","properties":{"formattedCitation":"(Metropolis et al. 1953)","plainCitation":"(Metropolis et al. 1953)","noteIndex":0},"citationItems":[{"id":1547,"uris":["http://zotero.org/users/6128296/items/LDFWRCVN"],"itemData":{"id":1547,"type":"article-journal","container-title":"The Journal of Chemical Physics","DOI":"10.1063/1.1699114","ISSN":"0021-9606, 1089-7690","issue":"6","journalAbbreviation":"The Journal of Chemical Physics","language":"en","page":"1087-1092","source":"DOI.org (Crossref)","title":"Equation of State Calculations by Fast Computing Machines","volume":"21","author":[{"family":"Metropolis","given":""},{"family":"Rosenbluth","given":"Arianna W."},{"family":"Rosenbluth","given":"Marshall N."},{"family":"Teller","given":"Augusta H."},{"family":"Teller","given":"Edward"}],"issued":{"date-parts":[["1953",6]]}}}],"schema":"https://github.com/citation-style-language/schema/raw/master/csl-citation.json"} </w:instrText>
      </w:r>
      <w:r w:rsidR="00E54269"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(Metropolis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1953)</w:t>
      </w:r>
      <w:r w:rsidR="00E54269" w:rsidRPr="003609FB">
        <w:rPr>
          <w:rFonts w:ascii="Times New Roman" w:hAnsi="Times New Roman" w:cs="Times New Roman"/>
          <w:sz w:val="24"/>
          <w:szCs w:val="24"/>
        </w:rPr>
        <w:fldChar w:fldCharType="end"/>
      </w:r>
      <w:r w:rsidR="00E54269" w:rsidRPr="003609FB">
        <w:rPr>
          <w:rFonts w:ascii="Times New Roman" w:hAnsi="Times New Roman" w:cs="Times New Roman"/>
          <w:sz w:val="24"/>
          <w:szCs w:val="24"/>
        </w:rPr>
        <w:t>.</w:t>
      </w:r>
      <w:r w:rsidRPr="003609FB">
        <w:rPr>
          <w:rFonts w:ascii="Times New Roman" w:hAnsi="Times New Roman" w:cs="Times New Roman"/>
          <w:sz w:val="24"/>
          <w:szCs w:val="24"/>
        </w:rPr>
        <w:t xml:space="preserve"> All computer code is provided in a GitHub repository: </w:t>
      </w:r>
      <w:hyperlink r:id="rId25" w:history="1">
        <w:r w:rsidRPr="003D069F">
          <w:rPr>
            <w:rStyle w:val="Hyperlink"/>
            <w:rFonts w:ascii="Times New Roman" w:hAnsi="Times New Roman" w:cs="Times New Roman"/>
            <w:color w:val="auto"/>
            <w:sz w:val="24"/>
            <w:szCs w:val="24"/>
          </w:rPr>
          <w:t>https://github.com/DKMcCullough/HOOH_dynamics</w:t>
        </w:r>
      </w:hyperlink>
      <w:r w:rsidRPr="003609FB">
        <w:rPr>
          <w:rFonts w:ascii="Times New Roman" w:hAnsi="Times New Roman" w:cs="Times New Roman"/>
          <w:sz w:val="24"/>
          <w:szCs w:val="24"/>
        </w:rPr>
        <w:t xml:space="preserve">. Below is a detailed description of both the model equations and data used to estimate model parameters. </w:t>
      </w:r>
    </w:p>
    <w:p w14:paraId="1FFFED44" w14:textId="672D0C0C" w:rsidR="00813148" w:rsidRPr="00813148" w:rsidRDefault="00813148" w:rsidP="00F17DAA">
      <w:pPr>
        <w:pStyle w:val="Heading3"/>
        <w:numPr>
          <w:ilvl w:val="0"/>
          <w:numId w:val="0"/>
        </w:numPr>
        <w:spacing w:line="360" w:lineRule="auto"/>
      </w:pPr>
      <w:bookmarkStart w:id="13" w:name="_Toc173250017"/>
      <w:r w:rsidRPr="003609FB">
        <w:t xml:space="preserve">Model </w:t>
      </w:r>
      <w:r w:rsidR="00163D15">
        <w:t>e</w:t>
      </w:r>
      <w:r w:rsidRPr="003609FB">
        <w:t>quations</w:t>
      </w:r>
      <w:bookmarkEnd w:id="13"/>
    </w:p>
    <w:p w14:paraId="383E0EF0" w14:textId="77777777" w:rsidR="00813148" w:rsidRPr="003609FB" w:rsidRDefault="00813148"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The dynamics of phytoplankton</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3609FB">
        <w:rPr>
          <w:rFonts w:ascii="Times New Roman" w:hAnsi="Times New Roman" w:cs="Times New Roman"/>
          <w:sz w:val="24"/>
          <w:szCs w:val="24"/>
        </w:rPr>
        <w:t>abundance (</w:t>
      </w: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oMath>
      <w:r w:rsidRPr="003609FB">
        <w:rPr>
          <w:rFonts w:ascii="Times New Roman" w:hAnsi="Times New Roman" w:cs="Times New Roman"/>
          <w:sz w:val="24"/>
          <w:szCs w:val="24"/>
        </w:rPr>
        <w:t>, cells mL-1)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(H, nmol mL</w:t>
      </w:r>
      <w:r w:rsidRPr="00813148">
        <w:rPr>
          <w:rFonts w:ascii="Times New Roman" w:hAnsi="Times New Roman" w:cs="Times New Roman"/>
          <w:sz w:val="24"/>
          <w:szCs w:val="24"/>
          <w:vertAlign w:val="superscript"/>
        </w:rPr>
        <w:t>-1</w:t>
      </w:r>
      <w:r w:rsidRPr="003609FB">
        <w:rPr>
          <w:rFonts w:ascii="Times New Roman" w:hAnsi="Times New Roman" w:cs="Times New Roman"/>
          <w:sz w:val="24"/>
          <w:szCs w:val="24"/>
        </w:rPr>
        <w:t>) were modeled with a set of coupled ordinary differential equations (ODEs):</w:t>
      </w:r>
    </w:p>
    <w:tbl>
      <w:tblPr>
        <w:tblStyle w:val="TableGrid"/>
        <w:tblpPr w:leftFromText="180" w:rightFromText="180" w:vertAnchor="text" w:tblpY="1"/>
        <w:tblOverlap w:val="never"/>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9"/>
        <w:gridCol w:w="992"/>
      </w:tblGrid>
      <w:tr w:rsidR="00813148" w:rsidRPr="00E31311" w14:paraId="3FBF5D8E" w14:textId="77777777" w:rsidTr="003C5E4E">
        <w:trPr>
          <w:trHeight w:val="80"/>
        </w:trPr>
        <w:tc>
          <w:tcPr>
            <w:tcW w:w="8579" w:type="dxa"/>
          </w:tcPr>
          <w:p w14:paraId="3FCFE0BC" w14:textId="77777777" w:rsidR="00813148" w:rsidRPr="00E31311" w:rsidRDefault="00813148" w:rsidP="00AB2160">
            <w:pPr>
              <w:spacing w:line="360" w:lineRule="auto"/>
              <w:jc w:val="center"/>
              <w:rPr>
                <w:rFonts w:ascii="Times New Roman" w:hAnsi="Times New Roman" w:cs="Times New Roman"/>
                <w:sz w:val="20"/>
                <w:szCs w:val="20"/>
              </w:rPr>
            </w:pPr>
            <w:r>
              <w:rPr>
                <w:rFonts w:ascii="Times New Roman" w:hAnsi="Times New Roman" w:cs="Times New Roman"/>
                <w:sz w:val="24"/>
                <w:szCs w:val="24"/>
              </w:rPr>
              <w:lastRenderedPageBreak/>
              <w:t xml:space="preserve">Monoculture </w:t>
            </w:r>
            <w:r w:rsidRPr="009A7E8A">
              <w:rPr>
                <w:rFonts w:ascii="Times New Roman" w:hAnsi="Times New Roman" w:cs="Times New Roman"/>
                <w:sz w:val="24"/>
                <w:szCs w:val="24"/>
              </w:rPr>
              <w:t>Model Equation Set</w:t>
            </w:r>
          </w:p>
        </w:tc>
        <w:tc>
          <w:tcPr>
            <w:tcW w:w="992" w:type="dxa"/>
          </w:tcPr>
          <w:p w14:paraId="24ED5415" w14:textId="77777777" w:rsidR="00813148" w:rsidRPr="00E31311" w:rsidRDefault="00813148" w:rsidP="00AB2160">
            <w:pPr>
              <w:spacing w:line="360" w:lineRule="auto"/>
              <w:rPr>
                <w:rFonts w:ascii="Times New Roman" w:hAnsi="Times New Roman" w:cs="Times New Roman"/>
                <w:sz w:val="20"/>
                <w:szCs w:val="20"/>
              </w:rPr>
            </w:pPr>
          </w:p>
        </w:tc>
      </w:tr>
      <w:tr w:rsidR="00813148" w:rsidRPr="00E31311" w14:paraId="3FA48C71" w14:textId="77777777" w:rsidTr="003C5E4E">
        <w:trPr>
          <w:trHeight w:val="1357"/>
        </w:trPr>
        <w:tc>
          <w:tcPr>
            <w:tcW w:w="8579" w:type="dxa"/>
          </w:tcPr>
          <w:p w14:paraId="2B74E5B5" w14:textId="77777777" w:rsidR="00813148" w:rsidRPr="00E31311" w:rsidRDefault="00813148" w:rsidP="00AB2160">
            <w:pPr>
              <w:spacing w:line="360" w:lineRule="auto"/>
              <w:rPr>
                <w:rFonts w:ascii="Times New Roman" w:hAnsi="Times New Roman" w:cs="Times New Roman"/>
                <w:sz w:val="20"/>
                <w:szCs w:val="20"/>
              </w:rPr>
            </w:pPr>
            <w:r w:rsidRPr="00DE6657">
              <w:rPr>
                <w:rFonts w:ascii="Cambria Math" w:hAnsi="Cambria Math" w:cs="Times New Roman"/>
                <w:noProof/>
                <w:sz w:val="24"/>
                <w:szCs w:val="24"/>
              </w:rPr>
              <mc:AlternateContent>
                <mc:Choice Requires="wps">
                  <w:drawing>
                    <wp:anchor distT="0" distB="0" distL="114300" distR="114300" simplePos="0" relativeHeight="251696128" behindDoc="0" locked="0" layoutInCell="1" allowOverlap="1" wp14:anchorId="3963391E" wp14:editId="2E9308B8">
                      <wp:simplePos x="0" y="0"/>
                      <wp:positionH relativeFrom="column">
                        <wp:posOffset>3976902</wp:posOffset>
                      </wp:positionH>
                      <wp:positionV relativeFrom="paragraph">
                        <wp:posOffset>-53263</wp:posOffset>
                      </wp:positionV>
                      <wp:extent cx="103505" cy="859155"/>
                      <wp:effectExtent l="3175" t="0" r="13970" b="13970"/>
                      <wp:wrapNone/>
                      <wp:docPr id="12" name="Left Brace 12"/>
                      <wp:cNvGraphicFramePr/>
                      <a:graphic xmlns:a="http://schemas.openxmlformats.org/drawingml/2006/main">
                        <a:graphicData uri="http://schemas.microsoft.com/office/word/2010/wordprocessingShape">
                          <wps:wsp>
                            <wps:cNvSpPr/>
                            <wps:spPr>
                              <a:xfrm rot="5400000" flipH="1">
                                <a:off x="0" y="0"/>
                                <a:ext cx="103505" cy="85915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C4131" id="Left Brace 12" o:spid="_x0000_s1026" type="#_x0000_t87" style="position:absolute;margin-left:313.15pt;margin-top:-4.2pt;width:8.15pt;height:67.65pt;rotation:-90;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" adj="217" strokecolor="black [3200]" strokeweight="1pt">
                      <v:stroke joinstyle="miter"/>
                    </v:shape>
                  </w:pict>
                </mc:Fallback>
              </mc:AlternateContent>
            </w:r>
            <w:r w:rsidRPr="00DE6657">
              <w:rPr>
                <w:rFonts w:ascii="Cambria Math" w:hAnsi="Cambria Math" w:cs="Times New Roman"/>
                <w:noProof/>
                <w:sz w:val="24"/>
                <w:szCs w:val="24"/>
              </w:rPr>
              <mc:AlternateContent>
                <mc:Choice Requires="wps">
                  <w:drawing>
                    <wp:anchor distT="0" distB="0" distL="114300" distR="114300" simplePos="0" relativeHeight="251697152" behindDoc="0" locked="0" layoutInCell="1" allowOverlap="1" wp14:anchorId="59C245FF" wp14:editId="0D042899">
                      <wp:simplePos x="0" y="0"/>
                      <wp:positionH relativeFrom="column">
                        <wp:posOffset>1760235</wp:posOffset>
                      </wp:positionH>
                      <wp:positionV relativeFrom="paragraph">
                        <wp:posOffset>62123</wp:posOffset>
                      </wp:positionV>
                      <wp:extent cx="114523" cy="624117"/>
                      <wp:effectExtent l="0" t="635" r="12065" b="12065"/>
                      <wp:wrapNone/>
                      <wp:docPr id="16" name="Left Brace 16"/>
                      <wp:cNvGraphicFramePr/>
                      <a:graphic xmlns:a="http://schemas.openxmlformats.org/drawingml/2006/main">
                        <a:graphicData uri="http://schemas.microsoft.com/office/word/2010/wordprocessingShape">
                          <wps:wsp>
                            <wps:cNvSpPr/>
                            <wps:spPr>
                              <a:xfrm rot="5400000" flipH="1">
                                <a:off x="0" y="0"/>
                                <a:ext cx="114523" cy="624117"/>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24561" id="Left Brace 16" o:spid="_x0000_s1026" type="#_x0000_t87" style="position:absolute;margin-left:138.6pt;margin-top:4.9pt;width:9pt;height:49.15pt;rotation:-90;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" adj="330" strokecolor="black [3200]" strokeweight="1pt">
                      <v:stroke joinstyle="miter"/>
                    </v:shape>
                  </w:pict>
                </mc:Fallback>
              </mc:AlternateContent>
            </w:r>
            <m:oMath>
              <m:f>
                <m:fPr>
                  <m:ctrlPr>
                    <w:rPr>
                      <w:rFonts w:ascii="Cambria Math" w:hAnsi="Cambria Math" w:cs="Times New Roman"/>
                      <w:i/>
                      <w:sz w:val="28"/>
                      <w:szCs w:val="28"/>
                    </w:rPr>
                  </m:ctrlPr>
                </m:fPr>
                <m:num>
                  <m:r>
                    <w:rPr>
                      <w:rFonts w:ascii="Cambria Math" w:hAnsi="Cambria Math" w:cs="Times New Roman"/>
                      <w:sz w:val="28"/>
                      <w:szCs w:val="28"/>
                    </w:rPr>
                    <m:t>d</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num>
                <m:den>
                  <m:r>
                    <w:rPr>
                      <w:rFonts w:ascii="Cambria Math" w:hAnsi="Cambria Math" w:cs="Times New Roman"/>
                      <w:sz w:val="28"/>
                      <w:szCs w:val="28"/>
                    </w:rPr>
                    <m:t>dt</m:t>
                  </m:r>
                </m:den>
              </m:f>
              <m:r>
                <w:rPr>
                  <w:rFonts w:ascii="Cambria Math" w:hAnsi="Cambria Math" w:cs="Times New Roman"/>
                  <w:sz w:val="28"/>
                  <w:szCs w:val="28"/>
                </w:rPr>
                <m:t xml:space="preserve">                </m:t>
              </m:r>
              <m:r>
                <m:rPr>
                  <m:aln/>
                </m:rPr>
                <w:rPr>
                  <w:rFonts w:ascii="Cambria Math" w:hAnsi="Cambria Math" w:cs="Times New Roman"/>
                  <w:sz w:val="28"/>
                  <w:szCs w:val="28"/>
                </w:rPr>
                <m:t xml:space="preserve">=             </m:t>
              </m:r>
              <m:r>
                <m:rPr>
                  <m:sty m:val="p"/>
                </m:rP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μ</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r>
                <m:rPr>
                  <m:sty m:val="p"/>
                </m:rPr>
                <w:rPr>
                  <w:rFonts w:ascii="Cambria Math" w:hAnsi="Cambria Math" w:cs="Times New Roman"/>
                  <w:sz w:val="28"/>
                  <w:szCs w:val="28"/>
                </w:rPr>
                <m:t xml:space="preserve">                   </m:t>
              </m:r>
              <m:r>
                <w:rPr>
                  <w:rFonts w:ascii="Cambria Math" w:hAnsi="Cambria Math" w:cs="Times New Roman"/>
                  <w:sz w:val="28"/>
                  <w:szCs w:val="28"/>
                </w:rPr>
                <m:t xml:space="preserve">-                </m:t>
              </m:r>
              <m:sSub>
                <m:sSubPr>
                  <m:ctrlPr>
                    <w:rPr>
                      <w:rFonts w:ascii="Cambria Math" w:hAnsi="Cambria Math" w:cs="Times New Roman"/>
                      <w:sz w:val="28"/>
                      <w:szCs w:val="28"/>
                    </w:rPr>
                  </m:ctrlPr>
                </m:sSubPr>
                <m:e>
                  <m:r>
                    <w:rPr>
                      <w:rFonts w:ascii="Cambria Math" w:hAnsi="Cambria Math" w:cs="Times New Roman"/>
                      <w:sz w:val="28"/>
                      <w:szCs w:val="28"/>
                    </w:rPr>
                    <m:t>κ</m:t>
                  </m:r>
                </m:e>
                <m:sub>
                  <m:r>
                    <w:rPr>
                      <w:rFonts w:ascii="Cambria Math" w:hAnsi="Cambria Math" w:cs="Times New Roman"/>
                      <w:sz w:val="28"/>
                      <w:szCs w:val="28"/>
                    </w:rPr>
                    <m:t>dam,i</m:t>
                  </m:r>
                </m:sub>
              </m:sSub>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r>
                <w:rPr>
                  <w:rFonts w:ascii="Cambria Math" w:hAnsi="Cambria Math" w:cs="Times New Roman"/>
                  <w:sz w:val="28"/>
                  <w:szCs w:val="28"/>
                </w:rPr>
                <m:t xml:space="preserve">H    </m:t>
              </m:r>
            </m:oMath>
          </w:p>
          <w:p w14:paraId="3E9D116B" w14:textId="77777777" w:rsidR="00813148" w:rsidRPr="00E31311" w:rsidRDefault="00813148"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E6657">
              <w:rPr>
                <w:rFonts w:ascii="Times New Roman" w:hAnsi="Times New Roman" w:cs="Times New Roman"/>
              </w:rPr>
              <w:t xml:space="preserve">net growth rate of </w:t>
            </w:r>
            <w:proofErr w:type="spellStart"/>
            <w:r w:rsidRPr="00DE6657">
              <w:rPr>
                <w:rFonts w:ascii="Times New Roman" w:hAnsi="Times New Roman" w:cs="Times New Roman"/>
              </w:rPr>
              <w:t>plankton</w:t>
            </w:r>
            <w:r w:rsidRPr="00DE6657">
              <w:rPr>
                <w:rFonts w:ascii="Times New Roman" w:hAnsi="Times New Roman" w:cs="Times New Roman"/>
                <w:vertAlign w:val="subscript"/>
              </w:rPr>
              <w:t>i</w:t>
            </w:r>
            <w:proofErr w:type="spellEnd"/>
            <w:r w:rsidRPr="00DE6657">
              <w:rPr>
                <w:rFonts w:ascii="Times New Roman" w:hAnsi="Times New Roman" w:cs="Times New Roman"/>
              </w:rPr>
              <w:t xml:space="preserve"> (</w:t>
            </w:r>
            <w:proofErr w:type="gramStart"/>
            <w:r w:rsidRPr="00DE6657">
              <w:rPr>
                <w:rFonts w:ascii="Times New Roman" w:hAnsi="Times New Roman" w:cs="Times New Roman"/>
              </w:rPr>
              <w:t>P</w:t>
            </w:r>
            <w:r w:rsidRPr="00DE6657">
              <w:rPr>
                <w:rFonts w:ascii="Times New Roman" w:hAnsi="Times New Roman" w:cs="Times New Roman"/>
                <w:vertAlign w:val="subscript"/>
              </w:rPr>
              <w:t>i</w:t>
            </w:r>
            <w:r w:rsidRPr="00DE6657">
              <w:rPr>
                <w:rFonts w:ascii="Times New Roman" w:hAnsi="Times New Roman" w:cs="Times New Roman"/>
              </w:rPr>
              <w:t xml:space="preserve">)   </w:t>
            </w:r>
            <w:proofErr w:type="gramEnd"/>
            <w:r>
              <w:rPr>
                <w:rFonts w:ascii="Times New Roman" w:hAnsi="Times New Roman" w:cs="Times New Roman"/>
              </w:rPr>
              <w:t xml:space="preserve">                  net loss of </w:t>
            </w:r>
            <w:r w:rsidRPr="00DE6657">
              <w:rPr>
                <w:rFonts w:ascii="Times New Roman" w:hAnsi="Times New Roman" w:cs="Times New Roman"/>
              </w:rPr>
              <w:t xml:space="preserve"> P</w:t>
            </w:r>
            <w:r>
              <w:rPr>
                <w:rFonts w:ascii="Times New Roman" w:hAnsi="Times New Roman" w:cs="Times New Roman"/>
                <w:vertAlign w:val="subscript"/>
              </w:rPr>
              <w:t>i</w:t>
            </w:r>
            <w:r>
              <w:rPr>
                <w:rFonts w:ascii="Times New Roman" w:hAnsi="Times New Roman" w:cs="Times New Roman"/>
              </w:rPr>
              <w:t xml:space="preserve"> due to H</w:t>
            </w:r>
            <w:r w:rsidRPr="00DE6657">
              <w:rPr>
                <w:rFonts w:ascii="Times New Roman" w:hAnsi="Times New Roman" w:cs="Times New Roman"/>
              </w:rPr>
              <w:t xml:space="preserve">    </w:t>
            </w:r>
          </w:p>
        </w:tc>
        <w:tc>
          <w:tcPr>
            <w:tcW w:w="992" w:type="dxa"/>
          </w:tcPr>
          <w:p w14:paraId="2AB20659" w14:textId="77777777" w:rsidR="00813148" w:rsidRPr="00E31311" w:rsidRDefault="00813148" w:rsidP="00AB2160">
            <w:pPr>
              <w:spacing w:line="360" w:lineRule="auto"/>
              <w:rPr>
                <w:rFonts w:ascii="Times New Roman" w:hAnsi="Times New Roman" w:cs="Times New Roman"/>
                <w:sz w:val="20"/>
                <w:szCs w:val="20"/>
              </w:rPr>
            </w:pPr>
          </w:p>
          <w:p w14:paraId="0AAA3AF5" w14:textId="77777777" w:rsidR="00813148" w:rsidRPr="00E31311" w:rsidRDefault="00813148"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Pr>
                <w:rFonts w:ascii="Times New Roman" w:hAnsi="Times New Roman" w:cs="Times New Roman"/>
                <w:sz w:val="20"/>
                <w:szCs w:val="20"/>
              </w:rPr>
              <w:t>2.1</w:t>
            </w:r>
            <w:r w:rsidRPr="00E31311">
              <w:rPr>
                <w:rFonts w:ascii="Times New Roman" w:hAnsi="Times New Roman" w:cs="Times New Roman"/>
                <w:sz w:val="20"/>
                <w:szCs w:val="20"/>
              </w:rPr>
              <w:t>)</w:t>
            </w:r>
          </w:p>
        </w:tc>
      </w:tr>
      <w:tr w:rsidR="00813148" w:rsidRPr="00E31311" w14:paraId="27BD31F3" w14:textId="77777777" w:rsidTr="003C5E4E">
        <w:trPr>
          <w:trHeight w:val="1034"/>
        </w:trPr>
        <w:tc>
          <w:tcPr>
            <w:tcW w:w="8579" w:type="dxa"/>
          </w:tcPr>
          <w:p w14:paraId="26AC90D0" w14:textId="77777777" w:rsidR="00813148" w:rsidRPr="00DE6657" w:rsidRDefault="00000000" w:rsidP="00AB2160">
            <w:pPr>
              <w:spacing w:line="360" w:lineRule="auto"/>
              <w:rPr>
                <w:rFonts w:ascii="Times New Roman" w:hAnsi="Times New Roman" w:cs="Times New Roman"/>
                <w:sz w:val="24"/>
                <w:szCs w:val="24"/>
              </w:rPr>
            </w:pPr>
            <m:oMathPara>
              <m:oMathParaPr>
                <m:jc m:val="left"/>
              </m:oMathParaPr>
              <m:oMath>
                <m:f>
                  <m:fPr>
                    <m:ctrlPr>
                      <w:rPr>
                        <w:rFonts w:ascii="Cambria Math" w:hAnsi="Cambria Math" w:cs="Times New Roman"/>
                        <w:i/>
                        <w:iCs/>
                        <w:sz w:val="24"/>
                        <w:szCs w:val="24"/>
                      </w:rPr>
                    </m:ctrlPr>
                  </m:fPr>
                  <m:num>
                    <m:r>
                      <w:rPr>
                        <w:rFonts w:ascii="Cambria Math" w:hAnsi="Cambria Math" w:cs="Times New Roman"/>
                        <w:sz w:val="24"/>
                        <w:szCs w:val="24"/>
                      </w:rPr>
                      <m:t>dH</m:t>
                    </m:r>
                  </m:num>
                  <m:den>
                    <m:r>
                      <w:rPr>
                        <w:rFonts w:ascii="Cambria Math" w:hAnsi="Cambria Math" w:cs="Times New Roman"/>
                        <w:sz w:val="24"/>
                        <w:szCs w:val="24"/>
                      </w:rPr>
                      <m:t>dt</m:t>
                    </m:r>
                    <m:r>
                      <m:rPr>
                        <m:sty m:val="p"/>
                      </m:rPr>
                      <w:rPr>
                        <w:rFonts w:ascii="Cambria Math" w:hAnsi="Cambria Math" w:cs="Times New Roman"/>
                        <w:sz w:val="24"/>
                        <w:szCs w:val="24"/>
                      </w:rPr>
                      <m:t> </m:t>
                    </m:r>
                  </m:den>
                </m:f>
                <m:r>
                  <w:rPr>
                    <w:rFonts w:ascii="Cambria Math" w:hAnsi="Cambria Math" w:cs="Times New Roman"/>
                    <w:sz w:val="24"/>
                    <w:szCs w:val="24"/>
                  </w:rPr>
                  <m:t xml:space="preserve">       </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H</m:t>
                    </m:r>
                  </m:sub>
                </m:sSub>
                <m:r>
                  <m:rPr>
                    <m:sty m:val="p"/>
                  </m:rPr>
                  <w:rPr>
                    <w:rFonts w:ascii="Cambria Math" w:hAnsi="Cambria Math" w:cs="Times New Roman"/>
                    <w:sz w:val="24"/>
                    <w:szCs w:val="24"/>
                  </w:rPr>
                  <m:t xml:space="preserve">             -    </m:t>
                </m:r>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r>
                  <w:rPr>
                    <w:rFonts w:ascii="Cambria Math" w:hAnsi="Cambria Math" w:cs="Times New Roman"/>
                    <w:sz w:val="24"/>
                    <w:szCs w:val="24"/>
                  </w:rPr>
                  <m:t xml:space="preserve">H             - </m:t>
                </m:r>
                <m:sSub>
                  <m:sSubPr>
                    <m:ctrlPr>
                      <w:rPr>
                        <w:rFonts w:ascii="Cambria Math" w:hAnsi="Cambria Math" w:cs="Times New Roman"/>
                        <w:i/>
                        <w:iCs/>
                        <w:sz w:val="24"/>
                        <w:szCs w:val="24"/>
                      </w:rPr>
                    </m:ctrlPr>
                  </m:sSubPr>
                  <m:e>
                    <m:r>
                      <w:rPr>
                        <w:rFonts w:ascii="Cambria Math" w:hAnsi="Cambria Math" w:cs="Times New Roman"/>
                        <w:sz w:val="24"/>
                        <w:szCs w:val="24"/>
                      </w:rPr>
                      <m:t xml:space="preserve">            ϕ</m:t>
                    </m:r>
                  </m:e>
                  <m:sub>
                    <m:sSub>
                      <m:sSubPr>
                        <m:ctrlPr>
                          <w:rPr>
                            <w:rFonts w:ascii="Cambria Math" w:hAnsi="Cambria Math" w:cs="Times New Roman"/>
                            <w:i/>
                            <w:sz w:val="24"/>
                            <w:szCs w:val="24"/>
                          </w:rPr>
                        </m:ctrlPr>
                      </m:sSubPr>
                      <m:e>
                        <m:r>
                          <w:rPr>
                            <w:rFonts w:ascii="Cambria Math" w:hAnsi="Cambria Math" w:cs="Times New Roman"/>
                            <w:sz w:val="24"/>
                            <w:szCs w:val="24"/>
                          </w:rPr>
                          <m:t>max,i</m:t>
                        </m:r>
                      </m:e>
                      <m:sub>
                        <m:r>
                          <w:rPr>
                            <w:rFonts w:ascii="Cambria Math" w:hAnsi="Cambria Math" w:cs="Times New Roman"/>
                            <w:sz w:val="24"/>
                            <w:szCs w:val="24"/>
                          </w:rPr>
                          <m:t>i</m:t>
                        </m:r>
                      </m:sub>
                    </m:sSub>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 xml:space="preserve">H       </m:t>
                </m:r>
              </m:oMath>
            </m:oMathPara>
          </w:p>
          <w:p w14:paraId="453C3329" w14:textId="77777777" w:rsidR="00813148" w:rsidRPr="00813148" w:rsidRDefault="00813148" w:rsidP="00AB2160">
            <w:pPr>
              <w:spacing w:line="360" w:lineRule="auto"/>
              <w:rPr>
                <w:rFonts w:ascii="Times New Roman" w:hAnsi="Times New Roman" w:cs="Times New Roman"/>
              </w:rPr>
            </w:pPr>
            <w:r w:rsidRPr="00E31311">
              <w:rPr>
                <w:rFonts w:ascii="Times New Roman" w:hAnsi="Times New Roman" w:cs="Times New Roman"/>
                <w:noProof/>
                <w:sz w:val="20"/>
                <w:szCs w:val="20"/>
              </w:rPr>
              <mc:AlternateContent>
                <mc:Choice Requires="wps">
                  <w:drawing>
                    <wp:anchor distT="0" distB="0" distL="114300" distR="114300" simplePos="0" relativeHeight="251698176" behindDoc="0" locked="0" layoutInCell="1" allowOverlap="1" wp14:anchorId="73962AB4" wp14:editId="62F13346">
                      <wp:simplePos x="0" y="0"/>
                      <wp:positionH relativeFrom="column">
                        <wp:posOffset>2449355</wp:posOffset>
                      </wp:positionH>
                      <wp:positionV relativeFrom="paragraph">
                        <wp:posOffset>-229014</wp:posOffset>
                      </wp:positionV>
                      <wp:extent cx="65405" cy="315595"/>
                      <wp:effectExtent l="1905" t="0" r="12700" b="12700"/>
                      <wp:wrapNone/>
                      <wp:docPr id="18" name="Left Brace 18"/>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BF4C6" id="Left Brace 18" o:spid="_x0000_s1026" type="#_x0000_t87" style="position:absolute;margin-left:192.85pt;margin-top:-18.05pt;width:5.15pt;height:24.85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99200" behindDoc="0" locked="0" layoutInCell="1" allowOverlap="1" wp14:anchorId="5A48F63F" wp14:editId="3C1BA55B">
                      <wp:simplePos x="0" y="0"/>
                      <wp:positionH relativeFrom="column">
                        <wp:posOffset>1184909</wp:posOffset>
                      </wp:positionH>
                      <wp:positionV relativeFrom="paragraph">
                        <wp:posOffset>-230290</wp:posOffset>
                      </wp:positionV>
                      <wp:extent cx="65405" cy="315595"/>
                      <wp:effectExtent l="1905" t="0" r="12700" b="12700"/>
                      <wp:wrapNone/>
                      <wp:docPr id="20" name="Left Brace 20"/>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7C427" id="Left Brace 20" o:spid="_x0000_s1026" type="#_x0000_t87" style="position:absolute;margin-left:93.3pt;margin-top:-18.15pt;width:5.15pt;height:24.85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00224" behindDoc="0" locked="0" layoutInCell="1" allowOverlap="1" wp14:anchorId="0BA35F11" wp14:editId="1582BBD6">
                      <wp:simplePos x="0" y="0"/>
                      <wp:positionH relativeFrom="column">
                        <wp:posOffset>4029701</wp:posOffset>
                      </wp:positionH>
                      <wp:positionV relativeFrom="paragraph">
                        <wp:posOffset>-470211</wp:posOffset>
                      </wp:positionV>
                      <wp:extent cx="84455" cy="771142"/>
                      <wp:effectExtent l="0" t="317" r="16827" b="16828"/>
                      <wp:wrapNone/>
                      <wp:docPr id="22" name="Left Brace 22"/>
                      <wp:cNvGraphicFramePr/>
                      <a:graphic xmlns:a="http://schemas.openxmlformats.org/drawingml/2006/main">
                        <a:graphicData uri="http://schemas.microsoft.com/office/word/2010/wordprocessingShape">
                          <wps:wsp>
                            <wps:cNvSpPr/>
                            <wps:spPr>
                              <a:xfrm rot="5400000" flipH="1">
                                <a:off x="0" y="0"/>
                                <a:ext cx="84455" cy="771142"/>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0E884" id="Left Brace 22" o:spid="_x0000_s1026" type="#_x0000_t87" style="position:absolute;margin-left:317.3pt;margin-top:-37pt;width:6.65pt;height:60.7pt;rotation:-9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" adj="197" strokecolor="black [3200]" strokeweight="1pt">
                      <v:stroke joinstyle="miter"/>
                    </v:shape>
                  </w:pict>
                </mc:Fallback>
              </mc:AlternateContent>
            </w:r>
            <w:r w:rsidRPr="00DE6657">
              <w:rPr>
                <w:rFonts w:ascii="Times New Roman" w:hAnsi="Times New Roman" w:cs="Times New Roman"/>
              </w:rPr>
              <w:t xml:space="preserve">                      H</w:t>
            </w:r>
            <w:r w:rsidRPr="00DE6657">
              <w:rPr>
                <w:rFonts w:ascii="Times New Roman" w:hAnsi="Times New Roman" w:cs="Times New Roman"/>
                <w:vertAlign w:val="subscript"/>
              </w:rPr>
              <w:t>2</w:t>
            </w:r>
            <w:r w:rsidRPr="00DE6657">
              <w:rPr>
                <w:rFonts w:ascii="Times New Roman" w:hAnsi="Times New Roman" w:cs="Times New Roman"/>
              </w:rPr>
              <w:t>O</w:t>
            </w:r>
            <w:r w:rsidRPr="00DE6657">
              <w:rPr>
                <w:rFonts w:ascii="Times New Roman" w:hAnsi="Times New Roman" w:cs="Times New Roman"/>
                <w:vertAlign w:val="subscript"/>
              </w:rPr>
              <w:t>2</w:t>
            </w:r>
            <w:r w:rsidRPr="00DE6657">
              <w:rPr>
                <w:rFonts w:ascii="Times New Roman" w:hAnsi="Times New Roman" w:cs="Times New Roman"/>
              </w:rPr>
              <w:t xml:space="preserve"> supply rate            abiotic decay           biotic detoxification by plankton </w:t>
            </w:r>
            <w:proofErr w:type="spellStart"/>
            <w:r w:rsidRPr="00DE6657">
              <w:rPr>
                <w:rFonts w:ascii="Times New Roman" w:hAnsi="Times New Roman" w:cs="Times New Roman"/>
              </w:rPr>
              <w:t>i</w:t>
            </w:r>
            <w:proofErr w:type="spellEnd"/>
            <w:r w:rsidRPr="00DE6657">
              <w:rPr>
                <w:rFonts w:ascii="Times New Roman" w:hAnsi="Times New Roman" w:cs="Times New Roman"/>
              </w:rPr>
              <w:t xml:space="preserve">            </w:t>
            </w:r>
          </w:p>
        </w:tc>
        <w:tc>
          <w:tcPr>
            <w:tcW w:w="992" w:type="dxa"/>
          </w:tcPr>
          <w:p w14:paraId="31837D31" w14:textId="77777777" w:rsidR="00813148" w:rsidRPr="00E31311" w:rsidRDefault="00813148" w:rsidP="00AB2160">
            <w:pPr>
              <w:spacing w:line="360" w:lineRule="auto"/>
              <w:rPr>
                <w:rFonts w:ascii="Times New Roman" w:hAnsi="Times New Roman" w:cs="Times New Roman"/>
                <w:sz w:val="20"/>
                <w:szCs w:val="20"/>
              </w:rPr>
            </w:pPr>
          </w:p>
          <w:p w14:paraId="1C669DB7" w14:textId="77777777" w:rsidR="00813148" w:rsidRPr="00E31311" w:rsidRDefault="00813148"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Pr>
                <w:rFonts w:ascii="Times New Roman" w:hAnsi="Times New Roman" w:cs="Times New Roman"/>
                <w:sz w:val="20"/>
                <w:szCs w:val="20"/>
              </w:rPr>
              <w:t>2</w:t>
            </w:r>
            <w:r w:rsidRPr="00E31311">
              <w:rPr>
                <w:rFonts w:ascii="Times New Roman" w:hAnsi="Times New Roman" w:cs="Times New Roman"/>
                <w:sz w:val="20"/>
                <w:szCs w:val="20"/>
              </w:rPr>
              <w:t>.2)</w:t>
            </w:r>
          </w:p>
        </w:tc>
      </w:tr>
    </w:tbl>
    <w:p w14:paraId="0151FE6A" w14:textId="77777777" w:rsidR="00813148" w:rsidRDefault="00813148" w:rsidP="00CA3AA8">
      <w:pPr>
        <w:spacing w:line="360" w:lineRule="auto"/>
        <w:rPr>
          <w:rFonts w:ascii="Times New Roman" w:hAnsi="Times New Roman" w:cs="Times New Roman"/>
          <w:sz w:val="24"/>
          <w:szCs w:val="24"/>
        </w:rPr>
      </w:pPr>
    </w:p>
    <w:p w14:paraId="20320129" w14:textId="3BD12BF1" w:rsidR="00813148" w:rsidRDefault="00813148"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All parameter and state variable definitions and units are provided in Table 1. Phytoplankton grow at constant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w:t>
      </w:r>
      <w:proofErr w:type="gramStart"/>
      <w:r w:rsidRPr="003609FB">
        <w:rPr>
          <w:rFonts w:ascii="Times New Roman" w:hAnsi="Times New Roman" w:cs="Times New Roman"/>
          <w:sz w:val="24"/>
          <w:szCs w:val="24"/>
        </w:rPr>
        <w:t>day</w:t>
      </w:r>
      <w:r w:rsidRPr="00904B39">
        <w:rPr>
          <w:rFonts w:ascii="Times New Roman" w:hAnsi="Times New Roman" w:cs="Times New Roman"/>
          <w:sz w:val="24"/>
          <w:szCs w:val="24"/>
          <w:vertAlign w:val="superscript"/>
        </w:rPr>
        <w:t>-1</w:t>
      </w:r>
      <w:proofErr w:type="gramEnd"/>
      <w:r w:rsidRPr="003609FB">
        <w:rPr>
          <w:rFonts w:ascii="Times New Roman" w:hAnsi="Times New Roman" w:cs="Times New Roman"/>
          <w:sz w:val="24"/>
          <w:szCs w:val="24"/>
        </w:rPr>
        <w:t>). The main rate of cell death is assumed to be dependent on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and a mass action coefficient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xml:space="preserve"> (mL nmol</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supplied at rate S</w:t>
      </w:r>
      <w:r w:rsidRPr="00904B39">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(nmol mL</w:t>
      </w:r>
      <w:r w:rsidRPr="00904B39">
        <w:rPr>
          <w:rFonts w:ascii="Times New Roman" w:hAnsi="Times New Roman" w:cs="Times New Roman"/>
          <w:sz w:val="24"/>
          <w:szCs w:val="24"/>
          <w:vertAlign w:val="superscript"/>
        </w:rPr>
        <w:t>-1</w:t>
      </w:r>
      <w:r w:rsidRPr="00813148">
        <w:rPr>
          <w:rFonts w:ascii="Times New Roman" w:hAnsi="Times New Roman" w:cs="Times New Roman"/>
          <w:sz w:val="24"/>
          <w:szCs w:val="24"/>
        </w:rPr>
        <w:t xml:space="preserve"> </w:t>
      </w:r>
      <w:r w:rsidRPr="003609FB">
        <w:rPr>
          <w:rFonts w:ascii="Times New Roman" w:hAnsi="Times New Roman" w:cs="Times New Roman"/>
          <w:sz w:val="24"/>
          <w:szCs w:val="24"/>
        </w:rPr>
        <w:t>day</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and subject to first order abiotic decay at rate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w:r w:rsidRPr="003609FB">
        <w:rPr>
          <w:rFonts w:ascii="Times New Roman" w:hAnsi="Times New Roman" w:cs="Times New Roman"/>
          <w:sz w:val="24"/>
          <w:szCs w:val="24"/>
        </w:rPr>
        <w:t xml:space="preserve"> (day</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and cell contact dependent detoxification set by mass action coefficient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xml:space="preserve"> (mL cell</w:t>
      </w:r>
      <w:r w:rsidRPr="00904B39">
        <w:rPr>
          <w:rFonts w:ascii="Times New Roman" w:hAnsi="Times New Roman" w:cs="Times New Roman"/>
          <w:sz w:val="24"/>
          <w:szCs w:val="24"/>
          <w:vertAlign w:val="superscript"/>
        </w:rPr>
        <w:t xml:space="preserve">-1 </w:t>
      </w:r>
      <w:r w:rsidRPr="003609FB">
        <w:rPr>
          <w:rFonts w:ascii="Times New Roman" w:hAnsi="Times New Roman" w:cs="Times New Roman"/>
          <w:sz w:val="24"/>
          <w:szCs w:val="24"/>
        </w:rPr>
        <w:t>day</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w:t>
      </w:r>
    </w:p>
    <w:p w14:paraId="63D106EC" w14:textId="2B4E248D" w:rsidR="00CA3AA8" w:rsidRPr="00813148" w:rsidRDefault="00CA3AA8" w:rsidP="00CA3AA8">
      <w:pPr>
        <w:pStyle w:val="Heading3"/>
        <w:spacing w:line="360" w:lineRule="auto"/>
      </w:pPr>
      <w:bookmarkStart w:id="14" w:name="_Toc173250018"/>
      <w:r w:rsidRPr="003609FB">
        <w:t xml:space="preserve">Laboratory </w:t>
      </w:r>
      <w:r w:rsidR="00D80A42">
        <w:t>d</w:t>
      </w:r>
      <w:r w:rsidRPr="003609FB">
        <w:t>ata</w:t>
      </w:r>
      <w:bookmarkEnd w:id="14"/>
    </w:p>
    <w:p w14:paraId="650379A7" w14:textId="737D0451" w:rsidR="00CA3AA8" w:rsidRPr="003609FB" w:rsidRDefault="00CA3AA8" w:rsidP="00CA3AA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 Assays: We measured the temporal dynamics of</w:t>
      </w:r>
      <w:r>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Pr>
          <w:rFonts w:ascii="Times New Roman" w:hAnsi="Times New Roman" w:cs="Times New Roman"/>
          <w:sz w:val="24"/>
          <w:szCs w:val="24"/>
        </w:rPr>
        <w:t>in cell free,</w:t>
      </w:r>
      <w:r w:rsidRPr="003609FB">
        <w:rPr>
          <w:rFonts w:ascii="Times New Roman" w:hAnsi="Times New Roman" w:cs="Times New Roman"/>
          <w:sz w:val="24"/>
          <w:szCs w:val="24"/>
        </w:rPr>
        <w:t xml:space="preserve"> abiotic </w:t>
      </w:r>
      <w:r>
        <w:rPr>
          <w:rFonts w:ascii="Times New Roman" w:hAnsi="Times New Roman" w:cs="Times New Roman"/>
          <w:sz w:val="24"/>
          <w:szCs w:val="24"/>
        </w:rPr>
        <w:t xml:space="preserve">media </w:t>
      </w:r>
      <w:r w:rsidRPr="003609FB">
        <w:rPr>
          <w:rFonts w:ascii="Times New Roman" w:hAnsi="Times New Roman" w:cs="Times New Roman"/>
          <w:sz w:val="24"/>
          <w:szCs w:val="24"/>
        </w:rPr>
        <w:t xml:space="preserve">illuminated AMP-J, filter sterilized artificial seawater for cyanobacteria according to Ma </w:t>
      </w:r>
      <w:r w:rsidR="00183222" w:rsidRPr="00183222">
        <w:rPr>
          <w:rFonts w:ascii="Times New Roman" w:hAnsi="Times New Roman" w:cs="Times New Roman"/>
          <w:i/>
          <w:iCs/>
          <w:sz w:val="24"/>
          <w:szCs w:val="24"/>
        </w:rPr>
        <w:t>et al</w:t>
      </w:r>
      <w:r w:rsidRPr="00904B39">
        <w:rPr>
          <w:rFonts w:ascii="Times New Roman" w:hAnsi="Times New Roman" w:cs="Times New Roman"/>
          <w:i/>
          <w:iCs/>
          <w:sz w:val="24"/>
          <w:szCs w:val="24"/>
        </w:rPr>
        <w:t>.</w:t>
      </w:r>
      <w:r>
        <w:rPr>
          <w:rFonts w:ascii="Times New Roman" w:hAnsi="Times New Roman" w:cs="Times New Roman"/>
          <w:sz w:val="24"/>
          <w:szCs w:val="24"/>
        </w:rPr>
        <w:t xml:space="preserve"> </w:t>
      </w:r>
      <w:r w:rsidRPr="003609FB">
        <w:rPr>
          <w:rFonts w:ascii="Times New Roman" w:hAnsi="Times New Roman" w:cs="Times New Roman"/>
          <w:sz w:val="24"/>
          <w:szCs w:val="24"/>
        </w:rPr>
        <w:t>(2018) in the oligotrophic ocean spiked to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We measured the exogenous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using an acridinium ester chemiluminescence injection protocol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{"citationID":"XgH7q8Qw","properties":{"formattedCitation":"(King et al. 2007; Morris et al. 2011)","plainCitation":"(King et al. 2007; Morris et al. 2011)","noteIndex":0},"citationItems":[{"id":3318,"uris":["http://zotero.org/users/6128296/items/4YUMCUJS"],"itemData":{"id":3318,"type":"article-journal","container-title":"Analytical Chemistry","DOI":"10.1021/ac062228w","ISSN":"0003-2700, 1520-6882","issue":"11","journalAbbreviation":"Anal. Chem.","language":"en","page":"4169-4176","source":"DOI.org (Crossref)","title":"Flow Injection Analysis of H &lt;sub&gt;2&lt;/sub&gt; O &lt;sub&gt;2&lt;/sub&gt; in Natural Waters Using Acridinium Ester Chemiluminescence: Method Development and Optimization Using a Kinetic Model","title-short":"Flow Injection Analysis of H &lt;sub&gt;2&lt;/sub&gt; O &lt;sub&gt;2&lt;/sub&gt; in Natural Waters Using Acridinium Ester Chemiluminescence","volume":"79","author":[{"family":"King","given":""},{"family":"Cooper","given":"William J."},{"family":"Rusak","given":"Steven A."},{"family":"Peake","given":"Barrie M."},{"family":"Kiddle","given":"James J."},{"family":"O'Sullivan","given":"Daniel W."},{"family":"Melamed","given":"Megan L."},{"family":"Morgan","given":"Chris R."},{"family":"Theberge","given":"Stephen M."}],"issued":{"date-parts":[["2007",6,1]]}}},{"id":113,"uris":["http://zotero.org/users/6128296/items/PIIBXCZZ"],"itemData":{"id":113,"type":"article-journal","abstract":"The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(King </w:t>
      </w:r>
      <w:r w:rsidR="00183222" w:rsidRPr="00183222">
        <w:rPr>
          <w:rFonts w:ascii="Times New Roman" w:hAnsi="Times New Roman" w:cs="Times New Roman"/>
          <w:i/>
          <w:iCs/>
          <w:sz w:val="24"/>
          <w:szCs w:val="24"/>
        </w:rPr>
        <w:t>et al</w:t>
      </w:r>
      <w:r>
        <w:rPr>
          <w:rFonts w:ascii="Times New Roman" w:hAnsi="Times New Roman" w:cs="Times New Roman"/>
          <w:sz w:val="24"/>
          <w:szCs w:val="24"/>
        </w:rPr>
        <w:t xml:space="preserve">. 2007; Morris </w:t>
      </w:r>
      <w:r w:rsidR="00183222" w:rsidRPr="00183222">
        <w:rPr>
          <w:rFonts w:ascii="Times New Roman" w:hAnsi="Times New Roman" w:cs="Times New Roman"/>
          <w:i/>
          <w:iCs/>
          <w:sz w:val="24"/>
          <w:szCs w:val="24"/>
        </w:rPr>
        <w:t>et al</w:t>
      </w:r>
      <w:r>
        <w:rPr>
          <w:rFonts w:ascii="Times New Roman" w:hAnsi="Times New Roman" w:cs="Times New Roman"/>
          <w:sz w:val="24"/>
          <w:szCs w:val="24"/>
        </w:rPr>
        <w:t>. 2011)</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in abiotic and growth media. Each fluorescence reading was transformed to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nM</w:t>
      </w:r>
      <w:proofErr w:type="spellEnd"/>
      <w:r w:rsidRPr="003609FB">
        <w:rPr>
          <w:rFonts w:ascii="Times New Roman" w:hAnsi="Times New Roman" w:cs="Times New Roman"/>
          <w:sz w:val="24"/>
          <w:szCs w:val="24"/>
        </w:rPr>
        <w:t xml:space="preserve"> mL</w:t>
      </w:r>
      <w:r w:rsidRPr="00904B39">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data via a linear reference curve made in Microsoft Excel following Morris and Zinser (2013) and Morris </w:t>
      </w:r>
      <w:r w:rsidR="00183222" w:rsidRPr="00183222">
        <w:rPr>
          <w:rFonts w:ascii="Times New Roman" w:hAnsi="Times New Roman" w:cs="Times New Roman"/>
          <w:i/>
          <w:iCs/>
          <w:sz w:val="24"/>
          <w:szCs w:val="24"/>
        </w:rPr>
        <w:t>et al</w:t>
      </w:r>
      <w:r w:rsidRPr="00276D32">
        <w:rPr>
          <w:rFonts w:ascii="Times New Roman" w:hAnsi="Times New Roman" w:cs="Times New Roman"/>
          <w:i/>
          <w:iCs/>
          <w:sz w:val="24"/>
          <w:szCs w:val="24"/>
        </w:rPr>
        <w:t xml:space="preserve">. </w:t>
      </w:r>
      <w:r w:rsidRPr="003609FB">
        <w:rPr>
          <w:rFonts w:ascii="Times New Roman" w:hAnsi="Times New Roman" w:cs="Times New Roman"/>
          <w:sz w:val="24"/>
          <w:szCs w:val="24"/>
        </w:rPr>
        <w:t>(2011) protocols. This was done for readings from both the Control (0nM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added) </w:t>
      </w:r>
      <w:proofErr w:type="gramStart"/>
      <w:r w:rsidRPr="003609FB">
        <w:rPr>
          <w:rFonts w:ascii="Times New Roman" w:hAnsi="Times New Roman" w:cs="Times New Roman"/>
          <w:sz w:val="24"/>
          <w:szCs w:val="24"/>
        </w:rPr>
        <w:t>or</w:t>
      </w:r>
      <w:proofErr w:type="gramEnd"/>
      <w:r w:rsidRPr="003609FB">
        <w:rPr>
          <w:rFonts w:ascii="Times New Roman" w:hAnsi="Times New Roman" w:cs="Times New Roman"/>
          <w:sz w:val="24"/>
          <w:szCs w:val="24"/>
        </w:rPr>
        <w:t xml:space="preserve"> Spiked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added) assays at the appropriate time points. </w:t>
      </w:r>
    </w:p>
    <w:p w14:paraId="515EE76A" w14:textId="7F8D5F46" w:rsidR="00CA3AA8" w:rsidRPr="003609FB" w:rsidRDefault="00CA3AA8" w:rsidP="00CA3AA8">
      <w:pPr>
        <w:spacing w:line="360" w:lineRule="auto"/>
        <w:ind w:firstLine="720"/>
        <w:rPr>
          <w:rFonts w:ascii="Times New Roman" w:hAnsi="Times New Roman" w:cs="Times New Roman"/>
          <w:sz w:val="24"/>
          <w:szCs w:val="24"/>
        </w:rPr>
      </w:pPr>
      <w:r w:rsidRPr="00934E3A">
        <w:rPr>
          <w:rFonts w:ascii="Times New Roman" w:hAnsi="Times New Roman" w:cs="Times New Roman"/>
          <w:sz w:val="24"/>
          <w:szCs w:val="24"/>
        </w:rPr>
        <w:t xml:space="preserve">Phytoplankton culture assays: We grew </w:t>
      </w:r>
      <w:r w:rsidRPr="00934E3A">
        <w:rPr>
          <w:rFonts w:ascii="Times New Roman" w:hAnsi="Times New Roman" w:cs="Times New Roman"/>
          <w:i/>
          <w:iCs/>
          <w:sz w:val="24"/>
          <w:szCs w:val="24"/>
        </w:rPr>
        <w:t>Prochlorococcus</w:t>
      </w:r>
      <w:r w:rsidRPr="00934E3A">
        <w:rPr>
          <w:rFonts w:ascii="Times New Roman" w:hAnsi="Times New Roman" w:cs="Times New Roman"/>
          <w:sz w:val="24"/>
          <w:szCs w:val="24"/>
        </w:rPr>
        <w:t xml:space="preserve">  MIT9215 and </w:t>
      </w:r>
      <w:proofErr w:type="spellStart"/>
      <w:r w:rsidRPr="00934E3A">
        <w:rPr>
          <w:rFonts w:ascii="Times New Roman" w:hAnsi="Times New Roman" w:cs="Times New Roman"/>
          <w:i/>
          <w:iCs/>
          <w:sz w:val="24"/>
          <w:szCs w:val="24"/>
        </w:rPr>
        <w:t>Synechococcus</w:t>
      </w:r>
      <w:proofErr w:type="spellEnd"/>
      <w:r w:rsidRPr="00934E3A">
        <w:rPr>
          <w:rFonts w:ascii="Times New Roman" w:hAnsi="Times New Roman" w:cs="Times New Roman"/>
          <w:sz w:val="24"/>
          <w:szCs w:val="24"/>
        </w:rPr>
        <w:t xml:space="preserve"> CC9605 in batch cultures at </w:t>
      </w:r>
      <w:r w:rsidRPr="00E069BF">
        <w:rPr>
          <w:rFonts w:asciiTheme="majorBidi" w:hAnsiTheme="majorBidi"/>
          <w:sz w:val="24"/>
          <w:szCs w:val="24"/>
        </w:rPr>
        <w:t>24</w:t>
      </w:r>
      <w:r w:rsidRPr="00E069BF">
        <w:rPr>
          <w:rFonts w:asciiTheme="majorBidi" w:hAnsiTheme="majorBidi"/>
          <w:sz w:val="24"/>
          <w:szCs w:val="24"/>
          <w:vertAlign w:val="superscript"/>
        </w:rPr>
        <w:t>o</w:t>
      </w:r>
      <w:r w:rsidRPr="00E069BF">
        <w:rPr>
          <w:rFonts w:asciiTheme="majorBidi" w:hAnsiTheme="majorBidi"/>
          <w:sz w:val="24"/>
          <w:szCs w:val="24"/>
        </w:rPr>
        <w:t xml:space="preserve"> C </w:t>
      </w:r>
      <w:r w:rsidRPr="00E069BF">
        <w:rPr>
          <w:rFonts w:asciiTheme="majorBidi" w:hAnsiTheme="majorBidi"/>
          <w:sz w:val="24"/>
          <w:szCs w:val="24"/>
        </w:rPr>
        <w:fldChar w:fldCharType="begin"/>
      </w:r>
      <w:r w:rsidRPr="00E069BF">
        <w:rPr>
          <w:rFonts w:asciiTheme="majorBidi" w:hAnsiTheme="majorBidi"/>
          <w:sz w:val="24"/>
          <w:szCs w:val="24"/>
        </w:rPr>
        <w:instrText xml:space="preserve"> ADDIN ZOTERO_ITEM CSL_CITATION {"citationID":"7UgNlJtk","properties":{"formattedCitation":"(Moore et al. 2007)","plainCitation":"(Moore et al. 2007)","noteIndex":0},"citationItems":[{"id":812,"uris":["http://zotero.org/users/6128296/items/N97IDXK4"],"itemData":{"id":812,"type":"article-journal","abstract":"Prochlorococcus is the numerically dominant primary producer in open ocean ecosystems. Analysis of Prochlorococcus genome sequences from cultured isolates and ocean samples has broadened interest in studying this tiny cell, and efforts are underway to develop it into a model system for studying marine microbial ecology. A critical component of these efforts has been the development of systematic culturing methods that will facilitate the distribution of Prochlorococcus to diverse labs that may be interested in studying it. This paper provides detailed methods for maintaining cultures of Prochlorococcus, including a comparison of growth rates of cells on two artificial seawater media and on a standard medium that uses a natural seawater base. Procedures for agar plating, cryopreservation, obtaining new isolates, and issues associated with culture volume and carbon limitation also are described.","container-title":"Limnology and Oceanography: Methods","DOI":"10.4319/lom.2007.5.353","ISSN":"1541-5856","issue":"10","language":"en","page":"353-362","source":"Wiley Online Library","title":"Culturing the marine cyanobacterium Prochlorococcus","volume":"5","author":[{"family":"Moore","given":""},{"family":"Coe","given":"Allison"},{"family":"Zinser","given":"Erik R."},{"family":"Saito","given":"Mak A."},{"family":"Sullivan","given":"Matthew B."},{"family":"Lindell","given":"Debbie"},{"family":"Frois‐Moniz","given":"Katya"},{"family":"Waterbury","given":"John"},{"family":"Chisholm","given":"Sallie W."}],"issued":{"date-parts":[["2007"]]}}}],"schema":"https://github.com/citation-style-language/schema/raw/master/csl-citation.json"} </w:instrText>
      </w:r>
      <w:r w:rsidRPr="00E069BF">
        <w:rPr>
          <w:rFonts w:asciiTheme="majorBidi" w:hAnsiTheme="majorBidi"/>
          <w:sz w:val="24"/>
          <w:szCs w:val="24"/>
        </w:rPr>
        <w:fldChar w:fldCharType="separate"/>
      </w:r>
      <w:r w:rsidRPr="00E069BF">
        <w:rPr>
          <w:rFonts w:asciiTheme="majorBidi" w:hAnsiTheme="majorBidi"/>
          <w:sz w:val="24"/>
          <w:szCs w:val="24"/>
        </w:rPr>
        <w:t xml:space="preserve">(Moore </w:t>
      </w:r>
      <w:r w:rsidR="00183222" w:rsidRPr="00183222">
        <w:rPr>
          <w:rFonts w:ascii="Times New Roman" w:hAnsi="Times New Roman" w:cs="Times New Roman"/>
          <w:i/>
          <w:iCs/>
          <w:sz w:val="24"/>
          <w:szCs w:val="24"/>
        </w:rPr>
        <w:t>et al</w:t>
      </w:r>
      <w:r w:rsidRPr="00E069BF">
        <w:rPr>
          <w:rFonts w:asciiTheme="majorBidi" w:hAnsiTheme="majorBidi"/>
          <w:sz w:val="24"/>
          <w:szCs w:val="24"/>
        </w:rPr>
        <w:t>. 2007)</w:t>
      </w:r>
      <w:r w:rsidRPr="00E069BF">
        <w:rPr>
          <w:rFonts w:asciiTheme="majorBidi" w:hAnsiTheme="majorBidi"/>
          <w:sz w:val="24"/>
          <w:szCs w:val="24"/>
        </w:rPr>
        <w:fldChar w:fldCharType="end"/>
      </w:r>
      <w:r w:rsidRPr="00E069BF">
        <w:rPr>
          <w:rFonts w:asciiTheme="majorBidi" w:hAnsiTheme="majorBidi"/>
          <w:sz w:val="24"/>
          <w:szCs w:val="24"/>
        </w:rPr>
        <w:t xml:space="preserve"> in Percival incubators (Percival, Boone, IA) that allowed for gradual increase and decrease of cool white light to simulate sunrise and sunset with peak midday light intensity of 150 mmol quanta m</w:t>
      </w:r>
      <w:r w:rsidRPr="00E069BF">
        <w:rPr>
          <w:rFonts w:asciiTheme="majorBidi" w:hAnsiTheme="majorBidi"/>
          <w:sz w:val="24"/>
          <w:szCs w:val="24"/>
          <w:vertAlign w:val="superscript"/>
        </w:rPr>
        <w:t>-2</w:t>
      </w:r>
      <w:r w:rsidRPr="00E069BF">
        <w:rPr>
          <w:rFonts w:asciiTheme="majorBidi" w:hAnsiTheme="majorBidi"/>
          <w:sz w:val="24"/>
          <w:szCs w:val="24"/>
        </w:rPr>
        <w:t>s</w:t>
      </w:r>
      <w:r w:rsidRPr="00E069BF">
        <w:rPr>
          <w:rFonts w:asciiTheme="majorBidi" w:hAnsiTheme="majorBidi"/>
          <w:sz w:val="24"/>
          <w:szCs w:val="24"/>
          <w:vertAlign w:val="superscript"/>
        </w:rPr>
        <w:t>-1</w:t>
      </w:r>
      <w:r w:rsidRPr="00E069BF">
        <w:rPr>
          <w:rFonts w:asciiTheme="majorBidi" w:hAnsiTheme="majorBidi"/>
          <w:sz w:val="24"/>
          <w:szCs w:val="24"/>
        </w:rPr>
        <w:t xml:space="preserve"> on a 14 hr:10 </w:t>
      </w:r>
      <w:proofErr w:type="spellStart"/>
      <w:r w:rsidRPr="00E069BF">
        <w:rPr>
          <w:rFonts w:asciiTheme="majorBidi" w:hAnsiTheme="majorBidi"/>
          <w:sz w:val="24"/>
          <w:szCs w:val="24"/>
        </w:rPr>
        <w:t>hr</w:t>
      </w:r>
      <w:proofErr w:type="spellEnd"/>
      <w:r w:rsidRPr="00E069BF">
        <w:rPr>
          <w:rFonts w:asciiTheme="majorBidi" w:hAnsiTheme="majorBidi"/>
          <w:sz w:val="24"/>
          <w:szCs w:val="24"/>
        </w:rPr>
        <w:t xml:space="preserve"> </w:t>
      </w:r>
      <w:proofErr w:type="spellStart"/>
      <w:r w:rsidRPr="00E069BF">
        <w:rPr>
          <w:rFonts w:asciiTheme="majorBidi" w:hAnsiTheme="majorBidi"/>
          <w:sz w:val="24"/>
          <w:szCs w:val="24"/>
        </w:rPr>
        <w:t>light:dark</w:t>
      </w:r>
      <w:proofErr w:type="spellEnd"/>
      <w:r w:rsidRPr="00E069BF">
        <w:rPr>
          <w:rFonts w:asciiTheme="majorBidi" w:hAnsiTheme="majorBidi"/>
          <w:sz w:val="24"/>
          <w:szCs w:val="24"/>
        </w:rPr>
        <w:t xml:space="preserve"> cycle in AMP-J media for all biomass</w:t>
      </w:r>
      <w:r w:rsidRPr="00934E3A">
        <w:rPr>
          <w:rFonts w:ascii="Times New Roman" w:hAnsi="Times New Roman" w:cs="Times New Roman"/>
          <w:sz w:val="24"/>
          <w:szCs w:val="24"/>
        </w:rPr>
        <w:t xml:space="preserve"> assays</w:t>
      </w:r>
      <w:r>
        <w:rPr>
          <w:rFonts w:ascii="Times New Roman" w:hAnsi="Times New Roman" w:cs="Times New Roman"/>
          <w:sz w:val="24"/>
          <w:szCs w:val="24"/>
        </w:rPr>
        <w:t xml:space="preserve"> </w:t>
      </w:r>
      <w:r w:rsidRPr="00934E3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{"citationID":"Orc6E1M4","properties":{"formattedCitation":"(Calfee 2021; Hennon et al. 2018; Knight and Morris 2018)","plainCitation":"(Calfee 2021; Hennon et al. 2018; Knight and Morris 2018)","noteIndex":0},"citationItems":[{"id":3125,"uris":["http://zotero.org/users/6128296/items/4VSH9QLP"],"itemData":{"id":3125,"type":"thesis","abstract":"Prochlorococcus is a genus of extremely successful marine cyanobacteria. This success is realized through its pervasive biogeographical range and presence in almost all open ocean environments where it usually it the dominant phytoplankton. Limited capabilities of culturing and genetic manipulation of this organism have resulted in assumptions about this success overwhelmingly based on field observations. These studies have assumed adaptations for resource uptake and utilization in nutrient limited environments to cause dominance of Prochlorococcus over other photosynthetic microbes. In an attempt to definitively explain this through laboratory culture, we developed a culturing system to assay questions of nutrient limitation effects upon Prochlorococcus and its competitive ability based on nitrogen limited populations within the North Pacific Subtropical Gyre. We determined that competition for nitrogen did explain the population dynamics of Prochlorococcus and another cyanobacterium, Synechococcus, and were able to recreate their observed abundances in nitrogen limited laboratory culture. Interestingly this outcome could only be achieved through the inclusion of a heterotrophic bacterium, which facilitated the success of Prochlorococcus through complex crossfeeding interactions. In an effort to further explore the important microbial interactions influencing this dominant cyanobacterium, we developed an additional culturing system to determine if rival phytoplankton (Synechococcus and picoeukaryotes), with whom Prochlorococcus competes for nutrients, could protect Prochlorococcus from oxidative stress from hydrogen peroxide. These rivals successfully protected Prochlorococcus from mortality when cocultured at ecologically relevant abundances. Lastly we determined the affect of seasonal change on Prochlorococcus ecotypes and potential relationships between high-light and low-light adapted ecotypes and between ecotypes and abundant microbial phyla that varied seasonally. Herein we speculate on the overall importance of microbial interactions based on nutrient transformation and environmental conditioning to the ecology and biogeography of Prochlorococcus.","language":"en","publisher":"University of Tennessee","source":"Zotero","title":"Determining the Ecological and Physiological Factors Contributing to the Competitive Success of Prochlorococcus in the Oligotrophic Ocean","author":[{"family":"Calfee","given":""}],"issued":{"date-parts":[["2021",12]]}}},{"id":96,"uris":["http://zotero.org/users/6128296/items/FLR3U54M"],"itemData":{"id":96,"type":"article-journal","container-title":"The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T"}],"issued":{"date-parts":[["2018",2]]}}},{"id":1694,"uris":["http://zotero.org/users/6128296/items/4NT526H5"],"itemData":{"id":1694,"type":"report","abstract":"Anthropogenic CO2 emissions are projected to lower the pH of the open ocean by 0.2 to 0.3 units over the next century. Laboratory experiments show that different phytoplankton taxa exhibit a wide variety of responses, with some strains having higher fitness under projected future conditions, and others being negatively impacted. Previous studies have suggested that Prochlorococcus and Synechococcus, the numerically dominant picophytoplankton in the oceans, have very different responses to elevated CO2 that may result in a dramatic shift in their relative abundances in future oceans. Here we show that these two genera experience faster exponential growth rates under future CO2 conditions, similar to most other cyanobacteria that have been studied. However,Prochlorococcus strains have significantly lower realized growth rates due to more extreme lag periods after exposure to fresh culture media. Surprisingly, however, Synechococcus was unable to outcompete Prochlorococcus in co-culture at elevated CO2.  Under these conditions,\n Prochlorococcus poor response to elevated CO2\ndisappeared, and it showed negative frequency dependence in its relative fitness compared to Synechococcus, with a significant fitness advantage when it was initially rare. Moreover, both Synechococcus and Prochlorococcus had faster growth rates in co-culture with each other than either had in unialgal culture. We speculate that this negative frequency dependence is an outgrowth of reductive Black Queen evolution operating on both taxa that has resulted in a passively mutualistic relationship analogous to that connecting Prochlorococcus with the “helper” heterotrophic microbes in its environment.","genre":"preprint","language":"en","note":"DOI: 10.1101/337378","publisher":"Microbiology","source":"DOI.org (Crossref)","title":"Competition and Synergy Between &lt;i&gt;Prochlorococcus&lt;/i&gt; and &lt;i&gt;Synechococcus&lt;/i&gt; Under Ocean Acidification Conditions","URL":"http://biorxiv.org/lookup/doi/10.1101/337378","author":[{"family":"Knight","given":""},{"family":"Morris","given":"J. Jeffrey"}],"accessed":{"date-parts":[["2019",12,16]]},"issued":{"date-parts":[["2018",6,3]]}}}],"schema":"https://github.com/citation-style-language/schema/raw/master/csl-citation.json"} </w:instrText>
      </w:r>
      <w:r w:rsidRPr="00934E3A">
        <w:rPr>
          <w:rFonts w:ascii="Times New Roman" w:hAnsi="Times New Roman" w:cs="Times New Roman"/>
          <w:sz w:val="24"/>
          <w:szCs w:val="24"/>
        </w:rPr>
        <w:fldChar w:fldCharType="separate"/>
      </w:r>
      <w:r w:rsidRPr="00934E3A">
        <w:rPr>
          <w:rFonts w:ascii="Times New Roman" w:hAnsi="Times New Roman" w:cs="Times New Roman"/>
          <w:sz w:val="24"/>
          <w:szCs w:val="24"/>
        </w:rPr>
        <w:t xml:space="preserve">(Calfee 2021; Hennon </w:t>
      </w:r>
      <w:r w:rsidR="00183222" w:rsidRPr="00183222">
        <w:rPr>
          <w:rFonts w:ascii="Times New Roman" w:hAnsi="Times New Roman" w:cs="Times New Roman"/>
          <w:i/>
          <w:iCs/>
          <w:sz w:val="24"/>
          <w:szCs w:val="24"/>
        </w:rPr>
        <w:t>et al</w:t>
      </w:r>
      <w:r w:rsidRPr="00934E3A">
        <w:rPr>
          <w:rFonts w:ascii="Times New Roman" w:hAnsi="Times New Roman" w:cs="Times New Roman"/>
          <w:sz w:val="24"/>
          <w:szCs w:val="24"/>
        </w:rPr>
        <w:t xml:space="preserve">. 2018; Knight and </w:t>
      </w:r>
      <w:r w:rsidRPr="00934E3A">
        <w:rPr>
          <w:rFonts w:ascii="Times New Roman" w:hAnsi="Times New Roman" w:cs="Times New Roman"/>
          <w:sz w:val="24"/>
          <w:szCs w:val="24"/>
        </w:rPr>
        <w:lastRenderedPageBreak/>
        <w:t>Morris 2018)</w:t>
      </w:r>
      <w:r w:rsidRPr="00934E3A">
        <w:rPr>
          <w:rFonts w:ascii="Times New Roman" w:hAnsi="Times New Roman" w:cs="Times New Roman"/>
          <w:sz w:val="24"/>
          <w:szCs w:val="24"/>
        </w:rPr>
        <w:fldChar w:fldCharType="end"/>
      </w:r>
      <w:r w:rsidR="00490E61">
        <w:rPr>
          <w:rFonts w:ascii="Times New Roman" w:hAnsi="Times New Roman" w:cs="Times New Roman"/>
          <w:sz w:val="24"/>
          <w:szCs w:val="24"/>
        </w:rPr>
        <w:t xml:space="preserve">. </w:t>
      </w:r>
      <w:r w:rsidRPr="00934E3A">
        <w:rPr>
          <w:rFonts w:ascii="Times New Roman" w:hAnsi="Times New Roman" w:cs="Times New Roman"/>
          <w:sz w:val="24"/>
          <w:szCs w:val="24"/>
        </w:rPr>
        <w:t xml:space="preserve">We measured cell densities of </w:t>
      </w:r>
      <w:r w:rsidRPr="00934E3A">
        <w:rPr>
          <w:rFonts w:ascii="Times New Roman" w:hAnsi="Times New Roman" w:cs="Times New Roman"/>
          <w:i/>
          <w:iCs/>
          <w:sz w:val="24"/>
          <w:szCs w:val="24"/>
        </w:rPr>
        <w:t>Prochlorococcus</w:t>
      </w:r>
      <w:r w:rsidRPr="00934E3A">
        <w:rPr>
          <w:rFonts w:ascii="Times New Roman" w:hAnsi="Times New Roman" w:cs="Times New Roman"/>
          <w:sz w:val="24"/>
          <w:szCs w:val="24"/>
        </w:rPr>
        <w:t xml:space="preserve"> and </w:t>
      </w:r>
      <w:proofErr w:type="spellStart"/>
      <w:r w:rsidRPr="00934E3A">
        <w:rPr>
          <w:rFonts w:ascii="Times New Roman" w:hAnsi="Times New Roman" w:cs="Times New Roman"/>
          <w:i/>
          <w:iCs/>
          <w:sz w:val="24"/>
          <w:szCs w:val="24"/>
        </w:rPr>
        <w:t>Synechococcus</w:t>
      </w:r>
      <w:proofErr w:type="spellEnd"/>
      <w:r w:rsidRPr="00934E3A">
        <w:rPr>
          <w:rFonts w:ascii="Times New Roman" w:hAnsi="Times New Roman" w:cs="Times New Roman"/>
          <w:sz w:val="24"/>
          <w:szCs w:val="24"/>
        </w:rPr>
        <w:t xml:space="preserve"> using </w:t>
      </w:r>
      <w:r>
        <w:rPr>
          <w:rFonts w:ascii="Times New Roman" w:hAnsi="Times New Roman" w:cs="Times New Roman"/>
          <w:sz w:val="24"/>
          <w:szCs w:val="24"/>
        </w:rPr>
        <w:t xml:space="preserve">different </w:t>
      </w:r>
      <w:proofErr w:type="spellStart"/>
      <w:r>
        <w:rPr>
          <w:rFonts w:ascii="Times New Roman" w:hAnsi="Times New Roman" w:cs="Times New Roman"/>
          <w:sz w:val="24"/>
          <w:szCs w:val="24"/>
        </w:rPr>
        <w:t>autofluorescent</w:t>
      </w:r>
      <w:proofErr w:type="spellEnd"/>
      <w:r>
        <w:rPr>
          <w:rFonts w:ascii="Times New Roman" w:hAnsi="Times New Roman" w:cs="Times New Roman"/>
          <w:sz w:val="24"/>
          <w:szCs w:val="24"/>
        </w:rPr>
        <w:t xml:space="preserve"> properties in </w:t>
      </w:r>
      <w:r w:rsidRPr="00934E3A">
        <w:rPr>
          <w:rFonts w:ascii="Times New Roman" w:hAnsi="Times New Roman" w:cs="Times New Roman"/>
          <w:sz w:val="24"/>
          <w:szCs w:val="24"/>
        </w:rPr>
        <w:t>flow cytometr</w:t>
      </w:r>
      <w:r>
        <w:rPr>
          <w:rFonts w:ascii="Times New Roman" w:hAnsi="Times New Roman" w:cs="Times New Roman"/>
          <w:sz w:val="24"/>
          <w:szCs w:val="24"/>
        </w:rPr>
        <w:t>ic assays</w:t>
      </w:r>
      <w:r w:rsidRPr="00934E3A">
        <w:rPr>
          <w:rFonts w:ascii="Times New Roman" w:hAnsi="Times New Roman" w:cs="Times New Roman"/>
          <w:sz w:val="24"/>
          <w:szCs w:val="24"/>
        </w:rPr>
        <w:t xml:space="preserve"> </w:t>
      </w:r>
      <w:r w:rsidRPr="00934E3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{"citationID":"aKI4Ky2Q","properties":{"formattedCitation":"(Campbell, Nolla, and Vaulot 1994; Calfee, Glasgo, and Zinser 2022)","plainCitation":"(Campbell, Nolla, and Vaulot 1994; Calfee, Glasgo, and Zinser 2022)","noteIndex":0},"citationItems":[{"id":4094,"uris":["http://zotero.org/users/6128296/items/YG64AIKU"],"itemData":{"id":4094,"type":"article-journal","abstract":"Assessments of plankton community structure in the oligotrophic oceans based solely on microscopy may overstate the importance of heterotrophic bacterial biomass. Using flow cytometry to distinguish heterotrophic bacteria from the photosynthetic procaryotes Prochlorococcus spp., we found that Prochlorococcus contributed 3 1% of total bacterial counts in the upper 100 m at station ALOHA (22”45’N, 158”W). In terms of carbon, procaryotic biomass was the largest component (2 80%) of the microbial community, but almost half of this was photosynthetic biomass contributed by Prochlorococcus. Overall, the total 200-m integrated photosynthetic biomass exceeded heterotrophic bacterial biomass (55 vs. 45%). We suggest that the relative proportion of photosynthetic to heterotrophic bacterial biomass varies among oligotrophic regions of the ocean and that dominance by heterotrophic bacteria is not typical.","container-title":"Limnology and Oceanography","DOI":"10.4319/lo.1994.39.4.0954","ISSN":"0024-3590, 1939-5590","issue":"4","journalAbbreviation":"Limnology &amp; Oceanography","language":"en","page":"954-961","source":"DOI.org (Crossref)","title":"The importance of &lt;i&gt;Prochlorococcus&lt;/i&gt; to community structure in the central North Pacific Ocean","volume":"39","author":[{"family":"Campbell","given":""},{"family":"Nolla","given":"H. A."},{"family":"Vaulot","given":"Daniel"}],"issued":{"date-parts":[["1994",6]]}}},{"id":3126,"uris":["http://zotero.org/users/6128296/items/XY85MD2M"],"itemData":{"id":3126,"type":"article-journal","abstract":"The marine cyanobacterium Prochlorococcus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Prochlorococcus outcompetes its rivals for scarce nutrients and that this advantage leads to its numerical success in nutrient-limited waters. Strains of Prochlorococcus and its sister genus Synechococcus grew well in both mono- and cocultures when nutrients were replete. However, in nitrogen-limited medium, Prochlorococcus outgrew Synechococcus but only when heterotrophic bacteria were also present. In the nitrogen-limited medium, the heterotroph Alteromonas macleodii outcompeted Synechococcus for nitrogen but only if stimulated by the exudate released by Prochlorococcus or if a proxy organic carbon source was provided. Genetic analysis of Alteromonas suggested that it outcompetes Synechococcus for nitrate and/or nitrite, during which cocultured Prochlorococcus grows on ammonia or other available nitrogen species. We propose that Prochlorococcus can stimulate antagonism between heterotrophic bacteria and potential phytoplankton competitors through a metabolic cross-feeding interaction, and this stimulation could contribute to the numerical success of Prochlorococcus in nutrient-limited regions of the ocean.","issue":"1","language":"en","page":"14","source":"Zotero","title":"Prochlorococcus Exudate Stimulates Heterotrophic Bacterial Competition with Rival Phytoplankton for Available Nitrogen","volume":"13","author":[{"family":"Calfee","given":""},{"family":"Glasgo","given":"Liz"},{"family":"Zinser","given":"E. R."}],"issued":{"date-parts":[["2022"]]}}}],"schema":"https://github.com/citation-style-language/schema/raw/master/csl-citation.json"} </w:instrText>
      </w:r>
      <w:r w:rsidRPr="00934E3A">
        <w:rPr>
          <w:rFonts w:ascii="Times New Roman" w:hAnsi="Times New Roman" w:cs="Times New Roman"/>
          <w:sz w:val="24"/>
          <w:szCs w:val="24"/>
        </w:rPr>
        <w:fldChar w:fldCharType="separate"/>
      </w:r>
      <w:r>
        <w:rPr>
          <w:rFonts w:ascii="Times New Roman" w:hAnsi="Times New Roman" w:cs="Times New Roman"/>
          <w:sz w:val="24"/>
          <w:szCs w:val="24"/>
        </w:rPr>
        <w:t xml:space="preserve">(Campbell, Nolla, and </w:t>
      </w:r>
      <w:proofErr w:type="spellStart"/>
      <w:r>
        <w:rPr>
          <w:rFonts w:ascii="Times New Roman" w:hAnsi="Times New Roman" w:cs="Times New Roman"/>
          <w:sz w:val="24"/>
          <w:szCs w:val="24"/>
        </w:rPr>
        <w:t>Vaulot</w:t>
      </w:r>
      <w:proofErr w:type="spellEnd"/>
      <w:r>
        <w:rPr>
          <w:rFonts w:ascii="Times New Roman" w:hAnsi="Times New Roman" w:cs="Times New Roman"/>
          <w:sz w:val="24"/>
          <w:szCs w:val="24"/>
        </w:rPr>
        <w:t xml:space="preserve"> 1994; Calfee, Glasgo, and Zinser 2022)</w:t>
      </w:r>
      <w:r w:rsidRPr="00934E3A">
        <w:rPr>
          <w:rFonts w:ascii="Times New Roman" w:hAnsi="Times New Roman" w:cs="Times New Roman"/>
          <w:sz w:val="24"/>
          <w:szCs w:val="24"/>
        </w:rPr>
        <w:fldChar w:fldCharType="end"/>
      </w:r>
      <w:r w:rsidRPr="00934E3A">
        <w:rPr>
          <w:rFonts w:ascii="Times New Roman" w:hAnsi="Times New Roman" w:cs="Times New Roman"/>
          <w:sz w:val="24"/>
          <w:szCs w:val="24"/>
        </w:rPr>
        <w:t>. Following published</w:t>
      </w:r>
      <w:r w:rsidRPr="003609FB">
        <w:rPr>
          <w:rFonts w:ascii="Times New Roman" w:hAnsi="Times New Roman" w:cs="Times New Roman"/>
          <w:sz w:val="24"/>
          <w:szCs w:val="24"/>
        </w:rPr>
        <w:t xml:space="preserve"> methods, heterotrophs were counted through plating assays as concurrent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measurements were taken </w:t>
      </w:r>
      <w:r w:rsidRPr="00DA5435">
        <w:rPr>
          <w:rFonts w:ascii="Times New Roman" w:hAnsi="Times New Roman" w:cs="Times New Roman"/>
          <w:sz w:val="24"/>
          <w:szCs w:val="24"/>
        </w:rPr>
        <w:fldChar w:fldCharType="begin"/>
      </w:r>
      <w:r w:rsidRPr="00DA5435">
        <w:rPr>
          <w:rFonts w:ascii="Times New Roman" w:hAnsi="Times New Roman" w:cs="Times New Roman"/>
          <w:sz w:val="24"/>
          <w:szCs w:val="24"/>
        </w:rPr>
        <w:instrText xml:space="preserve"> ADDIN ZOTERO_ITEM CSL_CITATION {"citationID":"LhfEMgzr","properties":{"formattedCitation":"(Calfee, Glasgo, and Zinser 2022)","plainCitation":"(Calfee, Glasgo, and Zinser 2022)","noteIndex":0},"citationItems":[{"id":3126,"uris":["http://zotero.org/users/6128296/items/XY85MD2M"],"itemData":{"id":3126,"type":"article-journal","abstract":"The marine cyanobacterium Prochlorococcus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Prochlorococcus outcompetes its rivals for scarce nutrients and that this advantage leads to its numerical success in nutrient-limited waters. Strains of Prochlorococcus and its sister genus Synechococcus grew well in both mono- and cocultures when nutrients were replete. However, in nitrogen-limited medium, Prochlorococcus outgrew Synechococcus but only when heterotrophic bacteria were also present. In the nitrogen-limited medium, the heterotroph Alteromonas macleodii outcompeted Synechococcus for nitrogen but only if stimulated by the exudate released by Prochlorococcus or if a proxy organic carbon source was provided. Genetic analysis of Alteromonas suggested that it outcompetes Synechococcus for nitrate and/or nitrite, during which cocultured Prochlorococcus grows on ammonia or other available nitrogen species. We propose that Prochlorococcus can stimulate antagonism between heterotrophic bacteria and potential phytoplankton competitors through a metabolic cross-feeding interaction, and this stimulation could contribute to the numerical success of Prochlorococcus in nutrient-limited regions of the ocean.","issue":"1","language":"en","page":"14","source":"Zotero","title":"Prochlorococcus Exudate Stimulates Heterotrophic Bacterial Competition with Rival Phytoplankton for Available Nitrogen","volume":"13","author":[{"family":"Calfee","given":""},{"family":"Glasgo","given":"Liz"},{"family":"Zinser","given":"E. R."}],"issued":{"date-parts":[["2022"]]}}}],"schema":"https://github.com/citation-style-language/schema/raw/master/csl-citation.json"} </w:instrText>
      </w:r>
      <w:r w:rsidRPr="00DA5435">
        <w:rPr>
          <w:rFonts w:ascii="Times New Roman" w:hAnsi="Times New Roman" w:cs="Times New Roman"/>
          <w:sz w:val="24"/>
          <w:szCs w:val="24"/>
        </w:rPr>
        <w:fldChar w:fldCharType="separate"/>
      </w:r>
      <w:r w:rsidRPr="00DA5435">
        <w:rPr>
          <w:rFonts w:ascii="Times New Roman" w:hAnsi="Times New Roman" w:cs="Times New Roman"/>
          <w:sz w:val="24"/>
          <w:szCs w:val="24"/>
        </w:rPr>
        <w:t>(Calfee, Glasgo, and Zinser 2022)</w:t>
      </w:r>
      <w:r w:rsidRPr="00DA5435">
        <w:rPr>
          <w:rFonts w:ascii="Times New Roman" w:hAnsi="Times New Roman" w:cs="Times New Roman"/>
          <w:sz w:val="24"/>
          <w:szCs w:val="24"/>
        </w:rPr>
        <w:fldChar w:fldCharType="end"/>
      </w:r>
      <w:r w:rsidRPr="00DA5435">
        <w:rPr>
          <w:rFonts w:ascii="Times New Roman" w:hAnsi="Times New Roman" w:cs="Times New Roman"/>
          <w:sz w:val="24"/>
          <w:szCs w:val="24"/>
        </w:rPr>
        <w:t>.</w:t>
      </w:r>
      <w:r w:rsidRPr="003609FB">
        <w:rPr>
          <w:rFonts w:ascii="Times New Roman" w:hAnsi="Times New Roman" w:cs="Times New Roman"/>
          <w:sz w:val="24"/>
          <w:szCs w:val="24"/>
        </w:rPr>
        <w:t xml:space="preserve"> All biotic data can be found at the Biological and Chemical Oceanography Data Management Office </w:t>
      </w:r>
      <w:r w:rsidRPr="00934E3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{"citationID":"YY3nsv1I","properties":{"formattedCitation":"(Zinser, Talmy, and Calfee 2023)","plainCitation":"(Zinser, Talmy, and Calfee 2023)","noteIndex":0},"citationItems":[{"id":6672,"uris":["http://zotero.org/users/6128296/items/R4PX8TBS"],"itemData":{"id":6672,"type":"dataset","DOI":"doi:10.26008/1912/bco-dmo.913181.1","publisher":"Biological and Chemical Oceanography Data Management Office (BCO-DMO).","title":"Picocyanobacteria (Prochlorococcus or Synechococcus) and picoeukaryote (Micromonas and Ostreococcus) cell concentrations and hydrogen peroxide (HOOH) concentrations during batch culture at the University of Tennessee, Knoxville.","URL":"https://www.bco-dmo.org/dataset/913181","version":"(Version 1) Version Date 2023-10-16","author":[{"family":"Zinser","given":""},{"family":"Talmy","given":"D"},{"family":"Calfee","given":"B"}],"issued":{"date-parts":[["2023"]]}}}],"schema":"https://github.com/citation-style-language/schema/raw/master/csl-citation.json"} </w:instrText>
      </w:r>
      <w:r w:rsidRPr="00934E3A">
        <w:rPr>
          <w:rFonts w:ascii="Times New Roman" w:hAnsi="Times New Roman" w:cs="Times New Roman"/>
          <w:sz w:val="24"/>
          <w:szCs w:val="24"/>
        </w:rPr>
        <w:fldChar w:fldCharType="separate"/>
      </w:r>
      <w:r>
        <w:rPr>
          <w:rFonts w:ascii="Times New Roman" w:hAnsi="Times New Roman" w:cs="Times New Roman"/>
          <w:sz w:val="24"/>
          <w:szCs w:val="24"/>
        </w:rPr>
        <w:t xml:space="preserve">(Zinser, </w:t>
      </w:r>
      <w:proofErr w:type="spellStart"/>
      <w:r>
        <w:rPr>
          <w:rFonts w:ascii="Times New Roman" w:hAnsi="Times New Roman" w:cs="Times New Roman"/>
          <w:sz w:val="24"/>
          <w:szCs w:val="24"/>
        </w:rPr>
        <w:t>Talmy</w:t>
      </w:r>
      <w:proofErr w:type="spellEnd"/>
      <w:r>
        <w:rPr>
          <w:rFonts w:ascii="Times New Roman" w:hAnsi="Times New Roman" w:cs="Times New Roman"/>
          <w:sz w:val="24"/>
          <w:szCs w:val="24"/>
        </w:rPr>
        <w:t>, and Calfee 2023)</w:t>
      </w:r>
      <w:r w:rsidRPr="00934E3A">
        <w:rPr>
          <w:rFonts w:ascii="Times New Roman" w:hAnsi="Times New Roman" w:cs="Times New Roman"/>
          <w:sz w:val="24"/>
          <w:szCs w:val="24"/>
        </w:rPr>
        <w:fldChar w:fldCharType="end"/>
      </w:r>
      <w:r w:rsidRPr="00934E3A">
        <w:rPr>
          <w:rFonts w:ascii="Times New Roman" w:hAnsi="Times New Roman" w:cs="Times New Roman"/>
          <w:sz w:val="24"/>
          <w:szCs w:val="24"/>
        </w:rPr>
        <w:t>.</w:t>
      </w:r>
    </w:p>
    <w:p w14:paraId="5DC961BC" w14:textId="09EE2F1C" w:rsidR="00E43801" w:rsidRPr="00E43801" w:rsidRDefault="00CA3AA8" w:rsidP="00E43801">
      <w:pPr>
        <w:pStyle w:val="Heading3"/>
        <w:spacing w:line="360" w:lineRule="auto"/>
      </w:pPr>
      <w:bookmarkStart w:id="15" w:name="_Toc173250019"/>
      <w:r w:rsidRPr="003609FB">
        <w:t>Fitting procedure</w:t>
      </w:r>
      <w:bookmarkEnd w:id="15"/>
    </w:p>
    <w:p w14:paraId="40E0AEFD" w14:textId="0167AEA0" w:rsidR="00CA3AA8" w:rsidRDefault="00CA3AA8" w:rsidP="00E43801">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Our ODE model as defined Equations 1 has five unknown parameters: maximum plankton growth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-induced cellular death rate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cell-mediated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rate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abiotic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supply rate (S</w:t>
      </w:r>
      <w:r w:rsidRPr="00DA5435">
        <w:rPr>
          <w:rFonts w:ascii="Times New Roman" w:hAnsi="Times New Roman" w:cs="Times New Roman"/>
          <w:sz w:val="24"/>
          <w:szCs w:val="24"/>
          <w:vertAlign w:val="subscript"/>
        </w:rPr>
        <w:t>H</w:t>
      </w:r>
      <w:r w:rsidRPr="003609FB">
        <w:rPr>
          <w:rFonts w:ascii="Times New Roman" w:hAnsi="Times New Roman" w:cs="Times New Roman"/>
          <w:sz w:val="24"/>
          <w:szCs w:val="24"/>
        </w:rPr>
        <w:t>), and abiotic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decay rate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w:r w:rsidRPr="003609FB">
        <w:rPr>
          <w:rFonts w:ascii="Times New Roman" w:hAnsi="Times New Roman" w:cs="Times New Roman"/>
          <w:sz w:val="24"/>
          <w:szCs w:val="24"/>
        </w:rPr>
        <w:t>). Our goal was to find the combination of parameters that best explained observed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cell abundance dynamics in each laboratory </w:t>
      </w:r>
      <w:r w:rsidRPr="00842240">
        <w:rPr>
          <w:rFonts w:ascii="Times New Roman" w:hAnsi="Times New Roman" w:cs="Times New Roman"/>
          <w:sz w:val="24"/>
          <w:szCs w:val="24"/>
        </w:rPr>
        <w:t xml:space="preserve">population dataset. We chose to use the Metropolis-Hastings algorithm </w:t>
      </w:r>
      <w:r w:rsidRPr="00842240">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{"citationID":"6EJbn7Ol","properties":{"formattedCitation":"(Metropolis et al. 1953; Hastings 1970)","plainCitation":"(Metropolis et al. 1953; Hastings 1970)","noteIndex":0},"citationItems":[{"id":1547,"uris":["http://zotero.org/users/6128296/items/LDFWRCVN"],"itemData":{"id":1547,"type":"article-journal","container-title":"The Journal of Chemical Physics","DOI":"10.1063/1.1699114","ISSN":"0021-9606, 1089-7690","issue":"6","journalAbbreviation":"The Journal of Chemical Physics","language":"en","page":"1087-1092","source":"DOI.org (Crossref)","title":"Equation of State Calculations by Fast Computing Machines","volume":"21","author":[{"family":"Metropolis","given":""},{"family":"Rosenbluth","given":"Arianna W."},{"family":"Rosenbluth","given":"Marshall N."},{"family":"Teller","given":"Augusta H."},{"family":"Teller","given":"Edward"}],"issued":{"date-parts":[["1953",6]]}}},{"id":6769,"uris":["http://zotero.org/users/6128296/items/ZJAREJU4"],"itemData":{"id":6769,"type":"article-journal","abstract":"A generalization of the sampling method introduced by Metropolis et al. (1953) is presented along with an exposition of the relevant theory, techniques of application and methods and difficulties of assessing the error in Monte Carlo estimates. Examples of the methods, including the generation of random orthogonal matrices and potential applications of the methods to numerical problems arising in statistics, are discussed.","container-title":"Biometrika","DOI":"doi.org/10.2307/2334940","issue":"1","language":"en","page":"97-109","source":"Zotero","title":"Monte Carlo Sampling Methods Using Markov Chains and Their Applications","volume":"57","author":[{"family":"Hastings","given":""}],"issued":{"date-parts":[["1970",4]]}}}],"schema":"https://github.com/citation-style-language/schema/raw/master/csl-citation.json"} </w:instrText>
      </w:r>
      <w:r w:rsidRPr="00842240">
        <w:rPr>
          <w:rFonts w:ascii="Times New Roman" w:hAnsi="Times New Roman" w:cs="Times New Roman"/>
          <w:sz w:val="24"/>
          <w:szCs w:val="24"/>
        </w:rPr>
        <w:fldChar w:fldCharType="separate"/>
      </w:r>
      <w:r>
        <w:rPr>
          <w:rFonts w:ascii="Times New Roman" w:hAnsi="Times New Roman" w:cs="Times New Roman"/>
          <w:sz w:val="24"/>
          <w:szCs w:val="24"/>
        </w:rPr>
        <w:t xml:space="preserve">(Metropolis </w:t>
      </w:r>
      <w:r w:rsidR="00183222" w:rsidRPr="00183222">
        <w:rPr>
          <w:rFonts w:ascii="Times New Roman" w:hAnsi="Times New Roman" w:cs="Times New Roman"/>
          <w:i/>
          <w:iCs/>
          <w:sz w:val="24"/>
          <w:szCs w:val="24"/>
        </w:rPr>
        <w:t>et al</w:t>
      </w:r>
      <w:r>
        <w:rPr>
          <w:rFonts w:ascii="Times New Roman" w:hAnsi="Times New Roman" w:cs="Times New Roman"/>
          <w:sz w:val="24"/>
          <w:szCs w:val="24"/>
        </w:rPr>
        <w:t>. 1953; Hastings 1970)</w:t>
      </w:r>
      <w:r w:rsidRPr="00842240">
        <w:rPr>
          <w:rFonts w:ascii="Times New Roman" w:hAnsi="Times New Roman" w:cs="Times New Roman"/>
          <w:sz w:val="24"/>
          <w:szCs w:val="24"/>
        </w:rPr>
        <w:fldChar w:fldCharType="end"/>
      </w:r>
      <w:r w:rsidRPr="00842240">
        <w:rPr>
          <w:rFonts w:ascii="Times New Roman" w:hAnsi="Times New Roman" w:cs="Times New Roman"/>
          <w:sz w:val="24"/>
          <w:szCs w:val="24"/>
        </w:rPr>
        <w:t xml:space="preserve">, a widely used Monte Carlo Markov-Chain (MCMC) method. We took a Bayesian approach to parameter quantification, thereby assuming that each parameter is itself a distribution with inherent uncertainty. </w:t>
      </w:r>
      <w:proofErr w:type="gramStart"/>
      <w:r w:rsidRPr="00842240">
        <w:rPr>
          <w:rFonts w:ascii="Times New Roman" w:hAnsi="Times New Roman" w:cs="Times New Roman"/>
          <w:sz w:val="24"/>
          <w:szCs w:val="24"/>
        </w:rPr>
        <w:t>A brief summary</w:t>
      </w:r>
      <w:proofErr w:type="gramEnd"/>
      <w:r w:rsidRPr="00842240">
        <w:rPr>
          <w:rFonts w:ascii="Times New Roman" w:hAnsi="Times New Roman" w:cs="Times New Roman"/>
          <w:sz w:val="24"/>
          <w:szCs w:val="24"/>
        </w:rPr>
        <w:t xml:space="preserve"> of our key assumptions of the fitting procedure is included below. A full explanation of the fitting procedure </w:t>
      </w:r>
      <w:proofErr w:type="gramStart"/>
      <w:r w:rsidRPr="00842240">
        <w:rPr>
          <w:rFonts w:ascii="Times New Roman" w:hAnsi="Times New Roman" w:cs="Times New Roman"/>
          <w:sz w:val="24"/>
          <w:szCs w:val="24"/>
        </w:rPr>
        <w:t>in</w:t>
      </w:r>
      <w:proofErr w:type="gramEnd"/>
      <w:r w:rsidRPr="00842240">
        <w:rPr>
          <w:rFonts w:ascii="Times New Roman" w:hAnsi="Times New Roman" w:cs="Times New Roman"/>
          <w:sz w:val="24"/>
          <w:szCs w:val="24"/>
        </w:rPr>
        <w:t xml:space="preserve"> Appendix A, Supplementary Information Chapter 2, section A1.</w:t>
      </w:r>
    </w:p>
    <w:p w14:paraId="29683457" w14:textId="77777777" w:rsidR="00F17DAA" w:rsidRDefault="00F17DAA"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goal of our model fitting was to sample and summarize the posterior probability distribution of the model parameters given the model and data. Let D be a given experimental dataset and let  </w:t>
      </w:r>
      <m:oMath>
        <m:r>
          <w:rPr>
            <w:rFonts w:ascii="Cambria Math" w:hAnsi="Cambria Math" w:cs="Times New Roman"/>
            <w:sz w:val="24"/>
            <w:szCs w:val="24"/>
          </w:rPr>
          <m:t>θ</m:t>
        </m:r>
      </m:oMath>
      <w:r w:rsidRPr="003609FB">
        <w:rPr>
          <w:rFonts w:ascii="Times New Roman" w:hAnsi="Times New Roman" w:cs="Times New Roman"/>
          <w:sz w:val="24"/>
          <w:szCs w:val="24"/>
        </w:rPr>
        <w:t xml:space="preserve"> be the set of parameters of interest (e.g., for the full model θ = (μ, κ, …)). The following describes a procedure to estimate the posterior probability distributions of the parameters θ given the data D or </w:t>
      </w:r>
      <w:proofErr w:type="gramStart"/>
      <w:r w:rsidRPr="003609FB">
        <w:rPr>
          <w:rFonts w:ascii="Times New Roman" w:hAnsi="Times New Roman" w:cs="Times New Roman"/>
          <w:sz w:val="24"/>
          <w:szCs w:val="24"/>
        </w:rPr>
        <w:t>P(</w:t>
      </w:r>
      <w:proofErr w:type="gramEnd"/>
      <w:r w:rsidRPr="003609FB">
        <w:rPr>
          <w:rFonts w:ascii="Times New Roman" w:hAnsi="Times New Roman" w:cs="Times New Roman"/>
          <w:sz w:val="24"/>
          <w:szCs w:val="24"/>
        </w:rPr>
        <w:t>θ |D).</w:t>
      </w:r>
    </w:p>
    <w:p w14:paraId="1DACA521" w14:textId="77777777" w:rsidR="00F17DAA" w:rsidRPr="003609FB" w:rsidRDefault="00F17DAA"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Using Bayes theorem, the probability of a given parameter set θ given dataset D is:</w:t>
      </w:r>
    </w:p>
    <w:p w14:paraId="0347AD52" w14:textId="77777777" w:rsidR="00F17DAA" w:rsidRPr="003609FB" w:rsidRDefault="00F17DAA" w:rsidP="00F17DAA">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(2.2)      </w:t>
      </w:r>
      <m:oMath>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θ</m:t>
            </m:r>
            <m:r>
              <m:rPr>
                <m:lit/>
                <m:nor/>
              </m:rPr>
              <w:rPr>
                <w:rFonts w:ascii="Times New Roman" w:hAnsi="Times New Roman" w:cs="Times New Roman"/>
                <w:sz w:val="24"/>
                <w:szCs w:val="24"/>
              </w:rPr>
              <m:t>|</m:t>
            </m:r>
            <m:r>
              <w:rPr>
                <w:rFonts w:ascii="Cambria Math" w:hAnsi="Cambria Math" w:cs="Times New Roman"/>
                <w:sz w:val="24"/>
                <w:szCs w:val="24"/>
              </w:rPr>
              <m:t>D</m:t>
            </m:r>
          </m:e>
        </m:d>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D</m:t>
                </m:r>
                <m:r>
                  <m:rPr>
                    <m:lit/>
                    <m:nor/>
                  </m:rPr>
                  <w:rPr>
                    <w:rFonts w:ascii="Times New Roman" w:hAnsi="Times New Roman" w:cs="Times New Roman"/>
                    <w:sz w:val="24"/>
                    <w:szCs w:val="24"/>
                  </w:rPr>
                  <m:t>|</m:t>
                </m:r>
                <m:r>
                  <w:rPr>
                    <w:rFonts w:ascii="Cambria Math" w:hAnsi="Cambria Math" w:cs="Times New Roman"/>
                    <w:sz w:val="24"/>
                    <w:szCs w:val="24"/>
                  </w:rPr>
                  <m:t>θ</m:t>
                </m:r>
              </m:e>
            </m:d>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θ</m:t>
                </m:r>
              </m:e>
            </m:d>
          </m:num>
          <m:den>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D</m:t>
                </m:r>
              </m:e>
            </m:d>
          </m:den>
        </m:f>
      </m:oMath>
    </w:p>
    <w:p w14:paraId="3ACCB3F6" w14:textId="4B759EDB" w:rsidR="00F17DAA" w:rsidRPr="003609FB" w:rsidRDefault="00F17DAA" w:rsidP="00F17DAA">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where P(θ) represents the prior distribution for our parameters. For simplicity, we used an improper, uninformative prior of P(θ) = 1. </w:t>
      </w:r>
      <w:r>
        <w:rPr>
          <w:rFonts w:ascii="Times New Roman" w:hAnsi="Times New Roman" w:cs="Times New Roman"/>
          <w:sz w:val="24"/>
          <w:szCs w:val="24"/>
        </w:rPr>
        <w:t xml:space="preserve">Further we let the data and associated noise guide further narrowing of the prior </w:t>
      </w:r>
      <w:r w:rsidRPr="003609FB">
        <w:rPr>
          <w:rFonts w:ascii="Times New Roman" w:hAnsi="Times New Roman" w:cs="Times New Roman"/>
          <w:sz w:val="24"/>
          <w:szCs w:val="24"/>
        </w:rPr>
        <w:t>P(θ)</w:t>
      </w:r>
      <w:r>
        <w:rPr>
          <w:rFonts w:ascii="Times New Roman" w:hAnsi="Times New Roman" w:cs="Times New Roman"/>
          <w:sz w:val="24"/>
          <w:szCs w:val="24"/>
        </w:rPr>
        <w:t xml:space="preserve"> through the fitting procedure.</w:t>
      </w:r>
      <w:r w:rsidRPr="003609FB">
        <w:rPr>
          <w:rFonts w:ascii="Times New Roman" w:hAnsi="Times New Roman" w:cs="Times New Roman"/>
          <w:sz w:val="24"/>
          <w:szCs w:val="24"/>
        </w:rPr>
        <w:t xml:space="preserve"> Observational uncertainty and </w:t>
      </w:r>
    </w:p>
    <w:p w14:paraId="735D8279" w14:textId="55491010" w:rsidR="009E0DA7" w:rsidRPr="003609FB" w:rsidRDefault="00A16AFB" w:rsidP="00AB2160">
      <w:pPr>
        <w:spacing w:line="360" w:lineRule="auto"/>
        <w:rPr>
          <w:rFonts w:ascii="Times New Roman" w:hAnsi="Times New Roman" w:cs="Times New Roman"/>
          <w:sz w:val="24"/>
          <w:szCs w:val="24"/>
        </w:rPr>
      </w:pPr>
      <w:bookmarkStart w:id="16" w:name="_Toc167883567"/>
      <w:r w:rsidRPr="003609FB">
        <w:rPr>
          <w:rFonts w:ascii="Times New Roman" w:hAnsi="Times New Roman" w:cs="Times New Roman"/>
          <w:noProof/>
          <w:sz w:val="24"/>
          <w:szCs w:val="24"/>
        </w:rPr>
        <w:lastRenderedPageBreak/>
        <mc:AlternateContent>
          <mc:Choice Requires="wps">
            <w:drawing>
              <wp:anchor distT="0" distB="0" distL="0" distR="0" simplePos="0" relativeHeight="251634688" behindDoc="0" locked="0" layoutInCell="1" allowOverlap="1" wp14:anchorId="4BA42EFE" wp14:editId="0130B04A">
                <wp:simplePos x="0" y="0"/>
                <wp:positionH relativeFrom="column">
                  <wp:posOffset>4114800</wp:posOffset>
                </wp:positionH>
                <wp:positionV relativeFrom="paragraph">
                  <wp:posOffset>1177636</wp:posOffset>
                </wp:positionV>
                <wp:extent cx="1995055" cy="1097280"/>
                <wp:effectExtent l="0" t="0" r="0" b="0"/>
                <wp:wrapNone/>
                <wp:docPr id="7" name="TextBox 10"/>
                <wp:cNvGraphicFramePr/>
                <a:graphic xmlns:a="http://schemas.openxmlformats.org/drawingml/2006/main">
                  <a:graphicData uri="http://schemas.microsoft.com/office/word/2010/wordprocessingShape">
                    <wps:wsp>
                      <wps:cNvSpPr/>
                      <wps:spPr>
                        <a:xfrm>
                          <a:off x="0" y="0"/>
                          <a:ext cx="1995055" cy="1097280"/>
                        </a:xfrm>
                        <a:prstGeom prst="rect">
                          <a:avLst/>
                        </a:prstGeom>
                        <a:noFill/>
                        <a:ln w="0">
                          <a:noFill/>
                        </a:ln>
                      </wps:spPr>
                      <wps:style>
                        <a:lnRef idx="0">
                          <a:scrgbClr r="0" g="0" b="0"/>
                        </a:lnRef>
                        <a:fillRef idx="0">
                          <a:scrgbClr r="0" g="0" b="0"/>
                        </a:fillRef>
                        <a:effectRef idx="0">
                          <a:scrgbClr r="0" g="0" b="0"/>
                        </a:effectRef>
                        <a:fontRef idx="minor"/>
                      </wps:style>
                      <wps:txbx>
                        <w:txbxContent>
                          <w:p w14:paraId="1C6013C0" w14:textId="73738A46" w:rsidR="005E185F" w:rsidRDefault="005E185F" w:rsidP="005E185F">
                            <w:pPr>
                              <w:pStyle w:val="FrameContents"/>
                              <w:rPr>
                                <w:rFonts w:asciiTheme="majorBidi" w:hAnsiTheme="majorBidi" w:cstheme="majorBidi"/>
                                <w:b/>
                                <w:bCs/>
                                <w:lang w:val="pt-BR"/>
                              </w:rPr>
                            </w:pPr>
                            <w:r>
                              <w:rPr>
                                <w:noProof/>
                                <w:color w:val="000000"/>
                              </w:rPr>
                              <w:drawing>
                                <wp:inline distT="0" distB="0" distL="0" distR="0" wp14:anchorId="2393BA68" wp14:editId="7562E299">
                                  <wp:extent cx="685800" cy="241300"/>
                                  <wp:effectExtent l="0" t="0" r="0" b="0"/>
                                  <wp:docPr id="476777268" name="Picture 211400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14009941"/>
                                          <pic:cNvPicPr>
                                            <a:picLocks noChangeAspect="1" noChangeArrowheads="1"/>
                                          </pic:cNvPicPr>
                                        </pic:nvPicPr>
                                        <pic:blipFill>
                                          <a:blip r:embed="rId26"/>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Pr>
                                <w:rFonts w:asciiTheme="majorBidi" w:hAnsiTheme="majorBidi" w:cstheme="majorBidi"/>
                                <w:color w:val="000000" w:themeColor="text1"/>
                                <w:kern w:val="2"/>
                                <w:lang w:val="pt-BR"/>
                              </w:rPr>
                              <w:t xml:space="preserve">Abiotic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dynamics</w:t>
                            </w:r>
                          </w:p>
                          <w:p w14:paraId="2CE2652C" w14:textId="070CE44C" w:rsidR="005E185F" w:rsidRDefault="005E185F" w:rsidP="005E185F">
                            <w:pPr>
                              <w:pStyle w:val="FrameContents"/>
                              <w:rPr>
                                <w:rFonts w:asciiTheme="majorBidi" w:hAnsiTheme="majorBidi" w:cstheme="majorBidi"/>
                                <w:color w:val="000000" w:themeColor="text1"/>
                                <w:kern w:val="2"/>
                                <w:lang w:val="pt-BR"/>
                              </w:rPr>
                            </w:pPr>
                            <w:r>
                              <w:rPr>
                                <w:noProof/>
                                <w:color w:val="000000"/>
                              </w:rPr>
                              <w:drawing>
                                <wp:inline distT="0" distB="0" distL="0" distR="0" wp14:anchorId="6D9BF7F9" wp14:editId="1384F6FB">
                                  <wp:extent cx="685800" cy="241300"/>
                                  <wp:effectExtent l="0" t="0" r="0" b="0"/>
                                  <wp:docPr id="862943319" name="Picture 2114009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14009942"/>
                                          <pic:cNvPicPr>
                                            <a:picLocks noChangeAspect="1" noChangeArrowheads="1"/>
                                          </pic:cNvPicPr>
                                        </pic:nvPicPr>
                                        <pic:blipFill>
                                          <a:blip r:embed="rId27"/>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Cell growth dynamics</w:t>
                            </w:r>
                          </w:p>
                          <w:p w14:paraId="100A3933" w14:textId="55BE33A7" w:rsidR="005E185F" w:rsidRDefault="005E185F" w:rsidP="00A16AFB">
                            <w:pPr>
                              <w:pStyle w:val="FrameContents"/>
                              <w:rPr>
                                <w:color w:val="000000" w:themeColor="text1"/>
                                <w:kern w:val="2"/>
                                <w:sz w:val="36"/>
                                <w:szCs w:val="36"/>
                                <w:lang w:val="pt-BR"/>
                              </w:rPr>
                            </w:pPr>
                            <w:r>
                              <w:rPr>
                                <w:noProof/>
                                <w:color w:val="000000"/>
                              </w:rPr>
                              <w:drawing>
                                <wp:inline distT="0" distB="0" distL="0" distR="0" wp14:anchorId="6F03C7D5" wp14:editId="7F162F9C">
                                  <wp:extent cx="685800" cy="241300"/>
                                  <wp:effectExtent l="0" t="0" r="0" b="0"/>
                                  <wp:docPr id="726071658" name="Picture 2114009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14009943"/>
                                          <pic:cNvPicPr>
                                            <a:picLocks noChangeAspect="1" noChangeArrowheads="1"/>
                                          </pic:cNvPicPr>
                                        </pic:nvPicPr>
                                        <pic:blipFill>
                                          <a:blip r:embed="rId28"/>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Biotic</w:t>
                            </w:r>
                            <w:r w:rsidR="00A16AFB">
                              <w:rPr>
                                <w:rFonts w:asciiTheme="majorBidi" w:hAnsiTheme="majorBidi" w:cstheme="majorBidi"/>
                                <w:color w:val="000000"/>
                                <w:lang w:val="pt-BR"/>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dynamics</w:t>
                            </w:r>
                          </w:p>
                        </w:txbxContent>
                      </wps:txbx>
                      <wps:bodyPr wrap="square" anchor="t">
                        <a:spAutoFit/>
                      </wps:bodyPr>
                    </wps:wsp>
                  </a:graphicData>
                </a:graphic>
                <wp14:sizeRelH relativeFrom="margin">
                  <wp14:pctWidth>0</wp14:pctWidth>
                </wp14:sizeRelH>
              </wp:anchor>
            </w:drawing>
          </mc:Choice>
          <mc:Fallback>
            <w:pict>
              <v:rect w14:anchorId="4BA42EFE" id="TextBox 10" o:spid="_x0000_s1030" style="position:absolute;margin-left:324pt;margin-top:92.75pt;width:157.1pt;height:86.4pt;z-index:25163468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" filled="f" stroked="f" strokeweight="0">
                <v:textbox style="mso-fit-shape-to-text:t">
                  <w:txbxContent>
                    <w:p w14:paraId="1C6013C0" w14:textId="73738A46" w:rsidR="005E185F" w:rsidRDefault="005E185F" w:rsidP="005E185F">
                      <w:pPr>
                        <w:pStyle w:val="FrameContents"/>
                        <w:rPr>
                          <w:rFonts w:asciiTheme="majorBidi" w:hAnsiTheme="majorBidi" w:cstheme="majorBidi"/>
                          <w:b/>
                          <w:bCs/>
                          <w:lang w:val="pt-BR"/>
                        </w:rPr>
                      </w:pPr>
                      <w:r>
                        <w:rPr>
                          <w:noProof/>
                          <w:color w:val="000000"/>
                        </w:rPr>
                        <w:drawing>
                          <wp:inline distT="0" distB="0" distL="0" distR="0" wp14:anchorId="2393BA68" wp14:editId="7562E299">
                            <wp:extent cx="685800" cy="241300"/>
                            <wp:effectExtent l="0" t="0" r="0" b="0"/>
                            <wp:docPr id="476777268" name="Picture 211400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14009941"/>
                                    <pic:cNvPicPr>
                                      <a:picLocks noChangeAspect="1" noChangeArrowheads="1"/>
                                    </pic:cNvPicPr>
                                  </pic:nvPicPr>
                                  <pic:blipFill>
                                    <a:blip r:embed="rId26"/>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Pr>
                          <w:rFonts w:asciiTheme="majorBidi" w:hAnsiTheme="majorBidi" w:cstheme="majorBidi"/>
                          <w:color w:val="000000" w:themeColor="text1"/>
                          <w:kern w:val="2"/>
                          <w:lang w:val="pt-BR"/>
                        </w:rPr>
                        <w:t xml:space="preserve">Abiotic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dynamics</w:t>
                      </w:r>
                    </w:p>
                    <w:p w14:paraId="2CE2652C" w14:textId="070CE44C" w:rsidR="005E185F" w:rsidRDefault="005E185F" w:rsidP="005E185F">
                      <w:pPr>
                        <w:pStyle w:val="FrameContents"/>
                        <w:rPr>
                          <w:rFonts w:asciiTheme="majorBidi" w:hAnsiTheme="majorBidi" w:cstheme="majorBidi"/>
                          <w:color w:val="000000" w:themeColor="text1"/>
                          <w:kern w:val="2"/>
                          <w:lang w:val="pt-BR"/>
                        </w:rPr>
                      </w:pPr>
                      <w:r>
                        <w:rPr>
                          <w:noProof/>
                          <w:color w:val="000000"/>
                        </w:rPr>
                        <w:drawing>
                          <wp:inline distT="0" distB="0" distL="0" distR="0" wp14:anchorId="6D9BF7F9" wp14:editId="1384F6FB">
                            <wp:extent cx="685800" cy="241300"/>
                            <wp:effectExtent l="0" t="0" r="0" b="0"/>
                            <wp:docPr id="862943319" name="Picture 2114009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14009942"/>
                                    <pic:cNvPicPr>
                                      <a:picLocks noChangeAspect="1" noChangeArrowheads="1"/>
                                    </pic:cNvPicPr>
                                  </pic:nvPicPr>
                                  <pic:blipFill>
                                    <a:blip r:embed="rId27"/>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Cell growth dynamics</w:t>
                      </w:r>
                    </w:p>
                    <w:p w14:paraId="100A3933" w14:textId="55BE33A7" w:rsidR="005E185F" w:rsidRDefault="005E185F" w:rsidP="00A16AFB">
                      <w:pPr>
                        <w:pStyle w:val="FrameContents"/>
                        <w:rPr>
                          <w:color w:val="000000" w:themeColor="text1"/>
                          <w:kern w:val="2"/>
                          <w:sz w:val="36"/>
                          <w:szCs w:val="36"/>
                          <w:lang w:val="pt-BR"/>
                        </w:rPr>
                      </w:pPr>
                      <w:r>
                        <w:rPr>
                          <w:noProof/>
                          <w:color w:val="000000"/>
                        </w:rPr>
                        <w:drawing>
                          <wp:inline distT="0" distB="0" distL="0" distR="0" wp14:anchorId="6F03C7D5" wp14:editId="7F162F9C">
                            <wp:extent cx="685800" cy="241300"/>
                            <wp:effectExtent l="0" t="0" r="0" b="0"/>
                            <wp:docPr id="726071658" name="Picture 2114009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14009943"/>
                                    <pic:cNvPicPr>
                                      <a:picLocks noChangeAspect="1" noChangeArrowheads="1"/>
                                    </pic:cNvPicPr>
                                  </pic:nvPicPr>
                                  <pic:blipFill>
                                    <a:blip r:embed="rId28"/>
                                    <a:stretch>
                                      <a:fillRect/>
                                    </a:stretch>
                                  </pic:blipFill>
                                  <pic:spPr bwMode="auto">
                                    <a:xfrm>
                                      <a:off x="0" y="0"/>
                                      <a:ext cx="685800" cy="241300"/>
                                    </a:xfrm>
                                    <a:prstGeom prst="rect">
                                      <a:avLst/>
                                    </a:prstGeom>
                                  </pic:spPr>
                                </pic:pic>
                              </a:graphicData>
                            </a:graphic>
                          </wp:inline>
                        </w:drawing>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Biotic</w:t>
                      </w:r>
                      <w:r w:rsidR="00A16AFB">
                        <w:rPr>
                          <w:rFonts w:asciiTheme="majorBidi" w:hAnsiTheme="majorBidi" w:cstheme="majorBidi"/>
                          <w:color w:val="000000"/>
                          <w:lang w:val="pt-BR"/>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Pr>
                          <w:rFonts w:asciiTheme="majorBidi" w:hAnsiTheme="majorBidi" w:cstheme="majorBidi"/>
                          <w:color w:val="000000" w:themeColor="text1"/>
                          <w:kern w:val="2"/>
                          <w:lang w:val="pt-BR"/>
                        </w:rPr>
                        <w:t xml:space="preserve"> </w:t>
                      </w:r>
                      <w:r w:rsidR="00A16AFB">
                        <w:rPr>
                          <w:rFonts w:asciiTheme="majorBidi" w:hAnsiTheme="majorBidi" w:cstheme="majorBidi"/>
                          <w:color w:val="000000" w:themeColor="text1"/>
                          <w:kern w:val="2"/>
                          <w:lang w:val="pt-BR"/>
                        </w:rPr>
                        <w:t>dynamics</w:t>
                      </w:r>
                    </w:p>
                  </w:txbxContent>
                </v:textbox>
              </v:rect>
            </w:pict>
          </mc:Fallback>
        </mc:AlternateContent>
      </w:r>
      <w:bookmarkEnd w:id="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2947"/>
      </w:tblGrid>
      <w:tr w:rsidR="005E185F" w:rsidRPr="003609FB" w14:paraId="61D95E75" w14:textId="77777777" w:rsidTr="00571E71">
        <w:trPr>
          <w:trHeight w:val="4184"/>
        </w:trPr>
        <w:tc>
          <w:tcPr>
            <w:tcW w:w="3426" w:type="pct"/>
          </w:tcPr>
          <w:p w14:paraId="7D11EF81" w14:textId="01EBD745" w:rsidR="005E185F" w:rsidRPr="003609FB" w:rsidRDefault="007D6DBF"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859DCC7" wp14:editId="3D5EC101">
                      <wp:simplePos x="0" y="0"/>
                      <wp:positionH relativeFrom="column">
                        <wp:posOffset>2103443866</wp:posOffset>
                      </wp:positionH>
                      <wp:positionV relativeFrom="paragraph">
                        <wp:posOffset>1440211131</wp:posOffset>
                      </wp:positionV>
                      <wp:extent cx="4148455" cy="635"/>
                      <wp:effectExtent l="0" t="0" r="4445" b="12065"/>
                      <wp:wrapNone/>
                      <wp:docPr id="15" name="Text Box 15"/>
                      <wp:cNvGraphicFramePr/>
                      <a:graphic xmlns:a="http://schemas.openxmlformats.org/drawingml/2006/main">
                        <a:graphicData uri="http://schemas.microsoft.com/office/word/2010/wordprocessingShape">
                          <wps:wsp>
                            <wps:cNvSpPr txBox="1"/>
                            <wps:spPr>
                              <a:xfrm>
                                <a:off x="0" y="0"/>
                                <a:ext cx="4148455" cy="635"/>
                              </a:xfrm>
                              <a:prstGeom prst="rect">
                                <a:avLst/>
                              </a:prstGeom>
                              <a:solidFill>
                                <a:prstClr val="white"/>
                              </a:solidFill>
                              <a:ln>
                                <a:noFill/>
                              </a:ln>
                            </wps:spPr>
                            <wps:txbx>
                              <w:txbxContent>
                                <w:p w14:paraId="2E0B0D92" w14:textId="43FEBBCB" w:rsidR="007D6DBF" w:rsidRPr="00DD3CDF" w:rsidRDefault="007D6DBF" w:rsidP="00511118">
                                  <w:pPr>
                                    <w:pStyle w:val="Caption"/>
                                    <w:rPr>
                                      <w:b/>
                                      <w:noProof/>
                                      <w:u w:val="single"/>
                                    </w:rPr>
                                  </w:pPr>
                                  <w:bookmarkStart w:id="17" w:name="_Toc173148368"/>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1</w:t>
                                  </w:r>
                                  <w:r w:rsidR="00000000">
                                    <w:rPr>
                                      <w:noProof/>
                                    </w:rPr>
                                    <w:fldChar w:fldCharType="end"/>
                                  </w:r>
                                  <w:r>
                                    <w:t xml:space="preserve"> </w:t>
                                  </w:r>
                                  <w:r w:rsidRPr="001F6BA6">
                                    <w:t>Stepwise model construction allows for data constraint on individual parameters within a coupled ODE model.</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859DCC7" id="_x0000_t202" coordsize="21600,21600" o:spt="202" path="m,l,21600r21600,l21600,xe">
                      <v:stroke joinstyle="miter"/>
                      <v:path gradientshapeok="t" o:connecttype="rect"/>
                    </v:shapetype>
                    <v:shape id="Text Box 15" o:spid="_x0000_s1031" type="#_x0000_t202" style="position:absolute;margin-left:165625.5pt;margin-top:113402.45pt;width:326.6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" stroked="f">
                      <v:textbox style="mso-fit-shape-to-text:t" inset="0,0,0,0">
                        <w:txbxContent>
                          <w:p w14:paraId="2E0B0D92" w14:textId="43FEBBCB" w:rsidR="007D6DBF" w:rsidRPr="00DD3CDF" w:rsidRDefault="007D6DBF" w:rsidP="00511118">
                            <w:pPr>
                              <w:pStyle w:val="Caption"/>
                              <w:rPr>
                                <w:b/>
                                <w:noProof/>
                                <w:u w:val="single"/>
                              </w:rPr>
                            </w:pPr>
                            <w:bookmarkStart w:id="18" w:name="_Toc173148368"/>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1</w:t>
                            </w:r>
                            <w:r w:rsidR="00000000">
                              <w:rPr>
                                <w:noProof/>
                              </w:rPr>
                              <w:fldChar w:fldCharType="end"/>
                            </w:r>
                            <w:r>
                              <w:t xml:space="preserve"> </w:t>
                            </w:r>
                            <w:r w:rsidRPr="001F6BA6">
                              <w:t>Stepwise model construction allows for data constraint on individual parameters within a coupled ODE model.</w:t>
                            </w:r>
                            <w:bookmarkEnd w:id="18"/>
                          </w:p>
                        </w:txbxContent>
                      </v:textbox>
                    </v:shape>
                  </w:pict>
                </mc:Fallback>
              </mc:AlternateContent>
            </w:r>
            <w:r w:rsidRPr="003609FB">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03F884B" wp14:editId="771F1BDA">
                      <wp:simplePos x="0" y="0"/>
                      <wp:positionH relativeFrom="column">
                        <wp:posOffset>2103443866</wp:posOffset>
                      </wp:positionH>
                      <wp:positionV relativeFrom="paragraph">
                        <wp:posOffset>1440211131</wp:posOffset>
                      </wp:positionV>
                      <wp:extent cx="4148455" cy="635"/>
                      <wp:effectExtent l="0" t="0" r="4445" b="12065"/>
                      <wp:wrapNone/>
                      <wp:docPr id="17" name="Text Box 17"/>
                      <wp:cNvGraphicFramePr/>
                      <a:graphic xmlns:a="http://schemas.openxmlformats.org/drawingml/2006/main">
                        <a:graphicData uri="http://schemas.microsoft.com/office/word/2010/wordprocessingShape">
                          <wps:wsp>
                            <wps:cNvSpPr txBox="1"/>
                            <wps:spPr>
                              <a:xfrm>
                                <a:off x="0" y="0"/>
                                <a:ext cx="4148455" cy="635"/>
                              </a:xfrm>
                              <a:prstGeom prst="rect">
                                <a:avLst/>
                              </a:prstGeom>
                              <a:solidFill>
                                <a:prstClr val="white"/>
                              </a:solidFill>
                              <a:ln>
                                <a:noFill/>
                              </a:ln>
                            </wps:spPr>
                            <wps:txbx>
                              <w:txbxContent>
                                <w:p w14:paraId="4A3FF682" w14:textId="2FA8EBBC" w:rsidR="007D6DBF" w:rsidRPr="00203367" w:rsidRDefault="007D6DBF" w:rsidP="00511118">
                                  <w:pPr>
                                    <w:pStyle w:val="Caption"/>
                                    <w:rPr>
                                      <w:rFonts w:asciiTheme="majorHAnsi" w:hAnsiTheme="majorHAnsi"/>
                                      <w:noProof/>
                                    </w:rPr>
                                  </w:pPr>
                                  <w:bookmarkStart w:id="19" w:name="_Toc173148369"/>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2</w:t>
                                  </w:r>
                                  <w:r w:rsidR="00000000">
                                    <w:rPr>
                                      <w:noProof/>
                                    </w:rPr>
                                    <w:fldChar w:fldCharType="end"/>
                                  </w:r>
                                  <w:r>
                                    <w:t xml:space="preserve"> </w:t>
                                  </w:r>
                                  <w:r w:rsidRPr="00AF4C8A">
                                    <w:t>Stepwise model construction allows for data constraint on individual parameters within a coupled ODE model.</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3F884B" id="Text Box 17" o:spid="_x0000_s1032" type="#_x0000_t202" style="position:absolute;margin-left:165625.5pt;margin-top:113402.45pt;width:326.6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" stroked="f">
                      <v:textbox style="mso-fit-shape-to-text:t" inset="0,0,0,0">
                        <w:txbxContent>
                          <w:p w14:paraId="4A3FF682" w14:textId="2FA8EBBC" w:rsidR="007D6DBF" w:rsidRPr="00203367" w:rsidRDefault="007D6DBF" w:rsidP="00511118">
                            <w:pPr>
                              <w:pStyle w:val="Caption"/>
                              <w:rPr>
                                <w:rFonts w:asciiTheme="majorHAnsi" w:hAnsiTheme="majorHAnsi"/>
                                <w:noProof/>
                              </w:rPr>
                            </w:pPr>
                            <w:bookmarkStart w:id="20" w:name="_Toc173148369"/>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2</w:t>
                            </w:r>
                            <w:r w:rsidR="00000000">
                              <w:rPr>
                                <w:noProof/>
                              </w:rPr>
                              <w:fldChar w:fldCharType="end"/>
                            </w:r>
                            <w:r>
                              <w:t xml:space="preserve"> </w:t>
                            </w:r>
                            <w:r w:rsidRPr="00AF4C8A">
                              <w:t>Stepwise model construction allows for data constraint on individual parameters within a coupled ODE model.</w:t>
                            </w:r>
                            <w:bookmarkEnd w:id="20"/>
                          </w:p>
                        </w:txbxContent>
                      </v:textbox>
                    </v:shape>
                  </w:pict>
                </mc:Fallback>
              </mc:AlternateContent>
            </w:r>
            <w:r w:rsidR="00A16AFB" w:rsidRPr="003609FB">
              <w:rPr>
                <w:rFonts w:ascii="Times New Roman" w:hAnsi="Times New Roman" w:cs="Times New Roman"/>
                <w:noProof/>
                <w:sz w:val="24"/>
                <w:szCs w:val="24"/>
              </w:rPr>
              <w:drawing>
                <wp:anchor distT="0" distB="0" distL="0" distR="0" simplePos="0" relativeHeight="251631616" behindDoc="0" locked="0" layoutInCell="1" allowOverlap="1" wp14:anchorId="19783FFE" wp14:editId="66DF3401">
                  <wp:simplePos x="0" y="0"/>
                  <wp:positionH relativeFrom="column">
                    <wp:posOffset>-19618</wp:posOffset>
                  </wp:positionH>
                  <wp:positionV relativeFrom="paragraph">
                    <wp:posOffset>406032</wp:posOffset>
                  </wp:positionV>
                  <wp:extent cx="4148455" cy="1914525"/>
                  <wp:effectExtent l="0" t="0" r="0" b="0"/>
                  <wp:wrapNone/>
                  <wp:docPr id="11" name="Picture 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diagram of a diagram&#10;&#10;Description automatically generated"/>
                          <pic:cNvPicPr>
                            <a:picLocks noChangeAspect="1" noChangeArrowheads="1"/>
                          </pic:cNvPicPr>
                        </pic:nvPicPr>
                        <pic:blipFill>
                          <a:blip r:embed="rId29"/>
                          <a:stretch>
                            <a:fillRect/>
                          </a:stretch>
                        </pic:blipFill>
                        <pic:spPr bwMode="auto">
                          <a:xfrm>
                            <a:off x="0" y="0"/>
                            <a:ext cx="4148455" cy="1914525"/>
                          </a:xfrm>
                          <a:prstGeom prst="rect">
                            <a:avLst/>
                          </a:prstGeom>
                        </pic:spPr>
                      </pic:pic>
                    </a:graphicData>
                  </a:graphic>
                </wp:anchor>
              </w:drawing>
            </w:r>
          </w:p>
        </w:tc>
        <w:tc>
          <w:tcPr>
            <w:tcW w:w="1574" w:type="pct"/>
          </w:tcPr>
          <w:p w14:paraId="341E1961" w14:textId="29056CC2" w:rsidR="005E185F" w:rsidRPr="003609FB" w:rsidRDefault="005E185F" w:rsidP="00AB2160">
            <w:pPr>
              <w:spacing w:line="360" w:lineRule="auto"/>
              <w:rPr>
                <w:rFonts w:ascii="Times New Roman" w:hAnsi="Times New Roman" w:cs="Times New Roman"/>
                <w:sz w:val="24"/>
                <w:szCs w:val="24"/>
              </w:rPr>
            </w:pPr>
          </w:p>
          <w:p w14:paraId="01C07F46" w14:textId="7E49AE8C" w:rsidR="005E185F" w:rsidRPr="003609FB" w:rsidRDefault="005E185F" w:rsidP="00AB2160">
            <w:pPr>
              <w:spacing w:line="360" w:lineRule="auto"/>
              <w:rPr>
                <w:rFonts w:ascii="Times New Roman" w:hAnsi="Times New Roman" w:cs="Times New Roman"/>
                <w:sz w:val="24"/>
                <w:szCs w:val="24"/>
              </w:rPr>
            </w:pPr>
          </w:p>
          <w:p w14:paraId="23ED4E16" w14:textId="59E34C58" w:rsidR="005E185F" w:rsidRPr="003609FB" w:rsidRDefault="005E185F" w:rsidP="00AB2160">
            <w:pPr>
              <w:spacing w:line="360" w:lineRule="auto"/>
              <w:rPr>
                <w:rFonts w:ascii="Times New Roman" w:hAnsi="Times New Roman" w:cs="Times New Roman"/>
                <w:sz w:val="24"/>
                <w:szCs w:val="24"/>
              </w:rPr>
            </w:pPr>
          </w:p>
        </w:tc>
      </w:tr>
    </w:tbl>
    <w:p w14:paraId="3A9ABB8D" w14:textId="4A810228" w:rsidR="007D6DBF" w:rsidRPr="003609FB" w:rsidRDefault="00842240" w:rsidP="00511118">
      <w:pPr>
        <w:pStyle w:val="Caption"/>
      </w:pPr>
      <w:bookmarkStart w:id="21" w:name="_Toc173148370"/>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3</w:t>
      </w:r>
      <w:r w:rsidR="00000000">
        <w:rPr>
          <w:noProof/>
        </w:rPr>
        <w:fldChar w:fldCharType="end"/>
      </w:r>
      <w:r>
        <w:t xml:space="preserve"> </w:t>
      </w:r>
      <w:r w:rsidRPr="003609FB">
        <w:t>Stepwise model construction allows for data constraint on individual parameters within a coupled ODE model.</w:t>
      </w:r>
      <w:bookmarkEnd w:id="21"/>
      <w:r w:rsidR="00E43801">
        <w:t xml:space="preserve"> </w:t>
      </w:r>
      <w:r w:rsidR="00E43801" w:rsidRPr="00E43801">
        <w:t>Colored shapes represent measurable pools of Nutrients (N), Phytoplankton (P</w:t>
      </w:r>
      <w:r w:rsidR="00E43801" w:rsidRPr="000A5714">
        <w:rPr>
          <w:vertAlign w:val="subscript"/>
        </w:rPr>
        <w:t>i</w:t>
      </w:r>
      <w:r w:rsidR="00E43801" w:rsidRPr="00E43801">
        <w:t>), H</w:t>
      </w:r>
      <w:r w:rsidR="00E43801" w:rsidRPr="000A5714">
        <w:rPr>
          <w:vertAlign w:val="subscript"/>
        </w:rPr>
        <w:t>2</w:t>
      </w:r>
      <w:r w:rsidR="00E43801" w:rsidRPr="00E43801">
        <w:t>O</w:t>
      </w:r>
      <w:r w:rsidR="00E43801" w:rsidRPr="000A5714">
        <w:rPr>
          <w:vertAlign w:val="subscript"/>
        </w:rPr>
        <w:t>2</w:t>
      </w:r>
      <w:r w:rsidR="00E43801" w:rsidRPr="00E43801">
        <w:t xml:space="preserve"> (H), and sinks in a well-mixed batch culture. Arrow colors indicate pathways of </w:t>
      </w:r>
      <w:r w:rsidR="000A5714" w:rsidRPr="00E43801">
        <w:t>H</w:t>
      </w:r>
      <w:r w:rsidR="000A5714" w:rsidRPr="000A5714">
        <w:rPr>
          <w:vertAlign w:val="subscript"/>
        </w:rPr>
        <w:t>2</w:t>
      </w:r>
      <w:r w:rsidR="000A5714" w:rsidRPr="00E43801">
        <w:t>O</w:t>
      </w:r>
      <w:r w:rsidR="000A5714" w:rsidRPr="000A5714">
        <w:rPr>
          <w:vertAlign w:val="subscript"/>
        </w:rPr>
        <w:t>2</w:t>
      </w:r>
      <w:r w:rsidR="000A5714" w:rsidRPr="00E43801">
        <w:t xml:space="preserve"> </w:t>
      </w:r>
      <w:r w:rsidR="00E43801" w:rsidRPr="00E43801">
        <w:t>and nutrient flow.</w:t>
      </w:r>
    </w:p>
    <w:p w14:paraId="57BF5758" w14:textId="35336C81" w:rsidR="00853EA8" w:rsidRDefault="00853EA8" w:rsidP="00AB2160">
      <w:pPr>
        <w:spacing w:line="360" w:lineRule="auto"/>
        <w:rPr>
          <w:rFonts w:ascii="Times New Roman" w:hAnsi="Times New Roman" w:cs="Times New Roman"/>
          <w:sz w:val="24"/>
          <w:szCs w:val="24"/>
        </w:rPr>
      </w:pPr>
    </w:p>
    <w:p w14:paraId="10D655E0" w14:textId="09A93105" w:rsidR="00842240" w:rsidRDefault="00842240" w:rsidP="00AB2160">
      <w:pPr>
        <w:spacing w:line="360" w:lineRule="auto"/>
        <w:rPr>
          <w:rFonts w:ascii="Times New Roman" w:hAnsi="Times New Roman" w:cs="Times New Roman"/>
          <w:sz w:val="24"/>
          <w:szCs w:val="24"/>
        </w:rPr>
      </w:pPr>
    </w:p>
    <w:p w14:paraId="3ACA3A99" w14:textId="7B36D8BE" w:rsidR="00842240" w:rsidRDefault="00842240" w:rsidP="00AB2160">
      <w:pPr>
        <w:spacing w:line="360" w:lineRule="auto"/>
        <w:rPr>
          <w:rFonts w:ascii="Times New Roman" w:hAnsi="Times New Roman" w:cs="Times New Roman"/>
          <w:sz w:val="24"/>
          <w:szCs w:val="24"/>
        </w:rPr>
      </w:pPr>
    </w:p>
    <w:p w14:paraId="0225F713" w14:textId="058445BC" w:rsidR="00842240" w:rsidRDefault="00842240" w:rsidP="00AB2160">
      <w:pPr>
        <w:spacing w:line="360" w:lineRule="auto"/>
        <w:rPr>
          <w:rFonts w:ascii="Times New Roman" w:hAnsi="Times New Roman" w:cs="Times New Roman"/>
          <w:sz w:val="24"/>
          <w:szCs w:val="24"/>
        </w:rPr>
      </w:pPr>
    </w:p>
    <w:p w14:paraId="3E73E8C2" w14:textId="7FB5326E" w:rsidR="00842240" w:rsidRDefault="00842240" w:rsidP="00AB2160">
      <w:pPr>
        <w:spacing w:line="360" w:lineRule="auto"/>
        <w:rPr>
          <w:rFonts w:ascii="Times New Roman" w:hAnsi="Times New Roman" w:cs="Times New Roman"/>
          <w:sz w:val="24"/>
          <w:szCs w:val="24"/>
        </w:rPr>
      </w:pPr>
    </w:p>
    <w:p w14:paraId="655CA051" w14:textId="2D7F3518" w:rsidR="00842240" w:rsidRDefault="00842240" w:rsidP="00AB2160">
      <w:pPr>
        <w:spacing w:line="360" w:lineRule="auto"/>
        <w:rPr>
          <w:rFonts w:ascii="Times New Roman" w:hAnsi="Times New Roman" w:cs="Times New Roman"/>
          <w:sz w:val="24"/>
          <w:szCs w:val="24"/>
        </w:rPr>
      </w:pPr>
    </w:p>
    <w:p w14:paraId="0424A241" w14:textId="0C714480" w:rsidR="00842240" w:rsidRDefault="00842240" w:rsidP="00AB2160">
      <w:pPr>
        <w:spacing w:line="360" w:lineRule="auto"/>
        <w:rPr>
          <w:rFonts w:ascii="Times New Roman" w:hAnsi="Times New Roman" w:cs="Times New Roman"/>
          <w:sz w:val="24"/>
          <w:szCs w:val="24"/>
        </w:rPr>
      </w:pPr>
    </w:p>
    <w:p w14:paraId="705D8E68" w14:textId="502D168E" w:rsidR="00842240" w:rsidRDefault="00842240" w:rsidP="00AB2160">
      <w:pPr>
        <w:spacing w:line="360" w:lineRule="auto"/>
        <w:rPr>
          <w:rFonts w:ascii="Times New Roman" w:hAnsi="Times New Roman" w:cs="Times New Roman"/>
          <w:sz w:val="24"/>
          <w:szCs w:val="24"/>
        </w:rPr>
      </w:pPr>
    </w:p>
    <w:p w14:paraId="17A06627" w14:textId="77777777" w:rsidR="00F94E67" w:rsidRDefault="00F94E67" w:rsidP="00AB2160">
      <w:pPr>
        <w:spacing w:line="360" w:lineRule="auto"/>
        <w:rPr>
          <w:rFonts w:ascii="Times New Roman" w:hAnsi="Times New Roman" w:cs="Times New Roman"/>
          <w:sz w:val="24"/>
          <w:szCs w:val="24"/>
        </w:rPr>
      </w:pPr>
    </w:p>
    <w:p w14:paraId="77FE88C3" w14:textId="77777777" w:rsidR="00F17DAA" w:rsidRDefault="00F17DAA" w:rsidP="00AB2160">
      <w:pPr>
        <w:spacing w:line="360" w:lineRule="auto"/>
        <w:rPr>
          <w:rFonts w:ascii="Times New Roman" w:hAnsi="Times New Roman" w:cs="Times New Roman"/>
          <w:sz w:val="24"/>
          <w:szCs w:val="24"/>
        </w:rPr>
      </w:pPr>
    </w:p>
    <w:p w14:paraId="5ED39BE3" w14:textId="5E8EA809" w:rsidR="005E185F" w:rsidRPr="003609FB" w:rsidRDefault="002A071C" w:rsidP="00511118">
      <w:pPr>
        <w:pStyle w:val="Caption"/>
      </w:pPr>
      <w:bookmarkStart w:id="22" w:name="_Toc172910638"/>
      <w:r>
        <w:lastRenderedPageBreak/>
        <w:t xml:space="preserve">Table </w:t>
      </w:r>
      <w:r w:rsidR="00000000">
        <w:fldChar w:fldCharType="begin"/>
      </w:r>
      <w:r w:rsidR="00000000">
        <w:instrText xml:space="preserve"> SEQ Table \* ARABIC </w:instrText>
      </w:r>
      <w:r w:rsidR="00000000">
        <w:fldChar w:fldCharType="separate"/>
      </w:r>
      <w:r w:rsidR="00227E20">
        <w:rPr>
          <w:noProof/>
        </w:rPr>
        <w:t>1</w:t>
      </w:r>
      <w:r w:rsidR="00000000">
        <w:rPr>
          <w:noProof/>
        </w:rPr>
        <w:fldChar w:fldCharType="end"/>
      </w:r>
      <w:r>
        <w:t xml:space="preserve"> Monoculture </w:t>
      </w:r>
      <w:r w:rsidRPr="00DA053A">
        <w:t>Parameter and variable definitions and units</w:t>
      </w:r>
      <w:bookmarkEnd w:id="22"/>
    </w:p>
    <w:tbl>
      <w:tblPr>
        <w:tblStyle w:val="TableGrid"/>
        <w:tblW w:w="5000" w:type="pct"/>
        <w:tblBorders>
          <w:left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329"/>
        <w:gridCol w:w="5625"/>
        <w:gridCol w:w="2406"/>
      </w:tblGrid>
      <w:tr w:rsidR="005E185F" w:rsidRPr="003609FB" w14:paraId="69162F1E" w14:textId="77777777" w:rsidTr="003D069F">
        <w:trPr>
          <w:trHeight w:val="267"/>
        </w:trPr>
        <w:tc>
          <w:tcPr>
            <w:tcW w:w="710" w:type="pct"/>
            <w:tcBorders>
              <w:top w:val="single" w:sz="4" w:space="0" w:color="auto"/>
              <w:bottom w:val="single" w:sz="4" w:space="0" w:color="auto"/>
            </w:tcBorders>
          </w:tcPr>
          <w:p w14:paraId="77103997" w14:textId="77777777" w:rsidR="005E185F" w:rsidRPr="003609FB" w:rsidRDefault="005E185F" w:rsidP="00AB2160">
            <w:pPr>
              <w:spacing w:line="360" w:lineRule="auto"/>
              <w:rPr>
                <w:rFonts w:ascii="Times New Roman" w:hAnsi="Times New Roman" w:cs="Times New Roman"/>
                <w:b/>
                <w:bCs/>
                <w:sz w:val="24"/>
                <w:szCs w:val="24"/>
              </w:rPr>
            </w:pPr>
            <w:r w:rsidRPr="003609FB">
              <w:rPr>
                <w:rFonts w:ascii="Times New Roman" w:hAnsi="Times New Roman" w:cs="Times New Roman"/>
                <w:b/>
                <w:bCs/>
                <w:sz w:val="24"/>
                <w:szCs w:val="24"/>
              </w:rPr>
              <w:t>Symbol</w:t>
            </w:r>
          </w:p>
        </w:tc>
        <w:tc>
          <w:tcPr>
            <w:tcW w:w="3005" w:type="pct"/>
            <w:tcBorders>
              <w:top w:val="single" w:sz="4" w:space="0" w:color="auto"/>
              <w:bottom w:val="single" w:sz="4" w:space="0" w:color="auto"/>
            </w:tcBorders>
          </w:tcPr>
          <w:p w14:paraId="447E45CC" w14:textId="77777777" w:rsidR="005E185F" w:rsidRPr="003609FB" w:rsidRDefault="005E185F" w:rsidP="00AB2160">
            <w:pPr>
              <w:spacing w:line="360" w:lineRule="auto"/>
              <w:rPr>
                <w:rFonts w:ascii="Times New Roman" w:hAnsi="Times New Roman" w:cs="Times New Roman"/>
                <w:b/>
                <w:bCs/>
                <w:sz w:val="24"/>
                <w:szCs w:val="24"/>
              </w:rPr>
            </w:pPr>
            <w:r w:rsidRPr="003609FB">
              <w:rPr>
                <w:rFonts w:ascii="Times New Roman" w:hAnsi="Times New Roman" w:cs="Times New Roman"/>
                <w:b/>
                <w:bCs/>
                <w:sz w:val="24"/>
                <w:szCs w:val="24"/>
              </w:rPr>
              <w:t>Description</w:t>
            </w:r>
          </w:p>
        </w:tc>
        <w:tc>
          <w:tcPr>
            <w:tcW w:w="1285" w:type="pct"/>
            <w:tcBorders>
              <w:top w:val="single" w:sz="4" w:space="0" w:color="auto"/>
              <w:bottom w:val="single" w:sz="4" w:space="0" w:color="auto"/>
            </w:tcBorders>
          </w:tcPr>
          <w:p w14:paraId="3B488B56" w14:textId="77777777" w:rsidR="005E185F" w:rsidRPr="003609FB" w:rsidRDefault="005E185F" w:rsidP="00AB2160">
            <w:pPr>
              <w:spacing w:line="360" w:lineRule="auto"/>
              <w:rPr>
                <w:rFonts w:ascii="Times New Roman" w:hAnsi="Times New Roman" w:cs="Times New Roman"/>
                <w:b/>
                <w:bCs/>
                <w:sz w:val="24"/>
                <w:szCs w:val="24"/>
              </w:rPr>
            </w:pPr>
            <w:r w:rsidRPr="003609FB">
              <w:rPr>
                <w:rFonts w:ascii="Times New Roman" w:hAnsi="Times New Roman" w:cs="Times New Roman"/>
                <w:b/>
                <w:bCs/>
                <w:sz w:val="24"/>
                <w:szCs w:val="24"/>
              </w:rPr>
              <w:t>Units</w:t>
            </w:r>
          </w:p>
        </w:tc>
      </w:tr>
      <w:tr w:rsidR="005E185F" w:rsidRPr="003609FB" w14:paraId="68164414" w14:textId="77777777" w:rsidTr="003D069F">
        <w:trPr>
          <w:trHeight w:val="285"/>
        </w:trPr>
        <w:tc>
          <w:tcPr>
            <w:tcW w:w="710" w:type="pct"/>
            <w:tcBorders>
              <w:top w:val="single" w:sz="4" w:space="0" w:color="auto"/>
            </w:tcBorders>
          </w:tcPr>
          <w:p w14:paraId="131A79AD" w14:textId="77777777" w:rsidR="005E185F" w:rsidRPr="003609FB" w:rsidRDefault="00000000" w:rsidP="00AB2160">
            <w:pPr>
              <w:spacing w:line="360" w:lineRule="auto"/>
              <w:rPr>
                <w:rFonts w:ascii="Times New Roman" w:hAnsi="Times New Roman" w:cs="Times New Roman"/>
                <w:sz w:val="24"/>
                <w:szCs w:val="24"/>
                <w:vertAlign w:val="subscript"/>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m:oMathPara>
          </w:p>
        </w:tc>
        <w:tc>
          <w:tcPr>
            <w:tcW w:w="3005" w:type="pct"/>
            <w:tcBorders>
              <w:top w:val="single" w:sz="4" w:space="0" w:color="auto"/>
            </w:tcBorders>
          </w:tcPr>
          <w:p w14:paraId="79BAAB46"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Net growth rate</w:t>
            </w:r>
          </w:p>
        </w:tc>
        <w:tc>
          <w:tcPr>
            <w:tcW w:w="1285" w:type="pct"/>
            <w:tcBorders>
              <w:top w:val="single" w:sz="4" w:space="0" w:color="auto"/>
            </w:tcBorders>
          </w:tcPr>
          <w:p w14:paraId="09499CEF" w14:textId="77777777" w:rsidR="005E185F" w:rsidRPr="003609FB" w:rsidRDefault="005E185F"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t>day</w:t>
            </w:r>
            <w:r w:rsidRPr="003609FB">
              <w:rPr>
                <w:rFonts w:ascii="Times New Roman" w:hAnsi="Times New Roman" w:cs="Times New Roman"/>
                <w:sz w:val="24"/>
                <w:szCs w:val="24"/>
                <w:vertAlign w:val="superscript"/>
              </w:rPr>
              <w:t>-1</w:t>
            </w:r>
            <w:proofErr w:type="gramEnd"/>
          </w:p>
        </w:tc>
      </w:tr>
      <w:tr w:rsidR="005E185F" w:rsidRPr="003609FB" w14:paraId="45DED1FA" w14:textId="77777777" w:rsidTr="003D069F">
        <w:trPr>
          <w:trHeight w:val="347"/>
        </w:trPr>
        <w:tc>
          <w:tcPr>
            <w:tcW w:w="710" w:type="pct"/>
          </w:tcPr>
          <w:p w14:paraId="393EA981" w14:textId="77777777" w:rsidR="005E185F" w:rsidRPr="003609FB" w:rsidRDefault="00000000" w:rsidP="00AB2160">
            <w:pPr>
              <w:spacing w:line="360" w:lineRule="auto"/>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m:oMathPara>
          </w:p>
        </w:tc>
        <w:tc>
          <w:tcPr>
            <w:tcW w:w="3005" w:type="pct"/>
          </w:tcPr>
          <w:p w14:paraId="33F98578" w14:textId="2C0A1524" w:rsidR="005E185F" w:rsidRPr="003609FB" w:rsidRDefault="00F52F1E" w:rsidP="00AB2160">
            <w:pPr>
              <w:spacing w:line="360" w:lineRule="auto"/>
              <w:rPr>
                <w:rFonts w:ascii="Times New Roman" w:hAnsi="Times New Roman" w:cs="Times New Roman"/>
                <w:sz w:val="24"/>
                <w:szCs w:val="24"/>
                <w:highlight w:val="yellow"/>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vertAlign w:val="subscript"/>
              </w:rPr>
              <w:t xml:space="preserve"> </w:t>
            </w:r>
            <w:r w:rsidR="005E185F" w:rsidRPr="003609FB">
              <w:rPr>
                <w:rFonts w:ascii="Times New Roman" w:hAnsi="Times New Roman" w:cs="Times New Roman"/>
                <w:sz w:val="24"/>
                <w:szCs w:val="24"/>
              </w:rPr>
              <w:t>specific rate of cell death</w:t>
            </w:r>
          </w:p>
        </w:tc>
        <w:tc>
          <w:tcPr>
            <w:tcW w:w="1285" w:type="pct"/>
          </w:tcPr>
          <w:p w14:paraId="06820AA3"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mL nmol</w:t>
            </w:r>
            <w:r w:rsidRPr="003609FB">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3609FB">
              <w:rPr>
                <w:rFonts w:ascii="Times New Roman" w:hAnsi="Times New Roman" w:cs="Times New Roman"/>
                <w:sz w:val="24"/>
                <w:szCs w:val="24"/>
                <w:vertAlign w:val="superscript"/>
              </w:rPr>
              <w:t>1</w:t>
            </w:r>
          </w:p>
        </w:tc>
      </w:tr>
      <w:tr w:rsidR="005E185F" w:rsidRPr="003609FB" w14:paraId="5A52177A" w14:textId="77777777" w:rsidTr="003D069F">
        <w:trPr>
          <w:trHeight w:val="285"/>
        </w:trPr>
        <w:tc>
          <w:tcPr>
            <w:tcW w:w="710" w:type="pct"/>
          </w:tcPr>
          <w:p w14:paraId="102A3798" w14:textId="77777777" w:rsidR="005E185F" w:rsidRPr="003609FB" w:rsidRDefault="005E185F" w:rsidP="00AB2160">
            <w:pPr>
              <w:spacing w:line="360" w:lineRule="auto"/>
              <w:rPr>
                <w:rFonts w:ascii="Times New Roman" w:hAnsi="Times New Roman" w:cs="Times New Roman"/>
                <w:sz w:val="24"/>
                <w:szCs w:val="24"/>
                <w:vertAlign w:val="subscript"/>
              </w:rPr>
            </w:pPr>
            <w:r w:rsidRPr="003609FB">
              <w:rPr>
                <w:rFonts w:ascii="Times New Roman" w:hAnsi="Times New Roman" w:cs="Times New Roman"/>
                <w:sz w:val="24"/>
                <w:szCs w:val="24"/>
              </w:rPr>
              <w:t>S</w:t>
            </w:r>
            <w:r w:rsidRPr="003609FB">
              <w:rPr>
                <w:rFonts w:ascii="Times New Roman" w:hAnsi="Times New Roman" w:cs="Times New Roman"/>
                <w:sz w:val="24"/>
                <w:szCs w:val="24"/>
                <w:vertAlign w:val="subscript"/>
              </w:rPr>
              <w:t>H</w:t>
            </w:r>
          </w:p>
        </w:tc>
        <w:tc>
          <w:tcPr>
            <w:tcW w:w="3005" w:type="pct"/>
          </w:tcPr>
          <w:p w14:paraId="3EA3788B" w14:textId="52E694C8" w:rsidR="005E185F" w:rsidRPr="003609FB" w:rsidRDefault="00F52F1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vertAlign w:val="subscript"/>
              </w:rPr>
              <w:t xml:space="preserve"> </w:t>
            </w:r>
            <w:r w:rsidR="005E185F" w:rsidRPr="003609FB">
              <w:rPr>
                <w:rFonts w:ascii="Times New Roman" w:hAnsi="Times New Roman" w:cs="Times New Roman"/>
                <w:sz w:val="24"/>
                <w:szCs w:val="24"/>
              </w:rPr>
              <w:t>supply rate</w:t>
            </w:r>
          </w:p>
        </w:tc>
        <w:tc>
          <w:tcPr>
            <w:tcW w:w="1285" w:type="pct"/>
          </w:tcPr>
          <w:p w14:paraId="20543A6C"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nmol mL</w:t>
            </w:r>
            <w:r w:rsidRPr="003609FB">
              <w:rPr>
                <w:rFonts w:ascii="Times New Roman" w:hAnsi="Times New Roman" w:cs="Times New Roman"/>
                <w:sz w:val="24"/>
                <w:szCs w:val="24"/>
                <w:vertAlign w:val="superscript"/>
              </w:rPr>
              <w:t xml:space="preserve">-1 </w:t>
            </w:r>
            <w:r w:rsidRPr="003609FB">
              <w:rPr>
                <w:rFonts w:ascii="Times New Roman" w:hAnsi="Times New Roman" w:cs="Times New Roman"/>
                <w:sz w:val="24"/>
                <w:szCs w:val="24"/>
              </w:rPr>
              <w:t>day</w:t>
            </w:r>
            <w:r w:rsidRPr="003609FB">
              <w:rPr>
                <w:rFonts w:ascii="Times New Roman" w:hAnsi="Times New Roman" w:cs="Times New Roman"/>
                <w:sz w:val="24"/>
                <w:szCs w:val="24"/>
                <w:vertAlign w:val="superscript"/>
              </w:rPr>
              <w:t>-1</w:t>
            </w:r>
          </w:p>
        </w:tc>
      </w:tr>
      <w:tr w:rsidR="005E185F" w:rsidRPr="003609FB" w14:paraId="5BF8AC7F" w14:textId="77777777" w:rsidTr="003D069F">
        <w:trPr>
          <w:trHeight w:val="267"/>
        </w:trPr>
        <w:tc>
          <w:tcPr>
            <w:tcW w:w="710" w:type="pct"/>
          </w:tcPr>
          <w:p w14:paraId="1A5B7FC9" w14:textId="2B344E0D" w:rsidR="005E185F" w:rsidRPr="00FB6016" w:rsidRDefault="00000000" w:rsidP="00AB2160">
            <w:pPr>
              <w:spacing w:line="360" w:lineRule="auto"/>
              <w:rPr>
                <w:rFonts w:ascii="Times New Roman" w:hAnsi="Times New Roman" w:cs="Times New Roman"/>
                <w:sz w:val="24"/>
                <w:szCs w:val="24"/>
                <w:vertAlign w:val="subscript"/>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m:oMathPara>
          </w:p>
        </w:tc>
        <w:tc>
          <w:tcPr>
            <w:tcW w:w="3005" w:type="pct"/>
          </w:tcPr>
          <w:p w14:paraId="4341FB0A" w14:textId="12288352" w:rsidR="005E185F" w:rsidRPr="003609FB" w:rsidRDefault="00F52F1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vertAlign w:val="subscript"/>
              </w:rPr>
              <w:t xml:space="preserve"> </w:t>
            </w:r>
            <w:r w:rsidR="005E185F" w:rsidRPr="003609FB">
              <w:rPr>
                <w:rFonts w:ascii="Times New Roman" w:hAnsi="Times New Roman" w:cs="Times New Roman"/>
                <w:sz w:val="24"/>
                <w:szCs w:val="24"/>
              </w:rPr>
              <w:t>decay rate</w:t>
            </w:r>
          </w:p>
        </w:tc>
        <w:tc>
          <w:tcPr>
            <w:tcW w:w="1285" w:type="pct"/>
          </w:tcPr>
          <w:p w14:paraId="5548913D" w14:textId="77777777" w:rsidR="005E185F" w:rsidRPr="003609FB" w:rsidRDefault="005E185F"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t>day</w:t>
            </w:r>
            <w:r w:rsidRPr="003609FB">
              <w:rPr>
                <w:rFonts w:ascii="Times New Roman" w:hAnsi="Times New Roman" w:cs="Times New Roman"/>
                <w:sz w:val="24"/>
                <w:szCs w:val="24"/>
                <w:vertAlign w:val="superscript"/>
              </w:rPr>
              <w:t>-1</w:t>
            </w:r>
            <w:proofErr w:type="gramEnd"/>
          </w:p>
        </w:tc>
      </w:tr>
      <w:tr w:rsidR="005E185F" w:rsidRPr="003609FB" w14:paraId="27B89CF3" w14:textId="77777777" w:rsidTr="003D069F">
        <w:trPr>
          <w:trHeight w:val="285"/>
        </w:trPr>
        <w:tc>
          <w:tcPr>
            <w:tcW w:w="710" w:type="pct"/>
          </w:tcPr>
          <w:p w14:paraId="6DFE6E15" w14:textId="77777777" w:rsidR="005E185F" w:rsidRPr="003609FB" w:rsidRDefault="00000000" w:rsidP="00AB2160">
            <w:pPr>
              <w:spacing w:line="360" w:lineRule="auto"/>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m:oMathPara>
          </w:p>
        </w:tc>
        <w:tc>
          <w:tcPr>
            <w:tcW w:w="3005" w:type="pct"/>
          </w:tcPr>
          <w:p w14:paraId="54D215B0" w14:textId="136961E8"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 specific rate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vertAlign w:val="subscript"/>
              </w:rPr>
              <w:t xml:space="preserve"> </w:t>
            </w:r>
            <w:r w:rsidRPr="003609FB">
              <w:rPr>
                <w:rFonts w:ascii="Times New Roman" w:hAnsi="Times New Roman" w:cs="Times New Roman"/>
                <w:sz w:val="24"/>
                <w:szCs w:val="24"/>
              </w:rPr>
              <w:t>detoxification</w:t>
            </w:r>
          </w:p>
        </w:tc>
        <w:tc>
          <w:tcPr>
            <w:tcW w:w="1285" w:type="pct"/>
          </w:tcPr>
          <w:p w14:paraId="1A96D6BC"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eastAsiaTheme="minorEastAsia" w:hAnsi="Times New Roman" w:cs="Times New Roman"/>
                <w:iCs/>
                <w:color w:val="000000" w:themeColor="text1"/>
                <w:kern w:val="2"/>
                <w:sz w:val="24"/>
                <w:szCs w:val="24"/>
              </w:rPr>
              <w:t>mL cell</w:t>
            </w:r>
            <w:r w:rsidRPr="003609FB">
              <w:rPr>
                <w:rFonts w:ascii="Times New Roman" w:eastAsiaTheme="minorEastAsia" w:hAnsi="Times New Roman" w:cs="Times New Roman"/>
                <w:iCs/>
                <w:color w:val="000000" w:themeColor="text1"/>
                <w:kern w:val="2"/>
                <w:sz w:val="24"/>
                <w:szCs w:val="24"/>
                <w:vertAlign w:val="superscript"/>
              </w:rPr>
              <w:t>-1</w:t>
            </w:r>
            <w:r w:rsidRPr="003609FB">
              <w:rPr>
                <w:rFonts w:ascii="Times New Roman" w:eastAsiaTheme="minorEastAsia" w:hAnsi="Times New Roman" w:cs="Times New Roman"/>
                <w:iCs/>
                <w:color w:val="000000" w:themeColor="text1"/>
                <w:kern w:val="2"/>
                <w:sz w:val="24"/>
                <w:szCs w:val="24"/>
              </w:rPr>
              <w:t xml:space="preserve"> day</w:t>
            </w:r>
            <w:r w:rsidRPr="003609FB">
              <w:rPr>
                <w:rFonts w:ascii="Times New Roman" w:eastAsiaTheme="minorEastAsia" w:hAnsi="Times New Roman" w:cs="Times New Roman"/>
                <w:iCs/>
                <w:color w:val="000000" w:themeColor="text1"/>
                <w:kern w:val="2"/>
                <w:sz w:val="24"/>
                <w:szCs w:val="24"/>
                <w:vertAlign w:val="superscript"/>
              </w:rPr>
              <w:t>-1</w:t>
            </w:r>
          </w:p>
        </w:tc>
      </w:tr>
      <w:tr w:rsidR="005E185F" w:rsidRPr="003609FB" w14:paraId="38644608" w14:textId="77777777" w:rsidTr="003D069F">
        <w:trPr>
          <w:trHeight w:val="285"/>
        </w:trPr>
        <w:tc>
          <w:tcPr>
            <w:tcW w:w="710" w:type="pct"/>
          </w:tcPr>
          <w:p w14:paraId="7069E805" w14:textId="77777777" w:rsidR="005E185F" w:rsidRPr="003609FB" w:rsidRDefault="00000000" w:rsidP="00AB2160">
            <w:pPr>
              <w:spacing w:line="360" w:lineRule="auto"/>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oMath>
            </m:oMathPara>
          </w:p>
        </w:tc>
        <w:tc>
          <w:tcPr>
            <w:tcW w:w="3005" w:type="pct"/>
          </w:tcPr>
          <w:p w14:paraId="29F70E8A" w14:textId="79546751" w:rsidR="005E185F" w:rsidRPr="003609FB" w:rsidRDefault="008F4C1E" w:rsidP="00AB2160">
            <w:pPr>
              <w:spacing w:line="360" w:lineRule="auto"/>
              <w:rPr>
                <w:rFonts w:ascii="Times New Roman" w:hAnsi="Times New Roman" w:cs="Times New Roman"/>
                <w:sz w:val="24"/>
                <w:szCs w:val="24"/>
              </w:rPr>
            </w:pPr>
            <w:r>
              <w:rPr>
                <w:rFonts w:ascii="Times New Roman" w:eastAsiaTheme="minorEastAsia" w:hAnsi="Times New Roman" w:cs="Times New Roman"/>
                <w:sz w:val="24"/>
                <w:szCs w:val="24"/>
              </w:rPr>
              <w:t>Plankton (</w:t>
            </w:r>
            <w:proofErr w:type="spellStart"/>
            <w:r>
              <w:rPr>
                <w:rFonts w:ascii="Times New Roman" w:eastAsiaTheme="minorEastAsia" w:hAnsi="Times New Roman" w:cs="Times New Roman"/>
                <w:sz w:val="24"/>
                <w:szCs w:val="24"/>
              </w:rPr>
              <w:t>i</w:t>
            </w:r>
            <w:proofErr w:type="spellEnd"/>
            <w:r>
              <w:rPr>
                <w:rFonts w:ascii="Times New Roman" w:eastAsiaTheme="minorEastAsia" w:hAnsi="Times New Roman" w:cs="Times New Roman"/>
                <w:sz w:val="24"/>
                <w:szCs w:val="24"/>
              </w:rPr>
              <w:t xml:space="preserve">) </w:t>
            </w:r>
            <w:r w:rsidR="005E185F" w:rsidRPr="003609FB">
              <w:rPr>
                <w:rFonts w:ascii="Times New Roman" w:eastAsiaTheme="minorEastAsia" w:hAnsi="Times New Roman" w:cs="Times New Roman"/>
                <w:sz w:val="24"/>
                <w:szCs w:val="24"/>
              </w:rPr>
              <w:t>Cell abundance</w:t>
            </w:r>
          </w:p>
        </w:tc>
        <w:tc>
          <w:tcPr>
            <w:tcW w:w="1285" w:type="pct"/>
          </w:tcPr>
          <w:p w14:paraId="05F58E64"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cells </w:t>
            </w:r>
            <w:proofErr w:type="gramStart"/>
            <w:r w:rsidRPr="003609FB">
              <w:rPr>
                <w:rFonts w:ascii="Times New Roman" w:hAnsi="Times New Roman" w:cs="Times New Roman"/>
                <w:sz w:val="24"/>
                <w:szCs w:val="24"/>
              </w:rPr>
              <w:t>mL</w:t>
            </w:r>
            <w:r w:rsidRPr="003609FB">
              <w:rPr>
                <w:rFonts w:ascii="Times New Roman" w:hAnsi="Times New Roman" w:cs="Times New Roman"/>
                <w:sz w:val="24"/>
                <w:szCs w:val="24"/>
                <w:vertAlign w:val="superscript"/>
              </w:rPr>
              <w:t xml:space="preserve"> -1</w:t>
            </w:r>
            <w:proofErr w:type="gramEnd"/>
          </w:p>
        </w:tc>
      </w:tr>
      <w:tr w:rsidR="005E185F" w:rsidRPr="003609FB" w14:paraId="06E9B3FD" w14:textId="77777777" w:rsidTr="003D069F">
        <w:trPr>
          <w:trHeight w:val="285"/>
        </w:trPr>
        <w:tc>
          <w:tcPr>
            <w:tcW w:w="710" w:type="pct"/>
          </w:tcPr>
          <w:p w14:paraId="79DF611E" w14:textId="7777777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p>
        </w:tc>
        <w:tc>
          <w:tcPr>
            <w:tcW w:w="3005" w:type="pct"/>
          </w:tcPr>
          <w:p w14:paraId="099DAF4B" w14:textId="746B9A1B" w:rsidR="005E185F" w:rsidRPr="003609FB" w:rsidRDefault="00F52F1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vertAlign w:val="subscript"/>
              </w:rPr>
              <w:t xml:space="preserve"> </w:t>
            </w:r>
            <w:r w:rsidR="005E185F" w:rsidRPr="003609FB">
              <w:rPr>
                <w:rFonts w:ascii="Times New Roman" w:hAnsi="Times New Roman" w:cs="Times New Roman"/>
                <w:sz w:val="24"/>
                <w:szCs w:val="24"/>
              </w:rPr>
              <w:t>concentration</w:t>
            </w:r>
          </w:p>
        </w:tc>
        <w:tc>
          <w:tcPr>
            <w:tcW w:w="1285" w:type="pct"/>
          </w:tcPr>
          <w:p w14:paraId="015A793C" w14:textId="77777777" w:rsidR="005E185F" w:rsidRPr="003609FB" w:rsidRDefault="005E185F" w:rsidP="00AB2160">
            <w:pPr>
              <w:keepNext/>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nmol </w:t>
            </w:r>
            <w:proofErr w:type="gramStart"/>
            <w:r w:rsidRPr="003609FB">
              <w:rPr>
                <w:rFonts w:ascii="Times New Roman" w:hAnsi="Times New Roman" w:cs="Times New Roman"/>
                <w:sz w:val="24"/>
                <w:szCs w:val="24"/>
              </w:rPr>
              <w:t>mL</w:t>
            </w:r>
            <w:r w:rsidRPr="003609FB">
              <w:rPr>
                <w:rFonts w:ascii="Times New Roman" w:hAnsi="Times New Roman" w:cs="Times New Roman"/>
                <w:sz w:val="24"/>
                <w:szCs w:val="24"/>
                <w:vertAlign w:val="superscript"/>
              </w:rPr>
              <w:t>-1</w:t>
            </w:r>
            <w:proofErr w:type="gramEnd"/>
          </w:p>
        </w:tc>
      </w:tr>
    </w:tbl>
    <w:p w14:paraId="58F972DF" w14:textId="77777777" w:rsidR="00842240" w:rsidRDefault="00842240" w:rsidP="00AB2160">
      <w:pPr>
        <w:spacing w:line="360" w:lineRule="auto"/>
        <w:rPr>
          <w:rFonts w:ascii="Times New Roman" w:hAnsi="Times New Roman" w:cs="Times New Roman"/>
          <w:sz w:val="24"/>
          <w:szCs w:val="24"/>
        </w:rPr>
      </w:pPr>
    </w:p>
    <w:p w14:paraId="6D4690C0" w14:textId="3E6E5C84" w:rsidR="00842240" w:rsidRDefault="00842240" w:rsidP="00AB2160">
      <w:pPr>
        <w:spacing w:line="360" w:lineRule="auto"/>
        <w:rPr>
          <w:rFonts w:ascii="Times New Roman" w:hAnsi="Times New Roman" w:cs="Times New Roman"/>
          <w:sz w:val="24"/>
          <w:szCs w:val="24"/>
        </w:rPr>
      </w:pPr>
    </w:p>
    <w:p w14:paraId="7E0E3AFE" w14:textId="77777777" w:rsidR="00842240" w:rsidRDefault="00842240" w:rsidP="00AB2160">
      <w:pPr>
        <w:spacing w:line="360" w:lineRule="auto"/>
        <w:rPr>
          <w:rFonts w:ascii="Times New Roman" w:hAnsi="Times New Roman" w:cs="Times New Roman"/>
          <w:sz w:val="24"/>
          <w:szCs w:val="24"/>
        </w:rPr>
      </w:pPr>
    </w:p>
    <w:p w14:paraId="5200A8F2" w14:textId="77777777" w:rsidR="00842240" w:rsidRDefault="00842240" w:rsidP="00AB2160">
      <w:pPr>
        <w:spacing w:line="360" w:lineRule="auto"/>
        <w:rPr>
          <w:rFonts w:ascii="Times New Roman" w:hAnsi="Times New Roman" w:cs="Times New Roman"/>
          <w:sz w:val="24"/>
          <w:szCs w:val="24"/>
        </w:rPr>
      </w:pPr>
    </w:p>
    <w:p w14:paraId="7C76AA50" w14:textId="77777777" w:rsidR="00842240" w:rsidRDefault="00842240" w:rsidP="00AB2160">
      <w:pPr>
        <w:spacing w:line="360" w:lineRule="auto"/>
        <w:rPr>
          <w:rFonts w:ascii="Times New Roman" w:hAnsi="Times New Roman" w:cs="Times New Roman"/>
          <w:sz w:val="24"/>
          <w:szCs w:val="24"/>
        </w:rPr>
      </w:pPr>
    </w:p>
    <w:p w14:paraId="509D8586" w14:textId="77777777" w:rsidR="00842240" w:rsidRDefault="00842240" w:rsidP="00AB2160">
      <w:pPr>
        <w:spacing w:line="360" w:lineRule="auto"/>
        <w:rPr>
          <w:rFonts w:ascii="Times New Roman" w:hAnsi="Times New Roman" w:cs="Times New Roman"/>
          <w:sz w:val="24"/>
          <w:szCs w:val="24"/>
        </w:rPr>
      </w:pPr>
    </w:p>
    <w:p w14:paraId="2A35AF68" w14:textId="77777777" w:rsidR="00842240" w:rsidRDefault="00842240" w:rsidP="00AB2160">
      <w:pPr>
        <w:spacing w:line="360" w:lineRule="auto"/>
        <w:rPr>
          <w:rFonts w:ascii="Times New Roman" w:hAnsi="Times New Roman" w:cs="Times New Roman"/>
          <w:sz w:val="24"/>
          <w:szCs w:val="24"/>
        </w:rPr>
      </w:pPr>
    </w:p>
    <w:p w14:paraId="71D9EC12" w14:textId="77777777" w:rsidR="003672A5" w:rsidRDefault="003672A5" w:rsidP="00AB2160">
      <w:pPr>
        <w:spacing w:line="360" w:lineRule="auto"/>
        <w:rPr>
          <w:rFonts w:ascii="Times New Roman" w:hAnsi="Times New Roman" w:cs="Times New Roman"/>
          <w:sz w:val="24"/>
          <w:szCs w:val="24"/>
        </w:rPr>
      </w:pPr>
    </w:p>
    <w:p w14:paraId="1F5D23AC" w14:textId="77777777" w:rsidR="003672A5" w:rsidRDefault="003672A5" w:rsidP="00AB2160">
      <w:pPr>
        <w:spacing w:line="360" w:lineRule="auto"/>
        <w:rPr>
          <w:rFonts w:ascii="Times New Roman" w:hAnsi="Times New Roman" w:cs="Times New Roman"/>
          <w:sz w:val="24"/>
          <w:szCs w:val="24"/>
        </w:rPr>
      </w:pPr>
    </w:p>
    <w:p w14:paraId="30BCA0A6" w14:textId="77777777" w:rsidR="003672A5" w:rsidRDefault="003672A5" w:rsidP="00AB2160">
      <w:pPr>
        <w:spacing w:line="360" w:lineRule="auto"/>
        <w:rPr>
          <w:rFonts w:ascii="Times New Roman" w:hAnsi="Times New Roman" w:cs="Times New Roman"/>
          <w:sz w:val="24"/>
          <w:szCs w:val="24"/>
        </w:rPr>
      </w:pPr>
    </w:p>
    <w:p w14:paraId="665D1C00" w14:textId="77777777" w:rsidR="007B1F3B" w:rsidRDefault="007B1F3B" w:rsidP="00AB2160">
      <w:pPr>
        <w:spacing w:line="360" w:lineRule="auto"/>
        <w:rPr>
          <w:rFonts w:ascii="Times New Roman" w:hAnsi="Times New Roman" w:cs="Times New Roman"/>
          <w:sz w:val="24"/>
          <w:szCs w:val="24"/>
        </w:rPr>
      </w:pPr>
    </w:p>
    <w:p w14:paraId="7AFCA49B" w14:textId="77777777" w:rsidR="00E43801" w:rsidRDefault="00E43801" w:rsidP="00AB2160">
      <w:pPr>
        <w:spacing w:line="360" w:lineRule="auto"/>
        <w:ind w:firstLine="720"/>
        <w:rPr>
          <w:rFonts w:ascii="Times New Roman" w:hAnsi="Times New Roman" w:cs="Times New Roman"/>
          <w:sz w:val="24"/>
          <w:szCs w:val="24"/>
        </w:rPr>
      </w:pPr>
    </w:p>
    <w:p w14:paraId="7B374293" w14:textId="77777777" w:rsidR="00F17DAA" w:rsidRPr="003609FB" w:rsidRDefault="00F17DAA" w:rsidP="00F17DAA">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other noise in our data is generally distributed log normally around the ‘true’ state of the system. Under this assumption of Log(N) error, the likelihood function, </w:t>
      </w:r>
      <m:oMath>
        <m:r>
          <w:rPr>
            <w:rFonts w:ascii="Cambria Math" w:hAnsi="Cambria Math" w:cs="Times New Roman"/>
            <w:sz w:val="24"/>
            <w:szCs w:val="24"/>
          </w:rPr>
          <m:t>L</m:t>
        </m:r>
        <m:d>
          <m:dPr>
            <m:ctrlPr>
              <w:rPr>
                <w:rFonts w:ascii="Cambria Math" w:hAnsi="Cambria Math" w:cs="Times New Roman"/>
                <w:sz w:val="24"/>
                <w:szCs w:val="24"/>
              </w:rPr>
            </m:ctrlPr>
          </m:dPr>
          <m:e>
            <m:r>
              <w:rPr>
                <w:rFonts w:ascii="Cambria Math" w:hAnsi="Cambria Math" w:cs="Times New Roman"/>
                <w:sz w:val="24"/>
                <w:szCs w:val="24"/>
              </w:rPr>
              <m:t>θ</m:t>
            </m:r>
          </m:e>
        </m:d>
      </m:oMath>
      <w:r w:rsidRPr="003609FB">
        <w:rPr>
          <w:rFonts w:ascii="Times New Roman" w:hAnsi="Times New Roman" w:cs="Times New Roman"/>
          <w:sz w:val="24"/>
          <w:szCs w:val="24"/>
        </w:rPr>
        <w:t>, is defined as follows:</w:t>
      </w:r>
    </w:p>
    <w:p w14:paraId="1201ECA1" w14:textId="77777777" w:rsidR="00F17DAA" w:rsidRPr="003609FB" w:rsidRDefault="00F17DAA" w:rsidP="00F17DAA">
      <w:pPr>
        <w:spacing w:line="360" w:lineRule="auto"/>
        <w:rPr>
          <w:rFonts w:ascii="Times New Roman" w:hAnsi="Times New Roman" w:cs="Times New Roman"/>
          <w:sz w:val="24"/>
          <w:szCs w:val="24"/>
        </w:rPr>
      </w:pPr>
      <m:oMath>
        <m:d>
          <m:dPr>
            <m:ctrlPr>
              <w:rPr>
                <w:rFonts w:ascii="Cambria Math" w:hAnsi="Cambria Math" w:cs="Times New Roman"/>
                <w:sz w:val="24"/>
                <w:szCs w:val="24"/>
              </w:rPr>
            </m:ctrlPr>
          </m:dPr>
          <m:e>
            <m:r>
              <w:rPr>
                <w:rFonts w:ascii="Cambria Math" w:hAnsi="Cambria Math" w:cs="Times New Roman"/>
                <w:sz w:val="24"/>
                <w:szCs w:val="24"/>
              </w:rPr>
              <m:t>2.3</m:t>
            </m:r>
          </m:e>
        </m:d>
        <m:r>
          <w:rPr>
            <w:rFonts w:ascii="Cambria Math" w:hAnsi="Cambria Math" w:cs="Times New Roman"/>
            <w:sz w:val="24"/>
            <w:szCs w:val="24"/>
          </w:rPr>
          <m:t xml:space="preserve">      P</m:t>
        </m:r>
        <m:d>
          <m:dPr>
            <m:ctrlPr>
              <w:rPr>
                <w:rFonts w:ascii="Cambria Math" w:hAnsi="Cambria Math" w:cs="Times New Roman"/>
                <w:sz w:val="24"/>
                <w:szCs w:val="24"/>
              </w:rPr>
            </m:ctrlPr>
          </m:dPr>
          <m:e>
            <m:r>
              <w:rPr>
                <w:rFonts w:ascii="Cambria Math" w:hAnsi="Cambria Math" w:cs="Times New Roman"/>
                <w:sz w:val="24"/>
                <w:szCs w:val="24"/>
              </w:rPr>
              <m:t>D</m:t>
            </m:r>
          </m:e>
          <m:e>
            <m:r>
              <w:rPr>
                <w:rFonts w:ascii="Cambria Math" w:hAnsi="Cambria Math" w:cs="Times New Roman"/>
                <w:sz w:val="24"/>
                <w:szCs w:val="24"/>
              </w:rPr>
              <m:t>θ</m:t>
            </m:r>
          </m:e>
        </m:d>
        <m:r>
          <w:rPr>
            <w:rFonts w:ascii="Cambria Math" w:hAnsi="Cambria Math" w:cs="Times New Roman"/>
            <w:sz w:val="24"/>
            <w:szCs w:val="24"/>
          </w:rPr>
          <m:t>=L</m:t>
        </m:r>
        <m:d>
          <m:dPr>
            <m:ctrlPr>
              <w:rPr>
                <w:rFonts w:ascii="Cambria Math" w:hAnsi="Cambria Math" w:cs="Times New Roman"/>
                <w:sz w:val="24"/>
                <w:szCs w:val="24"/>
              </w:rPr>
            </m:ctrlPr>
          </m:dPr>
          <m:e>
            <m:r>
              <w:rPr>
                <w:rFonts w:ascii="Cambria Math" w:hAnsi="Cambria Math" w:cs="Times New Roman"/>
                <w:sz w:val="24"/>
                <w:szCs w:val="24"/>
              </w:rPr>
              <m:t>θ</m:t>
            </m:r>
          </m:e>
        </m:d>
        <m:r>
          <w:rPr>
            <w:rFonts w:ascii="Cambria Math" w:hAnsi="Cambria Math" w:cs="Times New Roman"/>
            <w:sz w:val="24"/>
            <w:szCs w:val="24"/>
          </w:rPr>
          <m:t>=</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sz w:val="24"/>
                    <w:szCs w:val="24"/>
                  </w:rPr>
                </m:ctrlPr>
              </m:dPr>
              <m:e>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d>
          </m:e>
        </m:func>
      </m:oMath>
      <w:r w:rsidRPr="003609FB">
        <w:rPr>
          <w:rFonts w:ascii="Times New Roman" w:hAnsi="Times New Roman" w:cs="Times New Roman"/>
          <w:sz w:val="24"/>
          <w:szCs w:val="24"/>
        </w:rPr>
        <w:t xml:space="preserve"> </w:t>
      </w:r>
    </w:p>
    <w:p w14:paraId="36564680" w14:textId="5B73E637"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Using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i,D</m:t>
            </m:r>
          </m:sub>
        </m:sSub>
      </m:oMath>
      <w:r w:rsidRPr="003609FB">
        <w:rPr>
          <w:rFonts w:ascii="Times New Roman" w:hAnsi="Times New Roman" w:cs="Times New Roman"/>
          <w:sz w:val="24"/>
          <w:szCs w:val="24"/>
        </w:rPr>
        <w:t xml:space="preserve"> to represent data point i, such as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or cell abundance, and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i,θ</m:t>
            </m:r>
          </m:sub>
        </m:sSub>
      </m:oMath>
      <w:r w:rsidRPr="003609FB">
        <w:rPr>
          <w:rFonts w:ascii="Times New Roman" w:hAnsi="Times New Roman" w:cs="Times New Roman"/>
          <w:sz w:val="24"/>
          <w:szCs w:val="24"/>
        </w:rPr>
        <w:t xml:space="preserve"> to represent our model’s predicted value given a set of parameter values  </w:t>
      </w:r>
      <m:oMath>
        <m:r>
          <w:rPr>
            <w:rFonts w:ascii="Cambria Math" w:hAnsi="Cambria Math" w:cs="Times New Roman"/>
            <w:sz w:val="24"/>
            <w:szCs w:val="24"/>
          </w:rPr>
          <m:t>θ</m:t>
        </m:r>
      </m:oMath>
      <w:r w:rsidRPr="003609FB">
        <w:rPr>
          <w:rFonts w:ascii="Times New Roman" w:hAnsi="Times New Roman" w:cs="Times New Roman"/>
          <w:sz w:val="24"/>
          <w:szCs w:val="24"/>
        </w:rPr>
        <w:t>:</w:t>
      </w:r>
    </w:p>
    <w:p w14:paraId="4C8B76F3" w14:textId="690EEDF6"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E91A6E" w:rsidRPr="003609FB">
        <w:rPr>
          <w:rFonts w:ascii="Times New Roman" w:hAnsi="Times New Roman" w:cs="Times New Roman"/>
          <w:sz w:val="24"/>
          <w:szCs w:val="24"/>
        </w:rPr>
        <w:t>2.</w:t>
      </w:r>
      <w:r w:rsidRPr="003609FB">
        <w:rPr>
          <w:rFonts w:ascii="Times New Roman" w:hAnsi="Times New Roman" w:cs="Times New Roman"/>
          <w:sz w:val="24"/>
          <w:szCs w:val="24"/>
        </w:rPr>
        <w:t xml:space="preserve">4)  </w:t>
      </w:r>
      <w:r w:rsidR="009D7560" w:rsidRPr="003609FB">
        <w:rPr>
          <w:rFonts w:ascii="Times New Roman" w:hAnsi="Times New Roman" w:cs="Times New Roman"/>
          <w:sz w:val="24"/>
          <w:szCs w:val="24"/>
        </w:rPr>
        <w:t xml:space="preserve">      </w:t>
      </w:r>
      <m:oMath>
        <m:r>
          <w:rPr>
            <w:rFonts w:ascii="Cambria Math" w:hAnsi="Cambria Math" w:cs="Times New Roman"/>
            <w:sz w:val="24"/>
            <w:szCs w:val="24"/>
          </w:rPr>
          <m:t>Pr</m:t>
        </m:r>
        <m:d>
          <m:dPr>
            <m:ctrlPr>
              <w:rPr>
                <w:rFonts w:ascii="Cambria Math" w:hAnsi="Cambria Math" w:cs="Times New Roman"/>
                <w:sz w:val="24"/>
                <w:szCs w:val="24"/>
              </w:rPr>
            </m:ctrlPr>
          </m:dPr>
          <m:e>
            <m:r>
              <w:rPr>
                <w:rFonts w:ascii="Cambria Math" w:hAnsi="Cambria Math" w:cs="Times New Roman"/>
                <w:sz w:val="24"/>
                <w:szCs w:val="24"/>
              </w:rPr>
              <m:t>D</m:t>
            </m:r>
            <m:r>
              <m:rPr>
                <m:lit/>
                <m:nor/>
              </m:rPr>
              <w:rPr>
                <w:rFonts w:ascii="Times New Roman" w:hAnsi="Times New Roman" w:cs="Times New Roman"/>
                <w:sz w:val="24"/>
                <w:szCs w:val="24"/>
              </w:rPr>
              <m:t>|</m:t>
            </m:r>
            <m:r>
              <w:rPr>
                <w:rFonts w:ascii="Cambria Math" w:hAnsi="Cambria Math" w:cs="Times New Roman"/>
                <w:sz w:val="24"/>
                <w:szCs w:val="24"/>
              </w:rPr>
              <m:t>θ</m:t>
            </m:r>
          </m:e>
        </m:d>
        <m:r>
          <w:rPr>
            <w:rFonts w:ascii="Cambria Math" w:hAnsi="Cambria Math" w:cs="Times New Roman"/>
            <w:sz w:val="24"/>
            <w:szCs w:val="24"/>
          </w:rPr>
          <m:t>∝exp</m:t>
        </m:r>
        <m:d>
          <m:dPr>
            <m:ctrlPr>
              <w:rPr>
                <w:rFonts w:ascii="Cambria Math" w:hAnsi="Cambria Math" w:cs="Times New Roman"/>
                <w:sz w:val="24"/>
                <w:szCs w:val="24"/>
              </w:rPr>
            </m:ctrlPr>
          </m:dPr>
          <m:e>
            <m:nary>
              <m:naryPr>
                <m:chr m:val="∑"/>
                <m:supHide m:val="1"/>
                <m:ctrlPr>
                  <w:rPr>
                    <w:rFonts w:ascii="Cambria Math" w:hAnsi="Cambria Math" w:cs="Times New Roman"/>
                    <w:sz w:val="24"/>
                    <w:szCs w:val="24"/>
                  </w:rPr>
                </m:ctrlPr>
              </m:naryPr>
              <m:sub>
                <m:r>
                  <w:rPr>
                    <w:rFonts w:ascii="Cambria Math" w:hAnsi="Cambria Math" w:cs="Times New Roman"/>
                    <w:sz w:val="24"/>
                    <w:szCs w:val="24"/>
                  </w:rPr>
                  <m:t>i</m:t>
                </m:r>
              </m:sub>
              <m:sup/>
              <m:e>
                <m:f>
                  <m:fPr>
                    <m:ctrlPr>
                      <w:rPr>
                        <w:rFonts w:ascii="Cambria Math" w:hAnsi="Cambria Math" w:cs="Times New Roman"/>
                        <w:sz w:val="24"/>
                        <w:szCs w:val="24"/>
                      </w:rPr>
                    </m:ctrlPr>
                  </m:fPr>
                  <m:num>
                    <m:sSup>
                      <m:sSupPr>
                        <m:ctrlPr>
                          <w:rPr>
                            <w:rFonts w:ascii="Cambria Math" w:hAnsi="Cambria Math" w:cs="Times New Roman"/>
                            <w:sz w:val="24"/>
                            <w:szCs w:val="24"/>
                          </w:rPr>
                        </m:ctrlPr>
                      </m:sSupPr>
                      <m:e>
                        <m:d>
                          <m:dPr>
                            <m:ctrlPr>
                              <w:rPr>
                                <w:rFonts w:ascii="Cambria Math" w:hAnsi="Cambria Math" w:cs="Times New Roman"/>
                                <w:sz w:val="24"/>
                                <w:szCs w:val="24"/>
                              </w:rPr>
                            </m:ctrlPr>
                          </m:dPr>
                          <m:e>
                            <m:r>
                              <w:rPr>
                                <w:rFonts w:ascii="Cambria Math" w:hAnsi="Cambria Math" w:cs="Times New Roman"/>
                                <w:sz w:val="24"/>
                                <w:szCs w:val="24"/>
                              </w:rPr>
                              <m:t>ln</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i,D</m:t>
                                    </m:r>
                                  </m:sub>
                                </m:sSub>
                              </m:e>
                            </m:d>
                            <m:r>
                              <w:rPr>
                                <w:rFonts w:ascii="Cambria Math" w:hAnsi="Cambria Math" w:cs="Times New Roman"/>
                                <w:sz w:val="24"/>
                                <w:szCs w:val="24"/>
                              </w:rPr>
                              <m:t>-</m:t>
                            </m:r>
                            <m:r>
                              <m:rPr>
                                <m:sty m:val="p"/>
                              </m:rPr>
                              <w:rPr>
                                <w:rFonts w:ascii="Cambria Math" w:hAnsi="Cambria Math" w:cs="Times New Roman"/>
                                <w:sz w:val="24"/>
                                <w:szCs w:val="24"/>
                              </w:rPr>
                              <m:t>ln</m:t>
                            </m:r>
                            <m: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i,θ</m:t>
                                    </m:r>
                                  </m:sub>
                                </m:sSub>
                              </m:e>
                            </m:d>
                          </m:e>
                        </m:d>
                      </m:e>
                      <m:sup>
                        <m:r>
                          <w:rPr>
                            <w:rFonts w:ascii="Cambria Math" w:hAnsi="Cambria Math" w:cs="Times New Roman"/>
                            <w:sz w:val="24"/>
                            <w:szCs w:val="24"/>
                          </w:rPr>
                          <m:t>2</m:t>
                        </m:r>
                      </m:sup>
                    </m:sSup>
                  </m:num>
                  <m:den>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y,i</m:t>
                        </m:r>
                      </m:sub>
                      <m:sup>
                        <m:r>
                          <w:rPr>
                            <w:rFonts w:ascii="Cambria Math" w:hAnsi="Cambria Math" w:cs="Times New Roman"/>
                            <w:sz w:val="24"/>
                            <w:szCs w:val="24"/>
                          </w:rPr>
                          <m:t>2</m:t>
                        </m:r>
                      </m:sup>
                    </m:sSubSup>
                  </m:den>
                </m:f>
              </m:e>
            </m:nary>
          </m:e>
        </m:d>
      </m:oMath>
    </w:p>
    <w:p w14:paraId="65FD26F2" w14:textId="48245316" w:rsidR="005E185F" w:rsidRPr="003609FB" w:rsidRDefault="00490E61" w:rsidP="00AB2160">
      <w:pPr>
        <w:spacing w:line="360" w:lineRule="auto"/>
        <w:rPr>
          <w:rFonts w:ascii="Times New Roman" w:hAnsi="Times New Roman" w:cs="Times New Roman"/>
          <w:sz w:val="24"/>
          <w:szCs w:val="24"/>
        </w:rPr>
      </w:pPr>
      <w:r>
        <w:rPr>
          <w:rFonts w:ascii="Times New Roman" w:hAnsi="Times New Roman" w:cs="Times New Roman"/>
          <w:sz w:val="24"/>
          <w:szCs w:val="24"/>
        </w:rPr>
        <w:t>w</w:t>
      </w:r>
      <w:r w:rsidR="005E185F" w:rsidRPr="003609FB">
        <w:rPr>
          <w:rFonts w:ascii="Times New Roman" w:hAnsi="Times New Roman" w:cs="Times New Roman"/>
          <w:sz w:val="24"/>
          <w:szCs w:val="24"/>
        </w:rPr>
        <w:t xml:space="preserve">here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005E185F" w:rsidRPr="003609FB">
        <w:rPr>
          <w:rFonts w:ascii="Times New Roman" w:hAnsi="Times New Roman" w:cs="Times New Roman"/>
          <w:sz w:val="24"/>
          <w:szCs w:val="24"/>
        </w:rPr>
        <w:t xml:space="preserve"> quantifies the noise in our measurements.  For simplicity of our model fittings, we set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005E185F" w:rsidRPr="003609FB">
        <w:rPr>
          <w:rFonts w:ascii="Times New Roman" w:hAnsi="Times New Roman" w:cs="Times New Roman"/>
          <w:sz w:val="24"/>
          <w:szCs w:val="24"/>
        </w:rPr>
        <w:t xml:space="preserve"> equal to </w:t>
      </w:r>
      <w:r w:rsidR="005E185F" w:rsidRPr="005E2CE4">
        <w:rPr>
          <w:rFonts w:ascii="Times New Roman" w:hAnsi="Times New Roman" w:cs="Times New Roman"/>
          <w:sz w:val="24"/>
          <w:szCs w:val="24"/>
        </w:rPr>
        <w:t xml:space="preserve">the standard deviation of our log transformed measurements across technical and biological replicates (see </w:t>
      </w:r>
      <w:r w:rsidR="00E91A6E" w:rsidRPr="005E2CE4">
        <w:rPr>
          <w:rFonts w:ascii="Times New Roman" w:hAnsi="Times New Roman" w:cs="Times New Roman"/>
          <w:sz w:val="24"/>
          <w:szCs w:val="24"/>
        </w:rPr>
        <w:t xml:space="preserve">Appendix </w:t>
      </w:r>
      <w:r w:rsidR="00293440" w:rsidRPr="005E2CE4">
        <w:rPr>
          <w:rFonts w:ascii="Times New Roman" w:hAnsi="Times New Roman" w:cs="Times New Roman"/>
          <w:sz w:val="24"/>
          <w:szCs w:val="24"/>
        </w:rPr>
        <w:t>A</w:t>
      </w:r>
      <w:r w:rsidR="00E91A6E" w:rsidRPr="005E2CE4">
        <w:rPr>
          <w:rFonts w:ascii="Times New Roman" w:hAnsi="Times New Roman" w:cs="Times New Roman"/>
          <w:sz w:val="24"/>
          <w:szCs w:val="24"/>
        </w:rPr>
        <w:t xml:space="preserve">, </w:t>
      </w:r>
      <w:r w:rsidR="005E185F" w:rsidRPr="005E2CE4">
        <w:rPr>
          <w:rFonts w:ascii="Times New Roman" w:hAnsi="Times New Roman" w:cs="Times New Roman"/>
          <w:sz w:val="24"/>
          <w:szCs w:val="24"/>
        </w:rPr>
        <w:t xml:space="preserve">Supplementary Information </w:t>
      </w:r>
      <w:r w:rsidR="00E91A6E" w:rsidRPr="005E2CE4">
        <w:rPr>
          <w:rFonts w:ascii="Times New Roman" w:hAnsi="Times New Roman" w:cs="Times New Roman"/>
          <w:sz w:val="24"/>
          <w:szCs w:val="24"/>
        </w:rPr>
        <w:t>Chapter 2</w:t>
      </w:r>
      <w:r w:rsidR="005E185F" w:rsidRPr="005E2CE4">
        <w:rPr>
          <w:rFonts w:ascii="Times New Roman" w:hAnsi="Times New Roman" w:cs="Times New Roman"/>
          <w:sz w:val="24"/>
          <w:szCs w:val="24"/>
        </w:rPr>
        <w:t>).</w:t>
      </w:r>
      <w:r w:rsidR="005E185F" w:rsidRPr="003609FB">
        <w:rPr>
          <w:rFonts w:ascii="Times New Roman" w:hAnsi="Times New Roman" w:cs="Times New Roman"/>
          <w:sz w:val="24"/>
          <w:szCs w:val="24"/>
        </w:rPr>
        <w:t xml:space="preserve"> </w:t>
      </w:r>
    </w:p>
    <w:p w14:paraId="1EC31BDE" w14:textId="5D15D4E4" w:rsidR="005E185F" w:rsidRPr="00F17DAA" w:rsidRDefault="005E185F" w:rsidP="00AB2160">
      <w:pPr>
        <w:pStyle w:val="Heading3"/>
        <w:spacing w:line="360" w:lineRule="auto"/>
      </w:pPr>
      <w:bookmarkStart w:id="23" w:name="_Toc173250020"/>
      <w:r w:rsidRPr="003609FB">
        <w:t>Experimental approach:</w:t>
      </w:r>
      <w:bookmarkEnd w:id="23"/>
    </w:p>
    <w:p w14:paraId="43A5939D" w14:textId="46448443" w:rsidR="00F17DAA" w:rsidRPr="003609FB" w:rsidRDefault="005E185F"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Abiotic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and decay parameters, S</w:t>
      </w:r>
      <w:r w:rsidRPr="00842240">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w:r w:rsidRPr="003609FB">
        <w:rPr>
          <w:rFonts w:ascii="Times New Roman" w:hAnsi="Times New Roman" w:cs="Times New Roman"/>
          <w:sz w:val="24"/>
          <w:szCs w:val="24"/>
        </w:rPr>
        <w:t xml:space="preserve"> </w:t>
      </w:r>
      <w:r w:rsidR="00E40A70">
        <w:rPr>
          <w:rFonts w:ascii="Times New Roman" w:hAnsi="Times New Roman" w:cs="Times New Roman"/>
          <w:sz w:val="24"/>
          <w:szCs w:val="24"/>
        </w:rPr>
        <w:t xml:space="preserve">, </w:t>
      </w:r>
      <w:r w:rsidRPr="003609FB">
        <w:rPr>
          <w:rFonts w:ascii="Times New Roman" w:hAnsi="Times New Roman" w:cs="Times New Roman"/>
          <w:sz w:val="24"/>
          <w:szCs w:val="24"/>
        </w:rPr>
        <w:t xml:space="preserve">were constrained first via cell-free dynamics of hydrogen peroxide. Then the modeled cyanobacteria population dynamics without added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to constrain growth rates,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Finally, the predictions of a model were compared with dynamic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with a range of laboratory culture data spanning catalase positive and catalase negative organisms to constrain biotic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-related parameters of damage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xml:space="preserve"> ) and detoxification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w:t>
      </w:r>
    </w:p>
    <w:p w14:paraId="30FC25B7" w14:textId="5865CBED" w:rsidR="005E185F" w:rsidRPr="00842240" w:rsidRDefault="005E185F" w:rsidP="00AB2160">
      <w:pPr>
        <w:pStyle w:val="Heading2"/>
        <w:spacing w:line="360" w:lineRule="auto"/>
      </w:pPr>
      <w:bookmarkStart w:id="24" w:name="_Toc173250021"/>
      <w:r w:rsidRPr="00842240">
        <w:t>Results</w:t>
      </w:r>
      <w:bookmarkEnd w:id="24"/>
      <w:r w:rsidRPr="00842240">
        <w:t xml:space="preserve">  </w:t>
      </w:r>
    </w:p>
    <w:p w14:paraId="41B84AB8" w14:textId="49F69BDA" w:rsidR="00842240" w:rsidRPr="00842240" w:rsidRDefault="00B222DB" w:rsidP="00AB2160">
      <w:pPr>
        <w:pStyle w:val="Heading3"/>
        <w:spacing w:line="360" w:lineRule="auto"/>
      </w:pPr>
      <w:bookmarkStart w:id="25" w:name="_Toc173250022"/>
      <w:r w:rsidRPr="003609FB">
        <w:t>A</w:t>
      </w:r>
      <w:r w:rsidR="00442BF0" w:rsidRPr="003609FB">
        <w:t>biotic media analyses</w:t>
      </w:r>
      <w:bookmarkEnd w:id="25"/>
    </w:p>
    <w:p w14:paraId="33787F50" w14:textId="2D1DD17C" w:rsidR="005E185F" w:rsidRDefault="006642CE"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We first set out to model abiotic dynamics in a control system without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9D7560" w:rsidRPr="003609FB">
        <w:rPr>
          <w:rFonts w:ascii="Times New Roman" w:hAnsi="Times New Roman" w:cs="Times New Roman"/>
          <w:sz w:val="24"/>
          <w:szCs w:val="24"/>
        </w:rPr>
        <w:t>additions. In</w:t>
      </w:r>
      <w:r w:rsidR="005E185F" w:rsidRPr="003609FB">
        <w:rPr>
          <w:rFonts w:ascii="Times New Roman" w:hAnsi="Times New Roman" w:cs="Times New Roman"/>
          <w:sz w:val="24"/>
          <w:szCs w:val="24"/>
        </w:rPr>
        <w:t xml:space="preserve"> Figure 2</w:t>
      </w:r>
      <w:r w:rsidRPr="003609FB">
        <w:rPr>
          <w:rFonts w:ascii="Times New Roman" w:hAnsi="Times New Roman" w:cs="Times New Roman"/>
          <w:sz w:val="24"/>
          <w:szCs w:val="24"/>
        </w:rPr>
        <w:t>.2</w:t>
      </w:r>
      <w:r w:rsidR="005E185F" w:rsidRPr="003609FB">
        <w:rPr>
          <w:rFonts w:ascii="Times New Roman" w:hAnsi="Times New Roman" w:cs="Times New Roman"/>
          <w:sz w:val="24"/>
          <w:szCs w:val="24"/>
        </w:rPr>
        <w:t xml:space="preserve">a, we present both the laboratory data (pink symbols) and model fit (red line) for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in cell free medium with zero addition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are presented</w:t>
      </w:r>
      <w:r w:rsidR="005E185F" w:rsidRPr="003609FB">
        <w:rPr>
          <w:rFonts w:ascii="Times New Roman" w:hAnsi="Times New Roman" w:cs="Times New Roman"/>
          <w:sz w:val="24"/>
          <w:szCs w:val="24"/>
        </w:rPr>
        <w:t xml:space="preserve">. Here, we set </w:t>
      </w:r>
      <w:r w:rsidR="00691B65" w:rsidRPr="00691B65">
        <w:rPr>
          <w:rFonts w:ascii="Times New Roman" w:hAnsi="Times New Roman" w:cs="Times New Roman"/>
          <w:i/>
          <w:iCs/>
          <w:sz w:val="24"/>
          <w:szCs w:val="24"/>
        </w:rPr>
        <w:t>Prochlorococcus</w:t>
      </w:r>
      <w:r w:rsidR="005E185F" w:rsidRPr="003609FB">
        <w:rPr>
          <w:rFonts w:ascii="Times New Roman" w:hAnsi="Times New Roman" w:cs="Times New Roman"/>
          <w:sz w:val="24"/>
          <w:szCs w:val="24"/>
        </w:rPr>
        <w:t xml:space="preserve"> cell concentrations (P</w:t>
      </w:r>
      <w:r w:rsidR="005E185F" w:rsidRPr="00A22B14">
        <w:rPr>
          <w:rFonts w:ascii="Times New Roman" w:hAnsi="Times New Roman" w:cs="Times New Roman"/>
          <w:sz w:val="24"/>
          <w:szCs w:val="24"/>
          <w:vertAlign w:val="subscript"/>
        </w:rPr>
        <w:t>i</w:t>
      </w:r>
      <w:r w:rsidR="005E185F" w:rsidRPr="003609FB">
        <w:rPr>
          <w:rFonts w:ascii="Times New Roman" w:hAnsi="Times New Roman" w:cs="Times New Roman"/>
          <w:sz w:val="24"/>
          <w:szCs w:val="24"/>
        </w:rPr>
        <w:t xml:space="preserve">) to zero in Equation </w:t>
      </w:r>
      <w:r w:rsidRPr="003609FB">
        <w:rPr>
          <w:rFonts w:ascii="Times New Roman" w:hAnsi="Times New Roman" w:cs="Times New Roman"/>
          <w:sz w:val="24"/>
          <w:szCs w:val="24"/>
        </w:rPr>
        <w:t>2.</w:t>
      </w:r>
      <w:r w:rsidR="005E185F" w:rsidRPr="003609FB">
        <w:rPr>
          <w:rFonts w:ascii="Times New Roman" w:hAnsi="Times New Roman" w:cs="Times New Roman"/>
          <w:sz w:val="24"/>
          <w:szCs w:val="24"/>
        </w:rPr>
        <w:t>1. In Figure 2</w:t>
      </w:r>
      <w:r w:rsidRPr="003609FB">
        <w:rPr>
          <w:rFonts w:ascii="Times New Roman" w:hAnsi="Times New Roman" w:cs="Times New Roman"/>
          <w:sz w:val="24"/>
          <w:szCs w:val="24"/>
        </w:rPr>
        <w:t>.2</w:t>
      </w:r>
      <w:r w:rsidR="006C210E">
        <w:rPr>
          <w:rFonts w:ascii="Times New Roman" w:hAnsi="Times New Roman" w:cs="Times New Roman"/>
          <w:sz w:val="24"/>
          <w:szCs w:val="24"/>
        </w:rPr>
        <w:t xml:space="preserve"> </w:t>
      </w:r>
      <w:r w:rsidR="005E185F" w:rsidRPr="003609FB">
        <w:rPr>
          <w:rFonts w:ascii="Times New Roman" w:hAnsi="Times New Roman" w:cs="Times New Roman"/>
          <w:sz w:val="24"/>
          <w:szCs w:val="24"/>
        </w:rPr>
        <w:t>b,</w:t>
      </w:r>
      <w:r w:rsidR="006C210E">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c we present histograms of our posterior samples, highlighting the mean and surrounding uncertainty of our </w:t>
      </w:r>
      <w:r w:rsidR="00A22B14" w:rsidRPr="003609FB">
        <w:rPr>
          <w:rFonts w:ascii="Times New Roman" w:hAnsi="Times New Roman" w:cs="Times New Roman"/>
          <w:sz w:val="24"/>
          <w:szCs w:val="24"/>
        </w:rPr>
        <w:t>model-based</w:t>
      </w:r>
      <w:r w:rsidR="005E185F" w:rsidRPr="003609FB">
        <w:rPr>
          <w:rFonts w:ascii="Times New Roman" w:hAnsi="Times New Roman" w:cs="Times New Roman"/>
          <w:sz w:val="24"/>
          <w:szCs w:val="24"/>
        </w:rPr>
        <w:t xml:space="preserve"> estimates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supply rate, S</w:t>
      </w:r>
      <w:r w:rsidR="005E185F" w:rsidRPr="00A22B14">
        <w:rPr>
          <w:rFonts w:ascii="Times New Roman" w:hAnsi="Times New Roman" w:cs="Times New Roman"/>
          <w:sz w:val="24"/>
          <w:szCs w:val="24"/>
          <w:vertAlign w:val="subscript"/>
        </w:rPr>
        <w:t>H</w:t>
      </w:r>
      <w:r w:rsidR="005E185F" w:rsidRPr="003609FB">
        <w:rPr>
          <w:rFonts w:ascii="Times New Roman" w:hAnsi="Times New Roman" w:cs="Times New Roman"/>
          <w:sz w:val="24"/>
          <w:szCs w:val="24"/>
        </w:rPr>
        <w:t>,</w:t>
      </w:r>
      <w:r w:rsidR="00293440" w:rsidRPr="003609FB">
        <w:rPr>
          <w:rFonts w:ascii="Times New Roman" w:hAnsi="Times New Roman" w:cs="Times New Roman"/>
          <w:sz w:val="24"/>
          <w:szCs w:val="24"/>
        </w:rPr>
        <w:t xml:space="preserve"> </w:t>
      </w:r>
      <w:r w:rsidR="005E185F" w:rsidRPr="003609FB">
        <w:rPr>
          <w:rFonts w:ascii="Times New Roman" w:hAnsi="Times New Roman" w:cs="Times New Roman"/>
          <w:sz w:val="24"/>
          <w:szCs w:val="24"/>
        </w:rPr>
        <w:t xml:space="preserve">and decay rate,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w:r w:rsidR="005E185F" w:rsidRPr="003609FB">
        <w:rPr>
          <w:rFonts w:ascii="Times New Roman" w:hAnsi="Times New Roman" w:cs="Times New Roman"/>
          <w:sz w:val="24"/>
          <w:szCs w:val="24"/>
        </w:rPr>
        <w:t>. Our data and model both show</w:t>
      </w:r>
      <w:r w:rsidRPr="003609FB">
        <w:rPr>
          <w:rFonts w:ascii="Times New Roman" w:hAnsi="Times New Roman" w:cs="Times New Roman"/>
          <w:sz w:val="24"/>
          <w:szCs w:val="24"/>
        </w:rPr>
        <w:t>ed</w:t>
      </w:r>
      <w:r w:rsidR="005E185F" w:rsidRPr="003609FB">
        <w:rPr>
          <w:rFonts w:ascii="Times New Roman" w:hAnsi="Times New Roman" w:cs="Times New Roman"/>
          <w:sz w:val="24"/>
          <w:szCs w:val="24"/>
        </w:rPr>
        <w:t xml:space="preserve"> rising </w:t>
      </w:r>
      <w:r w:rsidR="00F52F1E" w:rsidRPr="003609FB">
        <w:rPr>
          <w:rFonts w:ascii="Times New Roman" w:hAnsi="Times New Roman" w:cs="Times New Roman"/>
          <w:sz w:val="24"/>
          <w:szCs w:val="24"/>
        </w:rPr>
        <w:lastRenderedPageBreak/>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concentration despite no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addition.  This is consistent with prior studies indicating illuminated growth media produces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E185F" w:rsidRPr="003609FB">
        <w:rPr>
          <w:rFonts w:ascii="Times New Roman" w:hAnsi="Times New Roman" w:cs="Times New Roman"/>
          <w:sz w:val="24"/>
          <w:szCs w:val="24"/>
        </w:rPr>
        <w:t xml:space="preserve"> (Jeffrey Morris and Zinser 2013).</w:t>
      </w:r>
    </w:p>
    <w:p w14:paraId="5B8A8DBD" w14:textId="6D6C6EF0" w:rsidR="00CA3AA8" w:rsidRDefault="00CA3AA8"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Using the same cell free model, we captured and represented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and parameter distributions for the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spiked medium (Figure 2.3). Our posterior samples for the abiotic production rate were slightly lower, but within a similar range to the zero-</w:t>
      </w:r>
      <w:proofErr w:type="spellStart"/>
      <w:r w:rsidRPr="003609FB">
        <w:rPr>
          <w:rFonts w:ascii="Times New Roman" w:hAnsi="Times New Roman" w:cs="Times New Roman"/>
          <w:sz w:val="24"/>
          <w:szCs w:val="24"/>
        </w:rPr>
        <w:t>addition</w:t>
      </w:r>
      <w:proofErr w:type="spellEnd"/>
      <w:r w:rsidRPr="003609FB">
        <w:rPr>
          <w:rFonts w:ascii="Times New Roman" w:hAnsi="Times New Roman" w:cs="Times New Roman"/>
          <w:sz w:val="24"/>
          <w:szCs w:val="24"/>
        </w:rPr>
        <w:t xml:space="preserve"> treatment in Figure 2.3. Across treatments, the decay rate was generally less than 0.05 </w:t>
      </w:r>
      <w:proofErr w:type="gramStart"/>
      <w:r w:rsidRPr="003609FB">
        <w:rPr>
          <w:rFonts w:ascii="Times New Roman" w:hAnsi="Times New Roman" w:cs="Times New Roman"/>
          <w:sz w:val="24"/>
          <w:szCs w:val="24"/>
        </w:rPr>
        <w:t>day</w:t>
      </w:r>
      <w:r w:rsidRPr="00F70EDE">
        <w:rPr>
          <w:rFonts w:ascii="Times New Roman" w:hAnsi="Times New Roman" w:cs="Times New Roman"/>
          <w:sz w:val="24"/>
          <w:szCs w:val="24"/>
          <w:vertAlign w:val="superscript"/>
        </w:rPr>
        <w:t>-1</w:t>
      </w:r>
      <w:proofErr w:type="gramEnd"/>
      <w:r w:rsidRPr="003609FB">
        <w:rPr>
          <w:rFonts w:ascii="Times New Roman" w:hAnsi="Times New Roman" w:cs="Times New Roman"/>
          <w:sz w:val="24"/>
          <w:szCs w:val="24"/>
        </w:rPr>
        <w:t>.</w:t>
      </w:r>
      <w:r>
        <w:rPr>
          <w:rFonts w:ascii="Times New Roman" w:hAnsi="Times New Roman" w:cs="Times New Roman"/>
          <w:sz w:val="24"/>
          <w:szCs w:val="24"/>
        </w:rPr>
        <w:t xml:space="preserve"> This hints to the model’s capture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dynamics that are agnostic of light like those mentioned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{"citationID":"BeNQla1W","properties":{"formattedCitation":"(Sutherland, Wankel, and Hansel 2020)","plainCitation":"(Sutherland, Wankel, and Hansel 2020)","noteIndex":0},"citationItems":[{"id":3568,"uris":["http://zotero.org/users/6128296/items/PV5KYC8H"],"itemData":{"id":3568,"type":"article-journal","abstract":"Significance\n            \n              Extracellular production of the reactive oxygen species (ROS) superoxide results from the one-electron reduction of O\n              2\n              . Nearly all major groups of marine microbes produce extracellular superoxide. In this global estimate of marine microbial superoxide production we determine that dark extracellular superoxide production is ultimately a net sink of dissolved oxygen comparable in magnitude to other major terms in the marine oxygen cycle. This abundant source of superoxide to the marine water column provides evidence that extracellular ROS play a significant role in carbon oxidation and the redox cycling of metals in marine environments. Consideration of this significant reductive flux of dissolved oxygen is essential for field, laboratory, and modeling techniques for determining productivity and oxygen utilization in marine systems.\n            \n          , \n            \n              The balance between sources and sinks of molecular oxygen in the oceans has greatly impacted the composition of Earth’s atmosphere since the evolution of oxygenic photosynthesis, thereby exerting key influence on Earth’s climate and the redox state of (sub)surface Earth. The canonical source and sink terms of the marine oxygen budget include photosynthesis, respiration, photorespiration, the Mehler reaction, and other smaller terms. However, recent advances in understanding cryptic oxygen cycling, namely the ubiquitous one-electron reduction of O\n              2\n              to superoxide by microorganisms outside the cell, remains unexplored as a potential player in global oxygen dynamics. Here we show that dark extracellular superoxide production by marine microbes represents a previously unconsidered global oxygen flux and sink comparable in magnitude to other key terms. We estimate that extracellular superoxide production represents a gross oxygen sink comprising about a third of marine gross oxygen production, and a net oxygen sink amounting to 15 to 50% of that. We further demonstrate that this total marine dark extracellular superoxide flux is consistent with concentrations of superoxide in marine environments. These findings underscore prolific marine sources of reactive oxygen species and a complex and dynamic oxygen cycle in which oxygen consumption and corresponding carbon oxidation are not necessarily confined to cell membranes or exclusively related to respiration. This revised model of the marine oxygen cycle will ultimately allow for greater reconciliation among estimates of primary production and respiration and a greater mechanistic understanding of redox cycling in the ocean.","container-title":"Proceedings of the National Academy of Sciences","DOI":"10.1073/pnas.1912313117","ISSN":"0027-8424, 1091-6490","issue":"7","journalAbbreviation":"Proc. Natl. Acad. Sci. U.S.A.","language":"en","page":"3433-3439","source":"DOI.org (Crossref)","title":"Dark biological superoxide production as a significant flux and sink of marine dissolved oxygen","volume":"117","author":[{"family":"Sutherland","given":""},{"family":"Wankel","given":"Scott D."},{"family":"Hansel","given":"Colleen M."}],"issued":{"date-parts":[["2020",2,18]]}}}],"schema":"https://github.com/citation-style-language/schema/raw/master/csl-citation.json"}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noProof/>
          <w:sz w:val="24"/>
          <w:szCs w:val="24"/>
        </w:rPr>
        <w:t>(Sutherland, Wankel, and Hansel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3609FB">
        <w:rPr>
          <w:rFonts w:ascii="Times New Roman" w:hAnsi="Times New Roman" w:cs="Times New Roman"/>
          <w:sz w:val="24"/>
          <w:szCs w:val="24"/>
        </w:rPr>
        <w:t>Thus, our model captures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 assay dynamics in cell-free culture conditions at multiple starting spike levels, providing an important constraint on the rate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supply and decay in growth media. We use these basal parameter ranges to define background abiotic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when Equation 2.1 was considered in the presence of microbial cells.</w:t>
      </w:r>
    </w:p>
    <w:p w14:paraId="05E7FE6C" w14:textId="77777777" w:rsidR="00F17DAA" w:rsidRDefault="00F17DAA" w:rsidP="00F17DAA">
      <w:pPr>
        <w:pStyle w:val="Heading3"/>
        <w:spacing w:line="360" w:lineRule="auto"/>
      </w:pPr>
      <w:bookmarkStart w:id="26" w:name="_Toc173250023"/>
      <w:r w:rsidRPr="003609FB">
        <w:t>Phytoplankton batch culture dynamics without hydrogen peroxide</w:t>
      </w:r>
      <w:bookmarkEnd w:id="26"/>
    </w:p>
    <w:p w14:paraId="16792301" w14:textId="2A0C9DB9" w:rsidR="00F17DAA" w:rsidRDefault="00F17DAA"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Being now able to account for relevant abiotic processes, we next considered how microbial dynamics may be impacted by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Figure 2.4 shows our model trained and compared with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strain MIT9215 in exponential growth.</w:t>
      </w:r>
    </w:p>
    <w:p w14:paraId="06AEFEDB" w14:textId="7FBF84DD" w:rsidR="009E0DA7" w:rsidRDefault="000A52CE" w:rsidP="003D069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model provides a satisfactory fit to the population density change over time (Figure 2.4a) allowing </w:t>
      </w:r>
      <w:r>
        <w:rPr>
          <w:rFonts w:ascii="Times New Roman" w:hAnsi="Times New Roman" w:cs="Times New Roman"/>
          <w:sz w:val="24"/>
          <w:szCs w:val="24"/>
        </w:rPr>
        <w:t>retrieval</w:t>
      </w:r>
      <w:r w:rsidRPr="003609FB">
        <w:rPr>
          <w:rFonts w:ascii="Times New Roman" w:hAnsi="Times New Roman" w:cs="Times New Roman"/>
          <w:sz w:val="24"/>
          <w:szCs w:val="24"/>
        </w:rPr>
        <w:t xml:space="preserve"> of posterior samples of two cell growth-related parameters: the initial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concentration (P</w:t>
      </w:r>
      <w:r w:rsidRPr="006C210E">
        <w:rPr>
          <w:rFonts w:ascii="Times New Roman" w:hAnsi="Times New Roman" w:cs="Times New Roman"/>
          <w:sz w:val="24"/>
          <w:szCs w:val="24"/>
          <w:vertAlign w:val="subscript"/>
        </w:rPr>
        <w:t>0</w:t>
      </w:r>
      <w:r w:rsidRPr="003609FB">
        <w:rPr>
          <w:rFonts w:ascii="Times New Roman" w:hAnsi="Times New Roman" w:cs="Times New Roman"/>
          <w:sz w:val="24"/>
          <w:szCs w:val="24"/>
        </w:rPr>
        <w:t>, Figure 2.4b) and the exponential growth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Figure 2.4c).</w:t>
      </w:r>
    </w:p>
    <w:p w14:paraId="3FA947C2" w14:textId="77777777" w:rsidR="00F17DAA" w:rsidRDefault="00F17DAA" w:rsidP="00F17DAA">
      <w:pPr>
        <w:pStyle w:val="Heading3"/>
        <w:spacing w:line="360" w:lineRule="auto"/>
      </w:pPr>
      <w:bookmarkStart w:id="27" w:name="_Toc173250024"/>
      <w:r w:rsidRPr="003609FB">
        <w:t>Phytoplankton batch culture dynamics with amended hydrogen peroxide</w:t>
      </w:r>
      <w:bookmarkEnd w:id="27"/>
    </w:p>
    <w:p w14:paraId="5C32BF42" w14:textId="77777777" w:rsidR="00F17DAA" w:rsidRPr="00CE7353" w:rsidRDefault="00F17DAA" w:rsidP="00F17DAA">
      <w:pPr>
        <w:spacing w:line="360" w:lineRule="auto"/>
      </w:pPr>
    </w:p>
    <w:p w14:paraId="21E02264" w14:textId="018CAACF" w:rsidR="00F17DAA" w:rsidRPr="003609FB" w:rsidRDefault="00F17DAA"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Having quantified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growth without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addition, we then compared our mode in Equations 2.1 with our microbial abundance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data. In Figure 2.5 below we present the dynamics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in 400nM spiked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Our results clearly indicate that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died once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was added to growth medium (Figure 2.5a). We kept the previously quantified exponential growth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(Figure 2.5c) steady from the model’s initial fitting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Having trained our model on cellular </w:t>
      </w:r>
    </w:p>
    <w:p w14:paraId="695D699B" w14:textId="77777777" w:rsidR="00F17DAA" w:rsidRPr="003D069F" w:rsidRDefault="00F17DAA" w:rsidP="003D069F">
      <w:pPr>
        <w:spacing w:line="360" w:lineRule="auto"/>
        <w:ind w:firstLine="720"/>
        <w:rPr>
          <w:rFonts w:ascii="Times New Roman" w:hAnsi="Times New Roman" w:cs="Times New Roman"/>
          <w:sz w:val="24"/>
          <w:szCs w:val="24"/>
        </w:rPr>
      </w:pPr>
    </w:p>
    <w:tbl>
      <w:tblPr>
        <w:tblStyle w:val="TableGrid"/>
        <w:tblW w:w="9576" w:type="dxa"/>
        <w:tblLayout w:type="fixed"/>
        <w:tblLook w:val="04A0" w:firstRow="1" w:lastRow="0" w:firstColumn="1" w:lastColumn="0" w:noHBand="0" w:noVBand="1"/>
      </w:tblPr>
      <w:tblGrid>
        <w:gridCol w:w="9576"/>
      </w:tblGrid>
      <w:tr w:rsidR="005E185F" w:rsidRPr="003609FB" w14:paraId="74641E83" w14:textId="77777777" w:rsidTr="009F64F4">
        <w:tc>
          <w:tcPr>
            <w:tcW w:w="9576" w:type="dxa"/>
            <w:tcBorders>
              <w:top w:val="nil"/>
              <w:left w:val="nil"/>
              <w:bottom w:val="nil"/>
              <w:right w:val="nil"/>
            </w:tcBorders>
          </w:tcPr>
          <w:p w14:paraId="6C350084" w14:textId="43A23784" w:rsidR="00842240" w:rsidRDefault="00337469" w:rsidP="00AB2160">
            <w:pPr>
              <w:keepNext/>
              <w:spacing w:line="360" w:lineRule="auto"/>
            </w:pPr>
            <w:r w:rsidRPr="00337469">
              <w:rPr>
                <w:noProof/>
              </w:rPr>
              <w:drawing>
                <wp:inline distT="0" distB="0" distL="0" distR="0" wp14:anchorId="41389DFE" wp14:editId="5EC318E8">
                  <wp:extent cx="5990201" cy="1816100"/>
                  <wp:effectExtent l="0" t="0" r="4445" b="0"/>
                  <wp:docPr id="2059388814" name="Picture 205938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4274" t="17308" r="8333" b="3205"/>
                          <a:stretch/>
                        </pic:blipFill>
                        <pic:spPr bwMode="auto">
                          <a:xfrm>
                            <a:off x="0" y="0"/>
                            <a:ext cx="6003322" cy="1820078"/>
                          </a:xfrm>
                          <a:prstGeom prst="rect">
                            <a:avLst/>
                          </a:prstGeom>
                          <a:ln>
                            <a:noFill/>
                          </a:ln>
                          <a:extLst>
                            <a:ext uri="{53640926-AAD7-44D8-BBD7-CCE9431645EC}">
                              <a14:shadowObscured xmlns:a14="http://schemas.microsoft.com/office/drawing/2010/main"/>
                            </a:ext>
                          </a:extLst>
                        </pic:spPr>
                      </pic:pic>
                    </a:graphicData>
                  </a:graphic>
                </wp:inline>
              </w:drawing>
            </w:r>
          </w:p>
          <w:p w14:paraId="4457B914" w14:textId="7837A8EC" w:rsidR="005E185F" w:rsidRPr="003609FB" w:rsidRDefault="00904B39" w:rsidP="00511118">
            <w:pPr>
              <w:pStyle w:val="Caption"/>
            </w:pPr>
            <w:bookmarkStart w:id="28" w:name="_Toc173148371"/>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4</w:t>
            </w:r>
            <w:r w:rsidR="00000000">
              <w:rPr>
                <w:noProof/>
              </w:rPr>
              <w:fldChar w:fldCharType="end"/>
            </w:r>
            <w:r>
              <w:t xml:space="preserve"> </w:t>
            </w:r>
            <w:r w:rsidRPr="00E84AC3">
              <w:t xml:space="preserve">Abiotic growth media modeled in zero </w:t>
            </w:r>
            <w:r w:rsidR="00F52F1E" w:rsidRPr="003609FB">
              <w:t>H</w:t>
            </w:r>
            <w:r w:rsidR="00F52F1E" w:rsidRPr="00351FC4">
              <w:rPr>
                <w:vertAlign w:val="subscript"/>
              </w:rPr>
              <w:t>2</w:t>
            </w:r>
            <w:r w:rsidR="00F52F1E" w:rsidRPr="003609FB">
              <w:t>O</w:t>
            </w:r>
            <w:r w:rsidR="00F52F1E" w:rsidRPr="00351FC4">
              <w:rPr>
                <w:vertAlign w:val="subscript"/>
              </w:rPr>
              <w:t>2</w:t>
            </w:r>
            <w:r w:rsidRPr="00E84AC3">
              <w:t xml:space="preserve"> spike</w:t>
            </w:r>
            <w:bookmarkEnd w:id="28"/>
          </w:p>
        </w:tc>
      </w:tr>
      <w:tr w:rsidR="005E185F" w:rsidRPr="003609FB" w14:paraId="7A2F2533" w14:textId="77777777" w:rsidTr="009F64F4">
        <w:tc>
          <w:tcPr>
            <w:tcW w:w="9576" w:type="dxa"/>
            <w:tcBorders>
              <w:top w:val="nil"/>
              <w:left w:val="nil"/>
              <w:bottom w:val="nil"/>
              <w:right w:val="nil"/>
            </w:tcBorders>
          </w:tcPr>
          <w:p w14:paraId="3FF37729" w14:textId="0B952A45"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Model-data comparison for cell free media with zero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 assay a) laboratory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measurements (connected pink symbols), model fit (red line), and model uncertainty (grey lines) </w:t>
            </w:r>
            <w:proofErr w:type="spellStart"/>
            <w:r w:rsidRPr="003609FB">
              <w:rPr>
                <w:rFonts w:ascii="Times New Roman" w:hAnsi="Times New Roman" w:cs="Times New Roman"/>
                <w:sz w:val="24"/>
                <w:szCs w:val="24"/>
              </w:rPr>
              <w:t>b,c</w:t>
            </w:r>
            <w:proofErr w:type="spellEnd"/>
            <w:r w:rsidRPr="003609FB">
              <w:rPr>
                <w:rFonts w:ascii="Times New Roman" w:hAnsi="Times New Roman" w:cs="Times New Roman"/>
                <w:sz w:val="24"/>
                <w:szCs w:val="24"/>
              </w:rPr>
              <w:t xml:space="preserve">) histograms representing uncertainty in estimates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supply rate (S</w:t>
            </w:r>
            <w:r w:rsidRPr="00916DA4">
              <w:rPr>
                <w:rFonts w:ascii="Times New Roman" w:hAnsi="Times New Roman" w:cs="Times New Roman"/>
                <w:sz w:val="24"/>
                <w:szCs w:val="24"/>
                <w:vertAlign w:val="subscript"/>
              </w:rPr>
              <w:t>H</w:t>
            </w:r>
            <w:r w:rsidR="00916DA4">
              <w:rPr>
                <w:rFonts w:ascii="Times New Roman" w:hAnsi="Times New Roman" w:cs="Times New Roman"/>
                <w:sz w:val="24"/>
                <w:szCs w:val="24"/>
              </w:rPr>
              <w:t>,</w:t>
            </w:r>
            <w:r w:rsidRPr="003609FB">
              <w:rPr>
                <w:rFonts w:ascii="Times New Roman" w:hAnsi="Times New Roman" w:cs="Times New Roman"/>
                <w:sz w:val="24"/>
                <w:szCs w:val="24"/>
              </w:rPr>
              <w:t xml:space="preserve"> </w:t>
            </w:r>
            <m:oMath>
              <m:r>
                <w:rPr>
                  <w:rFonts w:ascii="Cambria Math" w:hAnsi="Cambria Math" w:cs="Times New Roman"/>
                  <w:sz w:val="24"/>
                  <w:szCs w:val="24"/>
                </w:rPr>
                <m:t>nmol</m:t>
              </m:r>
              <m:sSup>
                <m:sSupPr>
                  <m:ctrlPr>
                    <w:rPr>
                      <w:rFonts w:ascii="Cambria Math" w:hAnsi="Cambria Math" w:cs="Times New Roman"/>
                      <w:sz w:val="24"/>
                      <w:szCs w:val="24"/>
                    </w:rPr>
                  </m:ctrlPr>
                </m:sSupPr>
                <m:e>
                  <m:r>
                    <w:rPr>
                      <w:rFonts w:ascii="Cambria Math" w:hAnsi="Cambria Math" w:cs="Times New Roman"/>
                      <w:sz w:val="24"/>
                      <w:szCs w:val="24"/>
                    </w:rPr>
                    <m:t xml:space="preserve"> ml</m:t>
                  </m:r>
                </m:e>
                <m:sup>
                  <m:r>
                    <w:rPr>
                      <w:rFonts w:ascii="Cambria Math" w:hAnsi="Cambria Math" w:cs="Times New Roman"/>
                      <w:sz w:val="24"/>
                      <w:szCs w:val="24"/>
                    </w:rPr>
                    <m:t>-1</m:t>
                  </m:r>
                </m:sup>
              </m:sSup>
              <m:sSup>
                <m:sSupPr>
                  <m:ctrlPr>
                    <w:rPr>
                      <w:rFonts w:ascii="Cambria Math" w:hAnsi="Cambria Math" w:cs="Times New Roman"/>
                      <w:sz w:val="24"/>
                      <w:szCs w:val="24"/>
                    </w:rPr>
                  </m:ctrlPr>
                </m:sSupPr>
                <m:e>
                  <m:r>
                    <w:rPr>
                      <w:rFonts w:ascii="Cambria Math" w:hAnsi="Cambria Math" w:cs="Times New Roman"/>
                      <w:sz w:val="24"/>
                      <w:szCs w:val="24"/>
                    </w:rPr>
                    <m:t>day</m:t>
                  </m:r>
                </m:e>
                <m:sup>
                  <m:r>
                    <w:rPr>
                      <w:rFonts w:ascii="Cambria Math" w:hAnsi="Cambria Math" w:cs="Times New Roman"/>
                      <w:sz w:val="24"/>
                      <w:szCs w:val="24"/>
                    </w:rPr>
                    <m:t>-1</m:t>
                  </m:r>
                </m:sup>
              </m:sSup>
            </m:oMath>
            <w:r w:rsidRPr="003609FB">
              <w:rPr>
                <w:rFonts w:ascii="Times New Roman" w:hAnsi="Times New Roman" w:cs="Times New Roman"/>
                <w:sz w:val="24"/>
                <w:szCs w:val="24"/>
              </w:rPr>
              <w:t>) and decay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day</m:t>
                  </m:r>
                </m:e>
                <m:sup>
                  <m:r>
                    <w:rPr>
                      <w:rFonts w:ascii="Cambria Math" w:hAnsi="Cambria Math" w:cs="Times New Roman"/>
                      <w:sz w:val="24"/>
                      <w:szCs w:val="24"/>
                    </w:rPr>
                    <m:t>-1</m:t>
                  </m:r>
                </m:sup>
              </m:sSup>
            </m:oMath>
            <w:r w:rsidRPr="003609FB">
              <w:rPr>
                <w:rFonts w:ascii="Times New Roman" w:hAnsi="Times New Roman" w:cs="Times New Roman"/>
                <w:sz w:val="24"/>
                <w:szCs w:val="24"/>
              </w:rPr>
              <w:t>).</w:t>
            </w:r>
          </w:p>
        </w:tc>
      </w:tr>
    </w:tbl>
    <w:p w14:paraId="7C7A64C9" w14:textId="5617502E" w:rsidR="005E185F" w:rsidRDefault="005E185F" w:rsidP="00AB2160">
      <w:pPr>
        <w:spacing w:line="360" w:lineRule="auto"/>
        <w:rPr>
          <w:rFonts w:ascii="Times New Roman" w:hAnsi="Times New Roman" w:cs="Times New Roman"/>
          <w:sz w:val="24"/>
          <w:szCs w:val="24"/>
        </w:rPr>
      </w:pPr>
    </w:p>
    <w:p w14:paraId="576BDEA9" w14:textId="6049CD16" w:rsidR="00842240" w:rsidRDefault="00842240" w:rsidP="00AB2160">
      <w:pPr>
        <w:spacing w:line="360" w:lineRule="auto"/>
        <w:rPr>
          <w:rFonts w:ascii="Times New Roman" w:hAnsi="Times New Roman" w:cs="Times New Roman"/>
          <w:sz w:val="24"/>
          <w:szCs w:val="24"/>
        </w:rPr>
      </w:pPr>
    </w:p>
    <w:p w14:paraId="0A4DC114" w14:textId="63F4C7F2" w:rsidR="00842240" w:rsidRDefault="00842240" w:rsidP="00AB2160">
      <w:pPr>
        <w:spacing w:line="360" w:lineRule="auto"/>
        <w:rPr>
          <w:rFonts w:ascii="Times New Roman" w:hAnsi="Times New Roman" w:cs="Times New Roman"/>
          <w:sz w:val="24"/>
          <w:szCs w:val="24"/>
        </w:rPr>
      </w:pPr>
    </w:p>
    <w:p w14:paraId="40A78B25" w14:textId="7691EA6C" w:rsidR="00842240" w:rsidRDefault="00842240" w:rsidP="00AB2160">
      <w:pPr>
        <w:spacing w:line="360" w:lineRule="auto"/>
        <w:rPr>
          <w:rFonts w:ascii="Times New Roman" w:hAnsi="Times New Roman" w:cs="Times New Roman"/>
          <w:sz w:val="24"/>
          <w:szCs w:val="24"/>
        </w:rPr>
      </w:pPr>
    </w:p>
    <w:p w14:paraId="56DB2539" w14:textId="302FDC71" w:rsidR="00842240" w:rsidRDefault="00842240" w:rsidP="00AB2160">
      <w:pPr>
        <w:spacing w:line="360" w:lineRule="auto"/>
        <w:rPr>
          <w:rFonts w:ascii="Times New Roman" w:hAnsi="Times New Roman" w:cs="Times New Roman"/>
          <w:sz w:val="24"/>
          <w:szCs w:val="24"/>
        </w:rPr>
      </w:pPr>
    </w:p>
    <w:p w14:paraId="3728A1A2" w14:textId="2CCDA1BD" w:rsidR="00842240" w:rsidRDefault="00842240" w:rsidP="00AB2160">
      <w:pPr>
        <w:spacing w:line="360" w:lineRule="auto"/>
        <w:rPr>
          <w:rFonts w:ascii="Times New Roman" w:hAnsi="Times New Roman" w:cs="Times New Roman"/>
          <w:sz w:val="24"/>
          <w:szCs w:val="24"/>
        </w:rPr>
      </w:pPr>
    </w:p>
    <w:p w14:paraId="67C299FD" w14:textId="2F9A5FF2" w:rsidR="00842240" w:rsidRDefault="00842240" w:rsidP="00AB2160">
      <w:pPr>
        <w:spacing w:line="360" w:lineRule="auto"/>
        <w:rPr>
          <w:rFonts w:ascii="Times New Roman" w:hAnsi="Times New Roman" w:cs="Times New Roman"/>
          <w:sz w:val="24"/>
          <w:szCs w:val="24"/>
        </w:rPr>
      </w:pPr>
    </w:p>
    <w:p w14:paraId="505F8302" w14:textId="7B31B120" w:rsidR="00842240" w:rsidRDefault="00842240" w:rsidP="00AB2160">
      <w:pPr>
        <w:spacing w:line="360" w:lineRule="auto"/>
        <w:rPr>
          <w:rFonts w:ascii="Times New Roman" w:hAnsi="Times New Roman" w:cs="Times New Roman"/>
          <w:sz w:val="24"/>
          <w:szCs w:val="24"/>
        </w:rPr>
      </w:pPr>
    </w:p>
    <w:p w14:paraId="3C650AD1" w14:textId="0B5CC6E0" w:rsidR="00842240" w:rsidRDefault="00842240" w:rsidP="00AB2160">
      <w:pPr>
        <w:spacing w:line="360" w:lineRule="auto"/>
        <w:rPr>
          <w:rFonts w:ascii="Times New Roman" w:hAnsi="Times New Roman" w:cs="Times New Roman"/>
          <w:sz w:val="24"/>
          <w:szCs w:val="24"/>
        </w:rPr>
      </w:pPr>
    </w:p>
    <w:p w14:paraId="014635C7" w14:textId="7D89C1D2" w:rsidR="00842240" w:rsidRDefault="00842240" w:rsidP="00AB2160">
      <w:pPr>
        <w:spacing w:line="360" w:lineRule="auto"/>
        <w:rPr>
          <w:rFonts w:ascii="Times New Roman" w:hAnsi="Times New Roman" w:cs="Times New Roman"/>
          <w:sz w:val="24"/>
          <w:szCs w:val="24"/>
        </w:rPr>
      </w:pPr>
    </w:p>
    <w:p w14:paraId="28DD8DC7" w14:textId="5694CD4E" w:rsidR="00842240" w:rsidRDefault="00842240" w:rsidP="00AB2160">
      <w:pPr>
        <w:spacing w:line="360" w:lineRule="auto"/>
        <w:rPr>
          <w:rFonts w:ascii="Times New Roman" w:hAnsi="Times New Roman" w:cs="Times New Roman"/>
          <w:sz w:val="24"/>
          <w:szCs w:val="24"/>
        </w:rPr>
      </w:pPr>
    </w:p>
    <w:tbl>
      <w:tblPr>
        <w:tblStyle w:val="TableGrid"/>
        <w:tblW w:w="9576" w:type="dxa"/>
        <w:tblLayout w:type="fixed"/>
        <w:tblLook w:val="04A0" w:firstRow="1" w:lastRow="0" w:firstColumn="1" w:lastColumn="0" w:noHBand="0" w:noVBand="1"/>
      </w:tblPr>
      <w:tblGrid>
        <w:gridCol w:w="9576"/>
      </w:tblGrid>
      <w:tr w:rsidR="00CA3AA8" w:rsidRPr="003609FB" w14:paraId="6BE9EAEE" w14:textId="77777777" w:rsidTr="003C5E4E">
        <w:tc>
          <w:tcPr>
            <w:tcW w:w="9576" w:type="dxa"/>
            <w:tcBorders>
              <w:top w:val="nil"/>
              <w:left w:val="nil"/>
              <w:bottom w:val="nil"/>
              <w:right w:val="nil"/>
            </w:tcBorders>
          </w:tcPr>
          <w:p w14:paraId="2354F6F9" w14:textId="5D35CF39" w:rsidR="00CA3AA8" w:rsidRDefault="009862EC" w:rsidP="003C5E4E">
            <w:pPr>
              <w:keepNext/>
              <w:spacing w:line="360" w:lineRule="auto"/>
            </w:pPr>
            <w:r w:rsidRPr="009862EC">
              <w:rPr>
                <w:noProof/>
              </w:rPr>
              <w:lastRenderedPageBreak/>
              <w:drawing>
                <wp:inline distT="0" distB="0" distL="0" distR="0" wp14:anchorId="745BA3E8" wp14:editId="0A756190">
                  <wp:extent cx="5931253" cy="2184400"/>
                  <wp:effectExtent l="0" t="0" r="0" b="0"/>
                  <wp:docPr id="2059388813" name="Picture 205938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7265" t="7692" r="9188"/>
                          <a:stretch/>
                        </pic:blipFill>
                        <pic:spPr bwMode="auto">
                          <a:xfrm>
                            <a:off x="0" y="0"/>
                            <a:ext cx="5933758" cy="2185323"/>
                          </a:xfrm>
                          <a:prstGeom prst="rect">
                            <a:avLst/>
                          </a:prstGeom>
                          <a:ln>
                            <a:noFill/>
                          </a:ln>
                          <a:extLst>
                            <a:ext uri="{53640926-AAD7-44D8-BBD7-CCE9431645EC}">
                              <a14:shadowObscured xmlns:a14="http://schemas.microsoft.com/office/drawing/2010/main"/>
                            </a:ext>
                          </a:extLst>
                        </pic:spPr>
                      </pic:pic>
                    </a:graphicData>
                  </a:graphic>
                </wp:inline>
              </w:drawing>
            </w:r>
          </w:p>
          <w:p w14:paraId="0D936DDA" w14:textId="6F94EF59" w:rsidR="00CA3AA8" w:rsidRPr="003609FB" w:rsidRDefault="00CA3AA8" w:rsidP="00511118">
            <w:pPr>
              <w:pStyle w:val="Caption"/>
            </w:pPr>
            <w:bookmarkStart w:id="29" w:name="_Toc173148372"/>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5</w:t>
            </w:r>
            <w:r w:rsidR="00000000">
              <w:rPr>
                <w:noProof/>
              </w:rPr>
              <w:fldChar w:fldCharType="end"/>
            </w:r>
            <w:r>
              <w:t xml:space="preserve"> </w:t>
            </w:r>
            <w:r w:rsidRPr="005357D9">
              <w:t xml:space="preserve">Abiotic spiked media modeled in 400nM </w:t>
            </w:r>
            <w:r w:rsidRPr="003609FB">
              <w:t>H</w:t>
            </w:r>
            <w:r w:rsidRPr="00351FC4">
              <w:rPr>
                <w:vertAlign w:val="subscript"/>
              </w:rPr>
              <w:t>2</w:t>
            </w:r>
            <w:r w:rsidRPr="003609FB">
              <w:t>O</w:t>
            </w:r>
            <w:r w:rsidRPr="00351FC4">
              <w:rPr>
                <w:vertAlign w:val="subscript"/>
              </w:rPr>
              <w:t>2</w:t>
            </w:r>
            <w:r w:rsidRPr="003609FB">
              <w:t xml:space="preserve"> </w:t>
            </w:r>
            <w:r w:rsidRPr="005357D9">
              <w:t>spike</w:t>
            </w:r>
            <w:bookmarkEnd w:id="29"/>
          </w:p>
        </w:tc>
      </w:tr>
      <w:tr w:rsidR="00CA3AA8" w:rsidRPr="003609FB" w14:paraId="36F3AD82" w14:textId="77777777" w:rsidTr="003C5E4E">
        <w:tc>
          <w:tcPr>
            <w:tcW w:w="9576" w:type="dxa"/>
            <w:tcBorders>
              <w:top w:val="nil"/>
              <w:left w:val="nil"/>
              <w:bottom w:val="nil"/>
              <w:right w:val="nil"/>
            </w:tcBorders>
          </w:tcPr>
          <w:p w14:paraId="07E6A925" w14:textId="164AD10E" w:rsidR="00CA3AA8" w:rsidRPr="003609FB" w:rsidRDefault="00CA3AA8" w:rsidP="003C5E4E">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Model-data comparison for cell free media with 400 </w:t>
            </w:r>
            <w:proofErr w:type="spellStart"/>
            <w:r w:rsidRPr="003609FB">
              <w:rPr>
                <w:rFonts w:ascii="Times New Roman" w:hAnsi="Times New Roman" w:cs="Times New Roman"/>
                <w:sz w:val="24"/>
                <w:szCs w:val="24"/>
              </w:rPr>
              <w:t>nM</w:t>
            </w:r>
            <w:proofErr w:type="spellEnd"/>
            <w:r w:rsidRPr="003609FB">
              <w:rPr>
                <w:rFonts w:ascii="Times New Roman" w:hAnsi="Times New Roman" w:cs="Times New Roman"/>
                <w:sz w:val="24"/>
                <w:szCs w:val="24"/>
              </w:rPr>
              <w:t xml:space="preserv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 assay a) laboratory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measurements (connected blue symbols), model fit (black line), and model uncertainty (grey lines) </w:t>
            </w:r>
            <w:proofErr w:type="spellStart"/>
            <w:r w:rsidRPr="003609FB">
              <w:rPr>
                <w:rFonts w:ascii="Times New Roman" w:hAnsi="Times New Roman" w:cs="Times New Roman"/>
                <w:sz w:val="24"/>
                <w:szCs w:val="24"/>
              </w:rPr>
              <w:t>b,c</w:t>
            </w:r>
            <w:proofErr w:type="spellEnd"/>
            <w:r w:rsidRPr="003609FB">
              <w:rPr>
                <w:rFonts w:ascii="Times New Roman" w:hAnsi="Times New Roman" w:cs="Times New Roman"/>
                <w:sz w:val="24"/>
                <w:szCs w:val="24"/>
              </w:rPr>
              <w:t xml:space="preserve">) histograms representing uncertainty in estimates of </w:t>
            </w:r>
            <w:r w:rsidR="002E4A7A" w:rsidRPr="003609FB">
              <w:rPr>
                <w:rFonts w:ascii="Times New Roman" w:hAnsi="Times New Roman" w:cs="Times New Roman"/>
                <w:sz w:val="24"/>
                <w:szCs w:val="24"/>
              </w:rPr>
              <w:t>H</w:t>
            </w:r>
            <w:r w:rsidR="002E4A7A" w:rsidRPr="00351FC4">
              <w:rPr>
                <w:rFonts w:ascii="Times New Roman" w:hAnsi="Times New Roman" w:cs="Times New Roman"/>
                <w:sz w:val="24"/>
                <w:szCs w:val="24"/>
                <w:vertAlign w:val="subscript"/>
              </w:rPr>
              <w:t>2</w:t>
            </w:r>
            <w:r w:rsidR="002E4A7A" w:rsidRPr="003609FB">
              <w:rPr>
                <w:rFonts w:ascii="Times New Roman" w:hAnsi="Times New Roman" w:cs="Times New Roman"/>
                <w:sz w:val="24"/>
                <w:szCs w:val="24"/>
              </w:rPr>
              <w:t>O</w:t>
            </w:r>
            <w:r w:rsidR="002E4A7A" w:rsidRPr="00351FC4">
              <w:rPr>
                <w:rFonts w:ascii="Times New Roman" w:hAnsi="Times New Roman" w:cs="Times New Roman"/>
                <w:sz w:val="24"/>
                <w:szCs w:val="24"/>
                <w:vertAlign w:val="subscript"/>
              </w:rPr>
              <w:t>2</w:t>
            </w:r>
            <w:r w:rsidR="002E4A7A" w:rsidRPr="003609FB">
              <w:rPr>
                <w:rFonts w:ascii="Times New Roman" w:hAnsi="Times New Roman" w:cs="Times New Roman"/>
                <w:sz w:val="24"/>
                <w:szCs w:val="24"/>
              </w:rPr>
              <w:t xml:space="preserve"> supply rate (S</w:t>
            </w:r>
            <w:r w:rsidR="002E4A7A" w:rsidRPr="00916DA4">
              <w:rPr>
                <w:rFonts w:ascii="Times New Roman" w:hAnsi="Times New Roman" w:cs="Times New Roman"/>
                <w:sz w:val="24"/>
                <w:szCs w:val="24"/>
                <w:vertAlign w:val="subscript"/>
              </w:rPr>
              <w:t>H</w:t>
            </w:r>
            <w:r w:rsidR="002E4A7A">
              <w:rPr>
                <w:rFonts w:ascii="Times New Roman" w:hAnsi="Times New Roman" w:cs="Times New Roman"/>
                <w:sz w:val="24"/>
                <w:szCs w:val="24"/>
              </w:rPr>
              <w:t>,</w:t>
            </w:r>
            <w:r w:rsidR="002E4A7A" w:rsidRPr="003609FB">
              <w:rPr>
                <w:rFonts w:ascii="Times New Roman" w:hAnsi="Times New Roman" w:cs="Times New Roman"/>
                <w:sz w:val="24"/>
                <w:szCs w:val="24"/>
              </w:rPr>
              <w:t xml:space="preserve"> </w:t>
            </w:r>
            <m:oMath>
              <m:r>
                <w:rPr>
                  <w:rFonts w:ascii="Cambria Math" w:hAnsi="Cambria Math"/>
                  <w:sz w:val="24"/>
                  <w:szCs w:val="24"/>
                </w:rPr>
                <m:t>nmol</m:t>
              </m:r>
              <m:sSup>
                <m:sSupPr>
                  <m:ctrlPr>
                    <w:rPr>
                      <w:rFonts w:ascii="Cambria Math" w:hAnsi="Cambria Math"/>
                      <w:sz w:val="24"/>
                      <w:szCs w:val="24"/>
                    </w:rPr>
                  </m:ctrlPr>
                </m:sSupPr>
                <m:e>
                  <m:r>
                    <w:rPr>
                      <w:rFonts w:ascii="Cambria Math" w:hAnsi="Cambria Math"/>
                      <w:sz w:val="24"/>
                      <w:szCs w:val="24"/>
                    </w:rPr>
                    <m:t xml:space="preserve"> ml</m:t>
                  </m:r>
                </m:e>
                <m:sup>
                  <m:r>
                    <w:rPr>
                      <w:rFonts w:ascii="Cambria Math" w:hAnsi="Cambria Math"/>
                      <w:sz w:val="24"/>
                      <w:szCs w:val="24"/>
                    </w:rPr>
                    <m:t>-1</m:t>
                  </m:r>
                </m:sup>
              </m:sSup>
              <m:sSup>
                <m:sSupPr>
                  <m:ctrlPr>
                    <w:rPr>
                      <w:rFonts w:ascii="Cambria Math" w:hAnsi="Cambria Math"/>
                      <w:sz w:val="24"/>
                      <w:szCs w:val="24"/>
                    </w:rPr>
                  </m:ctrlPr>
                </m:sSupPr>
                <m:e>
                  <m:r>
                    <w:rPr>
                      <w:rFonts w:ascii="Cambria Math" w:hAnsi="Cambria Math"/>
                      <w:sz w:val="24"/>
                      <w:szCs w:val="24"/>
                    </w:rPr>
                    <m:t>day</m:t>
                  </m:r>
                </m:e>
                <m:sup>
                  <m:r>
                    <w:rPr>
                      <w:rFonts w:ascii="Cambria Math" w:hAnsi="Cambria Math"/>
                      <w:sz w:val="24"/>
                      <w:szCs w:val="24"/>
                    </w:rPr>
                    <m:t>-1</m:t>
                  </m:r>
                </m:sup>
              </m:sSup>
            </m:oMath>
            <w:r w:rsidR="002E4A7A" w:rsidRPr="003609FB">
              <w:rPr>
                <w:rFonts w:ascii="Times New Roman" w:hAnsi="Times New Roman" w:cs="Times New Roman"/>
                <w:sz w:val="24"/>
                <w:szCs w:val="24"/>
              </w:rPr>
              <w:t>) and decay (</w:t>
            </w:r>
            <m:oMath>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day</m:t>
                  </m:r>
                </m:e>
                <m:sup>
                  <m:r>
                    <w:rPr>
                      <w:rFonts w:ascii="Cambria Math" w:hAnsi="Cambria Math" w:cs="Times New Roman"/>
                      <w:sz w:val="24"/>
                      <w:szCs w:val="24"/>
                    </w:rPr>
                    <m:t>-1</m:t>
                  </m:r>
                </m:sup>
              </m:sSup>
            </m:oMath>
            <w:r w:rsidR="002E4A7A">
              <w:rPr>
                <w:rFonts w:ascii="Times New Roman" w:hAnsi="Times New Roman" w:cs="Times New Roman"/>
                <w:sz w:val="24"/>
                <w:szCs w:val="24"/>
              </w:rPr>
              <w:t xml:space="preserve">) </w:t>
            </w:r>
            <w:r w:rsidRPr="003609FB">
              <w:rPr>
                <w:rFonts w:ascii="Times New Roman" w:hAnsi="Times New Roman" w:cs="Times New Roman"/>
                <w:sz w:val="24"/>
                <w:szCs w:val="24"/>
              </w:rPr>
              <w:t>respectively.</w:t>
            </w:r>
          </w:p>
        </w:tc>
      </w:tr>
    </w:tbl>
    <w:p w14:paraId="25950427" w14:textId="05D82126" w:rsidR="00842240" w:rsidRDefault="00842240" w:rsidP="00AB2160">
      <w:pPr>
        <w:spacing w:line="360" w:lineRule="auto"/>
        <w:rPr>
          <w:rFonts w:ascii="Times New Roman" w:hAnsi="Times New Roman" w:cs="Times New Roman"/>
          <w:sz w:val="24"/>
          <w:szCs w:val="24"/>
        </w:rPr>
      </w:pPr>
    </w:p>
    <w:p w14:paraId="4F7C5DC9" w14:textId="7126BD96" w:rsidR="00CA3AA8" w:rsidRDefault="00CA3AA8" w:rsidP="00AB2160">
      <w:pPr>
        <w:spacing w:line="360" w:lineRule="auto"/>
        <w:rPr>
          <w:rFonts w:ascii="Times New Roman" w:hAnsi="Times New Roman" w:cs="Times New Roman"/>
          <w:sz w:val="24"/>
          <w:szCs w:val="24"/>
        </w:rPr>
      </w:pPr>
    </w:p>
    <w:p w14:paraId="76440DF6" w14:textId="2BD89AEB" w:rsidR="00CA3AA8" w:rsidRDefault="00CA3AA8" w:rsidP="00AB2160">
      <w:pPr>
        <w:spacing w:line="360" w:lineRule="auto"/>
        <w:rPr>
          <w:rFonts w:ascii="Times New Roman" w:hAnsi="Times New Roman" w:cs="Times New Roman"/>
          <w:sz w:val="24"/>
          <w:szCs w:val="24"/>
        </w:rPr>
      </w:pPr>
    </w:p>
    <w:p w14:paraId="2FBBE949" w14:textId="56F16D09" w:rsidR="00CA3AA8" w:rsidRDefault="00CA3AA8" w:rsidP="00AB2160">
      <w:pPr>
        <w:spacing w:line="360" w:lineRule="auto"/>
        <w:rPr>
          <w:rFonts w:ascii="Times New Roman" w:hAnsi="Times New Roman" w:cs="Times New Roman"/>
          <w:sz w:val="24"/>
          <w:szCs w:val="24"/>
        </w:rPr>
      </w:pPr>
    </w:p>
    <w:p w14:paraId="06F0D21B" w14:textId="5FB9157F" w:rsidR="00CA3AA8" w:rsidRDefault="00CA3AA8" w:rsidP="00AB2160">
      <w:pPr>
        <w:spacing w:line="360" w:lineRule="auto"/>
        <w:rPr>
          <w:rFonts w:ascii="Times New Roman" w:hAnsi="Times New Roman" w:cs="Times New Roman"/>
          <w:sz w:val="24"/>
          <w:szCs w:val="24"/>
        </w:rPr>
      </w:pPr>
    </w:p>
    <w:p w14:paraId="5A7A921C" w14:textId="2B44285F" w:rsidR="00CA3AA8" w:rsidRDefault="00CA3AA8" w:rsidP="00AB2160">
      <w:pPr>
        <w:spacing w:line="360" w:lineRule="auto"/>
        <w:rPr>
          <w:rFonts w:ascii="Times New Roman" w:hAnsi="Times New Roman" w:cs="Times New Roman"/>
          <w:sz w:val="24"/>
          <w:szCs w:val="24"/>
        </w:rPr>
      </w:pPr>
    </w:p>
    <w:p w14:paraId="70CD8313" w14:textId="172A6372" w:rsidR="00CA3AA8" w:rsidRDefault="00CA3AA8" w:rsidP="00AB2160">
      <w:pPr>
        <w:spacing w:line="360" w:lineRule="auto"/>
        <w:rPr>
          <w:rFonts w:ascii="Times New Roman" w:hAnsi="Times New Roman" w:cs="Times New Roman"/>
          <w:sz w:val="24"/>
          <w:szCs w:val="24"/>
        </w:rPr>
      </w:pPr>
    </w:p>
    <w:p w14:paraId="5035C37C" w14:textId="77777777" w:rsidR="00CA3AA8" w:rsidRDefault="00CA3AA8" w:rsidP="00AB2160">
      <w:pPr>
        <w:spacing w:line="360" w:lineRule="auto"/>
        <w:rPr>
          <w:rFonts w:ascii="Times New Roman" w:hAnsi="Times New Roman" w:cs="Times New Roman"/>
          <w:sz w:val="24"/>
          <w:szCs w:val="24"/>
        </w:rPr>
      </w:pPr>
    </w:p>
    <w:p w14:paraId="3452A4C9" w14:textId="5E8DA837" w:rsidR="00842240" w:rsidRDefault="00842240"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5000" w:type="pct"/>
        <w:tblLook w:val="04A0" w:firstRow="1" w:lastRow="0" w:firstColumn="1" w:lastColumn="0" w:noHBand="0" w:noVBand="1"/>
      </w:tblPr>
      <w:tblGrid>
        <w:gridCol w:w="9360"/>
      </w:tblGrid>
      <w:tr w:rsidR="000A52CE" w:rsidRPr="003609FB" w14:paraId="63A119BC" w14:textId="77777777" w:rsidTr="00EA00CF">
        <w:tc>
          <w:tcPr>
            <w:tcW w:w="5000" w:type="pct"/>
            <w:tcBorders>
              <w:top w:val="nil"/>
              <w:left w:val="nil"/>
              <w:bottom w:val="nil"/>
              <w:right w:val="nil"/>
            </w:tcBorders>
          </w:tcPr>
          <w:p w14:paraId="2C48102B" w14:textId="77777777" w:rsidR="000A52CE" w:rsidRPr="003609FB" w:rsidRDefault="000A52CE" w:rsidP="00EA00CF">
            <w:pPr>
              <w:spacing w:line="360" w:lineRule="auto"/>
              <w:rPr>
                <w:rFonts w:ascii="Times New Roman" w:hAnsi="Times New Roman" w:cs="Times New Roman"/>
                <w:sz w:val="24"/>
                <w:szCs w:val="24"/>
              </w:rPr>
            </w:pPr>
            <w:r w:rsidRPr="009A174A">
              <w:rPr>
                <w:rFonts w:ascii="Times New Roman" w:hAnsi="Times New Roman" w:cs="Times New Roman"/>
                <w:noProof/>
                <w:sz w:val="24"/>
                <w:szCs w:val="24"/>
              </w:rPr>
              <w:lastRenderedPageBreak/>
              <w:drawing>
                <wp:inline distT="0" distB="0" distL="0" distR="0" wp14:anchorId="634FB709" wp14:editId="042DC03F">
                  <wp:extent cx="5889642" cy="2070100"/>
                  <wp:effectExtent l="0" t="0" r="3175" b="0"/>
                  <wp:docPr id="2059388815" name="Picture 3" descr="A green graph with numbers and a green graph&#10;&#10;Description automatically generated with medium confidence">
                    <a:extLst xmlns:a="http://schemas.openxmlformats.org/drawingml/2006/main">
                      <a:ext uri="{FF2B5EF4-FFF2-40B4-BE49-F238E27FC236}">
                        <a16:creationId xmlns:a16="http://schemas.microsoft.com/office/drawing/2014/main" id="{689525F8-57A5-3E18-0F70-F5CE953CD3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15" name="Picture 3" descr="A green graph with numbers and a green graph&#10;&#10;Description automatically generated with medium confidence">
                            <a:extLst>
                              <a:ext uri="{FF2B5EF4-FFF2-40B4-BE49-F238E27FC236}">
                                <a16:creationId xmlns:a16="http://schemas.microsoft.com/office/drawing/2014/main" id="{689525F8-57A5-3E18-0F70-F5CE953CD3FB}"/>
                              </a:ext>
                            </a:extLst>
                          </pic:cNvPr>
                          <pic:cNvPicPr>
                            <a:picLocks noChangeAspect="1"/>
                          </pic:cNvPicPr>
                        </pic:nvPicPr>
                        <pic:blipFill rotWithShape="1">
                          <a:blip r:embed="rId32"/>
                          <a:srcRect l="6184" t="8955" r="7462"/>
                          <a:stretch/>
                        </pic:blipFill>
                        <pic:spPr bwMode="auto">
                          <a:xfrm>
                            <a:off x="0" y="0"/>
                            <a:ext cx="5897370" cy="20728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6653284" w14:textId="77777777" w:rsidR="000A52CE" w:rsidRDefault="000A52CE" w:rsidP="00511118">
      <w:pPr>
        <w:pStyle w:val="Caption"/>
      </w:pPr>
      <w:bookmarkStart w:id="30" w:name="_Toc167883570"/>
      <w:bookmarkStart w:id="31" w:name="_Toc173148373"/>
      <w:r>
        <w:t xml:space="preserve">Figure </w:t>
      </w:r>
      <w:r>
        <w:fldChar w:fldCharType="begin"/>
      </w:r>
      <w:r>
        <w:instrText xml:space="preserve"> STYLEREF 1 \s </w:instrText>
      </w:r>
      <w:r>
        <w:fldChar w:fldCharType="separate"/>
      </w:r>
      <w:r>
        <w:rPr>
          <w:noProof/>
          <w:cs/>
        </w:rPr>
        <w:t>‎</w:t>
      </w:r>
      <w:r>
        <w:rPr>
          <w:noProof/>
        </w:rPr>
        <w:t>2</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r>
        <w:t xml:space="preserve"> </w:t>
      </w:r>
      <w:r w:rsidRPr="00317B39">
        <w:t xml:space="preserve">Monoculture </w:t>
      </w:r>
      <w:r w:rsidRPr="004B5410">
        <w:rPr>
          <w:i/>
          <w:iCs/>
        </w:rPr>
        <w:t>Prochlorococcus</w:t>
      </w:r>
      <w:r w:rsidRPr="00317B39">
        <w:t xml:space="preserve"> </w:t>
      </w:r>
      <w:r>
        <w:t>dynamics modeled</w:t>
      </w:r>
      <w:r w:rsidRPr="00317B39">
        <w:t xml:space="preserve"> in growth </w:t>
      </w:r>
      <w:bookmarkEnd w:id="30"/>
      <w:r w:rsidRPr="00317B39">
        <w:t>media</w:t>
      </w:r>
      <w:r>
        <w:t xml:space="preserve"> without additional </w:t>
      </w:r>
      <w:r w:rsidRPr="003609FB">
        <w:t>H</w:t>
      </w:r>
      <w:r w:rsidRPr="00351FC4">
        <w:rPr>
          <w:vertAlign w:val="subscript"/>
        </w:rPr>
        <w:t>2</w:t>
      </w:r>
      <w:r w:rsidRPr="003609FB">
        <w:t>O</w:t>
      </w:r>
      <w:r w:rsidRPr="00351FC4">
        <w:rPr>
          <w:vertAlign w:val="subscript"/>
        </w:rPr>
        <w:t>2</w:t>
      </w:r>
      <w:r>
        <w:rPr>
          <w:vertAlign w:val="subscript"/>
        </w:rPr>
        <w:t xml:space="preserve">. </w:t>
      </w:r>
      <w:r w:rsidRPr="003609FB">
        <w:t xml:space="preserve">Laboratory batch culture dynamics of </w:t>
      </w:r>
      <w:r w:rsidRPr="00691B65">
        <w:rPr>
          <w:i/>
          <w:iCs/>
        </w:rPr>
        <w:t>Prochlorococcus</w:t>
      </w:r>
      <w:r w:rsidRPr="003609FB">
        <w:t xml:space="preserve"> (green line) and model searches (grey lines) with best-fit solution (red line) with zero H</w:t>
      </w:r>
      <w:r w:rsidRPr="00351FC4">
        <w:rPr>
          <w:vertAlign w:val="subscript"/>
        </w:rPr>
        <w:t>2</w:t>
      </w:r>
      <w:r w:rsidRPr="003609FB">
        <w:t>O</w:t>
      </w:r>
      <w:r w:rsidRPr="00351FC4">
        <w:rPr>
          <w:vertAlign w:val="subscript"/>
        </w:rPr>
        <w:t>2</w:t>
      </w:r>
      <w:r w:rsidRPr="003609FB">
        <w:t xml:space="preserve"> addition (a). Also shown are parameter posterior distributions for the initial population size</w:t>
      </w:r>
      <w:r>
        <w:t>, P</w:t>
      </w:r>
      <w:r>
        <w:rPr>
          <w:vertAlign w:val="subscript"/>
        </w:rPr>
        <w:t>0</w:t>
      </w:r>
      <w:r w:rsidRPr="003609FB">
        <w:t xml:space="preserve"> (b) and the exponential growth rate</w:t>
      </w:r>
      <w:r>
        <w:t xml:space="preserve">, </w:t>
      </w:r>
      <m:oMath>
        <m:sSub>
          <m:sSubPr>
            <m:ctrlPr>
              <w:rPr>
                <w:rFonts w:ascii="Cambria Math" w:hAnsi="Cambria Math"/>
              </w:rPr>
            </m:ctrlPr>
          </m:sSubPr>
          <m:e>
            <m:r>
              <w:rPr>
                <w:rFonts w:ascii="Cambria Math" w:hAnsi="Cambria Math"/>
              </w:rPr>
              <m:t>μ</m:t>
            </m:r>
          </m:e>
          <m:sub>
            <m:r>
              <w:rPr>
                <w:rFonts w:ascii="Cambria Math" w:hAnsi="Cambria Math"/>
              </w:rPr>
              <m:t>i</m:t>
            </m:r>
          </m:sub>
        </m:sSub>
      </m:oMath>
      <w:r w:rsidRPr="003609FB">
        <w:t xml:space="preserve"> (c).</w:t>
      </w:r>
      <w:r>
        <w:t xml:space="preserve"> </w:t>
      </w:r>
      <w:r w:rsidRPr="007C19AC">
        <w:rPr>
          <w:i/>
          <w:iCs/>
        </w:rPr>
        <w:t>i.e.</w:t>
      </w:r>
      <w:r>
        <w:rPr>
          <w:i/>
          <w:iCs/>
        </w:rPr>
        <w:t xml:space="preserve"> </w:t>
      </w:r>
      <w:r>
        <w:t>The range of possible model solutions (grey) and best fit (red line) shown in section a are represented in the width and medians of parameter, P</w:t>
      </w:r>
      <w:r>
        <w:rPr>
          <w:vertAlign w:val="subscript"/>
        </w:rPr>
        <w:t>0</w:t>
      </w:r>
      <w:r w:rsidRPr="003609FB">
        <w:t xml:space="preserve"> </w:t>
      </w:r>
      <w:r>
        <w:t xml:space="preserve">in b and </w:t>
      </w:r>
      <m:oMath>
        <m:sSub>
          <m:sSubPr>
            <m:ctrlPr>
              <w:rPr>
                <w:rFonts w:ascii="Cambria Math" w:hAnsi="Cambria Math"/>
              </w:rPr>
            </m:ctrlPr>
          </m:sSubPr>
          <m:e>
            <m:r>
              <w:rPr>
                <w:rFonts w:ascii="Cambria Math" w:hAnsi="Cambria Math"/>
              </w:rPr>
              <m:t>μ</m:t>
            </m:r>
          </m:e>
          <m:sub>
            <m:r>
              <w:rPr>
                <w:rFonts w:ascii="Cambria Math" w:hAnsi="Cambria Math"/>
              </w:rPr>
              <m:t>i</m:t>
            </m:r>
          </m:sub>
        </m:sSub>
      </m:oMath>
      <w:r>
        <w:t xml:space="preserve"> in c, value histograms.</w:t>
      </w:r>
      <w:bookmarkEnd w:id="31"/>
      <w:r>
        <w:t xml:space="preserve">   </w:t>
      </w:r>
    </w:p>
    <w:p w14:paraId="676B9D34" w14:textId="77777777" w:rsidR="00F71608" w:rsidRDefault="00F71608" w:rsidP="00AB2160">
      <w:pPr>
        <w:spacing w:line="360" w:lineRule="auto"/>
        <w:rPr>
          <w:rFonts w:ascii="Times New Roman" w:hAnsi="Times New Roman" w:cs="Times New Roman"/>
          <w:sz w:val="24"/>
          <w:szCs w:val="24"/>
        </w:rPr>
      </w:pPr>
    </w:p>
    <w:p w14:paraId="08B10667" w14:textId="77777777" w:rsidR="000A52CE" w:rsidRDefault="000A52CE" w:rsidP="00AB2160">
      <w:pPr>
        <w:spacing w:line="360" w:lineRule="auto"/>
        <w:rPr>
          <w:rFonts w:ascii="Times New Roman" w:hAnsi="Times New Roman" w:cs="Times New Roman"/>
          <w:sz w:val="24"/>
          <w:szCs w:val="24"/>
        </w:rPr>
      </w:pPr>
    </w:p>
    <w:p w14:paraId="20384EDB" w14:textId="77777777" w:rsidR="000A52CE" w:rsidRDefault="000A52CE" w:rsidP="00AB2160">
      <w:pPr>
        <w:spacing w:line="360" w:lineRule="auto"/>
        <w:rPr>
          <w:rFonts w:ascii="Times New Roman" w:hAnsi="Times New Roman" w:cs="Times New Roman"/>
          <w:sz w:val="24"/>
          <w:szCs w:val="24"/>
        </w:rPr>
      </w:pPr>
    </w:p>
    <w:p w14:paraId="4FE96E5C" w14:textId="77777777" w:rsidR="000A52CE" w:rsidRDefault="000A52CE" w:rsidP="00AB2160">
      <w:pPr>
        <w:spacing w:line="360" w:lineRule="auto"/>
        <w:rPr>
          <w:rFonts w:ascii="Times New Roman" w:hAnsi="Times New Roman" w:cs="Times New Roman"/>
          <w:sz w:val="24"/>
          <w:szCs w:val="24"/>
        </w:rPr>
      </w:pPr>
    </w:p>
    <w:p w14:paraId="0D3A1F1D" w14:textId="77777777" w:rsidR="000A52CE" w:rsidRDefault="000A52CE" w:rsidP="00AB2160">
      <w:pPr>
        <w:spacing w:line="360" w:lineRule="auto"/>
        <w:rPr>
          <w:rFonts w:ascii="Times New Roman" w:hAnsi="Times New Roman" w:cs="Times New Roman"/>
          <w:sz w:val="24"/>
          <w:szCs w:val="24"/>
        </w:rPr>
      </w:pPr>
    </w:p>
    <w:p w14:paraId="62CE6BCE" w14:textId="77777777" w:rsidR="000A52CE" w:rsidRDefault="000A52CE" w:rsidP="00AB2160">
      <w:pPr>
        <w:spacing w:line="360" w:lineRule="auto"/>
        <w:rPr>
          <w:rFonts w:ascii="Times New Roman" w:hAnsi="Times New Roman" w:cs="Times New Roman"/>
          <w:sz w:val="24"/>
          <w:szCs w:val="24"/>
        </w:rPr>
      </w:pPr>
    </w:p>
    <w:p w14:paraId="49158F3B" w14:textId="77777777" w:rsidR="000A52CE" w:rsidRDefault="000A52CE" w:rsidP="00AB2160">
      <w:pPr>
        <w:spacing w:line="360" w:lineRule="auto"/>
        <w:rPr>
          <w:rFonts w:ascii="Times New Roman" w:hAnsi="Times New Roman" w:cs="Times New Roman"/>
          <w:sz w:val="24"/>
          <w:szCs w:val="24"/>
        </w:rPr>
      </w:pPr>
    </w:p>
    <w:p w14:paraId="26F2CC49" w14:textId="77777777" w:rsidR="000A52CE" w:rsidRDefault="000A52CE" w:rsidP="00AB2160">
      <w:pPr>
        <w:spacing w:line="360" w:lineRule="auto"/>
        <w:rPr>
          <w:rFonts w:ascii="Times New Roman" w:hAnsi="Times New Roman" w:cs="Times New Roman"/>
          <w:sz w:val="24"/>
          <w:szCs w:val="24"/>
        </w:rPr>
      </w:pPr>
    </w:p>
    <w:p w14:paraId="01C2E293" w14:textId="77777777" w:rsidR="000A52CE" w:rsidRDefault="000A52CE" w:rsidP="00AB2160">
      <w:pPr>
        <w:spacing w:line="360" w:lineRule="auto"/>
        <w:rPr>
          <w:rFonts w:ascii="Times New Roman" w:hAnsi="Times New Roman" w:cs="Times New Roman"/>
          <w:sz w:val="24"/>
          <w:szCs w:val="24"/>
        </w:rPr>
      </w:pPr>
    </w:p>
    <w:p w14:paraId="0022E375" w14:textId="77777777" w:rsidR="000A52CE" w:rsidRPr="003609FB" w:rsidRDefault="000A52CE" w:rsidP="00AB2160">
      <w:pPr>
        <w:spacing w:line="360" w:lineRule="auto"/>
        <w:rPr>
          <w:rFonts w:ascii="Times New Roman" w:hAnsi="Times New Roman" w:cs="Times New Roman"/>
          <w:sz w:val="24"/>
          <w:szCs w:val="24"/>
        </w:rPr>
      </w:pPr>
    </w:p>
    <w:p w14:paraId="12B64775" w14:textId="0C816ADE" w:rsidR="00842240"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 </w:t>
      </w:r>
      <w:r w:rsidR="00F17DAA" w:rsidRPr="003609FB">
        <w:rPr>
          <w:rFonts w:ascii="Times New Roman" w:hAnsi="Times New Roman" w:cs="Times New Roman"/>
          <w:sz w:val="24"/>
          <w:szCs w:val="24"/>
        </w:rPr>
        <w:t>media with the addition of a H</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O</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 xml:space="preserve"> spike, we can quantify two H</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O</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-based parameters: the H</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O</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 xml:space="preserve"> specific rate of cell death,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00F17DAA" w:rsidRPr="003609FB">
        <w:rPr>
          <w:rFonts w:ascii="Times New Roman" w:hAnsi="Times New Roman" w:cs="Times New Roman"/>
          <w:sz w:val="24"/>
          <w:szCs w:val="24"/>
        </w:rPr>
        <w:t xml:space="preserve"> (Figure 2.5c), and the cell-specific rate of detoxification,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00F17DAA" w:rsidRPr="003609FB">
        <w:rPr>
          <w:rFonts w:ascii="Times New Roman" w:hAnsi="Times New Roman" w:cs="Times New Roman"/>
          <w:sz w:val="24"/>
          <w:szCs w:val="24"/>
        </w:rPr>
        <w:t xml:space="preserve"> (Figure 2.5f). Importantly, our model predicts vanishingly small values for </w:t>
      </w:r>
      <w:r w:rsidR="00F17DAA" w:rsidRPr="00691B65">
        <w:rPr>
          <w:rFonts w:ascii="Times New Roman" w:hAnsi="Times New Roman" w:cs="Times New Roman"/>
          <w:i/>
          <w:iCs/>
          <w:sz w:val="24"/>
          <w:szCs w:val="24"/>
        </w:rPr>
        <w:t>Prochlorococcus</w:t>
      </w:r>
      <w:r w:rsidR="00F17DAA" w:rsidRPr="003609F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max,P</m:t>
            </m:r>
          </m:sub>
        </m:sSub>
      </m:oMath>
      <w:r w:rsidR="00F17DAA" w:rsidRPr="003609FB">
        <w:rPr>
          <w:rFonts w:ascii="Times New Roman" w:hAnsi="Times New Roman" w:cs="Times New Roman"/>
          <w:sz w:val="24"/>
          <w:szCs w:val="24"/>
        </w:rPr>
        <w:t xml:space="preserve"> in Figure 2.5f indicating negligible detoxification of exogenous H</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O</w:t>
      </w:r>
      <w:r w:rsidR="00F17DAA" w:rsidRPr="00351FC4">
        <w:rPr>
          <w:rFonts w:ascii="Times New Roman" w:hAnsi="Times New Roman" w:cs="Times New Roman"/>
          <w:sz w:val="24"/>
          <w:szCs w:val="24"/>
          <w:vertAlign w:val="subscript"/>
        </w:rPr>
        <w:t>2</w:t>
      </w:r>
      <w:r w:rsidR="00F17DAA">
        <w:rPr>
          <w:rFonts w:ascii="Times New Roman" w:hAnsi="Times New Roman" w:cs="Times New Roman"/>
          <w:sz w:val="24"/>
          <w:szCs w:val="24"/>
          <w:vertAlign w:val="subscript"/>
        </w:rPr>
        <w:t xml:space="preserve"> </w:t>
      </w:r>
      <w:r w:rsidR="00F17DAA">
        <w:rPr>
          <w:rFonts w:ascii="Times New Roman" w:hAnsi="Times New Roman" w:cs="Times New Roman"/>
          <w:sz w:val="24"/>
          <w:szCs w:val="24"/>
        </w:rPr>
        <w:t>(</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max,p</m:t>
            </m:r>
          </m:sub>
        </m:sSub>
        <m:r>
          <w:rPr>
            <w:rFonts w:ascii="Cambria Math" w:hAnsi="Cambria Math" w:cs="Times New Roman"/>
            <w:sz w:val="24"/>
            <w:szCs w:val="24"/>
          </w:rPr>
          <m:t xml:space="preserve"> ~ 0)</m:t>
        </m:r>
      </m:oMath>
      <w:r w:rsidR="00F17DAA" w:rsidRPr="003609FB">
        <w:rPr>
          <w:rFonts w:ascii="Times New Roman" w:hAnsi="Times New Roman" w:cs="Times New Roman"/>
          <w:sz w:val="24"/>
          <w:szCs w:val="24"/>
        </w:rPr>
        <w:t xml:space="preserve">. This tracks with previous laboratory </w:t>
      </w:r>
      <w:r w:rsidR="00F17DAA" w:rsidRPr="00CE7353">
        <w:rPr>
          <w:rFonts w:ascii="Times New Roman" w:hAnsi="Times New Roman" w:cs="Times New Roman"/>
          <w:sz w:val="24"/>
          <w:szCs w:val="24"/>
        </w:rPr>
        <w:t xml:space="preserve">studies that signified </w:t>
      </w:r>
      <w:r w:rsidR="00F17DAA" w:rsidRPr="00691B65">
        <w:rPr>
          <w:rFonts w:ascii="Times New Roman" w:hAnsi="Times New Roman" w:cs="Times New Roman"/>
          <w:i/>
          <w:iCs/>
          <w:sz w:val="24"/>
          <w:szCs w:val="24"/>
        </w:rPr>
        <w:t>Prochlorococcus</w:t>
      </w:r>
      <w:r w:rsidR="00F17DAA" w:rsidRPr="003609FB">
        <w:rPr>
          <w:rFonts w:ascii="Times New Roman" w:hAnsi="Times New Roman" w:cs="Times New Roman"/>
          <w:sz w:val="24"/>
          <w:szCs w:val="24"/>
        </w:rPr>
        <w:t xml:space="preserve"> </w:t>
      </w:r>
      <w:r w:rsidR="00F17DAA" w:rsidRPr="00CE7353">
        <w:rPr>
          <w:rFonts w:ascii="Times New Roman" w:hAnsi="Times New Roman" w:cs="Times New Roman"/>
          <w:sz w:val="24"/>
          <w:szCs w:val="24"/>
        </w:rPr>
        <w:t xml:space="preserve">cannot grow alone in exogenous </w:t>
      </w:r>
      <w:r w:rsidR="00F17DAA" w:rsidRPr="003609FB">
        <w:rPr>
          <w:rFonts w:ascii="Times New Roman" w:hAnsi="Times New Roman" w:cs="Times New Roman"/>
          <w:sz w:val="24"/>
          <w:szCs w:val="24"/>
        </w:rPr>
        <w:t>H</w:t>
      </w:r>
      <w:r w:rsidR="00F17DAA" w:rsidRPr="00351FC4">
        <w:rPr>
          <w:rFonts w:ascii="Times New Roman" w:hAnsi="Times New Roman" w:cs="Times New Roman"/>
          <w:sz w:val="24"/>
          <w:szCs w:val="24"/>
          <w:vertAlign w:val="subscript"/>
        </w:rPr>
        <w:t>2</w:t>
      </w:r>
      <w:r w:rsidR="00F17DAA" w:rsidRPr="003609FB">
        <w:rPr>
          <w:rFonts w:ascii="Times New Roman" w:hAnsi="Times New Roman" w:cs="Times New Roman"/>
          <w:sz w:val="24"/>
          <w:szCs w:val="24"/>
        </w:rPr>
        <w:t>O</w:t>
      </w:r>
      <w:r w:rsidR="00F17DAA" w:rsidRPr="00351FC4">
        <w:rPr>
          <w:rFonts w:ascii="Times New Roman" w:hAnsi="Times New Roman" w:cs="Times New Roman"/>
          <w:sz w:val="24"/>
          <w:szCs w:val="24"/>
          <w:vertAlign w:val="subscript"/>
        </w:rPr>
        <w:t>2</w:t>
      </w:r>
      <w:r w:rsidR="00F17DAA" w:rsidRPr="00CE7353">
        <w:rPr>
          <w:rFonts w:ascii="Times New Roman" w:hAnsi="Times New Roman" w:cs="Times New Roman"/>
          <w:sz w:val="24"/>
          <w:szCs w:val="24"/>
        </w:rPr>
        <w:t xml:space="preserve"> above 400nM </w:t>
      </w:r>
      <w:r w:rsidR="00F17DAA" w:rsidRPr="00CE7353">
        <w:rPr>
          <w:rFonts w:ascii="Times New Roman" w:hAnsi="Times New Roman" w:cs="Times New Roman"/>
          <w:sz w:val="24"/>
          <w:szCs w:val="24"/>
        </w:rPr>
        <w:fldChar w:fldCharType="begin"/>
      </w:r>
      <w:r w:rsidR="00F17DAA">
        <w:rPr>
          <w:rFonts w:ascii="Times New Roman" w:hAnsi="Times New Roman" w:cs="Times New Roman"/>
          <w:sz w:val="24"/>
          <w:szCs w:val="24"/>
        </w:rPr>
        <w:instrText xml:space="preserve"> ADDIN ZOTERO_ITEM CSL_CITATION {"citationID":"i3Oh151E","properties":{"formattedCitation":"(Ma 2015; Morris 2011)","plainCitation":"(Ma 2015; Morris 2011)","noteIndex":0},"citationItems":[{"id":3373,"uris":["http://zotero.org/users/6128296/items/R5I9UQKW"],"itemData":{"id":3373,"type":"thesis","abstract":"Cyanobacteria of the genus Prochlorococcus are the smallest and most abundant phytoplankters in the ocean. Temperature is a major influence on Prochlorococcus abundance and distribution in the ocean, but the physiological basis for this relationship is not well understood. In other microbes, lipid and fatty acid composition have been shown to be influenced by temperature, and temperature has also been proposed as a relevant factor for setting the elemental allocation in marine phytoplankton. In this study, we found that percentage of fatty acids unsaturation was negatively related with temperature in some Prochlorococcus strains, but this was not universal. Temperature had a significant linear positive effect on nitrogen and carbon cell quotas across all strains. As temperature increased 10 ̊C, nitrogen and carbon quotas rose by 40.0% and 34.6%, respectively. Individual strains displayed negative relationships between growth rate and phosphorus quota. Studies in other photosynthetic organisms suggested that HOOH and temperature extremes act together as stressors. Importantly, it also has been shown that Prochlorococcus is highly susceptible to hydrogen peroxide (HOOH) and co-occurring heterotrophs such as Alteromonas sp. facilitate the growth of Prochlorococcus at the ocean surface by scavenging HOOH. To address the potential synergistic effects of temperature and HOOH on Prochlorococcus, we monitored the growth of environmental-relevant concentrations of cold-adapted (MED4) and warm-adapted (MIT9312) Prochlorococcus strains with different initial concentrations of HOOH under a range of temperatures. While not impacting the temperature optima for growth, higher concentrations of HOOH severely diminished the permissive temperature range for growth of both Prochlorococcus strains. At the permissive temperatures, the growth rates of both Prochlorococcus strains decreased as a function of HOOH, and temperature extremes increased susceptibility of photosystem II to HOOHmediated damage. While these effects were manifest in both strains, they were more pronounced in the warm-adapted strain. Heterotrophic bacteria, serving as a proxy for the natural community, increased the Prochlorococcus growth rate under these temperatures and increased the growth temperature range (MED4), and this was attributed in part to their ability to remove HOOH from the medium.","language":"en","publisher":"University of Tennessee","source":"Zotero","title":"Physiological characterization of Prochlorococcus under abiotic stressors temperature and hydrogen peroxide","author":[{"family":"Ma","given":""}],"issued":{"date-parts":[["2015",12]]}}},{"id":3438,"uris":["http://zotero.org/users/6128296/items/QHAPA57S"],"itemData":{"id":3438,"type":"thesis","language":"en","publisher":"University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F17DAA" w:rsidRPr="00CE7353">
        <w:rPr>
          <w:rFonts w:ascii="Times New Roman" w:hAnsi="Times New Roman" w:cs="Times New Roman"/>
          <w:sz w:val="24"/>
          <w:szCs w:val="24"/>
        </w:rPr>
        <w:fldChar w:fldCharType="separate"/>
      </w:r>
      <w:r w:rsidR="00F17DAA">
        <w:rPr>
          <w:rFonts w:ascii="Times New Roman" w:hAnsi="Times New Roman" w:cs="Times New Roman"/>
          <w:sz w:val="24"/>
          <w:szCs w:val="24"/>
        </w:rPr>
        <w:t>(Ma 2015; Morris 2011)</w:t>
      </w:r>
      <w:r w:rsidR="00F17DAA" w:rsidRPr="00CE7353">
        <w:rPr>
          <w:rFonts w:ascii="Times New Roman" w:hAnsi="Times New Roman" w:cs="Times New Roman"/>
          <w:sz w:val="24"/>
          <w:szCs w:val="24"/>
        </w:rPr>
        <w:fldChar w:fldCharType="end"/>
      </w:r>
      <w:r w:rsidR="00F17DAA" w:rsidRPr="00CE7353">
        <w:rPr>
          <w:rFonts w:ascii="Times New Roman" w:hAnsi="Times New Roman" w:cs="Times New Roman"/>
          <w:sz w:val="24"/>
          <w:szCs w:val="24"/>
        </w:rPr>
        <w:t>.</w:t>
      </w:r>
      <w:r w:rsidRPr="003609FB">
        <w:rPr>
          <w:rFonts w:ascii="Times New Roman" w:hAnsi="Times New Roman" w:cs="Times New Roman"/>
          <w:sz w:val="24"/>
          <w:szCs w:val="24"/>
        </w:rPr>
        <w:tab/>
        <w:t xml:space="preserve"> </w:t>
      </w:r>
    </w:p>
    <w:p w14:paraId="614D449E" w14:textId="67AD15A6" w:rsidR="00CA3AA8" w:rsidRPr="003609FB" w:rsidRDefault="00CA3AA8" w:rsidP="00F17DAA">
      <w:pPr>
        <w:pStyle w:val="Heading3"/>
        <w:numPr>
          <w:ilvl w:val="0"/>
          <w:numId w:val="0"/>
        </w:numPr>
        <w:spacing w:line="360" w:lineRule="auto"/>
      </w:pPr>
      <w:bookmarkStart w:id="32" w:name="_Toc173250025"/>
      <w:r w:rsidRPr="003609FB">
        <w:t xml:space="preserve">Modeling </w:t>
      </w:r>
      <w:proofErr w:type="spellStart"/>
      <w:r w:rsidRPr="00691B65">
        <w:rPr>
          <w:i/>
          <w:iCs/>
        </w:rPr>
        <w:t>Synechococcus</w:t>
      </w:r>
      <w:proofErr w:type="spellEnd"/>
      <w:r w:rsidRPr="003609FB">
        <w:t xml:space="preserve"> and H</w:t>
      </w:r>
      <w:r w:rsidRPr="00351FC4">
        <w:rPr>
          <w:vertAlign w:val="subscript"/>
        </w:rPr>
        <w:t>2</w:t>
      </w:r>
      <w:r w:rsidRPr="003609FB">
        <w:t>O</w:t>
      </w:r>
      <w:r w:rsidRPr="00351FC4">
        <w:rPr>
          <w:vertAlign w:val="subscript"/>
        </w:rPr>
        <w:t>2</w:t>
      </w:r>
      <w:r w:rsidRPr="003609FB">
        <w:t xml:space="preserve"> dynamics</w:t>
      </w:r>
      <w:bookmarkEnd w:id="32"/>
    </w:p>
    <w:p w14:paraId="6C4E3E88" w14:textId="77777777" w:rsidR="00CA3AA8" w:rsidRDefault="00CA3AA8" w:rsidP="00CA3AA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We follow the same methodology from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analyses to parameterize our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monoculture models. Figure 2.6 shows the exponential growth dynamics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without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addition. Our model was able to adequately capture these dynamics (Figure 2.6a), allowing us to quantify the initial cell concentration (S</w:t>
      </w:r>
      <w:r w:rsidRPr="006C210E">
        <w:rPr>
          <w:rFonts w:ascii="Times New Roman" w:hAnsi="Times New Roman" w:cs="Times New Roman"/>
          <w:sz w:val="24"/>
          <w:szCs w:val="24"/>
          <w:vertAlign w:val="subscript"/>
        </w:rPr>
        <w:t>0</w:t>
      </w:r>
      <w:r w:rsidRPr="003609FB">
        <w:rPr>
          <w:rFonts w:ascii="Times New Roman" w:hAnsi="Times New Roman" w:cs="Times New Roman"/>
          <w:sz w:val="24"/>
          <w:szCs w:val="24"/>
        </w:rPr>
        <w:t>) and the exponential growth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(Figure 2.6</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b, c). Unlike catalase-deficient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the catalase positive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strain CC9605 grew well in the presence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(Figure 2.7a). Using our model, we were also able to capture these different dynamics (Figure 2.7a for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vs. Figure 2.5a for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allowing us to quantify the initial cell concentration (S0) and a smaller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rate of cell death,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r>
          <w:rPr>
            <w:rFonts w:ascii="Cambria Math" w:hAnsi="Cambria Math" w:cs="Times New Roman"/>
            <w:sz w:val="24"/>
            <w:szCs w:val="24"/>
          </w:rPr>
          <m:t xml:space="preserve"> </m:t>
        </m:r>
      </m:oMath>
      <w:r w:rsidRPr="003609FB">
        <w:rPr>
          <w:rFonts w:ascii="Times New Roman" w:hAnsi="Times New Roman" w:cs="Times New Roman"/>
          <w:sz w:val="24"/>
          <w:szCs w:val="24"/>
        </w:rPr>
        <w:t>(Figure 2.7</w:t>
      </w:r>
      <w:r>
        <w:rPr>
          <w:rFonts w:ascii="Times New Roman" w:hAnsi="Times New Roman" w:cs="Times New Roman"/>
          <w:sz w:val="24"/>
          <w:szCs w:val="24"/>
        </w:rPr>
        <w:t xml:space="preserve"> </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Similarly, we were also able to capture the concurrent</w:t>
      </w:r>
      <w:r>
        <w:rPr>
          <w:rFonts w:ascii="Times New Roman" w:hAnsi="Times New Roman" w:cs="Times New Roman"/>
          <w:sz w:val="24"/>
          <w:szCs w:val="24"/>
        </w:rPr>
        <w:t xml:space="preserve"> dynamics of</w:t>
      </w:r>
      <w:r w:rsidRPr="003609FB">
        <w:rPr>
          <w:rFonts w:ascii="Times New Roman" w:hAnsi="Times New Roman" w:cs="Times New Roman"/>
          <w:sz w:val="24"/>
          <w:szCs w:val="24"/>
        </w:rPr>
        <w:t xml:space="preser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CC9605 </w:t>
      </w:r>
      <w:r>
        <w:rPr>
          <w:rFonts w:ascii="Times New Roman" w:hAnsi="Times New Roman" w:cs="Times New Roman"/>
          <w:sz w:val="24"/>
          <w:szCs w:val="24"/>
        </w:rPr>
        <w:t xml:space="preserve">cell growth and </w:t>
      </w:r>
      <w:r w:rsidRPr="003609FB">
        <w:rPr>
          <w:rFonts w:ascii="Times New Roman" w:hAnsi="Times New Roman" w:cs="Times New Roman"/>
          <w:sz w:val="24"/>
          <w:szCs w:val="24"/>
        </w:rPr>
        <w:t>drawdown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(Figure 2.7d) as well as the</w:t>
      </w:r>
      <w:r>
        <w:rPr>
          <w:rFonts w:ascii="Times New Roman" w:hAnsi="Times New Roman" w:cs="Times New Roman"/>
          <w:sz w:val="24"/>
          <w:szCs w:val="24"/>
        </w:rPr>
        <w:t xml:space="preserve"> parameters that represent the </w:t>
      </w:r>
      <w:r w:rsidRPr="003609FB">
        <w:rPr>
          <w:rFonts w:ascii="Times New Roman" w:hAnsi="Times New Roman" w:cs="Times New Roman"/>
          <w:sz w:val="24"/>
          <w:szCs w:val="24"/>
        </w:rPr>
        <w:t>initial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(H</w:t>
      </w:r>
      <w:r w:rsidRPr="00825C70">
        <w:rPr>
          <w:rFonts w:ascii="Times New Roman" w:hAnsi="Times New Roman" w:cs="Times New Roman"/>
          <w:sz w:val="24"/>
          <w:szCs w:val="24"/>
          <w:vertAlign w:val="subscript"/>
        </w:rPr>
        <w:t>0</w:t>
      </w:r>
      <w:r w:rsidRPr="003609FB">
        <w:rPr>
          <w:rFonts w:ascii="Times New Roman" w:hAnsi="Times New Roman" w:cs="Times New Roman"/>
          <w:sz w:val="24"/>
          <w:szCs w:val="24"/>
        </w:rPr>
        <w:t xml:space="preserve">) and </w:t>
      </w:r>
      <w:proofErr w:type="spellStart"/>
      <w:r w:rsidRPr="00F911AD">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3609FB">
        <w:rPr>
          <w:rFonts w:ascii="Times New Roman" w:hAnsi="Times New Roman" w:cs="Times New Roman"/>
          <w:sz w:val="24"/>
          <w:szCs w:val="24"/>
        </w:rPr>
        <w:t xml:space="preserve">cell-specific rate of detoxification,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Pr="003609FB">
        <w:rPr>
          <w:rFonts w:ascii="Times New Roman" w:hAnsi="Times New Roman" w:cs="Times New Roman"/>
          <w:sz w:val="24"/>
          <w:szCs w:val="24"/>
        </w:rPr>
        <w:t xml:space="preserve"> (Figure </w:t>
      </w:r>
      <w:proofErr w:type="gramStart"/>
      <w:r w:rsidRPr="003609FB">
        <w:rPr>
          <w:rFonts w:ascii="Times New Roman" w:hAnsi="Times New Roman" w:cs="Times New Roman"/>
          <w:sz w:val="24"/>
          <w:szCs w:val="24"/>
        </w:rPr>
        <w:t>2.7e,f</w:t>
      </w:r>
      <w:proofErr w:type="gramEnd"/>
      <w:r w:rsidRPr="003609FB">
        <w:rPr>
          <w:rFonts w:ascii="Times New Roman" w:hAnsi="Times New Roman" w:cs="Times New Roman"/>
          <w:sz w:val="24"/>
          <w:szCs w:val="24"/>
        </w:rPr>
        <w:t>, respectively).</w:t>
      </w:r>
    </w:p>
    <w:p w14:paraId="3E237CF0" w14:textId="7624803B" w:rsidR="003C5E84" w:rsidRDefault="00CA3AA8"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After noting the ability of our model to capture the divergent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phenotypes of catalase negative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a catalase positive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cyanobacteria, we analyzed further monoculture strains.  </w:t>
      </w:r>
      <w:proofErr w:type="spellStart"/>
      <w:r w:rsidRPr="00DE7C48">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a noted ‘contaminant’ microbe from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strains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{"citationID":"OL0JcZTs","properties":{"formattedCitation":"(Biller, Coe, et al. 2015)","plainCitation":"(Biller, Coe, et al. 2015)","noteIndex":0},"citationItems":[{"id":1978,"uris":["http://zotero.org/users/6128296/items/383RAQMP"],"itemData":{"id":1978,"type":"article-journal","container-title":"Genome Announcements","DOI":"10.1128/genomeA.00967-15","ISSN":"2169-8287","issue":"4","journalAbbreviation":"Genome Announc.","language":"en","page":"e00967-15, /ga/3/4/e00967-15.atom","source":"DOI.org (Crossref)","title":"Draft Genome Sequence of &lt;i&gt;Alteromonas macleodii&lt;/i&gt; Strain MIT1002, Isolated from an Enrichment Culture of the Marine Cyanobacterium &lt;i&gt;Prochlorococcus&lt;/i&gt;","volume":"3","author":[{"family":"Biller","given":""},{"family":"Coe","given":"Allison"},{"family":"Martin-Cuadrado","given":"Ana-Belen"},{"family":"Chisholm","given":"Sallie W."}],"issued":{"date-parts":[["2015",8,27]]}}}],"schema":"https://github.com/citation-style-language/schema/raw/master/csl-citation.json"}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(Biller, Coe, </w:t>
      </w:r>
      <w:r w:rsidR="00183222" w:rsidRPr="00183222">
        <w:rPr>
          <w:rFonts w:ascii="Times New Roman" w:hAnsi="Times New Roman" w:cs="Times New Roman"/>
          <w:i/>
          <w:iCs/>
          <w:sz w:val="24"/>
          <w:szCs w:val="24"/>
        </w:rPr>
        <w:t>et al</w:t>
      </w:r>
      <w:r>
        <w:rPr>
          <w:rFonts w:ascii="Times New Roman" w:hAnsi="Times New Roman" w:cs="Times New Roman"/>
          <w:sz w:val="24"/>
          <w:szCs w:val="24"/>
        </w:rPr>
        <w:t>. 2015)</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was of particular interest due to prior reports of its ‘helper’ status in stressful environments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{"citationID":"Y2SHZgMI","properties":{"formattedCitation":"(Biller, Coe, et al. 2018; Hennon et al. 2018; Morris et al. 2008)","plainCitation":"(Biller, Coe, et al. 2018; Hennon et al. 2018; Morris et al. 2008)","noteIndex":0},"citationItems":[{"id":3077,"uris":["http://zotero.org/users/6128296/items/NTN2AQ8U"],"itemData":{"id":3077,"type":"article-journal","abstract":"Microbes evolve within complex ecological communities where biotic interactions impact both individual cells and the environment as a whole. Here we examine how cellular regulation in the marine cyanobacterium Prochlorococcus is inﬂuenced by a heterotrophic bacterium, Alteromonas macleodii, under different light conditions. We monitored the transcriptome of Prochlorococcus, grown either alone or in coculture, across a diel light:dark cycle and under the stress of extended darkness—a condition that cells would experience when mixed below the ocean’s euphotic zone. More Prochlorococcus transcripts exhibited 24-h periodic oscillations in coculture than in pure culture, both over the normal diel cycle and after the shift to extended darkness. This demonstrates that biotic interactions, and not just light, can affect timing mechanisms in Prochlorococcus, which lacks a self-sustaining circadian oscillator. The transcriptomes of replicate pure cultures of Prochlorococcus lost their synchrony within 5 h of extended darkness and reﬂected changes in stress responses and metabolic functions consistent with growth cessation. In contrast, when grown with Alteromonas, replicate Prochlorococcus transcriptomes tracked each other for at least 13 h in the dark and showed signs of continued biosynthetic and metabolic activity. The transcriptome patterns suggest that the heterotroph may be providing energy or essential biosynthetic substrates to Prochlorococcus in the form of organic compounds, sustaining this autotroph when it is deprived of solar energy. Our ﬁndings reveal conditions where mixotrophic metabolism may beneﬁt marine cyanobacteria and highlight new impacts of community interactions on basic Prochlorococcus cellular processes.","container-title":"mSystems","DOI":"10.1128/mSystems.00040-18","ISSN":"2379-5077","issue":"3","journalAbbreviation":"mSystems","language":"en","page":"e00040-18","source":"DOI.org (Crossref)","title":"Heterotroph Interactions Alter &lt;i&gt;Prochlorococcus&lt;/i&gt; Transcriptome Dynamics during Extended Periods of Darkness","volume":"3","author":[{"family":"Biller","given":""},{"family":"Coe","given":"Allison"},{"family":"Roggensack","given":"Sara E."},{"family":"Chisholm","given":"Sallie W."}],"editor":[{"family":"Mason","given":"Olivia"}],"issued":{"date-parts":[["2018",6,26]]}}},{"id":96,"uris":["http://zotero.org/users/6128296/items/FLR3U54M"],"itemData":{"id":96,"type":"article-journal","container-title":"The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(Biller, Coe, </w:t>
      </w:r>
      <w:r w:rsidR="00183222" w:rsidRPr="00183222">
        <w:rPr>
          <w:rFonts w:ascii="Times New Roman" w:hAnsi="Times New Roman" w:cs="Times New Roman"/>
          <w:i/>
          <w:iCs/>
          <w:sz w:val="24"/>
          <w:szCs w:val="24"/>
        </w:rPr>
        <w:t>et al</w:t>
      </w:r>
      <w:r>
        <w:rPr>
          <w:rFonts w:ascii="Times New Roman" w:hAnsi="Times New Roman" w:cs="Times New Roman"/>
          <w:sz w:val="24"/>
          <w:szCs w:val="24"/>
        </w:rPr>
        <w:t xml:space="preserve">. 2018; Hennon </w:t>
      </w:r>
      <w:r w:rsidR="00183222" w:rsidRPr="00183222">
        <w:rPr>
          <w:rFonts w:ascii="Times New Roman" w:hAnsi="Times New Roman" w:cs="Times New Roman"/>
          <w:i/>
          <w:iCs/>
          <w:sz w:val="24"/>
          <w:szCs w:val="24"/>
        </w:rPr>
        <w:t>et al</w:t>
      </w:r>
      <w:r>
        <w:rPr>
          <w:rFonts w:ascii="Times New Roman" w:hAnsi="Times New Roman" w:cs="Times New Roman"/>
          <w:sz w:val="24"/>
          <w:szCs w:val="24"/>
        </w:rPr>
        <w:t xml:space="preserve">. 2018; Morris </w:t>
      </w:r>
      <w:r w:rsidR="00183222" w:rsidRPr="00183222">
        <w:rPr>
          <w:rFonts w:ascii="Times New Roman" w:hAnsi="Times New Roman" w:cs="Times New Roman"/>
          <w:i/>
          <w:iCs/>
          <w:sz w:val="24"/>
          <w:szCs w:val="24"/>
        </w:rPr>
        <w:t>et al</w:t>
      </w:r>
      <w:r>
        <w:rPr>
          <w:rFonts w:ascii="Times New Roman" w:hAnsi="Times New Roman" w:cs="Times New Roman"/>
          <w:sz w:val="24"/>
          <w:szCs w:val="24"/>
        </w:rPr>
        <w:t>. 2008)</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In Figure 2.8 we present the relationship between the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damage rates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dam,S</m:t>
            </m:r>
          </m:sub>
        </m:sSub>
      </m:oMath>
      <w:r w:rsidRPr="003609FB">
        <w:rPr>
          <w:rFonts w:ascii="Times New Roman" w:hAnsi="Times New Roman" w:cs="Times New Roman"/>
          <w:sz w:val="24"/>
          <w:szCs w:val="24"/>
        </w:rPr>
        <w:t>)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rates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xml:space="preserve">) for microbes (i) in our data. The associated curves and parameter histograms for each model run are shown in </w:t>
      </w:r>
      <w:r w:rsidR="00243100">
        <w:rPr>
          <w:rFonts w:ascii="Times New Roman" w:hAnsi="Times New Roman" w:cs="Times New Roman"/>
          <w:sz w:val="24"/>
          <w:szCs w:val="24"/>
        </w:rPr>
        <w:t>Appendices</w:t>
      </w:r>
      <w:r>
        <w:rPr>
          <w:rFonts w:ascii="Times New Roman" w:hAnsi="Times New Roman" w:cs="Times New Roman"/>
          <w:sz w:val="24"/>
          <w:szCs w:val="24"/>
        </w:rPr>
        <w:t xml:space="preserve"> A</w:t>
      </w:r>
      <w:r w:rsidR="00243100">
        <w:rPr>
          <w:rFonts w:ascii="Times New Roman" w:hAnsi="Times New Roman" w:cs="Times New Roman"/>
          <w:sz w:val="24"/>
          <w:szCs w:val="24"/>
        </w:rPr>
        <w:t xml:space="preserve"> and B</w:t>
      </w:r>
      <w:r w:rsidRPr="003609FB">
        <w:rPr>
          <w:rFonts w:ascii="Times New Roman" w:hAnsi="Times New Roman" w:cs="Times New Roman"/>
          <w:sz w:val="24"/>
          <w:szCs w:val="24"/>
        </w:rPr>
        <w:t xml:space="preserve">. Our coupled model framework finds that organisms with a high rate of cell-specific detoxification have low rates of cell death. </w:t>
      </w:r>
      <w:r w:rsidRPr="003609FB">
        <w:rPr>
          <w:rFonts w:ascii="Times New Roman" w:hAnsi="Times New Roman" w:cs="Times New Roman"/>
          <w:sz w:val="24"/>
          <w:szCs w:val="24"/>
        </w:rPr>
        <w:lastRenderedPageBreak/>
        <w:t>Simultaneous quantification of detoxification ability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and damage rate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trait parameters from different microbes allows us to capture the potential patterns between parameter value and ecological function leading to an idea of the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trait space available to ocean microbes using our model.</w:t>
      </w:r>
    </w:p>
    <w:p w14:paraId="629D1F66" w14:textId="34E289A7" w:rsidR="000A52CE" w:rsidRPr="00F17DAA" w:rsidRDefault="000A52CE" w:rsidP="000A52CE">
      <w:pPr>
        <w:pStyle w:val="Heading2"/>
        <w:spacing w:line="360" w:lineRule="auto"/>
      </w:pPr>
      <w:bookmarkStart w:id="33" w:name="_Toc173250026"/>
      <w:r w:rsidRPr="003609FB">
        <w:t>Discussion</w:t>
      </w:r>
      <w:bookmarkEnd w:id="33"/>
      <w:r w:rsidRPr="003609FB">
        <w:t xml:space="preserve">   </w:t>
      </w:r>
    </w:p>
    <w:p w14:paraId="40CA7927" w14:textId="77777777" w:rsidR="000A52CE" w:rsidRPr="003609FB" w:rsidRDefault="000A52CE" w:rsidP="000A52CE">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In this chapter we present an ODE based model of concurrent dynamics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microbial abundance which we parameterized using laboratory data. Our model adequately captured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over a range of ecologically relevant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inputs</w:t>
      </w:r>
      <w:r>
        <w:rPr>
          <w:rFonts w:ascii="Times New Roman" w:hAnsi="Times New Roman" w:cs="Times New Roman"/>
          <w:sz w:val="24"/>
          <w:szCs w:val="24"/>
        </w:rPr>
        <w:t xml:space="preserve"> (spikes)</w:t>
      </w:r>
      <w:r w:rsidRPr="003609FB">
        <w:rPr>
          <w:rFonts w:ascii="Times New Roman" w:hAnsi="Times New Roman" w:cs="Times New Roman"/>
          <w:sz w:val="24"/>
          <w:szCs w:val="24"/>
        </w:rPr>
        <w:t xml:space="preserve"> and their differential impacts on closely related cyanobacteria. Our modeling allowed us to quantify two key parameters that describe the impact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cells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xml:space="preserve"> ) and the impact of detoxification on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Quantification of these parameters captured well-documented differential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impacts on phytoplankton cells. Catalase positive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most closely related, but genomically and physically larger, family member) does not </w:t>
      </w:r>
      <w:r>
        <w:rPr>
          <w:rFonts w:ascii="Times New Roman" w:hAnsi="Times New Roman" w:cs="Times New Roman"/>
          <w:sz w:val="24"/>
          <w:szCs w:val="24"/>
        </w:rPr>
        <w:t>show</w:t>
      </w:r>
      <w:r w:rsidRPr="003609FB">
        <w:rPr>
          <w:rFonts w:ascii="Times New Roman" w:hAnsi="Times New Roman" w:cs="Times New Roman"/>
          <w:sz w:val="24"/>
          <w:szCs w:val="24"/>
        </w:rPr>
        <w:t xml:space="preserve"> the noted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toxic</w:t>
      </w:r>
      <w:r>
        <w:rPr>
          <w:rFonts w:ascii="Times New Roman" w:hAnsi="Times New Roman" w:cs="Times New Roman"/>
          <w:sz w:val="24"/>
          <w:szCs w:val="24"/>
        </w:rPr>
        <w:t>ity sensitivity</w:t>
      </w:r>
      <w:r w:rsidRPr="003609FB">
        <w:rPr>
          <w:rFonts w:ascii="Times New Roman" w:hAnsi="Times New Roman" w:cs="Times New Roman"/>
          <w:sz w:val="24"/>
          <w:szCs w:val="24"/>
        </w:rPr>
        <w:t xml:space="preserve"> that most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cultures do in laboratory assays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{"citationID":"IukLwDh3","properties":{"formattedCitation":"(Chan 2008; Morris 2011; Calfee 2021)","plainCitation":"(Chan 2008; Morris 2011; Calfee 2021)","noteIndex":0},"citationItems":[{"id":4371,"uris":["http://zotero.org/users/6128296/items/4DUAE4DT"],"itemData":{"id":4371,"type":"thesis","abstract":"Synechococcus sp. strains CC9311, WH8102, and CC9605 were compared to investigate their response to oxidative stress. Fluorescence measurements, cell counts, and cell growth rates were compared for each strain exposed to a range of concentrations of an oxygen radical producing poison, methyl viologen, and an inhibitor of carotenoid biosynthesis, norflurazon. The methyl viologen induced expressions of genes coding for the putative antioxidant enzymes superoxide dismutase, glutathione peroxidase, and catalase/peroxidase, were also compared. The order of highest to lowest sensitivity to oxidative stress induced in the cell cytoplasm is CC9311, WH8102, and CC9605. Conversely, CC9605 is more sensitive to oxidative stress induced in the thylakoid compartment than CC9311. CC9311 significantly up regulated the expression of genes coding for NiSOD and CuZnSOD, two enzymes required to destroy reactive oxygen species. WH8102 up regulated the expression of genes coding for NiSOD and GP, though not to a significant degree. CC9605 up regulated genes coding for NiSOD, CuZnSOD, and catalase/peroxidase to a greater extent than both CC9311 and WH8102. The resistance of CC9605 to oxidative stress may have been facilitated by a unique system of regulation. Overall, these strains of Synechococcus revealed differing responses to oxidative stress likely due to their adaptation to different marine ecosystems.","publisher":"UMI Microform 1456304 Copyright 2008 by ProQuest LLC.","title":"Physiological and transcriptional responses to induced oxidative stress in Synechococcus sp. strains CC9311, WH8102, and CC9605","title-short":"chan dissertation 2008","author":[{"family":"Chan","given":""}],"issued":{"date-parts":[["2008"]]}}},{"id":3438,"uris":["http://zotero.org/users/6128296/items/QHAPA57S"],"itemData":{"id":3438,"type":"thesis","language":"en","publisher":"University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Microorganisms","author":[{"family":"Morris","given":""}],"issued":{"date-parts":[["2011"]]}}},{"id":3125,"uris":["http://zotero.org/users/6128296/items/4VSH9QLP"],"itemData":{"id":3125,"type":"thesis","abstract":"Prochlorococcus is a genus of extremely successful marine cyanobacteria. This success is realized through its pervasive biogeographical range and presence in almost all open ocean environments where it usually it the dominant phytoplankton. Limited capabilities of culturing and genetic manipulation of this organism have resulted in assumptions about this success overwhelmingly based on field observations. These studies have assumed adaptations for resource uptake and utilization in nutrient limited environments to cause dominance of Prochlorococcus over other photosynthetic microbes. In an attempt to definitively explain this through laboratory culture, we developed a culturing system to assay questions of nutrient limitation effects upon Prochlorococcus and its competitive ability based on nitrogen limited populations within the North Pacific Subtropical Gyre. We determined that competition for nitrogen did explain the population dynamics of Prochlorococcus and another cyanobacterium, Synechococcus, and were able to recreate their observed abundances in nitrogen limited laboratory culture. Interestingly this outcome could only be achieved through the inclusion of a heterotrophic bacterium, which facilitated the success of Prochlorococcus through complex crossfeeding interactions. In an effort to further explore the important microbial interactions influencing this dominant cyanobacterium, we developed an additional culturing system to determine if rival phytoplankton (Synechococcus and picoeukaryotes), with whom Prochlorococcus competes for nutrients, could protect Prochlorococcus from oxidative stress from hydrogen peroxide. These rivals successfully protected Prochlorococcus from mortality when cocultured at ecologically relevant abundances. Lastly we determined the affect of seasonal change on Prochlorococcus ecotypes and potential relationships between high-light and low-light adapted ecotypes and between ecotypes and abundant microbial phyla that varied seasonally. Herein we speculate on the overall importance of microbial interactions based on nutrient transformation and environmental conditioning to the ecology and biogeography of Prochlorococcus.","language":"en","publisher":"University of Tennessee","source":"Zotero","title":"Determining the Ecological and Physiological Factors Contributing to the Competitive Success of Prochlorococcus in the Oligotrophic Ocean","author":[{"family":"Calfee","given":""}],"issued":{"date-parts":[["2021",12]]}}}],"schema":"https://github.com/citation-style-language/schema/raw/master/csl-citation.json"}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(Chan 2008; Morris 2011; Calfee 2021)</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7C434317" w14:textId="77777777" w:rsidR="00F17DAA" w:rsidRPr="003609FB" w:rsidRDefault="00F17DAA" w:rsidP="00F17DA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Using the closely related but oppositely genotyped cyanobacteria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along with known ‘helper’ and catalase containing heterotroph </w:t>
      </w:r>
      <w:proofErr w:type="spellStart"/>
      <w:r w:rsidRPr="00136C0E">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we demonstrated our model’s ability to capture the duality of divergent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phenotypes from environmentally important microbes using our model. Our ODE based approach allowed us to quantify parameters in a manner that also accounts for changes in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 over the course of the experiment.  Because many marine ecosystem models (e.g.</w:t>
      </w:r>
      <w:r>
        <w:rPr>
          <w:rFonts w:ascii="Times New Roman" w:hAnsi="Times New Roman" w:cs="Times New Roman"/>
          <w:sz w:val="24"/>
          <w:szCs w:val="24"/>
        </w:rPr>
        <w:t xml:space="preserve"> that of </w:t>
      </w:r>
      <w:r w:rsidRPr="003609FB">
        <w:rPr>
          <w:rFonts w:ascii="Times New Roman" w:hAnsi="Times New Roman" w:cs="Times New Roman"/>
          <w:sz w:val="24"/>
          <w:szCs w:val="24"/>
        </w:rPr>
        <w:t xml:space="preserve">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{"citationID":"vSKYRryP","properties":{"formattedCitation":"(Fasham, Ducklow, and McKelvie 1990)","plainCitation":"(Fasham, Ducklow, and McKelvie 1990)","noteIndex":0},"citationItems":[{"id":6502,"uris":["http://zotero.org/users/6128296/items/KTRSPLF6"],"itemData":{"id":6502,"type":"article-journal","abstract":"As a first step toward the development of coupled, basin scale models of ocean circulation and biogeochemical cycling, we present a model of the annual cycles of plankton dynamics and nitrogen cycling in the oceanic mixed layer. The model is easily modified and runs in FORTRAN on a personal computer. In our initial development and exploration of the model's behavior we have concentrated on modeling the annual cycle at Station \"S\" near Bermuda using seven compartments (Phytoplankton, Zooplankton, Bacteria, Nitrate, Ammonium, Dissolved organic nitrogen and Detritus). This choice of compartments and the attendant flows (fluxes or intercompartmental exchanges) permits a functional distinction between new and regenerated production. We have examined over 200 different runs and carried out sensitivity analyses. Results of model runs with detrital sinking rates of I and 10 meters per day are presented. In these runs, the phytoplankton biomass-specific mortality rate was varied to adjust the annual net primary production (NPP) for the mixed layer to a value equivalent to 45 gC m-2, which was calculated from the literature. Modelled cycles of zooplankton and bacterial stocks, and magnitudes of their annual production which cannot be validated due to sparse observations, are driven by the amplitude of the spring bloom and by changes in foodweb structure. Most, but not all model runs exhibit a spring bloom triggered by the winter depression of zooplankton stocks and the vernal increase in solar irradiance. The bloom is driven by nitrate entrained into the mixed layer during the wintertime deepening of the mixed layer. Following the shoaling of the pycnocline to ca 20 m, nitrate supply is limited to diffusional inputs, nitrate stocks are depleted, and regenerated production exceeds new production. The resulting cycles of new and regenerated production produce an annual cycle of the f-ratio with winter maxima approaching 0.8-0.9 and summer minima reaching ca 0.1-0.2, with annual values averaging 0.7. The model reproduces the \"Eppley Curve,\" a hyperbolic relationship of increasing f with increasing primary production. This curve is shown to be the trajectory of the production system in the f-NPP phase plane. These model runs reproduce the annual cycles of areal NPP, and average annual NPP, new production, and particulate N flux values reported in the literature. The model demonstrates that currently accepted values for these annual fluxes can be reconciled only if the f-ratio has a high annual average. At present, the annual averagef-ratio is poorly quantified due to severe undersampling in fall and winter. Our model's ecological structure has been successfully incorporated into the Princeton general circulation model for the North Atlantic Ocean.","container-title":"Journal of Marine Research","DOI":"10.1357/002224090784984678","ISSN":"0022-2402","issue":"3","journalAbbreviation":"j mar res","language":"en","page":"591-639","source":"DOI.org (Crossref)","title":"A nitrogen-based model of plankton dynamics in the oceanic mixed layer","volume":"48","author":[{"family":"Fasham","given":""},{"family":"Ducklow","given":"H. W."},{"family":"McKelvie","given":"S. M."}],"issued":{"date-parts":[["1990",8,1]]}}}],"schema":"https://github.com/citation-style-language/schema/raw/master/csl-citation.json"}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w:t>
      </w:r>
      <w:proofErr w:type="spellStart"/>
      <w:r>
        <w:rPr>
          <w:rFonts w:ascii="Times New Roman" w:hAnsi="Times New Roman" w:cs="Times New Roman"/>
          <w:sz w:val="24"/>
          <w:szCs w:val="24"/>
        </w:rPr>
        <w:t>Fasham</w:t>
      </w:r>
      <w:proofErr w:type="spellEnd"/>
      <w:r>
        <w:rPr>
          <w:rFonts w:ascii="Times New Roman" w:hAnsi="Times New Roman" w:cs="Times New Roman"/>
          <w:sz w:val="24"/>
          <w:szCs w:val="24"/>
        </w:rPr>
        <w:t>, Ducklow, and McKelvie 1990)</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are also based on differential equations, the parameters we have identified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w:r w:rsidRPr="003609F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can be used to evaluate the impacts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microbial community composition and carbon cycling within these more complex models.</w:t>
      </w:r>
    </w:p>
    <w:p w14:paraId="5DCA7AE9" w14:textId="6188861D" w:rsidR="005E185F" w:rsidRDefault="005E185F" w:rsidP="00AB2160">
      <w:pPr>
        <w:spacing w:line="360" w:lineRule="auto"/>
        <w:rPr>
          <w:rFonts w:ascii="Times New Roman" w:hAnsi="Times New Roman" w:cs="Times New Roman"/>
          <w:sz w:val="24"/>
          <w:szCs w:val="24"/>
        </w:rPr>
      </w:pPr>
    </w:p>
    <w:p w14:paraId="2F0D88FD" w14:textId="233AB381" w:rsidR="003A60C7" w:rsidRDefault="003A60C7"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XSpec="center" w:tblpY="155"/>
        <w:tblOverlap w:val="never"/>
        <w:tblW w:w="9596" w:type="dxa"/>
        <w:jc w:val="center"/>
        <w:tblLayout w:type="fixed"/>
        <w:tblLook w:val="04A0" w:firstRow="1" w:lastRow="0" w:firstColumn="1" w:lastColumn="0" w:noHBand="0" w:noVBand="1"/>
      </w:tblPr>
      <w:tblGrid>
        <w:gridCol w:w="9596"/>
      </w:tblGrid>
      <w:tr w:rsidR="00F71608" w:rsidRPr="003609FB" w14:paraId="3143DC55" w14:textId="77777777" w:rsidTr="00A43D25">
        <w:trPr>
          <w:jc w:val="center"/>
        </w:trPr>
        <w:tc>
          <w:tcPr>
            <w:tcW w:w="9596" w:type="dxa"/>
            <w:tcBorders>
              <w:top w:val="nil"/>
              <w:left w:val="nil"/>
              <w:bottom w:val="nil"/>
              <w:right w:val="nil"/>
            </w:tcBorders>
          </w:tcPr>
          <w:p w14:paraId="3F3D6476" w14:textId="710573FF" w:rsidR="00F71608" w:rsidRPr="003609FB" w:rsidRDefault="00871425" w:rsidP="00AB2160">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93FDFCA" wp14:editId="1E57DD17">
                  <wp:extent cx="5956300" cy="4467225"/>
                  <wp:effectExtent l="0" t="0" r="0" b="3175"/>
                  <wp:docPr id="2059388811" name="Picture 2059388811" descr="A collage of different colored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11" name="Picture 2059388811" descr="A collage of different colored graph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56300" cy="4467225"/>
                          </a:xfrm>
                          <a:prstGeom prst="rect">
                            <a:avLst/>
                          </a:prstGeom>
                        </pic:spPr>
                      </pic:pic>
                    </a:graphicData>
                  </a:graphic>
                </wp:inline>
              </w:drawing>
            </w:r>
          </w:p>
        </w:tc>
      </w:tr>
    </w:tbl>
    <w:p w14:paraId="259F6220" w14:textId="35AE7B89" w:rsidR="00F71608" w:rsidRDefault="00F71608" w:rsidP="00511118">
      <w:pPr>
        <w:pStyle w:val="Caption"/>
      </w:pPr>
      <w:bookmarkStart w:id="34" w:name="_Toc173148374"/>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7</w:t>
      </w:r>
      <w:r w:rsidR="00000000">
        <w:rPr>
          <w:noProof/>
        </w:rPr>
        <w:fldChar w:fldCharType="end"/>
      </w:r>
      <w:r>
        <w:t xml:space="preserve"> </w:t>
      </w:r>
      <w:r w:rsidRPr="00835643">
        <w:t xml:space="preserve">Monoculture Prochlorococcus modeled in </w:t>
      </w:r>
      <w:r w:rsidR="00F52F1E" w:rsidRPr="003609FB">
        <w:t>H</w:t>
      </w:r>
      <w:r w:rsidR="00F52F1E" w:rsidRPr="00351FC4">
        <w:rPr>
          <w:vertAlign w:val="subscript"/>
        </w:rPr>
        <w:t>2</w:t>
      </w:r>
      <w:r w:rsidR="00F52F1E" w:rsidRPr="003609FB">
        <w:t>O</w:t>
      </w:r>
      <w:r w:rsidR="00F52F1E" w:rsidRPr="00351FC4">
        <w:rPr>
          <w:vertAlign w:val="subscript"/>
        </w:rPr>
        <w:t>2</w:t>
      </w:r>
      <w:r w:rsidRPr="00835643">
        <w:t xml:space="preserve"> spiked </w:t>
      </w:r>
      <w:r w:rsidR="00DF5C79" w:rsidRPr="00835643">
        <w:t>media.</w:t>
      </w:r>
      <w:bookmarkEnd w:id="34"/>
    </w:p>
    <w:p w14:paraId="6E841C9F" w14:textId="68D1C3FD" w:rsidR="00F71608" w:rsidRDefault="00F71608" w:rsidP="00AB2160">
      <w:pPr>
        <w:spacing w:line="360" w:lineRule="auto"/>
        <w:rPr>
          <w:rFonts w:ascii="Times New Roman" w:hAnsi="Times New Roman" w:cs="Times New Roman"/>
          <w:sz w:val="24"/>
          <w:szCs w:val="24"/>
        </w:rPr>
      </w:pPr>
      <w:r w:rsidRPr="003A60C7">
        <w:rPr>
          <w:rFonts w:ascii="Times New Roman" w:hAnsi="Times New Roman" w:cs="Times New Roman"/>
          <w:sz w:val="24"/>
          <w:szCs w:val="24"/>
        </w:rPr>
        <w:t>Coupled laboratory batch culture dynamics of Prochlorococcus (2.</w:t>
      </w:r>
      <w:r w:rsidR="00B03E43">
        <w:rPr>
          <w:rFonts w:ascii="Times New Roman" w:hAnsi="Times New Roman" w:cs="Times New Roman"/>
          <w:sz w:val="24"/>
          <w:szCs w:val="24"/>
        </w:rPr>
        <w:t>7</w:t>
      </w:r>
      <w:r w:rsidRPr="003A60C7">
        <w:rPr>
          <w:rFonts w:ascii="Times New Roman" w:hAnsi="Times New Roman" w:cs="Times New Roman"/>
          <w:sz w:val="24"/>
          <w:szCs w:val="24"/>
        </w:rPr>
        <w:t xml:space="preserve">a)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A60C7">
        <w:rPr>
          <w:rFonts w:ascii="Times New Roman" w:hAnsi="Times New Roman" w:cs="Times New Roman"/>
          <w:sz w:val="24"/>
          <w:szCs w:val="24"/>
        </w:rPr>
        <w:t xml:space="preserve"> (2.</w:t>
      </w:r>
      <w:r w:rsidR="00B03E43">
        <w:rPr>
          <w:rFonts w:ascii="Times New Roman" w:hAnsi="Times New Roman" w:cs="Times New Roman"/>
          <w:sz w:val="24"/>
          <w:szCs w:val="24"/>
        </w:rPr>
        <w:t>7</w:t>
      </w:r>
      <w:r w:rsidRPr="003A60C7">
        <w:rPr>
          <w:rFonts w:ascii="Times New Roman" w:hAnsi="Times New Roman" w:cs="Times New Roman"/>
          <w:sz w:val="24"/>
          <w:szCs w:val="24"/>
        </w:rPr>
        <w:t xml:space="preserve">d) data alongside model best-fit (red line) and searched (grey) combinations in laboratory assays containing 400nM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A60C7">
        <w:rPr>
          <w:rFonts w:ascii="Times New Roman" w:hAnsi="Times New Roman" w:cs="Times New Roman"/>
          <w:sz w:val="24"/>
          <w:szCs w:val="24"/>
        </w:rPr>
        <w:t xml:space="preserve">. To the right of each </w:t>
      </w:r>
      <w:r w:rsidR="006E751C">
        <w:rPr>
          <w:rFonts w:ascii="Times New Roman" w:hAnsi="Times New Roman" w:cs="Times New Roman"/>
          <w:sz w:val="24"/>
          <w:szCs w:val="24"/>
        </w:rPr>
        <w:t xml:space="preserve">(P or H) line’s </w:t>
      </w:r>
      <w:r w:rsidRPr="003A60C7">
        <w:rPr>
          <w:rFonts w:ascii="Times New Roman" w:hAnsi="Times New Roman" w:cs="Times New Roman"/>
          <w:sz w:val="24"/>
          <w:szCs w:val="24"/>
        </w:rPr>
        <w:t>dynamics plot</w:t>
      </w:r>
      <w:r w:rsidR="006E751C">
        <w:rPr>
          <w:rFonts w:ascii="Times New Roman" w:hAnsi="Times New Roman" w:cs="Times New Roman"/>
          <w:sz w:val="24"/>
          <w:szCs w:val="24"/>
        </w:rPr>
        <w:t>,</w:t>
      </w:r>
      <w:r w:rsidRPr="003A60C7">
        <w:rPr>
          <w:rFonts w:ascii="Times New Roman" w:hAnsi="Times New Roman" w:cs="Times New Roman"/>
          <w:sz w:val="24"/>
          <w:szCs w:val="24"/>
        </w:rPr>
        <w:t xml:space="preserve"> </w:t>
      </w:r>
      <w:r w:rsidR="006E751C">
        <w:rPr>
          <w:rFonts w:ascii="Times New Roman" w:hAnsi="Times New Roman" w:cs="Times New Roman"/>
          <w:sz w:val="24"/>
          <w:szCs w:val="24"/>
        </w:rPr>
        <w:t>hi</w:t>
      </w:r>
      <w:r w:rsidR="00317ACA">
        <w:rPr>
          <w:rFonts w:ascii="Times New Roman" w:hAnsi="Times New Roman" w:cs="Times New Roman"/>
          <w:sz w:val="24"/>
          <w:szCs w:val="24"/>
        </w:rPr>
        <w:t>s</w:t>
      </w:r>
      <w:r w:rsidR="006E751C">
        <w:rPr>
          <w:rFonts w:ascii="Times New Roman" w:hAnsi="Times New Roman" w:cs="Times New Roman"/>
          <w:sz w:val="24"/>
          <w:szCs w:val="24"/>
        </w:rPr>
        <w:t xml:space="preserve">tograms of retrieved possible values for: </w:t>
      </w:r>
      <w:r w:rsidRPr="003A60C7">
        <w:rPr>
          <w:rFonts w:ascii="Times New Roman" w:hAnsi="Times New Roman" w:cs="Times New Roman"/>
          <w:sz w:val="24"/>
          <w:szCs w:val="24"/>
        </w:rPr>
        <w:t>the initial value of Prochlorococcus, P</w:t>
      </w:r>
      <w:r w:rsidR="00871425">
        <w:rPr>
          <w:rFonts w:ascii="Times New Roman" w:hAnsi="Times New Roman" w:cs="Times New Roman"/>
          <w:sz w:val="24"/>
          <w:szCs w:val="24"/>
          <w:vertAlign w:val="subscript"/>
        </w:rPr>
        <w:t>0</w:t>
      </w:r>
      <w:r w:rsidRPr="003A60C7">
        <w:rPr>
          <w:rFonts w:ascii="Times New Roman" w:hAnsi="Times New Roman" w:cs="Times New Roman"/>
          <w:sz w:val="24"/>
          <w:szCs w:val="24"/>
        </w:rPr>
        <w:t xml:space="preserve"> (b) 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A60C7">
        <w:rPr>
          <w:rFonts w:ascii="Times New Roman" w:hAnsi="Times New Roman" w:cs="Times New Roman"/>
          <w:sz w:val="24"/>
          <w:szCs w:val="24"/>
        </w:rPr>
        <w:t>, H</w:t>
      </w:r>
      <w:r w:rsidR="00871425">
        <w:rPr>
          <w:rFonts w:ascii="Times New Roman" w:hAnsi="Times New Roman" w:cs="Times New Roman"/>
          <w:sz w:val="24"/>
          <w:szCs w:val="24"/>
          <w:vertAlign w:val="subscript"/>
        </w:rPr>
        <w:t>0</w:t>
      </w:r>
      <w:r w:rsidRPr="003A60C7">
        <w:rPr>
          <w:rFonts w:ascii="Times New Roman" w:hAnsi="Times New Roman" w:cs="Times New Roman"/>
          <w:sz w:val="24"/>
          <w:szCs w:val="24"/>
        </w:rPr>
        <w:t xml:space="preserve"> (e) and</w:t>
      </w:r>
      <w:r w:rsidR="006E751C">
        <w:rPr>
          <w:rFonts w:ascii="Times New Roman" w:hAnsi="Times New Roman" w:cs="Times New Roman"/>
          <w:sz w:val="24"/>
          <w:szCs w:val="24"/>
        </w:rPr>
        <w:t xml:space="preserve"> </w:t>
      </w:r>
      <w:r w:rsidRPr="003A60C7">
        <w:rPr>
          <w:rFonts w:ascii="Times New Roman" w:hAnsi="Times New Roman" w:cs="Times New Roman"/>
          <w:sz w:val="24"/>
          <w:szCs w:val="24"/>
        </w:rPr>
        <w:t>the controlling parameter for each line</w:t>
      </w:r>
      <w:r w:rsidR="006E751C">
        <w:rPr>
          <w:rFonts w:ascii="Times New Roman" w:hAnsi="Times New Roman" w:cs="Times New Roman"/>
          <w:sz w:val="24"/>
          <w:szCs w:val="24"/>
        </w:rPr>
        <w:t>’s dynamics</w:t>
      </w:r>
      <w:r w:rsidRPr="003A60C7">
        <w:rPr>
          <w:rFonts w:ascii="Times New Roman" w:hAnsi="Times New Roman" w:cs="Times New Roman"/>
          <w:sz w:val="24"/>
          <w:szCs w:val="24"/>
        </w:rPr>
        <w:t xml:space="preserve">: </w:t>
      </w:r>
      <w:proofErr w:type="spellStart"/>
      <w:r w:rsidRPr="003A60C7">
        <w:rPr>
          <w:rFonts w:ascii="Times New Roman" w:hAnsi="Times New Roman" w:cs="Times New Roman"/>
          <w:sz w:val="24"/>
          <w:szCs w:val="24"/>
        </w:rPr>
        <w:t>κ</w:t>
      </w:r>
      <w:proofErr w:type="gramStart"/>
      <w:r w:rsidRPr="00337E76">
        <w:rPr>
          <w:rFonts w:ascii="Times New Roman" w:hAnsi="Times New Roman" w:cs="Times New Roman"/>
          <w:sz w:val="24"/>
          <w:szCs w:val="24"/>
          <w:vertAlign w:val="subscript"/>
        </w:rPr>
        <w:t>dam</w:t>
      </w:r>
      <w:r w:rsidR="00F15ED2">
        <w:rPr>
          <w:rFonts w:ascii="Times New Roman" w:hAnsi="Times New Roman" w:cs="Times New Roman"/>
          <w:sz w:val="24"/>
          <w:szCs w:val="24"/>
          <w:vertAlign w:val="subscript"/>
        </w:rPr>
        <w:t>,p</w:t>
      </w:r>
      <w:proofErr w:type="spellEnd"/>
      <w:proofErr w:type="gramEnd"/>
      <w:r w:rsidRPr="003A60C7">
        <w:rPr>
          <w:rFonts w:ascii="Times New Roman" w:hAnsi="Times New Roman" w:cs="Times New Roman"/>
          <w:sz w:val="24"/>
          <w:szCs w:val="24"/>
        </w:rPr>
        <w:t xml:space="preserve"> for </w:t>
      </w:r>
      <w:r w:rsidR="00F15ED2">
        <w:rPr>
          <w:rFonts w:ascii="Times New Roman" w:hAnsi="Times New Roman" w:cs="Times New Roman"/>
          <w:sz w:val="24"/>
          <w:szCs w:val="24"/>
        </w:rPr>
        <w:t xml:space="preserve">the damage rate of H on </w:t>
      </w:r>
      <w:r w:rsidRPr="003A60C7">
        <w:rPr>
          <w:rFonts w:ascii="Times New Roman" w:hAnsi="Times New Roman" w:cs="Times New Roman"/>
          <w:sz w:val="24"/>
          <w:szCs w:val="24"/>
        </w:rPr>
        <w:t xml:space="preserve">P (c) and </w:t>
      </w:r>
      <w:proofErr w:type="spellStart"/>
      <w:r w:rsidRPr="003A60C7">
        <w:rPr>
          <w:rFonts w:ascii="Times New Roman" w:hAnsi="Times New Roman" w:cs="Times New Roman"/>
          <w:sz w:val="24"/>
          <w:szCs w:val="24"/>
        </w:rPr>
        <w:t>ϕ</w:t>
      </w:r>
      <w:r w:rsidRPr="00337E76">
        <w:rPr>
          <w:rFonts w:ascii="Times New Roman" w:hAnsi="Times New Roman" w:cs="Times New Roman"/>
          <w:sz w:val="24"/>
          <w:szCs w:val="24"/>
          <w:vertAlign w:val="subscript"/>
        </w:rPr>
        <w:t>max</w:t>
      </w:r>
      <w:r w:rsidR="00F15ED2">
        <w:rPr>
          <w:rFonts w:ascii="Times New Roman" w:hAnsi="Times New Roman" w:cs="Times New Roman"/>
          <w:sz w:val="24"/>
          <w:szCs w:val="24"/>
          <w:vertAlign w:val="subscript"/>
        </w:rPr>
        <w:t>,p</w:t>
      </w:r>
      <w:proofErr w:type="spellEnd"/>
      <w:r w:rsidR="00337E76">
        <w:rPr>
          <w:rFonts w:ascii="Times New Roman" w:hAnsi="Times New Roman" w:cs="Times New Roman"/>
          <w:sz w:val="24"/>
          <w:szCs w:val="24"/>
        </w:rPr>
        <w:t xml:space="preserve"> </w:t>
      </w:r>
      <w:r w:rsidRPr="003A60C7">
        <w:rPr>
          <w:rFonts w:ascii="Times New Roman" w:hAnsi="Times New Roman" w:cs="Times New Roman"/>
          <w:sz w:val="24"/>
          <w:szCs w:val="24"/>
        </w:rPr>
        <w:t xml:space="preserve">for </w:t>
      </w:r>
      <w:r w:rsidR="00F15ED2">
        <w:rPr>
          <w:rFonts w:ascii="Times New Roman" w:hAnsi="Times New Roman" w:cs="Times New Roman"/>
          <w:sz w:val="24"/>
          <w:szCs w:val="24"/>
        </w:rPr>
        <w:t xml:space="preserve">detoxification rate of </w:t>
      </w:r>
      <w:r w:rsidRPr="003A60C7">
        <w:rPr>
          <w:rFonts w:ascii="Times New Roman" w:hAnsi="Times New Roman" w:cs="Times New Roman"/>
          <w:sz w:val="24"/>
          <w:szCs w:val="24"/>
        </w:rPr>
        <w:t>H</w:t>
      </w:r>
      <w:r w:rsidR="00F15ED2">
        <w:rPr>
          <w:rFonts w:ascii="Times New Roman" w:hAnsi="Times New Roman" w:cs="Times New Roman"/>
          <w:sz w:val="24"/>
          <w:szCs w:val="24"/>
        </w:rPr>
        <w:t xml:space="preserve"> by P cells</w:t>
      </w:r>
      <w:r w:rsidRPr="003A60C7">
        <w:rPr>
          <w:rFonts w:ascii="Times New Roman" w:hAnsi="Times New Roman" w:cs="Times New Roman"/>
          <w:sz w:val="24"/>
          <w:szCs w:val="24"/>
        </w:rPr>
        <w:t xml:space="preserve"> (e) are </w:t>
      </w:r>
      <w:r w:rsidR="006E751C">
        <w:rPr>
          <w:rFonts w:ascii="Times New Roman" w:hAnsi="Times New Roman" w:cs="Times New Roman"/>
          <w:sz w:val="24"/>
          <w:szCs w:val="24"/>
        </w:rPr>
        <w:t xml:space="preserve">each </w:t>
      </w:r>
      <w:r w:rsidRPr="003A60C7">
        <w:rPr>
          <w:rFonts w:ascii="Times New Roman" w:hAnsi="Times New Roman" w:cs="Times New Roman"/>
          <w:sz w:val="24"/>
          <w:szCs w:val="24"/>
        </w:rPr>
        <w:t>shown.</w:t>
      </w:r>
    </w:p>
    <w:p w14:paraId="1E0525AC" w14:textId="6FCCDCB9" w:rsidR="003A60C7" w:rsidRDefault="003A60C7" w:rsidP="00AB2160">
      <w:pPr>
        <w:spacing w:line="360" w:lineRule="auto"/>
        <w:rPr>
          <w:rFonts w:ascii="Times New Roman" w:hAnsi="Times New Roman" w:cs="Times New Roman"/>
          <w:sz w:val="24"/>
          <w:szCs w:val="24"/>
        </w:rPr>
      </w:pPr>
    </w:p>
    <w:p w14:paraId="213C89B0" w14:textId="491BFD85" w:rsidR="003A60C7" w:rsidRDefault="003A60C7" w:rsidP="00AB2160">
      <w:pPr>
        <w:spacing w:line="360" w:lineRule="auto"/>
        <w:rPr>
          <w:rFonts w:ascii="Times New Roman" w:hAnsi="Times New Roman" w:cs="Times New Roman"/>
          <w:sz w:val="24"/>
          <w:szCs w:val="24"/>
        </w:rPr>
      </w:pPr>
    </w:p>
    <w:p w14:paraId="1B78D6B5" w14:textId="77777777" w:rsidR="00CE7353" w:rsidRPr="003609FB" w:rsidRDefault="00CE7353"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XSpec="center" w:tblpY="605"/>
        <w:tblOverlap w:val="never"/>
        <w:tblW w:w="9085" w:type="dxa"/>
        <w:jc w:val="center"/>
        <w:tblLayout w:type="fixed"/>
        <w:tblLook w:val="04A0" w:firstRow="1" w:lastRow="0" w:firstColumn="1" w:lastColumn="0" w:noHBand="0" w:noVBand="1"/>
      </w:tblPr>
      <w:tblGrid>
        <w:gridCol w:w="9085"/>
      </w:tblGrid>
      <w:tr w:rsidR="005E185F" w:rsidRPr="003609FB" w14:paraId="49080DA4" w14:textId="77777777" w:rsidTr="009F64F4">
        <w:trPr>
          <w:jc w:val="center"/>
        </w:trPr>
        <w:tc>
          <w:tcPr>
            <w:tcW w:w="9085" w:type="dxa"/>
            <w:tcBorders>
              <w:top w:val="nil"/>
              <w:left w:val="nil"/>
              <w:bottom w:val="nil"/>
              <w:right w:val="nil"/>
            </w:tcBorders>
          </w:tcPr>
          <w:p w14:paraId="4E99441C" w14:textId="4E1B4D1B" w:rsidR="003A60C7" w:rsidRDefault="00683B15" w:rsidP="00AB2160">
            <w:pPr>
              <w:keepNext/>
              <w:spacing w:line="360" w:lineRule="auto"/>
            </w:pPr>
            <w:r>
              <w:rPr>
                <w:noProof/>
              </w:rPr>
              <w:lastRenderedPageBreak/>
              <w:drawing>
                <wp:inline distT="0" distB="0" distL="0" distR="0" wp14:anchorId="0869E9AA" wp14:editId="517DD849">
                  <wp:extent cx="5377382" cy="1879600"/>
                  <wp:effectExtent l="0" t="0" r="0" b="0"/>
                  <wp:docPr id="2059388816" name="Picture 2059388816" descr="A graph of different siz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16" name="Picture 2059388816" descr="A graph of different sizes and shapes&#10;&#10;Description automatically generated with medium confidence"/>
                          <pic:cNvPicPr/>
                        </pic:nvPicPr>
                        <pic:blipFill rotWithShape="1">
                          <a:blip r:embed="rId34" cstate="print">
                            <a:extLst>
                              <a:ext uri="{28A0092B-C50C-407E-A947-70E740481C1C}">
                                <a14:useLocalDpi xmlns:a14="http://schemas.microsoft.com/office/drawing/2010/main" val="0"/>
                              </a:ext>
                            </a:extLst>
                          </a:blip>
                          <a:srcRect t="10629" r="2357"/>
                          <a:stretch/>
                        </pic:blipFill>
                        <pic:spPr bwMode="auto">
                          <a:xfrm>
                            <a:off x="0" y="0"/>
                            <a:ext cx="5388670" cy="1883546"/>
                          </a:xfrm>
                          <a:prstGeom prst="rect">
                            <a:avLst/>
                          </a:prstGeom>
                          <a:ln>
                            <a:noFill/>
                          </a:ln>
                          <a:extLst>
                            <a:ext uri="{53640926-AAD7-44D8-BBD7-CCE9431645EC}">
                              <a14:shadowObscured xmlns:a14="http://schemas.microsoft.com/office/drawing/2010/main"/>
                            </a:ext>
                          </a:extLst>
                        </pic:spPr>
                      </pic:pic>
                    </a:graphicData>
                  </a:graphic>
                </wp:inline>
              </w:drawing>
            </w:r>
          </w:p>
          <w:p w14:paraId="78F423A3" w14:textId="76AD0A5F" w:rsidR="005E185F" w:rsidRPr="003609FB" w:rsidRDefault="003A60C7" w:rsidP="00511118">
            <w:pPr>
              <w:pStyle w:val="Caption"/>
            </w:pPr>
            <w:bookmarkStart w:id="35" w:name="_Toc173148375"/>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8</w:t>
            </w:r>
            <w:r w:rsidR="00000000">
              <w:rPr>
                <w:noProof/>
              </w:rPr>
              <w:fldChar w:fldCharType="end"/>
            </w:r>
            <w:r>
              <w:t xml:space="preserve"> </w:t>
            </w:r>
            <w:r w:rsidRPr="00DB4B13">
              <w:t xml:space="preserve">Monoculture </w:t>
            </w:r>
            <w:proofErr w:type="spellStart"/>
            <w:r w:rsidRPr="00DB4B13">
              <w:t>Synechococcus</w:t>
            </w:r>
            <w:proofErr w:type="spellEnd"/>
            <w:r w:rsidRPr="00DB4B13">
              <w:t xml:space="preserve"> CC9605 modeled in growth media</w:t>
            </w:r>
            <w:bookmarkEnd w:id="35"/>
          </w:p>
        </w:tc>
      </w:tr>
    </w:tbl>
    <w:p w14:paraId="3A371D19" w14:textId="77777777" w:rsidR="003A60C7" w:rsidRDefault="003A60C7" w:rsidP="00AB2160">
      <w:pPr>
        <w:spacing w:line="360" w:lineRule="auto"/>
        <w:rPr>
          <w:rFonts w:ascii="Times New Roman" w:hAnsi="Times New Roman" w:cs="Times New Roman"/>
          <w:sz w:val="24"/>
          <w:szCs w:val="24"/>
        </w:rPr>
      </w:pPr>
    </w:p>
    <w:p w14:paraId="17F3C851" w14:textId="1C23B64B" w:rsidR="005E185F" w:rsidRPr="003609FB" w:rsidRDefault="003A60C7"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w:t>
      </w:r>
      <w:r w:rsidR="006172D1">
        <w:rPr>
          <w:rFonts w:ascii="Times New Roman" w:hAnsi="Times New Roman" w:cs="Times New Roman"/>
          <w:sz w:val="24"/>
          <w:szCs w:val="24"/>
        </w:rPr>
        <w:t>mono</w:t>
      </w:r>
      <w:r w:rsidRPr="003609FB">
        <w:rPr>
          <w:rFonts w:ascii="Times New Roman" w:hAnsi="Times New Roman" w:cs="Times New Roman"/>
          <w:sz w:val="24"/>
          <w:szCs w:val="24"/>
        </w:rPr>
        <w:t xml:space="preserve">culture dynamics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CC9605 data (blue line) and model searches (grey lines) with best-fit solution (red line) in </w:t>
      </w:r>
      <w:r w:rsidR="006172D1">
        <w:rPr>
          <w:rFonts w:ascii="Times New Roman" w:hAnsi="Times New Roman" w:cs="Times New Roman"/>
          <w:sz w:val="24"/>
          <w:szCs w:val="24"/>
        </w:rPr>
        <w:t>growth media with zero additional</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 Also shown are histograms </w:t>
      </w:r>
      <w:r w:rsidR="006172D1">
        <w:rPr>
          <w:rFonts w:ascii="Times New Roman" w:hAnsi="Times New Roman" w:cs="Times New Roman"/>
          <w:sz w:val="24"/>
          <w:szCs w:val="24"/>
        </w:rPr>
        <w:t>displaying</w:t>
      </w:r>
      <w:r w:rsidRPr="003609FB">
        <w:rPr>
          <w:rFonts w:ascii="Times New Roman" w:hAnsi="Times New Roman" w:cs="Times New Roman"/>
          <w:sz w:val="24"/>
          <w:szCs w:val="24"/>
        </w:rPr>
        <w:t xml:space="preserve"> the </w:t>
      </w:r>
      <w:r w:rsidR="00ED7394">
        <w:rPr>
          <w:rFonts w:ascii="Times New Roman" w:hAnsi="Times New Roman" w:cs="Times New Roman"/>
          <w:sz w:val="24"/>
          <w:szCs w:val="24"/>
        </w:rPr>
        <w:t xml:space="preserve">values retrieved for </w:t>
      </w:r>
      <w:r w:rsidRPr="003609FB">
        <w:rPr>
          <w:rFonts w:ascii="Times New Roman" w:hAnsi="Times New Roman" w:cs="Times New Roman"/>
          <w:sz w:val="24"/>
          <w:szCs w:val="24"/>
        </w:rPr>
        <w:t xml:space="preserve">initial cell concentration </w:t>
      </w:r>
      <w:r w:rsidR="00ED7394">
        <w:rPr>
          <w:rFonts w:ascii="Times New Roman" w:hAnsi="Times New Roman" w:cs="Times New Roman"/>
          <w:sz w:val="24"/>
          <w:szCs w:val="24"/>
        </w:rPr>
        <w:t xml:space="preserve">of </w:t>
      </w:r>
      <w:proofErr w:type="spellStart"/>
      <w:r w:rsidR="00ED7394" w:rsidRPr="00ED7394">
        <w:rPr>
          <w:rFonts w:ascii="Times" w:hAnsi="Times" w:cs="Times New Roman"/>
          <w:i/>
          <w:iCs/>
          <w:color w:val="000000" w:themeColor="text1"/>
          <w:sz w:val="24"/>
          <w:szCs w:val="24"/>
        </w:rPr>
        <w:t>Synechococcus</w:t>
      </w:r>
      <w:proofErr w:type="spellEnd"/>
      <w:r w:rsidR="00ED7394">
        <w:rPr>
          <w:rFonts w:ascii="Times New Roman" w:hAnsi="Times New Roman" w:cs="Times New Roman"/>
          <w:sz w:val="24"/>
          <w:szCs w:val="24"/>
        </w:rPr>
        <w:t xml:space="preserve"> </w:t>
      </w:r>
      <w:r w:rsidRPr="003609FB">
        <w:rPr>
          <w:rFonts w:ascii="Times New Roman" w:hAnsi="Times New Roman" w:cs="Times New Roman"/>
          <w:sz w:val="24"/>
          <w:szCs w:val="24"/>
        </w:rPr>
        <w:t>(S</w:t>
      </w:r>
      <w:r w:rsidRPr="00683B15">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w:t>
      </w:r>
      <w:r w:rsidR="00ED7394">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respectively).</w:t>
      </w:r>
      <w:r w:rsidR="00A2594D">
        <w:rPr>
          <w:rFonts w:ascii="Times New Roman" w:hAnsi="Times New Roman" w:cs="Times New Roman"/>
          <w:sz w:val="24"/>
          <w:szCs w:val="24"/>
        </w:rPr>
        <w:t xml:space="preserve"> </w:t>
      </w:r>
    </w:p>
    <w:p w14:paraId="7E588D5C" w14:textId="58728F60" w:rsidR="005E185F" w:rsidRDefault="005E185F" w:rsidP="00AB2160">
      <w:pPr>
        <w:spacing w:line="360" w:lineRule="auto"/>
        <w:rPr>
          <w:rFonts w:ascii="Times New Roman" w:hAnsi="Times New Roman" w:cs="Times New Roman"/>
          <w:sz w:val="24"/>
          <w:szCs w:val="24"/>
        </w:rPr>
      </w:pPr>
    </w:p>
    <w:p w14:paraId="3DF33ACE" w14:textId="5927802F" w:rsidR="00CE7353" w:rsidRDefault="00CE7353" w:rsidP="00AB2160">
      <w:pPr>
        <w:spacing w:line="360" w:lineRule="auto"/>
        <w:rPr>
          <w:rFonts w:ascii="Times New Roman" w:hAnsi="Times New Roman" w:cs="Times New Roman"/>
          <w:sz w:val="24"/>
          <w:szCs w:val="24"/>
        </w:rPr>
      </w:pPr>
    </w:p>
    <w:p w14:paraId="5B6D66B6" w14:textId="0A2C890A" w:rsidR="00CE7353" w:rsidRDefault="00CE7353" w:rsidP="00AB2160">
      <w:pPr>
        <w:spacing w:line="360" w:lineRule="auto"/>
        <w:rPr>
          <w:rFonts w:ascii="Times New Roman" w:hAnsi="Times New Roman" w:cs="Times New Roman"/>
          <w:sz w:val="24"/>
          <w:szCs w:val="24"/>
        </w:rPr>
      </w:pPr>
    </w:p>
    <w:p w14:paraId="69920897" w14:textId="1485E0C2" w:rsidR="00CE7353" w:rsidRDefault="00CE7353" w:rsidP="00AB2160">
      <w:pPr>
        <w:spacing w:line="360" w:lineRule="auto"/>
        <w:rPr>
          <w:rFonts w:ascii="Times New Roman" w:hAnsi="Times New Roman" w:cs="Times New Roman"/>
          <w:sz w:val="24"/>
          <w:szCs w:val="24"/>
        </w:rPr>
      </w:pPr>
    </w:p>
    <w:p w14:paraId="6F0C36BC" w14:textId="19F88688" w:rsidR="00CE7353" w:rsidRDefault="00CE7353" w:rsidP="00AB2160">
      <w:pPr>
        <w:spacing w:line="360" w:lineRule="auto"/>
        <w:rPr>
          <w:rFonts w:ascii="Times New Roman" w:hAnsi="Times New Roman" w:cs="Times New Roman"/>
          <w:sz w:val="24"/>
          <w:szCs w:val="24"/>
        </w:rPr>
      </w:pPr>
    </w:p>
    <w:p w14:paraId="6E4DBD56" w14:textId="02296B03" w:rsidR="00CE7353" w:rsidRDefault="00CE7353" w:rsidP="00AB2160">
      <w:pPr>
        <w:spacing w:line="360" w:lineRule="auto"/>
        <w:rPr>
          <w:rFonts w:ascii="Times New Roman" w:hAnsi="Times New Roman" w:cs="Times New Roman"/>
          <w:sz w:val="24"/>
          <w:szCs w:val="24"/>
        </w:rPr>
      </w:pPr>
    </w:p>
    <w:p w14:paraId="09FB15E7" w14:textId="595F07F3" w:rsidR="00CE7353" w:rsidRDefault="00CE7353" w:rsidP="00AB2160">
      <w:pPr>
        <w:spacing w:line="360" w:lineRule="auto"/>
        <w:rPr>
          <w:rFonts w:ascii="Times New Roman" w:hAnsi="Times New Roman" w:cs="Times New Roman"/>
          <w:sz w:val="24"/>
          <w:szCs w:val="24"/>
        </w:rPr>
      </w:pPr>
    </w:p>
    <w:p w14:paraId="2DC0D231" w14:textId="01B38F81" w:rsidR="00CE7353" w:rsidRDefault="00CE7353" w:rsidP="00AB2160">
      <w:pPr>
        <w:spacing w:line="360" w:lineRule="auto"/>
        <w:rPr>
          <w:rFonts w:ascii="Times New Roman" w:hAnsi="Times New Roman" w:cs="Times New Roman"/>
          <w:sz w:val="24"/>
          <w:szCs w:val="24"/>
        </w:rPr>
      </w:pPr>
    </w:p>
    <w:p w14:paraId="6094F651" w14:textId="00A09704" w:rsidR="00CE7353" w:rsidRDefault="00CE7353" w:rsidP="00AB2160">
      <w:pPr>
        <w:spacing w:line="360" w:lineRule="auto"/>
        <w:rPr>
          <w:rFonts w:ascii="Times New Roman" w:hAnsi="Times New Roman" w:cs="Times New Roman"/>
          <w:sz w:val="24"/>
          <w:szCs w:val="24"/>
        </w:rPr>
      </w:pPr>
    </w:p>
    <w:p w14:paraId="2F98A589" w14:textId="1C2C0642" w:rsidR="009E0DA7" w:rsidRPr="003609FB" w:rsidRDefault="009E0DA7"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XSpec="center" w:tblpY="155"/>
        <w:tblOverlap w:val="never"/>
        <w:tblW w:w="9445" w:type="dxa"/>
        <w:jc w:val="center"/>
        <w:tblLayout w:type="fixed"/>
        <w:tblLook w:val="04A0" w:firstRow="1" w:lastRow="0" w:firstColumn="1" w:lastColumn="0" w:noHBand="0" w:noVBand="1"/>
      </w:tblPr>
      <w:tblGrid>
        <w:gridCol w:w="9445"/>
      </w:tblGrid>
      <w:tr w:rsidR="005E185F" w:rsidRPr="003609FB" w14:paraId="59FC851D" w14:textId="77777777" w:rsidTr="009F64F4">
        <w:trPr>
          <w:jc w:val="center"/>
        </w:trPr>
        <w:tc>
          <w:tcPr>
            <w:tcW w:w="9445" w:type="dxa"/>
            <w:tcBorders>
              <w:top w:val="nil"/>
              <w:left w:val="nil"/>
              <w:bottom w:val="nil"/>
              <w:right w:val="nil"/>
            </w:tcBorders>
          </w:tcPr>
          <w:p w14:paraId="336F9038" w14:textId="1E596B63" w:rsidR="005E185F"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  </w:t>
            </w:r>
            <w:r w:rsidR="006172D1">
              <w:rPr>
                <w:noProof/>
              </w:rPr>
              <w:t xml:space="preserve"> </w:t>
            </w:r>
            <w:r w:rsidR="00A56201">
              <w:rPr>
                <w:noProof/>
              </w:rPr>
              <w:t xml:space="preserve"> </w:t>
            </w:r>
            <w:r w:rsidR="00A56201" w:rsidRPr="00A56201">
              <w:rPr>
                <w:noProof/>
              </w:rPr>
              <w:drawing>
                <wp:inline distT="0" distB="0" distL="0" distR="0" wp14:anchorId="494AA7C9" wp14:editId="3411B8BC">
                  <wp:extent cx="5549187" cy="3768436"/>
                  <wp:effectExtent l="0" t="0" r="1270" b="3810"/>
                  <wp:docPr id="2059388819" name="Picture 205938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542" t="8530" r="8132" b="3538"/>
                          <a:stretch/>
                        </pic:blipFill>
                        <pic:spPr bwMode="auto">
                          <a:xfrm>
                            <a:off x="0" y="0"/>
                            <a:ext cx="5556092" cy="37731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38278916" w14:textId="529F20BE" w:rsidR="00CE7353" w:rsidRDefault="003A60C7" w:rsidP="00511118">
      <w:pPr>
        <w:pStyle w:val="Caption"/>
      </w:pPr>
      <w:bookmarkStart w:id="36" w:name="_Toc173148376"/>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9</w:t>
      </w:r>
      <w:r w:rsidR="00000000">
        <w:rPr>
          <w:noProof/>
        </w:rPr>
        <w:fldChar w:fldCharType="end"/>
      </w:r>
      <w:r>
        <w:t xml:space="preserve"> </w:t>
      </w:r>
      <w:r w:rsidRPr="00475877">
        <w:t xml:space="preserve">Monoculture </w:t>
      </w:r>
      <w:proofErr w:type="spellStart"/>
      <w:r w:rsidRPr="00475877">
        <w:t>Synechococcus</w:t>
      </w:r>
      <w:proofErr w:type="spellEnd"/>
      <w:r w:rsidRPr="00475877">
        <w:t xml:space="preserve"> </w:t>
      </w:r>
      <w:r>
        <w:t xml:space="preserve">CC9605 </w:t>
      </w:r>
      <w:r w:rsidRPr="00475877">
        <w:t xml:space="preserve">modeled in </w:t>
      </w:r>
      <w:r w:rsidR="00F52F1E" w:rsidRPr="003609FB">
        <w:t>H</w:t>
      </w:r>
      <w:r w:rsidR="00F52F1E" w:rsidRPr="00351FC4">
        <w:rPr>
          <w:vertAlign w:val="subscript"/>
        </w:rPr>
        <w:t>2</w:t>
      </w:r>
      <w:r w:rsidR="00F52F1E" w:rsidRPr="003609FB">
        <w:t>O</w:t>
      </w:r>
      <w:r w:rsidR="00F52F1E" w:rsidRPr="00351FC4">
        <w:rPr>
          <w:vertAlign w:val="subscript"/>
        </w:rPr>
        <w:t>2</w:t>
      </w:r>
      <w:r w:rsidRPr="00475877">
        <w:t xml:space="preserve"> spiked media</w:t>
      </w:r>
      <w:r>
        <w:t>.</w:t>
      </w:r>
      <w:bookmarkEnd w:id="36"/>
      <w:r>
        <w:t xml:space="preserve"> </w:t>
      </w:r>
    </w:p>
    <w:p w14:paraId="532DC542" w14:textId="5CCF91B3" w:rsidR="00CE7353" w:rsidRDefault="007C0B81" w:rsidP="00AB2160">
      <w:pPr>
        <w:spacing w:line="360" w:lineRule="auto"/>
        <w:rPr>
          <w:rFonts w:ascii="Times New Roman" w:hAnsi="Times New Roman" w:cs="Times New Roman"/>
          <w:sz w:val="24"/>
          <w:szCs w:val="24"/>
        </w:rPr>
      </w:pPr>
      <w:r w:rsidRPr="007C0B81">
        <w:rPr>
          <w:rFonts w:ascii="Times New Roman" w:hAnsi="Times New Roman" w:cs="Times New Roman"/>
          <w:sz w:val="24"/>
          <w:szCs w:val="24"/>
        </w:rPr>
        <w:t xml:space="preserve">Coupled laboratory batch culture dynamics of </w:t>
      </w:r>
      <w:proofErr w:type="spellStart"/>
      <w:r w:rsidRPr="007C0B81">
        <w:rPr>
          <w:rFonts w:ascii="Times New Roman" w:hAnsi="Times New Roman" w:cs="Times New Roman"/>
          <w:sz w:val="24"/>
          <w:szCs w:val="24"/>
        </w:rPr>
        <w:t>Synechococcus</w:t>
      </w:r>
      <w:proofErr w:type="spellEnd"/>
      <w:r w:rsidRPr="007C0B81">
        <w:rPr>
          <w:rFonts w:ascii="Times New Roman" w:hAnsi="Times New Roman" w:cs="Times New Roman"/>
          <w:sz w:val="24"/>
          <w:szCs w:val="24"/>
        </w:rPr>
        <w:t xml:space="preserve"> CC9605 (a) and H2O2 (d) data alongside searched parameter combinations (grey) in batch culture containing 400nM H</w:t>
      </w:r>
      <w:r w:rsidRPr="002B27F8">
        <w:rPr>
          <w:rFonts w:ascii="Times New Roman" w:hAnsi="Times New Roman" w:cs="Times New Roman"/>
          <w:sz w:val="24"/>
          <w:szCs w:val="24"/>
          <w:vertAlign w:val="subscript"/>
        </w:rPr>
        <w:t>2</w:t>
      </w:r>
      <w:r w:rsidRPr="007C0B81">
        <w:rPr>
          <w:rFonts w:ascii="Times New Roman" w:hAnsi="Times New Roman" w:cs="Times New Roman"/>
          <w:sz w:val="24"/>
          <w:szCs w:val="24"/>
        </w:rPr>
        <w:t>O</w:t>
      </w:r>
      <w:r w:rsidRPr="002B27F8">
        <w:rPr>
          <w:rFonts w:ascii="Times New Roman" w:hAnsi="Times New Roman" w:cs="Times New Roman"/>
          <w:sz w:val="24"/>
          <w:szCs w:val="24"/>
          <w:vertAlign w:val="subscript"/>
        </w:rPr>
        <w:t>2</w:t>
      </w:r>
      <w:r w:rsidRPr="007C0B81">
        <w:rPr>
          <w:rFonts w:ascii="Times New Roman" w:hAnsi="Times New Roman" w:cs="Times New Roman"/>
          <w:sz w:val="24"/>
          <w:szCs w:val="24"/>
        </w:rPr>
        <w:t xml:space="preserve">.  </w:t>
      </w:r>
      <w:r w:rsidR="00A2594D" w:rsidRPr="003A60C7">
        <w:rPr>
          <w:rFonts w:ascii="Times New Roman" w:hAnsi="Times New Roman" w:cs="Times New Roman"/>
          <w:sz w:val="24"/>
          <w:szCs w:val="24"/>
        </w:rPr>
        <w:t xml:space="preserve">To the right of each </w:t>
      </w:r>
      <w:r w:rsidR="00A2594D">
        <w:rPr>
          <w:rFonts w:ascii="Times New Roman" w:hAnsi="Times New Roman" w:cs="Times New Roman"/>
          <w:sz w:val="24"/>
          <w:szCs w:val="24"/>
        </w:rPr>
        <w:t xml:space="preserve">(S or H) line’s </w:t>
      </w:r>
      <w:r w:rsidR="00A2594D" w:rsidRPr="003A60C7">
        <w:rPr>
          <w:rFonts w:ascii="Times New Roman" w:hAnsi="Times New Roman" w:cs="Times New Roman"/>
          <w:sz w:val="24"/>
          <w:szCs w:val="24"/>
        </w:rPr>
        <w:t>dynamics plot</w:t>
      </w:r>
      <w:r w:rsidR="00A2594D">
        <w:rPr>
          <w:rFonts w:ascii="Times New Roman" w:hAnsi="Times New Roman" w:cs="Times New Roman"/>
          <w:sz w:val="24"/>
          <w:szCs w:val="24"/>
        </w:rPr>
        <w:t xml:space="preserve">, histograms of retrieved possible values for: </w:t>
      </w:r>
      <w:r w:rsidR="00A2594D" w:rsidRPr="003A60C7">
        <w:rPr>
          <w:rFonts w:ascii="Times New Roman" w:hAnsi="Times New Roman" w:cs="Times New Roman"/>
          <w:sz w:val="24"/>
          <w:szCs w:val="24"/>
        </w:rPr>
        <w:t xml:space="preserve">the initial value of </w:t>
      </w:r>
      <w:proofErr w:type="spellStart"/>
      <w:r w:rsidR="00A2594D" w:rsidRPr="00A2594D">
        <w:rPr>
          <w:rFonts w:ascii="Times" w:hAnsi="Times" w:cs="Times New Roman"/>
          <w:i/>
          <w:iCs/>
          <w:color w:val="000000" w:themeColor="text1"/>
          <w:sz w:val="24"/>
          <w:szCs w:val="24"/>
        </w:rPr>
        <w:t>Synechococcus</w:t>
      </w:r>
      <w:proofErr w:type="spellEnd"/>
      <w:r w:rsidR="00A2594D" w:rsidRPr="003A60C7">
        <w:rPr>
          <w:rFonts w:ascii="Times New Roman" w:hAnsi="Times New Roman" w:cs="Times New Roman"/>
          <w:sz w:val="24"/>
          <w:szCs w:val="24"/>
        </w:rPr>
        <w:t xml:space="preserve">, </w:t>
      </w:r>
      <w:r w:rsidR="00A2594D">
        <w:rPr>
          <w:rFonts w:ascii="Times New Roman" w:hAnsi="Times New Roman" w:cs="Times New Roman"/>
          <w:sz w:val="24"/>
          <w:szCs w:val="24"/>
        </w:rPr>
        <w:t>S</w:t>
      </w:r>
      <w:r w:rsidR="00A2594D">
        <w:rPr>
          <w:rFonts w:ascii="Times New Roman" w:hAnsi="Times New Roman" w:cs="Times New Roman"/>
          <w:sz w:val="24"/>
          <w:szCs w:val="24"/>
          <w:vertAlign w:val="subscript"/>
        </w:rPr>
        <w:t>0</w:t>
      </w:r>
      <w:r w:rsidR="00A2594D" w:rsidRPr="003A60C7">
        <w:rPr>
          <w:rFonts w:ascii="Times New Roman" w:hAnsi="Times New Roman" w:cs="Times New Roman"/>
          <w:sz w:val="24"/>
          <w:szCs w:val="24"/>
        </w:rPr>
        <w:t xml:space="preserve"> (b) or </w:t>
      </w:r>
      <w:r w:rsidR="00A2594D" w:rsidRPr="003609FB">
        <w:rPr>
          <w:rFonts w:ascii="Times New Roman" w:hAnsi="Times New Roman" w:cs="Times New Roman"/>
          <w:sz w:val="24"/>
          <w:szCs w:val="24"/>
        </w:rPr>
        <w:t>H</w:t>
      </w:r>
      <w:r w:rsidR="00A2594D" w:rsidRPr="00351FC4">
        <w:rPr>
          <w:rFonts w:ascii="Times New Roman" w:hAnsi="Times New Roman" w:cs="Times New Roman"/>
          <w:sz w:val="24"/>
          <w:szCs w:val="24"/>
          <w:vertAlign w:val="subscript"/>
        </w:rPr>
        <w:t>2</w:t>
      </w:r>
      <w:r w:rsidR="00A2594D" w:rsidRPr="003609FB">
        <w:rPr>
          <w:rFonts w:ascii="Times New Roman" w:hAnsi="Times New Roman" w:cs="Times New Roman"/>
          <w:sz w:val="24"/>
          <w:szCs w:val="24"/>
        </w:rPr>
        <w:t>O</w:t>
      </w:r>
      <w:r w:rsidR="00A2594D" w:rsidRPr="00351FC4">
        <w:rPr>
          <w:rFonts w:ascii="Times New Roman" w:hAnsi="Times New Roman" w:cs="Times New Roman"/>
          <w:sz w:val="24"/>
          <w:szCs w:val="24"/>
          <w:vertAlign w:val="subscript"/>
        </w:rPr>
        <w:t>2</w:t>
      </w:r>
      <w:r w:rsidR="00A2594D" w:rsidRPr="003A60C7">
        <w:rPr>
          <w:rFonts w:ascii="Times New Roman" w:hAnsi="Times New Roman" w:cs="Times New Roman"/>
          <w:sz w:val="24"/>
          <w:szCs w:val="24"/>
        </w:rPr>
        <w:t>, H</w:t>
      </w:r>
      <w:r w:rsidR="00A2594D">
        <w:rPr>
          <w:rFonts w:ascii="Times New Roman" w:hAnsi="Times New Roman" w:cs="Times New Roman"/>
          <w:sz w:val="24"/>
          <w:szCs w:val="24"/>
          <w:vertAlign w:val="subscript"/>
        </w:rPr>
        <w:t>0</w:t>
      </w:r>
      <w:r w:rsidR="00A2594D" w:rsidRPr="003A60C7">
        <w:rPr>
          <w:rFonts w:ascii="Times New Roman" w:hAnsi="Times New Roman" w:cs="Times New Roman"/>
          <w:sz w:val="24"/>
          <w:szCs w:val="24"/>
        </w:rPr>
        <w:t xml:space="preserve"> (e) and</w:t>
      </w:r>
      <w:r w:rsidR="00A2594D">
        <w:rPr>
          <w:rFonts w:ascii="Times New Roman" w:hAnsi="Times New Roman" w:cs="Times New Roman"/>
          <w:sz w:val="24"/>
          <w:szCs w:val="24"/>
        </w:rPr>
        <w:t xml:space="preserve"> </w:t>
      </w:r>
      <w:r w:rsidR="00A2594D" w:rsidRPr="003A60C7">
        <w:rPr>
          <w:rFonts w:ascii="Times New Roman" w:hAnsi="Times New Roman" w:cs="Times New Roman"/>
          <w:sz w:val="24"/>
          <w:szCs w:val="24"/>
        </w:rPr>
        <w:t>the controlling parameter for each line</w:t>
      </w:r>
      <w:r w:rsidR="00A2594D">
        <w:rPr>
          <w:rFonts w:ascii="Times New Roman" w:hAnsi="Times New Roman" w:cs="Times New Roman"/>
          <w:sz w:val="24"/>
          <w:szCs w:val="24"/>
        </w:rPr>
        <w:t>’s dynamics</w:t>
      </w:r>
      <w:r w:rsidR="00A2594D" w:rsidRPr="003A60C7">
        <w:rPr>
          <w:rFonts w:ascii="Times New Roman" w:hAnsi="Times New Roman" w:cs="Times New Roman"/>
          <w:sz w:val="24"/>
          <w:szCs w:val="24"/>
        </w:rPr>
        <w:t xml:space="preserve">: </w:t>
      </w:r>
      <w:proofErr w:type="spellStart"/>
      <w:r w:rsidR="00A2594D" w:rsidRPr="003A60C7">
        <w:rPr>
          <w:rFonts w:ascii="Times New Roman" w:hAnsi="Times New Roman" w:cs="Times New Roman"/>
          <w:sz w:val="24"/>
          <w:szCs w:val="24"/>
        </w:rPr>
        <w:t>κ</w:t>
      </w:r>
      <w:proofErr w:type="gramStart"/>
      <w:r w:rsidR="00A2594D" w:rsidRPr="00337E76">
        <w:rPr>
          <w:rFonts w:ascii="Times New Roman" w:hAnsi="Times New Roman" w:cs="Times New Roman"/>
          <w:sz w:val="24"/>
          <w:szCs w:val="24"/>
          <w:vertAlign w:val="subscript"/>
        </w:rPr>
        <w:t>dam</w:t>
      </w:r>
      <w:r w:rsidR="00A2594D">
        <w:rPr>
          <w:rFonts w:ascii="Times New Roman" w:hAnsi="Times New Roman" w:cs="Times New Roman"/>
          <w:sz w:val="24"/>
          <w:szCs w:val="24"/>
          <w:vertAlign w:val="subscript"/>
        </w:rPr>
        <w:t>,s</w:t>
      </w:r>
      <w:proofErr w:type="spellEnd"/>
      <w:proofErr w:type="gramEnd"/>
      <w:r w:rsidR="00A2594D" w:rsidRPr="003A60C7">
        <w:rPr>
          <w:rFonts w:ascii="Times New Roman" w:hAnsi="Times New Roman" w:cs="Times New Roman"/>
          <w:sz w:val="24"/>
          <w:szCs w:val="24"/>
        </w:rPr>
        <w:t xml:space="preserve"> for </w:t>
      </w:r>
      <w:r w:rsidR="00A2594D">
        <w:rPr>
          <w:rFonts w:ascii="Times New Roman" w:hAnsi="Times New Roman" w:cs="Times New Roman"/>
          <w:sz w:val="24"/>
          <w:szCs w:val="24"/>
        </w:rPr>
        <w:t>the damage rate of H on S</w:t>
      </w:r>
      <w:r w:rsidR="00A2594D" w:rsidRPr="003A60C7">
        <w:rPr>
          <w:rFonts w:ascii="Times New Roman" w:hAnsi="Times New Roman" w:cs="Times New Roman"/>
          <w:sz w:val="24"/>
          <w:szCs w:val="24"/>
        </w:rPr>
        <w:t xml:space="preserve"> (c) and </w:t>
      </w:r>
      <w:proofErr w:type="spellStart"/>
      <w:r w:rsidR="00A2594D" w:rsidRPr="003A60C7">
        <w:rPr>
          <w:rFonts w:ascii="Times New Roman" w:hAnsi="Times New Roman" w:cs="Times New Roman"/>
          <w:sz w:val="24"/>
          <w:szCs w:val="24"/>
        </w:rPr>
        <w:t>ϕ</w:t>
      </w:r>
      <w:r w:rsidR="00A2594D" w:rsidRPr="00337E76">
        <w:rPr>
          <w:rFonts w:ascii="Times New Roman" w:hAnsi="Times New Roman" w:cs="Times New Roman"/>
          <w:sz w:val="24"/>
          <w:szCs w:val="24"/>
          <w:vertAlign w:val="subscript"/>
        </w:rPr>
        <w:t>max</w:t>
      </w:r>
      <w:r w:rsidR="00A2594D">
        <w:rPr>
          <w:rFonts w:ascii="Times New Roman" w:hAnsi="Times New Roman" w:cs="Times New Roman"/>
          <w:sz w:val="24"/>
          <w:szCs w:val="24"/>
          <w:vertAlign w:val="subscript"/>
        </w:rPr>
        <w:t>,s</w:t>
      </w:r>
      <w:proofErr w:type="spellEnd"/>
      <w:r w:rsidR="00A2594D">
        <w:rPr>
          <w:rFonts w:ascii="Times New Roman" w:hAnsi="Times New Roman" w:cs="Times New Roman"/>
          <w:sz w:val="24"/>
          <w:szCs w:val="24"/>
        </w:rPr>
        <w:t xml:space="preserve"> </w:t>
      </w:r>
      <w:r w:rsidR="00A2594D" w:rsidRPr="003A60C7">
        <w:rPr>
          <w:rFonts w:ascii="Times New Roman" w:hAnsi="Times New Roman" w:cs="Times New Roman"/>
          <w:sz w:val="24"/>
          <w:szCs w:val="24"/>
        </w:rPr>
        <w:t xml:space="preserve">for </w:t>
      </w:r>
      <w:r w:rsidR="00A2594D">
        <w:rPr>
          <w:rFonts w:ascii="Times New Roman" w:hAnsi="Times New Roman" w:cs="Times New Roman"/>
          <w:sz w:val="24"/>
          <w:szCs w:val="24"/>
        </w:rPr>
        <w:t xml:space="preserve">detoxification rate of </w:t>
      </w:r>
      <w:r w:rsidR="00A2594D" w:rsidRPr="003A60C7">
        <w:rPr>
          <w:rFonts w:ascii="Times New Roman" w:hAnsi="Times New Roman" w:cs="Times New Roman"/>
          <w:sz w:val="24"/>
          <w:szCs w:val="24"/>
        </w:rPr>
        <w:t>H</w:t>
      </w:r>
      <w:r w:rsidR="00A2594D">
        <w:rPr>
          <w:rFonts w:ascii="Times New Roman" w:hAnsi="Times New Roman" w:cs="Times New Roman"/>
          <w:sz w:val="24"/>
          <w:szCs w:val="24"/>
        </w:rPr>
        <w:t xml:space="preserve"> by S cells</w:t>
      </w:r>
      <w:r w:rsidR="00A2594D" w:rsidRPr="003A60C7">
        <w:rPr>
          <w:rFonts w:ascii="Times New Roman" w:hAnsi="Times New Roman" w:cs="Times New Roman"/>
          <w:sz w:val="24"/>
          <w:szCs w:val="24"/>
        </w:rPr>
        <w:t xml:space="preserve"> (e) are </w:t>
      </w:r>
      <w:r w:rsidR="00A2594D">
        <w:rPr>
          <w:rFonts w:ascii="Times New Roman" w:hAnsi="Times New Roman" w:cs="Times New Roman"/>
          <w:sz w:val="24"/>
          <w:szCs w:val="24"/>
        </w:rPr>
        <w:t xml:space="preserve">each </w:t>
      </w:r>
      <w:r w:rsidR="00A2594D" w:rsidRPr="003A60C7">
        <w:rPr>
          <w:rFonts w:ascii="Times New Roman" w:hAnsi="Times New Roman" w:cs="Times New Roman"/>
          <w:sz w:val="24"/>
          <w:szCs w:val="24"/>
        </w:rPr>
        <w:t>shown.</w:t>
      </w:r>
    </w:p>
    <w:p w14:paraId="67B23007" w14:textId="39E957E2" w:rsidR="00CE7353" w:rsidRDefault="00CE7353" w:rsidP="00AB2160">
      <w:pPr>
        <w:spacing w:line="360" w:lineRule="auto"/>
        <w:rPr>
          <w:rFonts w:ascii="Times New Roman" w:hAnsi="Times New Roman" w:cs="Times New Roman"/>
          <w:sz w:val="24"/>
          <w:szCs w:val="24"/>
        </w:rPr>
      </w:pPr>
    </w:p>
    <w:p w14:paraId="47DD3CB0" w14:textId="7B3BFBCE" w:rsidR="00CE7353" w:rsidRDefault="00CE7353" w:rsidP="00AB2160">
      <w:pPr>
        <w:spacing w:line="360" w:lineRule="auto"/>
        <w:rPr>
          <w:rFonts w:ascii="Times New Roman" w:hAnsi="Times New Roman" w:cs="Times New Roman"/>
          <w:sz w:val="24"/>
          <w:szCs w:val="24"/>
        </w:rPr>
      </w:pPr>
    </w:p>
    <w:p w14:paraId="47381AC7" w14:textId="4E681165" w:rsidR="003A60C7" w:rsidRDefault="003A60C7" w:rsidP="00AB2160">
      <w:pPr>
        <w:spacing w:line="360" w:lineRule="auto"/>
        <w:rPr>
          <w:rFonts w:ascii="Times New Roman" w:hAnsi="Times New Roman" w:cs="Times New Roman"/>
          <w:sz w:val="24"/>
          <w:szCs w:val="24"/>
        </w:rPr>
      </w:pPr>
    </w:p>
    <w:p w14:paraId="09702603" w14:textId="2E6EFE28" w:rsidR="003A60C7" w:rsidRDefault="003A60C7" w:rsidP="00AB2160">
      <w:pPr>
        <w:spacing w:line="360" w:lineRule="auto"/>
        <w:rPr>
          <w:rFonts w:ascii="Times New Roman" w:hAnsi="Times New Roman" w:cs="Times New Roman"/>
          <w:sz w:val="24"/>
          <w:szCs w:val="24"/>
        </w:rPr>
      </w:pPr>
    </w:p>
    <w:p w14:paraId="2912ECA8" w14:textId="4D7E84AD" w:rsidR="009E0DA7" w:rsidRPr="003609FB" w:rsidRDefault="009E0DA7" w:rsidP="00AB2160">
      <w:pPr>
        <w:spacing w:line="360" w:lineRule="auto"/>
        <w:rPr>
          <w:rFonts w:ascii="Times New Roman" w:hAnsi="Times New Roman" w:cs="Times New Roman"/>
          <w:sz w:val="24"/>
          <w:szCs w:val="24"/>
        </w:rPr>
      </w:pPr>
    </w:p>
    <w:tbl>
      <w:tblPr>
        <w:tblStyle w:val="TableGrid"/>
        <w:tblpPr w:leftFromText="180" w:rightFromText="180" w:vertAnchor="text" w:tblpXSpec="center" w:tblpY="1"/>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F0F29" w:rsidRPr="003609FB" w14:paraId="289A3DC2" w14:textId="77777777" w:rsidTr="00BF0F29">
        <w:trPr>
          <w:trHeight w:val="8179"/>
          <w:jc w:val="center"/>
        </w:trPr>
        <w:tc>
          <w:tcPr>
            <w:tcW w:w="5000" w:type="pct"/>
          </w:tcPr>
          <w:p w14:paraId="7DD3275E" w14:textId="01A90647" w:rsidR="00BF0F29" w:rsidRPr="003609FB" w:rsidRDefault="00683B15" w:rsidP="00AB2160">
            <w:pPr>
              <w:keepNext/>
              <w:spacing w:line="360" w:lineRule="auto"/>
              <w:rPr>
                <w:rFonts w:ascii="Times New Roman" w:hAnsi="Times New Roman" w:cs="Times New Roman"/>
                <w:sz w:val="24"/>
                <w:szCs w:val="24"/>
              </w:rPr>
            </w:pPr>
            <w:r w:rsidRPr="00E74993">
              <w:rPr>
                <w:noProof/>
              </w:rPr>
              <w:lastRenderedPageBreak/>
              <w:drawing>
                <wp:inline distT="0" distB="0" distL="0" distR="0" wp14:anchorId="4C6290BB" wp14:editId="189FBB01">
                  <wp:extent cx="5702300" cy="4696012"/>
                  <wp:effectExtent l="0" t="0" r="0" b="3175"/>
                  <wp:docPr id="2059388817" name="Picture 2059388817" descr="A graph of different colored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10" name="Picture 2059388810" descr="A graph of different colored dots and numbers&#10;&#10;Description automatically generated"/>
                          <pic:cNvPicPr/>
                        </pic:nvPicPr>
                        <pic:blipFill rotWithShape="1">
                          <a:blip r:embed="rId36"/>
                          <a:srcRect t="11333" r="7715"/>
                          <a:stretch/>
                        </pic:blipFill>
                        <pic:spPr bwMode="auto">
                          <a:xfrm>
                            <a:off x="0" y="0"/>
                            <a:ext cx="5716995" cy="4708113"/>
                          </a:xfrm>
                          <a:prstGeom prst="rect">
                            <a:avLst/>
                          </a:prstGeom>
                          <a:ln>
                            <a:noFill/>
                          </a:ln>
                          <a:extLst>
                            <a:ext uri="{53640926-AAD7-44D8-BBD7-CCE9431645EC}">
                              <a14:shadowObscured xmlns:a14="http://schemas.microsoft.com/office/drawing/2010/main"/>
                            </a:ext>
                          </a:extLst>
                        </pic:spPr>
                      </pic:pic>
                    </a:graphicData>
                  </a:graphic>
                </wp:inline>
              </w:drawing>
            </w:r>
          </w:p>
        </w:tc>
      </w:tr>
    </w:tbl>
    <w:p w14:paraId="15EDAA50" w14:textId="5817B926" w:rsidR="00A452A9" w:rsidRPr="003609FB" w:rsidRDefault="00BF0F29" w:rsidP="00511118">
      <w:pPr>
        <w:pStyle w:val="Caption"/>
      </w:pPr>
      <w:bookmarkStart w:id="37" w:name="_Toc173148377"/>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2</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10</w:t>
      </w:r>
      <w:r w:rsidR="00000000">
        <w:rPr>
          <w:noProof/>
        </w:rPr>
        <w:fldChar w:fldCharType="end"/>
      </w:r>
      <w:r>
        <w:t xml:space="preserve"> </w:t>
      </w:r>
      <w:r w:rsidRPr="00F91A0E">
        <w:t xml:space="preserve">Recovered </w:t>
      </w:r>
      <w:r w:rsidR="00F52F1E" w:rsidRPr="003609FB">
        <w:t>H</w:t>
      </w:r>
      <w:r w:rsidR="00F52F1E" w:rsidRPr="00351FC4">
        <w:rPr>
          <w:vertAlign w:val="subscript"/>
        </w:rPr>
        <w:t>2</w:t>
      </w:r>
      <w:r w:rsidR="00F52F1E" w:rsidRPr="003609FB">
        <w:t>O</w:t>
      </w:r>
      <w:r w:rsidR="00F52F1E" w:rsidRPr="00351FC4">
        <w:rPr>
          <w:vertAlign w:val="subscript"/>
        </w:rPr>
        <w:t>2</w:t>
      </w:r>
      <w:r w:rsidRPr="00F91A0E">
        <w:t xml:space="preserve"> trait parameters </w:t>
      </w:r>
      <w:r w:rsidR="00683B15">
        <w:t xml:space="preserve">from different picoplankton during </w:t>
      </w:r>
      <w:r w:rsidR="00683B15" w:rsidRPr="003609FB">
        <w:t>H</w:t>
      </w:r>
      <w:r w:rsidR="00683B15" w:rsidRPr="00351FC4">
        <w:rPr>
          <w:vertAlign w:val="subscript"/>
        </w:rPr>
        <w:t>2</w:t>
      </w:r>
      <w:r w:rsidR="00683B15" w:rsidRPr="003609FB">
        <w:t>O</w:t>
      </w:r>
      <w:r w:rsidR="00683B15" w:rsidRPr="00351FC4">
        <w:rPr>
          <w:vertAlign w:val="subscript"/>
        </w:rPr>
        <w:t>2</w:t>
      </w:r>
      <w:r w:rsidR="00683B15">
        <w:t xml:space="preserve"> spike assays. </w:t>
      </w:r>
      <w:r w:rsidR="00F52F1E" w:rsidRPr="003609FB">
        <w:t>H</w:t>
      </w:r>
      <w:r w:rsidR="00F52F1E" w:rsidRPr="00351FC4">
        <w:rPr>
          <w:vertAlign w:val="subscript"/>
        </w:rPr>
        <w:t>2</w:t>
      </w:r>
      <w:r w:rsidR="00F52F1E" w:rsidRPr="003609FB">
        <w:t>O</w:t>
      </w:r>
      <w:r w:rsidR="00F52F1E" w:rsidRPr="00351FC4">
        <w:rPr>
          <w:vertAlign w:val="subscript"/>
        </w:rPr>
        <w:t>2</w:t>
      </w:r>
      <w:r w:rsidRPr="003609FB">
        <w:t xml:space="preserve"> detoxification rate (</w:t>
      </w:r>
      <m:oMath>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 </m:t>
        </m:r>
      </m:oMath>
      <w:r w:rsidR="00CA0E1C" w:rsidRPr="003609FB">
        <w:rPr>
          <w:rFonts w:eastAsiaTheme="minorEastAsia"/>
          <w:iCs/>
          <w:kern w:val="2"/>
        </w:rPr>
        <w:t>mL cell</w:t>
      </w:r>
      <w:r w:rsidR="00CA0E1C" w:rsidRPr="003609FB">
        <w:rPr>
          <w:rFonts w:eastAsiaTheme="minorEastAsia"/>
          <w:iCs/>
          <w:kern w:val="2"/>
          <w:vertAlign w:val="superscript"/>
        </w:rPr>
        <w:t>-1</w:t>
      </w:r>
      <w:r w:rsidR="00CA0E1C" w:rsidRPr="003609FB">
        <w:rPr>
          <w:rFonts w:eastAsiaTheme="minorEastAsia"/>
          <w:iCs/>
          <w:kern w:val="2"/>
        </w:rPr>
        <w:t xml:space="preserve"> day</w:t>
      </w:r>
      <w:r w:rsidR="00CA0E1C" w:rsidRPr="003609FB">
        <w:rPr>
          <w:rFonts w:eastAsiaTheme="minorEastAsia"/>
          <w:iCs/>
          <w:kern w:val="2"/>
          <w:vertAlign w:val="superscript"/>
        </w:rPr>
        <w:t>-1</w:t>
      </w:r>
      <w:r w:rsidRPr="003609FB">
        <w:t xml:space="preserve">) and </w:t>
      </w:r>
      <w:r w:rsidR="00F52F1E" w:rsidRPr="003609FB">
        <w:t>H</w:t>
      </w:r>
      <w:r w:rsidR="00F52F1E" w:rsidRPr="00351FC4">
        <w:rPr>
          <w:vertAlign w:val="subscript"/>
        </w:rPr>
        <w:t>2</w:t>
      </w:r>
      <w:r w:rsidR="00F52F1E" w:rsidRPr="003609FB">
        <w:t>O</w:t>
      </w:r>
      <w:r w:rsidR="00F52F1E" w:rsidRPr="00351FC4">
        <w:rPr>
          <w:vertAlign w:val="subscript"/>
        </w:rPr>
        <w:t>2</w:t>
      </w:r>
      <w:r w:rsidRPr="003609FB">
        <w:t xml:space="preserve"> induced rate of cell death (</w:t>
      </w:r>
      <m:oMath>
        <m:sSub>
          <m:sSubPr>
            <m:ctrlPr>
              <w:rPr>
                <w:rFonts w:ascii="Cambria Math" w:hAnsi="Cambria Math"/>
              </w:rPr>
            </m:ctrlPr>
          </m:sSubPr>
          <m:e>
            <m:r>
              <w:rPr>
                <w:rFonts w:ascii="Cambria Math" w:hAnsi="Cambria Math"/>
              </w:rPr>
              <m:t>κ</m:t>
            </m:r>
          </m:e>
          <m:sub>
            <m:r>
              <w:rPr>
                <w:rFonts w:ascii="Cambria Math" w:hAnsi="Cambria Math"/>
              </w:rPr>
              <m:t xml:space="preserve">dam, i </m:t>
            </m:r>
          </m:sub>
        </m:sSub>
        <m:r>
          <w:rPr>
            <w:rFonts w:ascii="Cambria Math" w:hAnsi="Cambria Math"/>
          </w:rPr>
          <m:t xml:space="preserve"> </m:t>
        </m:r>
      </m:oMath>
      <w:r w:rsidR="00CA0E1C">
        <w:t xml:space="preserve">, </w:t>
      </w:r>
      <w:r w:rsidR="00CA0E1C" w:rsidRPr="003609FB">
        <w:t>mL nmol</w:t>
      </w:r>
      <w:r w:rsidR="00CA0E1C" w:rsidRPr="003609FB">
        <w:rPr>
          <w:vertAlign w:val="superscript"/>
        </w:rPr>
        <w:t>-1</w:t>
      </w:r>
      <w:r w:rsidR="00CA0E1C" w:rsidRPr="003609FB">
        <w:t xml:space="preserve"> day</w:t>
      </w:r>
      <w:r w:rsidR="00CA0E1C" w:rsidRPr="003609FB">
        <w:rPr>
          <w:vertAlign w:val="superscript"/>
        </w:rPr>
        <w:t>1</w:t>
      </w:r>
      <w:r w:rsidRPr="003609FB">
        <w:t>) for different cyanobacterial (</w:t>
      </w:r>
      <w:r w:rsidRPr="00691B65">
        <w:rPr>
          <w:i/>
          <w:iCs/>
        </w:rPr>
        <w:t>Prochlorococcus</w:t>
      </w:r>
      <w:r w:rsidRPr="003609FB">
        <w:t xml:space="preserve"> and </w:t>
      </w:r>
      <w:proofErr w:type="spellStart"/>
      <w:r w:rsidRPr="00691B65">
        <w:rPr>
          <w:i/>
          <w:iCs/>
        </w:rPr>
        <w:t>Synechococcus</w:t>
      </w:r>
      <w:proofErr w:type="spellEnd"/>
      <w:r w:rsidR="00683B15">
        <w:t xml:space="preserve">), heterotrophic </w:t>
      </w:r>
      <w:r w:rsidRPr="003609FB">
        <w:t>bacterial (</w:t>
      </w:r>
      <w:proofErr w:type="spellStart"/>
      <w:r w:rsidRPr="00683B15">
        <w:rPr>
          <w:i/>
          <w:iCs/>
        </w:rPr>
        <w:t>Alteromonas</w:t>
      </w:r>
      <w:proofErr w:type="spellEnd"/>
      <w:r w:rsidRPr="003609FB">
        <w:t>)</w:t>
      </w:r>
      <w:r w:rsidR="00683B15">
        <w:t xml:space="preserve">, and </w:t>
      </w:r>
      <w:proofErr w:type="spellStart"/>
      <w:r w:rsidR="00683B15">
        <w:t>picoeukaryotic</w:t>
      </w:r>
      <w:proofErr w:type="spellEnd"/>
      <w:r w:rsidR="00683B15">
        <w:t xml:space="preserve"> (</w:t>
      </w:r>
      <w:proofErr w:type="spellStart"/>
      <w:r w:rsidR="00683B15" w:rsidRPr="00683B15">
        <w:rPr>
          <w:i/>
          <w:iCs/>
        </w:rPr>
        <w:t>Micromonas</w:t>
      </w:r>
      <w:proofErr w:type="spellEnd"/>
      <w:r w:rsidR="00683B15" w:rsidRPr="00683B15">
        <w:rPr>
          <w:i/>
          <w:iCs/>
        </w:rPr>
        <w:t xml:space="preserve"> </w:t>
      </w:r>
      <w:proofErr w:type="spellStart"/>
      <w:r w:rsidR="00683B15" w:rsidRPr="00683B15">
        <w:rPr>
          <w:i/>
          <w:iCs/>
        </w:rPr>
        <w:t>spp</w:t>
      </w:r>
      <w:proofErr w:type="spellEnd"/>
      <w:r w:rsidR="00683B15" w:rsidRPr="00683B15">
        <w:rPr>
          <w:i/>
          <w:iCs/>
        </w:rPr>
        <w:t xml:space="preserve"> </w:t>
      </w:r>
      <w:r w:rsidR="00683B15" w:rsidRPr="00683B15">
        <w:t>and</w:t>
      </w:r>
      <w:r w:rsidR="00683B15" w:rsidRPr="00683B15">
        <w:rPr>
          <w:i/>
          <w:iCs/>
        </w:rPr>
        <w:t xml:space="preserve"> </w:t>
      </w:r>
      <w:proofErr w:type="spellStart"/>
      <w:r w:rsidR="00683B15" w:rsidRPr="00683B15">
        <w:rPr>
          <w:i/>
          <w:iCs/>
        </w:rPr>
        <w:t>Ostreococcus</w:t>
      </w:r>
      <w:proofErr w:type="spellEnd"/>
      <w:r w:rsidR="00683B15" w:rsidRPr="00683B15">
        <w:rPr>
          <w:i/>
          <w:iCs/>
        </w:rPr>
        <w:t xml:space="preserve"> spp.</w:t>
      </w:r>
      <w:r w:rsidR="00683B15" w:rsidRPr="00683B15">
        <w:t xml:space="preserve">) </w:t>
      </w:r>
      <w:r w:rsidR="00683B15">
        <w:t xml:space="preserve"> monoculture</w:t>
      </w:r>
      <w:r w:rsidRPr="003609FB">
        <w:t xml:space="preserve"> batch cultures. ‘avg’ delineation indicates multiple monoculture data sets for this species were individually modeled and then averaged.</w:t>
      </w:r>
      <w:r w:rsidR="00AC35B3">
        <w:t xml:space="preserve"> Dynamic models showing the retrieval of these parameters can be found in Appendices A and B.</w:t>
      </w:r>
      <w:bookmarkEnd w:id="37"/>
      <w:r w:rsidR="00AC35B3">
        <w:t xml:space="preserve"> </w:t>
      </w:r>
      <w:r w:rsidR="00683B15">
        <w:t xml:space="preserve"> </w:t>
      </w:r>
    </w:p>
    <w:p w14:paraId="333E9ECB" w14:textId="349EC8EA" w:rsidR="00DC50BD" w:rsidRDefault="00DC50BD" w:rsidP="00AB2160">
      <w:pPr>
        <w:spacing w:line="360" w:lineRule="auto"/>
        <w:rPr>
          <w:rFonts w:ascii="Times New Roman" w:hAnsi="Times New Roman" w:cs="Times New Roman"/>
          <w:sz w:val="24"/>
          <w:szCs w:val="24"/>
        </w:rPr>
      </w:pPr>
    </w:p>
    <w:p w14:paraId="3B336328" w14:textId="77777777" w:rsidR="003A60C7" w:rsidRPr="003609FB" w:rsidRDefault="003A60C7" w:rsidP="00AB2160">
      <w:pPr>
        <w:spacing w:line="360" w:lineRule="auto"/>
        <w:rPr>
          <w:rFonts w:ascii="Times New Roman" w:hAnsi="Times New Roman" w:cs="Times New Roman"/>
          <w:sz w:val="24"/>
          <w:szCs w:val="24"/>
        </w:rPr>
      </w:pPr>
    </w:p>
    <w:p w14:paraId="4D00B13C" w14:textId="0F9C3027" w:rsidR="00DC50BD"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b/>
      </w:r>
      <w:r w:rsidRPr="007555FE">
        <w:rPr>
          <w:rFonts w:ascii="Times New Roman" w:hAnsi="Times New Roman" w:cs="Times New Roman"/>
          <w:sz w:val="24"/>
          <w:szCs w:val="24"/>
        </w:rPr>
        <w:t xml:space="preserve">A limitation of our study is that the laboratory conditions do not fully replicate conditions cells experience in the open ocean. For example, the modeled experiments introduced single spikes of </w:t>
      </w:r>
      <w:r w:rsidR="00F52F1E" w:rsidRPr="007555FE">
        <w:rPr>
          <w:rFonts w:ascii="Times New Roman" w:hAnsi="Times New Roman" w:cs="Times New Roman"/>
          <w:sz w:val="24"/>
          <w:szCs w:val="24"/>
        </w:rPr>
        <w:t>H</w:t>
      </w:r>
      <w:r w:rsidR="00F52F1E" w:rsidRPr="007555FE">
        <w:rPr>
          <w:rFonts w:ascii="Times New Roman" w:hAnsi="Times New Roman" w:cs="Times New Roman"/>
          <w:sz w:val="24"/>
          <w:szCs w:val="24"/>
          <w:vertAlign w:val="subscript"/>
        </w:rPr>
        <w:t>2</w:t>
      </w:r>
      <w:r w:rsidR="00F52F1E" w:rsidRPr="007555FE">
        <w:rPr>
          <w:rFonts w:ascii="Times New Roman" w:hAnsi="Times New Roman" w:cs="Times New Roman"/>
          <w:sz w:val="24"/>
          <w:szCs w:val="24"/>
        </w:rPr>
        <w:t>O</w:t>
      </w:r>
      <w:r w:rsidR="00F52F1E" w:rsidRPr="007555FE">
        <w:rPr>
          <w:rFonts w:ascii="Times New Roman" w:hAnsi="Times New Roman" w:cs="Times New Roman"/>
          <w:sz w:val="24"/>
          <w:szCs w:val="24"/>
          <w:vertAlign w:val="subscript"/>
        </w:rPr>
        <w:t>2</w:t>
      </w:r>
      <w:r w:rsidRPr="007555FE">
        <w:rPr>
          <w:rFonts w:ascii="Times New Roman" w:hAnsi="Times New Roman" w:cs="Times New Roman"/>
          <w:sz w:val="24"/>
          <w:szCs w:val="24"/>
        </w:rPr>
        <w:t xml:space="preserve"> which while consistent with rain inputs for surface waters </w:t>
      </w:r>
      <w:r w:rsidR="00623341" w:rsidRPr="007555FE">
        <w:rPr>
          <w:rFonts w:ascii="Times New Roman" w:hAnsi="Times New Roman" w:cs="Times New Roman"/>
          <w:sz w:val="24"/>
          <w:szCs w:val="24"/>
        </w:rPr>
        <w:fldChar w:fldCharType="begin"/>
      </w:r>
      <w:r w:rsidR="009D7443" w:rsidRPr="007555FE">
        <w:rPr>
          <w:rFonts w:ascii="Times New Roman" w:hAnsi="Times New Roman" w:cs="Times New Roman"/>
          <w:sz w:val="24"/>
          <w:szCs w:val="24"/>
        </w:rPr>
        <w:instrText xml:space="preserve"> ADDIN ZOTERO_ITEM CSL_CITATION {"citationID":"347DRvCY","properties":{"formattedCitation":"(Willey, Paerl, and Go 1999; O\\uc0\\u8217{}Sullivan et al. 1999)","plainCitation":"(Willey, Paerl, and Go 1999; O’Sullivan et al. 1999)","noteIndex":0},"citationItems":[{"id":3370,"uris":["http://zotero.org/users/6128296/items/9UYF82ME"],"itemData":{"id":3370,"type":"article-journal","abstract":"Bioassays indicate addition of hydrogen peroxide in concentrations similar to rain sometimes decreases chlorophyll a (chl a) production in surface Gulf Stream seawater. Bioassays were conducted on shipboard in the spring and autumn of 1993, 1994, and 1995. using surface Gulf Stream seawater collected off the coast of North Carolina. Chl a increases were observed after addition of FeC13 (in 1 of 5 bioassays), iron (111) EDTA (6 of 6 bioassays), or EDTA alone (4 of 4 bioassays). The chl a increases were suppressed significantly in 7 of 11 of these bioassays when the bioassay seawater was initially diluted by 1% with a 30 or 40 p M solution of hydrogen peroxide (a concentration similar to rainwater).Hydrogen peroxide induced inhibition of chl a production was not observed in bioassays in w h ~ c hchl a increased in response to addltion of nitrate or ammonium, hence the growth inhibition was associated with added metal or complexing agent. Rainwater therefore plays a complex role in primary productivity in surface seawater, with the specific effect dependent upon rainwater concentrations of nitrate, ammonium, trace metals and hydrogen peroxide, as well as on the extent of nitrogen limitation and the oxidant concentration in the surface seawater.","container-title":"Marine Ecology Progress Series","DOI":"10.3354/meps178145","ISSN":"0171-8630, 1616-1599","journalAbbreviation":"Mar. Ecol. Prog. Ser.","language":"en","page":"145-150","source":"DOI.org (Crossref)","title":"Impact of rainwater hydrogen peroxide on chlorophyll a content of surface Gulf Stream seawater off North Carolina, USA","volume":"178","author":[{"family":"Willey","given":""},{"family":"Paerl","given":"Hw"},{"family":"Go","given":"M"}],"issued":{"date-parts":[["1999"]]}}},{"id":3500,"uris":["http://zotero.org/users/6128296/items/GITHLRSB"],"itemData":{"id":3500,"type":"article-journal","abstract":"The gasphasehydrogenperoxideand methylhydroperoxidceoncentrations were measuredin the troposphereover the tropicalPacificOcean as a componentof NASA's Global TroposphericExperiment/PacificExploratoryMission-TropicsA field campaignF. lightson two aircraftcoveredthe Pacificfrom 70øSto 60øNand 110øEto 80øWand SouthAtlantic from 40øSto 15øNand 45øWto 70øE,and extendingfrom 76 to 13,000m altitude.H20 2 and CH3OOH havethe highestconcentrationsat a givenaltitude at the equatorand decreasewith increasinglatitudein both the northernand southern hemispheresA. bove 4 km the gradientis substantiallyreducedfor both H20 2 and CH3OOH with latitude, and at altitudesin excessof 8 km there is no latitudinal dependenceH. 20 2 and CH3OOH exhibitmaximummixingratiosbetween1 and 2 km at all latitudes.The mean mixingratio of H20 2 at the equatorwas 1600 + 600 partsper trillion by volume(pptv) decreasingto 500 +_250 pptv at latitudesgreaterthan 55ønorth and southbetween1 and 2 km altitude.CH3OOH at the equatorwas 1400 + 250 pptv, decreasingto 330 + 200 pptv at highlatitudesat altitudesBetween1 and 2 km. The concentrationof peroxidesat high latitudesin the northernhemispherewasgenerallya factor of 2 higherthan at correspondinglatitudesin the southernhemisphere.The ratio of H20 2 to CH3OOH wasbetween1 and 2 from 45øSto 35øNat altitudesbelow4 km. Between5øto 15øNthe ratio is lessthan 1, due to preferentialremovalof H20 2 in the IntertropicalConvergenceZone.","container-title":"Journal of Geophysical Research: Atmospheres","DOI":"10.1029/98JD01250","ISSN":"01480227","issue":"D5","journalAbbreviation":"J. Geophys. Res.","language":"en","page":"5635-5646","source":"DOI.org (Crossref)","title":"Distribution of hydrogen peroxide and methylhydroperoxide over the Pacific and South Atlantic Oceans","volume":"104","author":[{"family":"O'Sullivan","given":""},{"family":"Heikes","given":"B. G."},{"family":"Lee","given":"M."},{"family":"Chang","given":"W."},{"family":"Gregory","given":"G. L."},{"family":"Blake","given":"D. R."},{"family":"Sachse","given":"G. W."}],"issued":{"date-parts":[["1999",3,20]]}}}],"schema":"https://github.com/citation-style-language/schema/raw/master/csl-citation.json"} </w:instrText>
      </w:r>
      <w:r w:rsidR="00623341" w:rsidRPr="007555FE">
        <w:rPr>
          <w:rFonts w:ascii="Times New Roman" w:hAnsi="Times New Roman" w:cs="Times New Roman"/>
          <w:sz w:val="24"/>
          <w:szCs w:val="24"/>
        </w:rPr>
        <w:fldChar w:fldCharType="separate"/>
      </w:r>
      <w:r w:rsidR="006C2922" w:rsidRPr="007555FE">
        <w:rPr>
          <w:rFonts w:ascii="Times New Roman" w:hAnsi="Times New Roman" w:cs="Times New Roman"/>
          <w:sz w:val="24"/>
        </w:rPr>
        <w:t xml:space="preserve">(Willey, </w:t>
      </w:r>
      <w:proofErr w:type="spellStart"/>
      <w:r w:rsidR="006C2922" w:rsidRPr="007555FE">
        <w:rPr>
          <w:rFonts w:ascii="Times New Roman" w:hAnsi="Times New Roman" w:cs="Times New Roman"/>
          <w:sz w:val="24"/>
        </w:rPr>
        <w:t>Paerl</w:t>
      </w:r>
      <w:proofErr w:type="spellEnd"/>
      <w:r w:rsidR="006C2922" w:rsidRPr="007555FE">
        <w:rPr>
          <w:rFonts w:ascii="Times New Roman" w:hAnsi="Times New Roman" w:cs="Times New Roman"/>
          <w:sz w:val="24"/>
        </w:rPr>
        <w:t xml:space="preserve">, and Go 1999; O’Sullivan </w:t>
      </w:r>
      <w:r w:rsidR="00183222" w:rsidRPr="00183222">
        <w:rPr>
          <w:rFonts w:ascii="Times New Roman" w:hAnsi="Times New Roman" w:cs="Times New Roman"/>
          <w:i/>
          <w:iCs/>
          <w:sz w:val="24"/>
          <w:szCs w:val="24"/>
        </w:rPr>
        <w:t>et al</w:t>
      </w:r>
      <w:r w:rsidR="006C2922" w:rsidRPr="007555FE">
        <w:rPr>
          <w:rFonts w:ascii="Times New Roman" w:hAnsi="Times New Roman" w:cs="Times New Roman"/>
          <w:sz w:val="24"/>
        </w:rPr>
        <w:t>. 1999)</w:t>
      </w:r>
      <w:r w:rsidR="00623341" w:rsidRPr="007555FE">
        <w:rPr>
          <w:rFonts w:ascii="Times New Roman" w:hAnsi="Times New Roman" w:cs="Times New Roman"/>
          <w:sz w:val="24"/>
          <w:szCs w:val="24"/>
        </w:rPr>
        <w:fldChar w:fldCharType="end"/>
      </w:r>
      <w:r w:rsidRPr="007555FE">
        <w:rPr>
          <w:rFonts w:ascii="Times New Roman" w:hAnsi="Times New Roman" w:cs="Times New Roman"/>
          <w:sz w:val="24"/>
          <w:szCs w:val="24"/>
        </w:rPr>
        <w:t xml:space="preserve">, is different from the continual </w:t>
      </w:r>
      <w:r w:rsidR="00F52F1E" w:rsidRPr="007555FE">
        <w:rPr>
          <w:rFonts w:ascii="Times New Roman" w:hAnsi="Times New Roman" w:cs="Times New Roman"/>
          <w:sz w:val="24"/>
          <w:szCs w:val="24"/>
        </w:rPr>
        <w:t>H</w:t>
      </w:r>
      <w:r w:rsidR="00F52F1E" w:rsidRPr="007555FE">
        <w:rPr>
          <w:rFonts w:ascii="Times New Roman" w:hAnsi="Times New Roman" w:cs="Times New Roman"/>
          <w:sz w:val="24"/>
          <w:szCs w:val="24"/>
          <w:vertAlign w:val="subscript"/>
        </w:rPr>
        <w:t>2</w:t>
      </w:r>
      <w:r w:rsidR="00F52F1E" w:rsidRPr="007555FE">
        <w:rPr>
          <w:rFonts w:ascii="Times New Roman" w:hAnsi="Times New Roman" w:cs="Times New Roman"/>
          <w:sz w:val="24"/>
          <w:szCs w:val="24"/>
        </w:rPr>
        <w:t>O</w:t>
      </w:r>
      <w:r w:rsidR="00F52F1E" w:rsidRPr="007555FE">
        <w:rPr>
          <w:rFonts w:ascii="Times New Roman" w:hAnsi="Times New Roman" w:cs="Times New Roman"/>
          <w:sz w:val="24"/>
          <w:szCs w:val="24"/>
          <w:vertAlign w:val="subscript"/>
        </w:rPr>
        <w:t>2</w:t>
      </w:r>
      <w:r w:rsidRPr="007555FE">
        <w:rPr>
          <w:rFonts w:ascii="Times New Roman" w:hAnsi="Times New Roman" w:cs="Times New Roman"/>
          <w:sz w:val="24"/>
          <w:szCs w:val="24"/>
        </w:rPr>
        <w:t xml:space="preserve"> photoproduction in natural systems that follow a diel cycle associated with changes in light and dissolved organic carbon (DOC) concentration </w:t>
      </w:r>
      <w:r w:rsidR="00601F04" w:rsidRPr="007555FE">
        <w:rPr>
          <w:rFonts w:ascii="Times New Roman" w:hAnsi="Times New Roman" w:cs="Times New Roman"/>
          <w:sz w:val="24"/>
          <w:szCs w:val="24"/>
        </w:rPr>
        <w:fldChar w:fldCharType="begin"/>
      </w:r>
      <w:r w:rsidR="009D7443" w:rsidRPr="007555FE">
        <w:rPr>
          <w:rFonts w:ascii="Times New Roman" w:hAnsi="Times New Roman" w:cs="Times New Roman"/>
          <w:sz w:val="24"/>
          <w:szCs w:val="24"/>
        </w:rPr>
        <w:instrText xml:space="preserve"> ADDIN ZOTERO_ITEM CSL_CITATION {"citationID":"3rtMlvID","properties":{"formattedCitation":"(Zinser 2013; 2018b; Zhu et al. 2022)","plainCitation":"(Zinser 2013; 2018b; Zhu et al. 2022)","noteIndex":0},"citationItems":[{"id":1614,"uris":["http://zotero.org/users/6128296/items/XUR3IYYN"],"itemData":{"id":1614,"type":"article-journal","container-title":"Journal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sidRPr="007555FE">
        <w:rPr>
          <w:rFonts w:ascii="Cambria Math" w:hAnsi="Cambria Math" w:cs="Cambria Math"/>
          <w:sz w:val="24"/>
          <w:szCs w:val="24"/>
        </w:rPr>
        <w:instrText>∼</w:instrText>
      </w:r>
      <w:r w:rsidR="009D7443" w:rsidRPr="007555FE">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601F04" w:rsidRPr="007555FE">
        <w:rPr>
          <w:rFonts w:ascii="Times New Roman" w:hAnsi="Times New Roman" w:cs="Times New Roman"/>
          <w:sz w:val="24"/>
          <w:szCs w:val="24"/>
        </w:rPr>
        <w:fldChar w:fldCharType="separate"/>
      </w:r>
      <w:r w:rsidR="00A43D25" w:rsidRPr="007555FE">
        <w:rPr>
          <w:rFonts w:ascii="Times New Roman" w:hAnsi="Times New Roman" w:cs="Times New Roman"/>
          <w:sz w:val="24"/>
          <w:szCs w:val="24"/>
        </w:rPr>
        <w:t xml:space="preserve">(Zinser 2013; 2018b; Zhu </w:t>
      </w:r>
      <w:r w:rsidR="00183222" w:rsidRPr="00183222">
        <w:rPr>
          <w:rFonts w:ascii="Times New Roman" w:hAnsi="Times New Roman" w:cs="Times New Roman"/>
          <w:i/>
          <w:iCs/>
          <w:sz w:val="24"/>
          <w:szCs w:val="24"/>
        </w:rPr>
        <w:t>et al</w:t>
      </w:r>
      <w:r w:rsidR="00A43D25" w:rsidRPr="007555FE">
        <w:rPr>
          <w:rFonts w:ascii="Times New Roman" w:hAnsi="Times New Roman" w:cs="Times New Roman"/>
          <w:sz w:val="24"/>
          <w:szCs w:val="24"/>
        </w:rPr>
        <w:t>. 2022)</w:t>
      </w:r>
      <w:r w:rsidR="00601F04" w:rsidRPr="007555FE">
        <w:rPr>
          <w:rFonts w:ascii="Times New Roman" w:hAnsi="Times New Roman" w:cs="Times New Roman"/>
          <w:sz w:val="24"/>
          <w:szCs w:val="24"/>
        </w:rPr>
        <w:fldChar w:fldCharType="end"/>
      </w:r>
      <w:r w:rsidRPr="007555FE">
        <w:rPr>
          <w:rFonts w:ascii="Times New Roman" w:hAnsi="Times New Roman" w:cs="Times New Roman"/>
          <w:sz w:val="24"/>
          <w:szCs w:val="24"/>
        </w:rPr>
        <w:t>.  Use</w:t>
      </w:r>
      <w:r w:rsidRPr="003609FB">
        <w:rPr>
          <w:rFonts w:ascii="Times New Roman" w:hAnsi="Times New Roman" w:cs="Times New Roman"/>
          <w:sz w:val="24"/>
          <w:szCs w:val="24"/>
        </w:rPr>
        <w:t xml:space="preserve"> of chemical buffers to control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w:t>
      </w:r>
      <w:r w:rsidR="00601F04" w:rsidRPr="003609FB">
        <w:rPr>
          <w:rFonts w:ascii="Times New Roman" w:hAnsi="Times New Roman" w:cs="Times New Roman"/>
          <w:sz w:val="24"/>
          <w:szCs w:val="24"/>
        </w:rPr>
        <w:fldChar w:fldCharType="begin"/>
      </w:r>
      <w:r w:rsidR="00A43D25">
        <w:rPr>
          <w:rFonts w:ascii="Times New Roman" w:hAnsi="Times New Roman" w:cs="Times New Roman"/>
          <w:sz w:val="24"/>
          <w:szCs w:val="24"/>
        </w:rPr>
        <w:instrText xml:space="preserve"> ADDIN ZOTERO_ITEM CSL_CITATION {"citationID":"EoUEoqOf","properties":{"formattedCitation":"(Zinser 2013)","plainCitation":"(Zinser 2013)","noteIndex":0},"citationItems":[{"id":1614,"uris":["http://zotero.org/users/6128296/items/XUR3IYYN"],"itemData":{"id":1614,"type":"article-journal","container-title":"Journal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media","volume":"49","author":[{"family":"Zinser","given":""}],"issued":{"date-parts":[["2013",12]]}}}],"schema":"https://github.com/citation-style-language/schema/raw/master/csl-citation.json"} </w:instrText>
      </w:r>
      <w:r w:rsidR="00601F04"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(Zinser 2013)</w:t>
      </w:r>
      <w:r w:rsidR="00601F04" w:rsidRPr="003609FB">
        <w:rPr>
          <w:rFonts w:ascii="Times New Roman" w:hAnsi="Times New Roman" w:cs="Times New Roman"/>
          <w:sz w:val="24"/>
          <w:szCs w:val="24"/>
        </w:rPr>
        <w:fldChar w:fldCharType="end"/>
      </w:r>
      <w:r w:rsidR="00601F04"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is one way to more closely mimic natural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and could be accounted for via alterations of our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parameter S</w:t>
      </w:r>
      <w:r w:rsidRPr="007555FE">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To constrain our model with experimental data, we require synchronized time-dependent measurements of both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cell abundance, which were only available in the spike assay data used here. Fitting our model to experiments with chemical buffer would provide a more realistic and general test</w:t>
      </w:r>
      <w:r w:rsidR="00D85A0E" w:rsidRPr="003609FB">
        <w:rPr>
          <w:rFonts w:ascii="Times New Roman" w:hAnsi="Times New Roman" w:cs="Times New Roman"/>
          <w:sz w:val="24"/>
          <w:szCs w:val="24"/>
        </w:rPr>
        <w:t xml:space="preserve"> of this framework.</w:t>
      </w:r>
      <w:r w:rsidRPr="003609FB">
        <w:rPr>
          <w:rFonts w:ascii="Times New Roman" w:hAnsi="Times New Roman" w:cs="Times New Roman"/>
          <w:sz w:val="24"/>
          <w:szCs w:val="24"/>
        </w:rPr>
        <w:t xml:space="preserve"> </w:t>
      </w:r>
      <w:r w:rsidR="00D85A0E" w:rsidRPr="003609FB">
        <w:rPr>
          <w:rFonts w:ascii="Times New Roman" w:hAnsi="Times New Roman" w:cs="Times New Roman"/>
          <w:sz w:val="24"/>
          <w:szCs w:val="24"/>
        </w:rPr>
        <w:t>But</w:t>
      </w:r>
      <w:r w:rsidRPr="003609FB">
        <w:rPr>
          <w:rFonts w:ascii="Times New Roman" w:hAnsi="Times New Roman" w:cs="Times New Roman"/>
          <w:sz w:val="24"/>
          <w:szCs w:val="24"/>
        </w:rPr>
        <w:t xml:space="preserve"> we do not anticipate </w:t>
      </w:r>
      <w:r w:rsidR="009342AC">
        <w:rPr>
          <w:rFonts w:ascii="Times New Roman" w:hAnsi="Times New Roman" w:cs="Times New Roman"/>
          <w:sz w:val="24"/>
          <w:szCs w:val="24"/>
        </w:rPr>
        <w:t xml:space="preserve">this </w:t>
      </w:r>
      <w:r w:rsidRPr="003609FB">
        <w:rPr>
          <w:rFonts w:ascii="Times New Roman" w:hAnsi="Times New Roman" w:cs="Times New Roman"/>
          <w:sz w:val="24"/>
          <w:szCs w:val="24"/>
        </w:rPr>
        <w:t xml:space="preserve">would fundamentally change any of our main findings regarding detoxification and cell death parameters. Future models may wish to consider using diel photoproduced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with cell growth</w:t>
      </w:r>
      <w:r w:rsidR="007555FE">
        <w:rPr>
          <w:rFonts w:ascii="Times New Roman" w:hAnsi="Times New Roman" w:cs="Times New Roman"/>
          <w:sz w:val="24"/>
          <w:szCs w:val="24"/>
        </w:rPr>
        <w:t xml:space="preserve"> within chemostats</w:t>
      </w:r>
      <w:r w:rsidRPr="003609FB">
        <w:rPr>
          <w:rFonts w:ascii="Times New Roman" w:hAnsi="Times New Roman" w:cs="Times New Roman"/>
          <w:sz w:val="24"/>
          <w:szCs w:val="24"/>
        </w:rPr>
        <w:t xml:space="preserve"> </w:t>
      </w:r>
      <w:r w:rsidR="007555FE">
        <w:rPr>
          <w:rFonts w:ascii="Times New Roman" w:hAnsi="Times New Roman" w:cs="Times New Roman"/>
          <w:sz w:val="24"/>
          <w:szCs w:val="24"/>
        </w:rPr>
        <w:t xml:space="preserve">to allow for analyses under nutrient restricted and </w:t>
      </w:r>
      <w:r w:rsidR="009342AC">
        <w:rPr>
          <w:rFonts w:ascii="Times New Roman" w:hAnsi="Times New Roman" w:cs="Times New Roman"/>
          <w:sz w:val="24"/>
          <w:szCs w:val="24"/>
        </w:rPr>
        <w:t>nutrient</w:t>
      </w:r>
      <w:r w:rsidR="007555FE">
        <w:rPr>
          <w:rFonts w:ascii="Times New Roman" w:hAnsi="Times New Roman" w:cs="Times New Roman"/>
          <w:sz w:val="24"/>
          <w:szCs w:val="24"/>
        </w:rPr>
        <w:t xml:space="preserve">-tracked assays. This would allow for more </w:t>
      </w:r>
      <w:r w:rsidRPr="003609FB">
        <w:rPr>
          <w:rFonts w:ascii="Times New Roman" w:hAnsi="Times New Roman" w:cs="Times New Roman"/>
          <w:sz w:val="24"/>
          <w:szCs w:val="24"/>
        </w:rPr>
        <w:t xml:space="preserve">realistic estimates of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associated cell dynamics</w:t>
      </w:r>
      <w:r w:rsidR="007555FE">
        <w:rPr>
          <w:rFonts w:ascii="Times New Roman" w:hAnsi="Times New Roman" w:cs="Times New Roman"/>
          <w:sz w:val="24"/>
          <w:szCs w:val="24"/>
        </w:rPr>
        <w:t xml:space="preserve"> in oligotrophic surface waters where ammonium is often below detectible levels</w:t>
      </w:r>
      <w:r w:rsidRPr="003609FB">
        <w:rPr>
          <w:rFonts w:ascii="Times New Roman" w:hAnsi="Times New Roman" w:cs="Times New Roman"/>
          <w:sz w:val="24"/>
          <w:szCs w:val="24"/>
        </w:rPr>
        <w:t xml:space="preserve">. </w:t>
      </w:r>
    </w:p>
    <w:p w14:paraId="30C76131" w14:textId="704B6809" w:rsidR="00DC50BD" w:rsidRPr="003609FB" w:rsidRDefault="005E185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b/>
        <w:t xml:space="preserve">Relative to the cyanobacteria modeled here, many heterotrophic </w:t>
      </w:r>
      <w:r w:rsidRPr="00E57044">
        <w:rPr>
          <w:rFonts w:ascii="Times New Roman" w:hAnsi="Times New Roman" w:cs="Times New Roman"/>
          <w:sz w:val="24"/>
          <w:szCs w:val="24"/>
        </w:rPr>
        <w:t xml:space="preserve">bacteria (see, </w:t>
      </w:r>
      <w:r w:rsidR="00136C0E" w:rsidRPr="00E57044">
        <w:rPr>
          <w:rFonts w:ascii="Times New Roman" w:hAnsi="Times New Roman" w:cs="Times New Roman"/>
          <w:sz w:val="24"/>
          <w:szCs w:val="24"/>
        </w:rPr>
        <w:t>Appendi</w:t>
      </w:r>
      <w:r w:rsidR="00136C0E">
        <w:rPr>
          <w:rFonts w:ascii="Times New Roman" w:hAnsi="Times New Roman" w:cs="Times New Roman"/>
          <w:sz w:val="24"/>
          <w:szCs w:val="24"/>
        </w:rPr>
        <w:t>ces</w:t>
      </w:r>
      <w:r w:rsidR="00E57044" w:rsidRPr="00E57044">
        <w:rPr>
          <w:rFonts w:ascii="Times New Roman" w:hAnsi="Times New Roman" w:cs="Times New Roman"/>
          <w:sz w:val="24"/>
          <w:szCs w:val="24"/>
        </w:rPr>
        <w:t xml:space="preserve"> A</w:t>
      </w:r>
      <w:r w:rsidR="00136C0E">
        <w:rPr>
          <w:rFonts w:ascii="Times New Roman" w:hAnsi="Times New Roman" w:cs="Times New Roman"/>
          <w:sz w:val="24"/>
          <w:szCs w:val="24"/>
        </w:rPr>
        <w:t xml:space="preserve"> and B</w:t>
      </w:r>
      <w:r w:rsidRPr="00E57044">
        <w:rPr>
          <w:rFonts w:ascii="Times New Roman" w:hAnsi="Times New Roman" w:cs="Times New Roman"/>
          <w:sz w:val="24"/>
          <w:szCs w:val="24"/>
        </w:rPr>
        <w:t>) such</w:t>
      </w:r>
      <w:r w:rsidRPr="003609FB">
        <w:rPr>
          <w:rFonts w:ascii="Times New Roman" w:hAnsi="Times New Roman" w:cs="Times New Roman"/>
          <w:sz w:val="24"/>
          <w:szCs w:val="24"/>
        </w:rPr>
        <w:t xml:space="preserve"> as </w:t>
      </w:r>
      <w:proofErr w:type="spellStart"/>
      <w:r w:rsidRPr="00E57044">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are known to detoxify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very effectively </w:t>
      </w:r>
      <w:r w:rsidR="00966ECD" w:rsidRPr="00922712">
        <w:rPr>
          <w:rFonts w:ascii="Times New Roman" w:hAnsi="Times New Roman" w:cs="Times New Roman"/>
          <w:sz w:val="24"/>
          <w:szCs w:val="24"/>
        </w:rPr>
        <w:fldChar w:fldCharType="begin"/>
      </w:r>
      <w:r w:rsidR="004A122C" w:rsidRPr="00922712">
        <w:rPr>
          <w:rFonts w:ascii="Times New Roman" w:hAnsi="Times New Roman" w:cs="Times New Roman"/>
          <w:sz w:val="24"/>
          <w:szCs w:val="24"/>
        </w:rPr>
        <w:instrText xml:space="preserve"> ADDIN ZOTERO_ITEM CSL_CITATION {"citationID":"fJo7JCyY","properties":{"formattedCitation":"(Morris et al. 2011)","plainCitation":"(Morris et al. 2011)","noteIndex":0},"citationItems":[{"id":113,"uris":["http://zotero.org/users/6128296/items/PIIBXCZZ"],"itemData":{"id":113,"type":"article-journal","abstract":"The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966ECD"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szCs w:val="24"/>
        </w:rPr>
        <w:t>. 2011)</w:t>
      </w:r>
      <w:r w:rsidR="00966ECD" w:rsidRPr="00922712">
        <w:rPr>
          <w:rFonts w:ascii="Times New Roman" w:hAnsi="Times New Roman" w:cs="Times New Roman"/>
          <w:sz w:val="24"/>
          <w:szCs w:val="24"/>
        </w:rPr>
        <w:fldChar w:fldCharType="end"/>
      </w:r>
      <w:r w:rsidRPr="00922712">
        <w:rPr>
          <w:rFonts w:ascii="Times New Roman" w:hAnsi="Times New Roman" w:cs="Times New Roman"/>
          <w:sz w:val="24"/>
          <w:szCs w:val="24"/>
        </w:rPr>
        <w:t>. Our</w:t>
      </w:r>
      <w:r w:rsidRPr="003609FB">
        <w:rPr>
          <w:rFonts w:ascii="Times New Roman" w:hAnsi="Times New Roman" w:cs="Times New Roman"/>
          <w:sz w:val="24"/>
          <w:szCs w:val="24"/>
        </w:rPr>
        <w:t xml:space="preserve"> modeling approach is readily extended to quantify cell-specific rates of detoxification among heterotrophic microbes known to grow with</w:t>
      </w:r>
      <w:r w:rsidR="00966ECD" w:rsidRPr="003609FB">
        <w:rPr>
          <w:rFonts w:ascii="Times New Roman" w:hAnsi="Times New Roman" w:cs="Times New Roman"/>
          <w:sz w:val="24"/>
          <w:szCs w:val="24"/>
        </w:rPr>
        <w:t xml:space="preserve"> </w:t>
      </w:r>
      <w:r w:rsidR="00966ECD" w:rsidRPr="003609FB">
        <w:rPr>
          <w:rFonts w:ascii="Times New Roman" w:hAnsi="Times New Roman" w:cs="Times New Roman"/>
          <w:sz w:val="24"/>
          <w:szCs w:val="24"/>
        </w:rPr>
        <w:fldChar w:fldCharType="begin"/>
      </w:r>
      <w:r w:rsidR="007C3848">
        <w:rPr>
          <w:rFonts w:ascii="Times New Roman" w:hAnsi="Times New Roman" w:cs="Times New Roman"/>
          <w:sz w:val="24"/>
          <w:szCs w:val="24"/>
        </w:rPr>
        <w:instrText xml:space="preserve"> ADDIN ZOTERO_ITEM CSL_CITATION {"citationID":"dWgQrLWk","properties":{"formattedCitation":"(Babi\\uc0\\u263{} et al. 2017; Aharonovich and Sher 2016)","plainCitation":"(Babić et al. 2017; Aharonovich and Sher 2016)","noteIndex":0},"citationItems":[{"id":3049,"uris":["http://zotero.org/users/6128296/items/NZC36C4B"],"itemData":{"id":3049,"type":"article-journal","abstract":"Adriatic, the northernmost part of the Mediterranean Sea, due its oligotrophy, topography, and hydrology dynamics, and complex circulation patterns, was suggested as an important study site for rapid climatology impacts. Its southern part is mainly oligotrophic and dominated by picophytoplankton, with cyanobacteria as main representatives. Diversity and distribution patterns of different Prochlorococcus ecotypes were investigated by molecular tools and ﬂow cytometry during the winter convection event in the southern Adriatic (BIOTA winter cruise; February/March 2015). Phylogenetic diversity based on clone libraries of the 16S–23S ribosomal DNA ITS region, as well as ﬂow cytometry (histograms of red ﬂuorescence), indicated presence of 2 different Prochlorococcus in the Adriatic. HLI, as a typical clade for Mediterranean Sea, was likewise found to be dominant Prochlorococcus in the Adriatic, followed by less abundant LLI clade. In addition, Prochlorococcus were found to cooccur with diverse Synechococcus population (53% and 47% of obtained ITS sequences, respectively). Different Prochlorococcus ecotypes had similar patterns of vertical distribution, predominantly occupying upper 100 m depth layer, but their distribution was clearly affected by the heterogeneity of hydrological conditions, nitrogen concentration and temperature along vertical and horizontal sampling points. Different studies pointed out that, as a consequence of climate changes, serious alteration of biological and ecological patterns are already taking place Therefore, understanding of the distribution and abundance of picophytoplankton in Adriatic, being still limited, is much needed baseline for predicting possible biogeochemical impact of future environmental changes. © 2017 Elsevier B.V. All rights reserved.","container-title":"Marine Genomics","DOI":"10.1016/j.margen.2017.05.014","ISSN":"18747787","journalAbbreviation":"Marine Genomics","language":"en","page":"3-11","source":"DOI.org (Crossref)","title":"Distribution and diversity of marine picocyanobacteria community: Targeting of Prochlorococcus ecotypes in winter conditions (southern Adriatic Sea)","title-short":"Distribution and diversity of marine picocyanobacteria community","volume":"36","author":[{"family":"Babić","given":""},{"family":"Petrić","given":"Ines"},{"family":"Bosak","given":"Sunčica"},{"family":"Mihanović","given":"Hrvoje"},{"family":"Dupčić Radić","given":"Iris"},{"family":"Ljubešić","given":"Zrinka"}],"issued":{"date-parts":[["2017",12]]}}},{"id":4157,"uris":["http://zotero.org/users/6128296/items/9GCXCHPJ"],"itemData":{"id":4157,"type":"article-journal","abstract":"Abstract\n            Interactions between marine microorganisms may determine the dynamics of microbial communities. Here, we show that two strains of the globally abundant marine cyanobacterium Prochlorococcus, MED4 and MIT9313, which belong to two different ecotypes, differ markedly in their response to co-culture with a marine heterotrophic bacterium, Alteromonas macleodii strain HOT1A3. HOT1A3 enhanced the growth of MIT9313 at low cell densities, yet inhibited it at a higher concentration, whereas it had no effect on MED4 growth. The early transcriptomic responses of Prochlorococcus cells after 20 h in co-culture showed no evidence of nutrient starvation, whereas the expression of genes involved in photosynthesis, protein synthesis and stress responses typically decreased in MED4 and increased in MIT313. Differential expression of genes involved in outer membrane modification, efflux transporters and, in MIT9313, lanthipeptides (prochlorosins) suggests that Prochlorococcus mount a specific response to the presence of the heterotroph in the cultures. Intriguingly, many of the differentially-expressed genes encoded short proteins, including two new families of co-culture responsive genes: CCRG-1, which is found across the Prochlorococcus lineage and CCRG-2, which contains a sequence motif involved in the export of prochlorosins and other bacteriocin-like peptides, and are indeed released from the cells into the media.","container-title":"The ISME Journal","DOI":"10.1038/ismej.2016.70","ISSN":"1751-7362, 1751-7370","issue":"12","language":"en","page":"2892-2906","source":"DOI.org (Crossref)","title":"Transcriptional response of Prochlorococcus to co-culture with a marine Alteromonas: differences between strains and the involvement of putative infochemicals","title-short":"Transcriptional response of &lt;i&gt;Prochlorococcus&lt;/i&gt; to co-culture with a marine &lt;i&gt;Alteromonas&lt;/i&gt;","volume":"10","author":[{"family":"Aharonovich","given":""},{"family":"Sher","given":"Daniel"}],"issued":{"date-parts":[["2016",12,1]]}}}],"schema":"https://github.com/citation-style-language/schema/raw/master/csl-citation.json"} </w:instrText>
      </w:r>
      <w:r w:rsidR="00966ECD"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(Babić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2017; </w:t>
      </w:r>
      <w:proofErr w:type="spellStart"/>
      <w:r w:rsidR="006C2922" w:rsidRPr="006C2922">
        <w:rPr>
          <w:rFonts w:ascii="Times New Roman" w:hAnsi="Times New Roman" w:cs="Times New Roman"/>
          <w:sz w:val="24"/>
        </w:rPr>
        <w:t>Aharonovich</w:t>
      </w:r>
      <w:proofErr w:type="spellEnd"/>
      <w:r w:rsidR="006C2922" w:rsidRPr="006C2922">
        <w:rPr>
          <w:rFonts w:ascii="Times New Roman" w:hAnsi="Times New Roman" w:cs="Times New Roman"/>
          <w:sz w:val="24"/>
        </w:rPr>
        <w:t xml:space="preserve"> and Sher 2016)</w:t>
      </w:r>
      <w:r w:rsidR="00966EC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help </w:t>
      </w:r>
      <w:r w:rsidR="00966ECD" w:rsidRPr="003609FB">
        <w:rPr>
          <w:rFonts w:ascii="Times New Roman" w:hAnsi="Times New Roman" w:cs="Times New Roman"/>
          <w:sz w:val="24"/>
          <w:szCs w:val="24"/>
        </w:rPr>
        <w:fldChar w:fldCharType="begin"/>
      </w:r>
      <w:r w:rsidR="007C3848">
        <w:rPr>
          <w:rFonts w:ascii="Times New Roman" w:hAnsi="Times New Roman" w:cs="Times New Roman"/>
          <w:sz w:val="24"/>
          <w:szCs w:val="24"/>
        </w:rPr>
        <w:instrText xml:space="preserve"> ADDIN ZOTERO_ITEM CSL_CITATION {"citationID":"oP0PmHVX","properties":{"formattedCitation":"(Morris et al. 2008; Morris 2011; Biller, Coe, et al. 2018; Hennon et al. 2018; Zinser 2018a)","plainCitation":"(Morris et al. 2008; Morris 2011; Biller, Coe, et al. 2018; Hennon et al. 2018; Zinser 2018a)","noteIndex":0},"citationItems":[{"id":816,"uris":["http://zotero.org/users/6128296/items/B9D5DHBN"],"itemData":{"id":816,"type":"article-journal","container-title":"Applied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Microorganisms","author":[{"family":"Morris","given":""}],"issued":{"date-parts":[["2011"]]}}},{"id":3077,"uris":["http://zotero.org/users/6128296/items/NTN2AQ8U"],"itemData":{"id":3077,"type":"article-journal","abstract":"Microbes evolve within complex ecological communities where biotic interactions impact both individual cells and the environment as a whole. Here we examine how cellular regulation in the marine cyanobacterium Prochlorococcus is inﬂuenced by a heterotrophic bacterium, Alteromonas macleodii, under different light conditions. We monitored the transcriptome of Prochlorococcus, grown either alone or in coculture, across a diel light:dark cycle and under the stress of extended darkness—a condition that cells would experience when mixed below the ocean’s euphotic zone. More Prochlorococcus transcripts exhibited 24-h periodic oscillations in coculture than in pure culture, both over the normal diel cycle and after the shift to extended darkness. This demonstrates that biotic interactions, and not just light, can affect timing mechanisms in Prochlorococcus, which lacks a self-sustaining circadian oscillator. The transcriptomes of replicate pure cultures of Prochlorococcus lost their synchrony within 5 h of extended darkness and reﬂected changes in stress responses and metabolic functions consistent with growth cessation. In contrast, when grown with Alteromonas, replicate Prochlorococcus transcriptomes tracked each other for at least 13 h in the dark and showed signs of continued biosynthetic and metabolic activity. The transcriptome patterns suggest that the heterotroph may be providing energy or essential biosynthetic substrates to Prochlorococcus in the form of organic compounds, sustaining this autotroph when it is deprived of solar energy. Our ﬁndings reveal conditions where mixotrophic metabolism may beneﬁt marine cyanobacteria and highlight new impacts of community interactions on basic Prochlorococcus cellular processes.","container-title":"mSystems","DOI":"10.1128/mSystems.00040-18","ISSN":"2379-5077","issue":"3","journalAbbreviation":"mSystems","language":"en","page":"e00040-18","source":"DOI.org (Crossref)","title":"Heterotroph Interactions Alter &lt;i&gt;Prochlorococcus&lt;/i&gt; Transcriptome Dynamics during Extended Periods of Darkness","volume":"3","author":[{"family":"Biller","given":""},{"family":"Coe","given":"Allison"},{"family":"Roggensack","given":"Sara E."},{"family":"Chisholm","given":"Sallie W."}],"editor":[{"family":"Mason","given":"Olivia"}],"issued":{"date-parts":[["2018",6,26]]}}},{"id":96,"uris":["http://zotero.org/users/6128296/items/FLR3U54M"],"itemData":{"id":96,"type":"article-journal","container-title":"The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00966ECD" w:rsidRPr="003609FB">
        <w:rPr>
          <w:rFonts w:ascii="Times New Roman" w:hAnsi="Times New Roman" w:cs="Times New Roman"/>
          <w:sz w:val="24"/>
          <w:szCs w:val="24"/>
        </w:rPr>
        <w:fldChar w:fldCharType="separate"/>
      </w:r>
      <w:r w:rsidR="007C3848">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7C3848">
        <w:rPr>
          <w:rFonts w:ascii="Times New Roman" w:hAnsi="Times New Roman" w:cs="Times New Roman"/>
          <w:sz w:val="24"/>
          <w:szCs w:val="24"/>
        </w:rPr>
        <w:t xml:space="preserve">. 2008; Morris 2011; Biller, Coe, </w:t>
      </w:r>
      <w:r w:rsidR="00183222" w:rsidRPr="00183222">
        <w:rPr>
          <w:rFonts w:ascii="Times New Roman" w:hAnsi="Times New Roman" w:cs="Times New Roman"/>
          <w:i/>
          <w:iCs/>
          <w:sz w:val="24"/>
          <w:szCs w:val="24"/>
        </w:rPr>
        <w:t>et al</w:t>
      </w:r>
      <w:r w:rsidR="007C3848">
        <w:rPr>
          <w:rFonts w:ascii="Times New Roman" w:hAnsi="Times New Roman" w:cs="Times New Roman"/>
          <w:sz w:val="24"/>
          <w:szCs w:val="24"/>
        </w:rPr>
        <w:t xml:space="preserve">. 2018; Hennon </w:t>
      </w:r>
      <w:r w:rsidR="00183222" w:rsidRPr="00183222">
        <w:rPr>
          <w:rFonts w:ascii="Times New Roman" w:hAnsi="Times New Roman" w:cs="Times New Roman"/>
          <w:i/>
          <w:iCs/>
          <w:sz w:val="24"/>
          <w:szCs w:val="24"/>
        </w:rPr>
        <w:t>et al</w:t>
      </w:r>
      <w:r w:rsidR="007C3848">
        <w:rPr>
          <w:rFonts w:ascii="Times New Roman" w:hAnsi="Times New Roman" w:cs="Times New Roman"/>
          <w:sz w:val="24"/>
          <w:szCs w:val="24"/>
        </w:rPr>
        <w:t>. 2018; Zinser 2018a)</w:t>
      </w:r>
      <w:r w:rsidR="00966ECD" w:rsidRPr="003609FB">
        <w:rPr>
          <w:rFonts w:ascii="Times New Roman" w:hAnsi="Times New Roman" w:cs="Times New Roman"/>
          <w:sz w:val="24"/>
          <w:szCs w:val="24"/>
        </w:rPr>
        <w:fldChar w:fldCharType="end"/>
      </w:r>
      <w:r w:rsidR="00772E55">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in the open ocean.  It is unclear why the detoxification rate of </w:t>
      </w:r>
      <w:proofErr w:type="spellStart"/>
      <w:r w:rsidRPr="003609FB">
        <w:rPr>
          <w:rFonts w:ascii="Times New Roman" w:hAnsi="Times New Roman" w:cs="Times New Roman"/>
          <w:sz w:val="24"/>
          <w:szCs w:val="24"/>
        </w:rPr>
        <w:t>Alteromonas</w:t>
      </w:r>
      <w:proofErr w:type="spellEnd"/>
      <w:r w:rsidRPr="003609FB">
        <w:rPr>
          <w:rFonts w:ascii="Times New Roman" w:hAnsi="Times New Roman" w:cs="Times New Roman"/>
          <w:sz w:val="24"/>
          <w:szCs w:val="24"/>
        </w:rPr>
        <w:t xml:space="preserve"> is ten times higher than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are on similar size ranges, however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t>
      </w:r>
      <w:proofErr w:type="spellStart"/>
      <w:r w:rsidRPr="003609FB">
        <w:rPr>
          <w:rFonts w:ascii="Times New Roman" w:hAnsi="Times New Roman" w:cs="Times New Roman"/>
          <w:sz w:val="24"/>
          <w:szCs w:val="24"/>
        </w:rPr>
        <w:t>Alteromonas</w:t>
      </w:r>
      <w:proofErr w:type="spellEnd"/>
      <w:r w:rsidRPr="003609FB">
        <w:rPr>
          <w:rFonts w:ascii="Times New Roman" w:hAnsi="Times New Roman" w:cs="Times New Roman"/>
          <w:sz w:val="24"/>
          <w:szCs w:val="24"/>
        </w:rPr>
        <w:t xml:space="preserve"> both contain</w:t>
      </w:r>
      <w:r w:rsidR="00C65F53">
        <w:rPr>
          <w:rFonts w:ascii="Times New Roman" w:hAnsi="Times New Roman" w:cs="Times New Roman"/>
          <w:sz w:val="24"/>
          <w:szCs w:val="24"/>
        </w:rPr>
        <w:t xml:space="preserve"> genes for</w:t>
      </w:r>
      <w:r w:rsidRPr="003609FB">
        <w:rPr>
          <w:rFonts w:ascii="Times New Roman" w:hAnsi="Times New Roman" w:cs="Times New Roman"/>
          <w:sz w:val="24"/>
          <w:szCs w:val="24"/>
        </w:rPr>
        <w:t xml:space="preserve"> catalase so a combination of allometry and genetic capability may be involved. Further, the ODEs used in our model account for changing cell density, but assume a fixed cell state, </w:t>
      </w:r>
      <w:r w:rsidRPr="00C65F53">
        <w:rPr>
          <w:rFonts w:ascii="Times New Roman" w:hAnsi="Times New Roman" w:cs="Times New Roman"/>
          <w:i/>
          <w:iCs/>
          <w:sz w:val="24"/>
          <w:szCs w:val="24"/>
        </w:rPr>
        <w:t>i.e.</w:t>
      </w:r>
      <w:r w:rsidRPr="003609FB">
        <w:rPr>
          <w:rFonts w:ascii="Times New Roman" w:hAnsi="Times New Roman" w:cs="Times New Roman"/>
          <w:sz w:val="24"/>
          <w:szCs w:val="24"/>
        </w:rPr>
        <w:t xml:space="preserve"> we do not account for changing transcription levels of detoxification genes that occur in microbial populations in response to increased reactive oxygen or other environmental pressures </w:t>
      </w:r>
      <w:r w:rsidR="00832919" w:rsidRPr="00922712">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{"citationID":"IJWnQSVd","properties":{"formattedCitation":"(Chan 2008; Cao et al. 2003; Kawasaki et al. 1997; Schellhorn 1995; Klanian and Preciat 2017; Aharonovich and Sher 2016; Alonso-S\\uc0\\u225{}ez et al. 2023; Poretsky et al. 2009; Ottesen et al. 2014; Mulo, Sakurai, and Aro 2012)","plainCitation":"(Chan 2008; Cao et al. 2003; Kawasaki et al. 1997; Schellhorn 1995; Klanian and Preciat 2017; Aharonovich and Sher 2016; Alonso-Sáez et al. 2023; Poretsky et al. 2009; Ottesen et al. 2014; Mulo, Sakurai, and Aro 2012)","noteIndex":0},"citationItems":[{"id":4371,"uris":["http://zotero.org/users/6128296/items/4DUAE4DT"],"itemData":{"id":4371,"type":"thesis","abstract":"Synechococcus sp. strains CC9311, WH8102, and CC9605 were compared to investigate their response to oxidative stress. Fluorescence measurements, cell counts, and cell growth rates were compared for each strain exposed to a range of concentrations of an oxygen radical producing poison, methyl viologen, and an inhibitor of carotenoid biosynthesis, norflurazon. The methyl viologen induced expressions of genes coding for the putative antioxidant enzymes superoxide dismutase, glutathione peroxidase, and catalase/peroxidase, were also compared. The order of highest to lowest sensitivity to oxidative stress induced in the cell cytoplasm is CC9311, WH8102, and CC9605. Conversely, CC9605 is more sensitive to oxidative stress induced in the thylakoid compartment than CC9311. CC9311 significantly up regulated the expression of genes coding for NiSOD and CuZnSOD, two enzymes required to destroy reactive oxygen species. WH8102 up regulated the expression of genes coding for NiSOD and GP, though not to a significant degree. CC9605 up regulated genes coding for NiSOD, CuZnSOD, and catalase/peroxidase to a greater extent than both CC9311 and WH8102. The resistance of CC9605 to oxidative stress may have been facilitated by a unique system of regulation. Overall, these strains of Synechococcus revealed differing responses to oxidative stress likely due to their adaptation to different marine ecosystems.","publisher":"UMI Microform 1456304 Copyright 2008 by ProQuest LLC.","title":"Physiological and transcriptional responses to induced oxidative stress in Synechococcus sp. strains CC9311, WH8102, and CC9605","title-short":"chan dissertation 2008","author":[{"family":"Chan","given":""}],"issued":{"date-parts":[["2008"]]}}},{"id":1939,"uris":["http://zotero.org/users/6128296/items/HHFM5UI8"],"itemData":{"id":1939,"type":"article-journal","abstract":"Catalase is a major effector in the defense of aerobic cells against oxidative stress. Recent studies have shown that catalase activity is stimulated by the c-Abl and Arg tyrosine kinases. Little, however, is otherwise known about the mechanisms responsible for catalase regulation. The present work demonstrates that mouse cells deficient in both c-Abl and Arg exhibit increased catalase stability. The results also show that catalase is subject to ubiquitination and degradation by the 26S proteosome. Significantly, ubiquitination of catalase is dependent on c-Abl- and Arg-mediated phosphorylation of catalase on both Y231 and Y386. In concert with these results, human 293 cells expressing catalase mutated at Y231 and Y386 exhibit attenuated levels of reactive oxygen species when exposed to hydrogen peroxide. These findings indicate that, in addition to stimulating catalase activity, c-Abl and Arg promote catalase degradation in the oxidative stress response.","container-title":"Biochemistry","DOI":"10.1021/bi035023f","ISSN":"0006-2960, 1520-4995","issue":"35","journalAbbreviation":"Biochemistry","language":"en","page":"10348-10353","source":"DOI.org (Crossref)","title":"Catalase Is Regulated by Ubiquitination and Proteosomal Degradation. Role of the c-Abl and Arg Tyrosine Kinases","volume":"42","author":[{"family":"Cao","given":""},{"family":"Leng","given":"Yumei"},{"family":"Liu","given":"Xuan"},{"family":"Yi","given":"Yanping"},{"family":"Li","given":"Ping"},{"family":"Kufe","given":"Donald"}],"issued":{"date-parts":[["2003",9]]}}},{"id":1964,"uris":["http://zotero.org/users/6128296/items/9YZCQCV2"],"itemData":{"id":1964,"type":"article-journal","container-title":"Journal of bacteriology","DOI":"10.1128/JB.179.10.3284-3292.1997","ISSN":"0021-9193","issue":"10","language":"en","page":"3284-3292","source":"DOI.org (Crossref)","title":"Two divergent catalase genes are differentially regulated during Aspergillus nidulans development and oxidative stress.","volume":"179","author":[{"family":"Kawasaki","given":""},{"family":"Wysong","given":"D"},{"family":"Diamond","given":"R"},{"family":"Aguirre","given":"J"}],"issued":{"date-parts":[["1997"]]}}},{"id":2235,"uris":["http://zotero.org/users/6128296/items/H3ZUN9JP"],"itemData":{"id":2235,"type":"article-journal","abstract":"As part of its adaptive response to oxidative stress, Escherichia coli produces two inducible hydroperoxidases called HPI and I-MI. Upon exposure to sublethal levels of hydrogen peroxide, HP1 expression is induced at the transcriptional level by OxyR, a member of the LysR family of autoregulators. OxyR, functioning as both a sensor and transducer, contains a critical redox-sensitive Cys residue that is oxidized by hydrogen peroxide. This is thought to induce a conformational change in the tertiary structure of the OxyR tetramer altering its DNA-binding specificity and resulting in an increase in the transcription of katc and several other OxyR-dependent genes. In contrast, synthesis of the HP11 enzyme is not induced by hydrogen peroxide. Expression of both HP1 and HP11 is growth phase-dependent levels of HP1 and HP11 are lo-fold higher in stationary phase than exponential phase cultures. These growth phase-dependent increases are largely dependent on RpoS, a stationary phase specific sigma factor that is itself subject to complex transcriptional and post-transcriptional controls. Several metabolic signals have been proposed to activate the RpoS regulon including hyperosmolarity, weak acids, homoserine la&amp;one and UDP-glucose. Since both HP1 and HP11 are members of the RpoS regulon, elucidation of the mechanism of regulation of RpoS should contribute to our general understanding of hydroperoxidase regulation.","container-title":"FEMS Microbiology Letters","DOI":"10.1111/j.1574-6968.1995.tb07764.x","ISSN":"03781097, 15746968","issue":"2","language":"en","page":"113-119","source":"DOI.org (Crossref)","title":"Regulation of hydroperoxidase (catalase) expression in &lt;i&gt;Escherichia coli&lt;/i&gt;","volume":"131","author":[{"family":"Schellhorn","given":""}],"issued":{"date-parts":[["1995",9]]}}},{"id":1792,"uris":["http://zotero.org/users/6128296/items/GTUZUZRM"],"itemData":{"id":1792,"type":"article-journal","abstract":"This study evaluated the effect ofpH on the activity ofantioxidant and immune enzymes in the sea cucumber Isostichopus badionotus exposed todifferent temperatures. The organisms (530 ±110 g)were exposed to16, 20, 24, 28, 30, 34 and 36 ̊C for 6htoevaluate thermal limits attwo water pH values (treatment =7.70; control =8.17). For the thermal tolerance experiment, the organisms were exposed tosublethal temperature of34 ̊C for 3, 6,12, 24, and 48 h. I. badionotus showed signs ofthermal stress by synthesizing heat shock protein 70 (hsp70) atthe cold (16 ̊C) and warm thermal limits (34 ̊C). The glutathione peroxidase (GPx) showed anegative correlation with superoxide dismutase (SOD) activity inmodulating the effect ofoxidative stress atdifferent temperaturelevels. Specifically, GPx activity was maximal atthe extremes ofthe cold and warm temperatures (16, 20, and 36 ̊C) tested, while contrarily, the SOD activity increased significantly inthe narrow range oftemperature between 28 and 30 ̊C, as apart ofareaction tooffset oxidative damage. The effect ofpH on the expression ofhsp70 was not significant, whereas the antioxidant enzymes activity was stimulated atpH 7.70. Mucosal immunity, evidenced by the activation ofthe phenoloxidase (PO) system, increased above the basal level atpH 7.70 and at28, 30, and 34 ̊C. Independent ofpH, the temperature of34 ̊C was identified as the 12 h-sublethal upper limit for I. badionotus.","container-title":"PLOS ONE","DOI":"10.1371/journal.pone.0175812","ISSN":"1932-6203","issue":"4","journalAbbreviation":"PLoS ONE","language":"en","page":"e0175812","source":"DOI.org (Crossref)","title":"Effect of pH on temperature controlled degradation of reactive oxygen species, heat shock protein expression, and mucosal immunity in the sea cucumber Isostichopus badionotus","volume":"12","author":[{"family":"Klanian","given":""},{"family":"Preciat","given":"Montserrat"}],"editor":[{"family":"Li Volti","given":"Giovanni"}],"issued":{"date-parts":[["2017",4,17]]}}},{"id":4157,"uris":["http://zotero.org/users/6128296/items/9GCXCHPJ"],"itemData":{"id":4157,"type":"article-journal","abstract":"Abstract\n            Interactions between marine microorganisms may determine the dynamics of microbial communities. Here, we show that two strains of the globally abundant marine cyanobacterium Prochlorococcus, MED4 and MIT9313, which belong to two different ecotypes, differ markedly in their response to co-culture with a marine heterotrophic bacterium, Alteromonas macleodii strain HOT1A3. HOT1A3 enhanced the growth of MIT9313 at low cell densities, yet inhibited it at a higher concentration, whereas it had no effect on MED4 growth. The early transcriptomic responses of Prochlorococcus cells after 20 h in co-culture showed no evidence of nutrient starvation, whereas the expression of genes involved in photosynthesis, protein synthesis and stress responses typically decreased in MED4 and increased in MIT313. Differential expression of genes involved in outer membrane modification, efflux transporters and, in MIT9313, lanthipeptides (prochlorosins) suggests that Prochlorococcus mount a specific response to the presence of the heterotroph in the cultures. Intriguingly, many of the differentially-expressed genes encoded short proteins, including two new families of co-culture responsive genes: CCRG-1, which is found across the Prochlorococcus lineage and CCRG-2, which contains a sequence motif involved in the export of prochlorosins and other bacteriocin-like peptides, and are indeed released from the cells into the media.","container-title":"The ISME Journal","DOI":"10.1038/ismej.2016.70","ISSN":"1751-7362, 1751-7370","issue":"12","language":"en","page":"2892-2906","source":"DOI.org (Crossref)","title":"Transcriptional response of Prochlorococcus to co-culture with a marine Alteromonas: differences between strains and the involvement of putative infochemicals","title-short":"Transcriptional response of &lt;i&gt;Prochlorococcus&lt;/i&gt; to co-culture with a marine &lt;i&gt;Alteromonas&lt;/i&gt;","volume":"10","author":[{"family":"Aharonovich","given":""},{"family":"Sher","given":"Daniel"}],"issued":{"date-parts":[["2016",12,1]]}}},{"id":4598,"uris":["http://zotero.org/users/6128296/items/P4CG4IV3"],"itemData":{"id":4598,"type":"article-journal","abstract":"Low temperature limits the growth and the distribution of the key oceanic primary producer Prochlorococcus, which does not proliferate above a latitude of ca. 40°. Yet, the molecular basis of thermal acclimation in this cyanobacterium remains unexplored. We analyzed the transcriptional response of the Prochlorococcus marinus strain MIT9301 in long-term acclimations and in natural Prochlorococcus populations along a temperature range enabling its growth (17 to 30°C). MIT9301 upregulated mechanisms of the global stress response at the temperature minimum (17°C) but maintained the expression levels of genes involved in essential metabolic pathways (e.g., ATP synthesis and carbon ﬁxation) along the whole thermal niche. Notably, the declining growth of MIT9301 from the optimum to the minimum temperature was coincident with a transcriptional suppression of the photosynthetic apparatus and a dampening of its circadian expression patterns, indicating a loss in their regulatory capacity under cold conditions. Under warm conditions, the cellular transcript inventory of MIT9301 was strongly streamlined, which may also induce regulatory imbalances due to stochasticity in gene expression. The daytime transcriptional suppression of photosynthetic genes at low temperature was also observed in metatranscriptomic reads mapping to MIT9301 across the global ocean, implying that this molecular mechanism may be associated with the restricted distribution of Prochlorococcus to temperate zones.","container-title":"mBio","DOI":"10.1128/mbio.03425-22","ISSN":"2150-7511","issue":"3","journalAbbreviation":"mBio","language":"en","page":"e03425-22","source":"DOI.org (Crossref)","title":"Transcriptional Mechanisms of Thermal Acclimation in &lt;i&gt;Prochlorococcus&lt;/i&gt;","volume":"14","author":[{"family":"Alonso-Sáez","given":""},{"family":"Palacio","given":"Antonio S."},{"family":"Cabello","given":"Ana M."},{"family":"Robaina-Estévez","given":"Semidán"},{"family":"González","given":"José M."},{"family":"Garczarek","given":"Laurence"},{"family":"López-Urrutia","given":"Ángel"}],"editor":[{"family":"Martiny","given":"Jennifer B. H."}],"issued":{"date-parts":[["2023",6,27]]}}},{"id":1517,"uris":["http://zotero.org/users/6128296/items/WW276TLR"],"itemData":{"id":1517,"type":"article-journal","abstract":"Metatranscriptomic analyses of microbial assemblages (&lt; 5 mm) from surface water at the Hawaiian Ocean Time-Series (HOT) revealed community-wide metabolic activities and day/night patterns of differential gene expression. Pyrosequencing produced 75 558 putative mRNA reads from a day transcriptome and 75 946 from a night transcriptome. Taxonomic binning of annotated mRNAs indicated that Cyanobacteria contributed a greater percentage of the transcripts (54% of annotated sequences) than expected based on abundance (35% of cell counts and 21% 16S rRNA of libraries), and may represent the most actively transcribing cells in this surface ocean community in both the day and night. Major heterotrophic taxa contributing to the community transcriptome included a-Proteobacteria (19% of annotated sequences, most of which were SAR11-related) and g-Proteobacteria (4%). The composition of transcript pools was consistent with models of prokaryotic gene expression, including operon-based transcription patterns and an abundance of genes predicted to be highly expressed. Metabolic activities that are shared by many microbial taxa (e.g. glycolysis, citric acid cycle, amino acid biosynthesis and transcription and translation machinery) were well represented among the community transcripts. There was an overabundance of transcripts for photosynthesis, C1 metabolism and oxidative phosphorylation in the day compared with night, and evidence that energy acquisition is coordinated with solar radiation levels for both autotrophic and heterotrophic microbes. In contrast, housekeeping activities such as amino acid biosynthesis, membrane synthesis and repair, and vitamin biosynthesis were overrepresented in the night transcriptome. Direct sequencing of these environmental transcripts has provided detailed information on metabolic and biogeochemical responses of a microbial community to solar forcing.","container-title":"Environmental Microbiology","DOI":"10.1111/j.1462-2920.2008.01863.x","ISSN":"14622912, 14622920","issue":"6","language":"en","page":"1358-1375","source":"DOI.org (Crossref)","title":"Comparative day/night metatranscriptomic analysis of microbial communities in the North Pacific subtropical gyre","volume":"11","author":[{"family":"Poretsky","given":""},{"family":"Hewson","given":"Ian"},{"family":"Sun","given":"Shulei"},{"family":"Allen","given":"Andrew E."},{"family":"Zehr","given":"Jonathan P."},{"family":"Moran","given":"Mary Ann"}],"issued":{"date-parts":[["2009",6]]}}},{"id":4146,"uris":["http://zotero.org/users/6128296/items/2SSREVDY"],"itemData":{"id":4146,"type":"article-journal","abstract":"Up and down go the cyanobacteria. Plankton move together in strikingly coordinated daily patterns, sinking at night to avoid being eaten and rising to the surface in daylight to photosynthesize. Otteson et al found similar activity patterns in even the smallest of planktonic organisms, such as photosynthetic bacteria Because it's hard to take regular samples in the open ocean, the authors built a robotic sampler and set it adrift for several days in the mid-Pacific. The captured bacteria showed immediate responses to changes in light, temperature, and salinity in ways that could affect the ocean's carbon and nitrogen cycles. Multispecies’ daily waves of gene transcription are observed in open ocean microplankton. Oscillating diurnal rhythms of gene transcription, metabolic activity, and behavior are found in all three domains of life. However, diel cycles in naturally occurring heterotrophic bacteria and archaea have rarely been observed. Here, we report time-resolved whole-genome transcriptome profiles of multiple, naturally occurring oceanic bacterial populations sampled in situ over 3 days. As anticipated, the cyanobacterial transcriptome exhibited pronounced diel periodicity. Unexpectedly, several different heterotrophic bacterioplankton groups also displayed diel cycling in many of their gene transcripts. Furthermore, diel oscillations in different heterotrophic bacterial groups suggested population-specific timing of peak transcript expression in a variety of metabolic gene suites. These staggered multispecies waves of diel gene transcription may influence both the tempo and the mode of matter and energy transformation in the sea.","container-title":"Science","DOI":"10.1126/science.1252476","ISSN":"0036-8075, 1095-9203","issue":"6193","journalAbbreviation":"Science","language":"en","page":"207-212","source":"DOI.org (Crossref)","title":"Multispecies diel transcriptional oscillations in open ocean heterotrophic bacterial assemblages","volume":"345","author":[{"family":"Ottesen","given":""},{"family":"Young","given":"Curtis R."},{"family":"Gifford","given":"Scott M."},{"family":"Eppley","given":"John M."},{"family":"Marin","given":"Roman"},{"family":"Schuster","given":"Stephan C."},{"family":"Scholin","given":"Christopher A."},{"family":"DeLong","given":"Edward F."}],"issued":{"date-parts":[["2014",7,11]]}}},{"id":2134,"uris":["http://zotero.org/users/6128296/items/IQL55RKV"],"itemData":{"id":2134,"type":"article-journal","abstract":"The Photosystem (PS) II of cyanobacteria, green algae and higher plants is prone to light-induced inactivation, the D1 protein being the primary target of such damage. As a consequence, the D1 protein, encoded by the psbA gene, is degraded and re-synthesized in a multistep process called PSII repair cycle. In cyanobacteria, a small gene family codes for the various, functionally distinct D1 isoforms. In these organisms, the regulation of the psbA gene expression occurs mainly at the level of transcription, but the expression is ﬁne-tuned by regulation of translation elongation. In plants and green algae, the D1 protein is encoded by a single psbA gene located in the chloroplast genome. In chloroplasts of Chlamydomonas reinhardtii the psbA gene expression is strongly regulated by mRNA processing, and particularly at the level of translation initiation. In chloroplasts of higher plants, translation elongation is the prevalent mechanism for regulation of the psbA gene expression. The pre-existing pool of psbA transcripts forms translation initiation complexes in plant chloroplasts even in darkness, while the D1 synthesis can be completed only in the light. Replacement of damaged D1 protein requires also the assistance by a number of auxiliary proteins, which are encoded by the nuclear genome in green algae and higher plants. Nevertheless, many of these chaperones are conserved between prokaryotes and eukaryotes. Here, we describe the speciﬁc features and fundamental differences of the psbA gene expression and the regeneration of the PSII reaction center protein D1 in cyanobacteria, green algae and higher plants. This article is part of a Special Issue entitled Photosystem II.","container-title":"Biochimica et Biophysica Acta (BBA) - Bioenergetics","DOI":"10.1016/j.bbabio.2011.04.011","ISSN":"00052728","issue":"1","journalAbbreviation":"Biochimica et Biophysica Acta (BBA) - Bioenergetics","language":"en","page":"247-257","source":"DOI.org (Crossref)","title":"Strategies for psbA gene expression in cyanobacteria, green algae and higher plants: From transcription to PSII repair","title-short":"Strategies for psbA gene expression in cyanobacteria, green algae and higher plants","volume":"1817","author":[{"family":"Mulo","given":""},{"family":"Sakurai","given":"Isamu"},{"family":"Aro","given":"Eva-Mari"}],"issued":{"date-parts":[["2012",1]]}}}],"schema":"https://github.com/citation-style-language/schema/raw/master/csl-citation.json"} </w:instrText>
      </w:r>
      <w:r w:rsidR="00832919" w:rsidRPr="00922712">
        <w:rPr>
          <w:rFonts w:ascii="Times New Roman" w:hAnsi="Times New Roman" w:cs="Times New Roman"/>
          <w:sz w:val="24"/>
          <w:szCs w:val="24"/>
        </w:rPr>
        <w:fldChar w:fldCharType="separate"/>
      </w:r>
      <w:r w:rsidR="006C2922" w:rsidRPr="00922712">
        <w:rPr>
          <w:rFonts w:ascii="Times New Roman" w:hAnsi="Times New Roman" w:cs="Times New Roman"/>
          <w:sz w:val="24"/>
        </w:rPr>
        <w:t xml:space="preserve">(Chan 2008; Cao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rPr>
        <w:t xml:space="preserve">. 2003; Kawasaki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rPr>
        <w:t xml:space="preserve">. 1997; Schellhorn 1995; </w:t>
      </w:r>
      <w:proofErr w:type="spellStart"/>
      <w:r w:rsidR="006C2922" w:rsidRPr="00922712">
        <w:rPr>
          <w:rFonts w:ascii="Times New Roman" w:hAnsi="Times New Roman" w:cs="Times New Roman"/>
          <w:sz w:val="24"/>
        </w:rPr>
        <w:t>Klanian</w:t>
      </w:r>
      <w:proofErr w:type="spellEnd"/>
      <w:r w:rsidR="006C2922" w:rsidRPr="00922712">
        <w:rPr>
          <w:rFonts w:ascii="Times New Roman" w:hAnsi="Times New Roman" w:cs="Times New Roman"/>
          <w:sz w:val="24"/>
        </w:rPr>
        <w:t xml:space="preserve"> and </w:t>
      </w:r>
      <w:proofErr w:type="spellStart"/>
      <w:r w:rsidR="006C2922" w:rsidRPr="00922712">
        <w:rPr>
          <w:rFonts w:ascii="Times New Roman" w:hAnsi="Times New Roman" w:cs="Times New Roman"/>
          <w:sz w:val="24"/>
        </w:rPr>
        <w:t>Preciat</w:t>
      </w:r>
      <w:proofErr w:type="spellEnd"/>
      <w:r w:rsidR="006C2922" w:rsidRPr="00922712">
        <w:rPr>
          <w:rFonts w:ascii="Times New Roman" w:hAnsi="Times New Roman" w:cs="Times New Roman"/>
          <w:sz w:val="24"/>
        </w:rPr>
        <w:t xml:space="preserve"> 2017; </w:t>
      </w:r>
      <w:proofErr w:type="spellStart"/>
      <w:r w:rsidR="006C2922" w:rsidRPr="00922712">
        <w:rPr>
          <w:rFonts w:ascii="Times New Roman" w:hAnsi="Times New Roman" w:cs="Times New Roman"/>
          <w:sz w:val="24"/>
        </w:rPr>
        <w:lastRenderedPageBreak/>
        <w:t>Aharonovich</w:t>
      </w:r>
      <w:proofErr w:type="spellEnd"/>
      <w:r w:rsidR="006C2922" w:rsidRPr="00922712">
        <w:rPr>
          <w:rFonts w:ascii="Times New Roman" w:hAnsi="Times New Roman" w:cs="Times New Roman"/>
          <w:sz w:val="24"/>
        </w:rPr>
        <w:t xml:space="preserve"> and Sher 2016; Alonso-Sáez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rPr>
        <w:t xml:space="preserve">. 2023; Poretsky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rPr>
        <w:t xml:space="preserve">. 2009; Ottesen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rPr>
        <w:t xml:space="preserve">. 2014; </w:t>
      </w:r>
      <w:proofErr w:type="spellStart"/>
      <w:r w:rsidR="006C2922" w:rsidRPr="00922712">
        <w:rPr>
          <w:rFonts w:ascii="Times New Roman" w:hAnsi="Times New Roman" w:cs="Times New Roman"/>
          <w:sz w:val="24"/>
        </w:rPr>
        <w:t>Mulo</w:t>
      </w:r>
      <w:proofErr w:type="spellEnd"/>
      <w:r w:rsidR="006C2922" w:rsidRPr="00922712">
        <w:rPr>
          <w:rFonts w:ascii="Times New Roman" w:hAnsi="Times New Roman" w:cs="Times New Roman"/>
          <w:sz w:val="24"/>
        </w:rPr>
        <w:t>, Sakurai, and Aro 2012)</w:t>
      </w:r>
      <w:r w:rsidR="00832919" w:rsidRPr="00922712">
        <w:rPr>
          <w:rFonts w:ascii="Times New Roman" w:hAnsi="Times New Roman" w:cs="Times New Roman"/>
          <w:sz w:val="24"/>
          <w:szCs w:val="24"/>
        </w:rPr>
        <w:fldChar w:fldCharType="end"/>
      </w:r>
      <w:r w:rsidRPr="00922712">
        <w:rPr>
          <w:rFonts w:ascii="Times New Roman" w:hAnsi="Times New Roman" w:cs="Times New Roman"/>
          <w:sz w:val="24"/>
          <w:szCs w:val="24"/>
        </w:rPr>
        <w:t>.</w:t>
      </w:r>
      <w:r w:rsidRPr="003609FB">
        <w:rPr>
          <w:rFonts w:ascii="Times New Roman" w:hAnsi="Times New Roman" w:cs="Times New Roman"/>
          <w:sz w:val="24"/>
          <w:szCs w:val="24"/>
        </w:rPr>
        <w:t xml:space="preserve"> </w:t>
      </w:r>
    </w:p>
    <w:p w14:paraId="59822EE5" w14:textId="7FAA6F26" w:rsidR="00DC50BD" w:rsidRPr="00CE7353" w:rsidRDefault="005E185F" w:rsidP="00AB2160">
      <w:pPr>
        <w:spacing w:line="360" w:lineRule="auto"/>
        <w:ind w:firstLine="720"/>
        <w:rPr>
          <w:rFonts w:ascii="Times New Roman" w:hAnsi="Times New Roman" w:cs="Times New Roman"/>
          <w:sz w:val="24"/>
          <w:szCs w:val="24"/>
        </w:rPr>
      </w:pPr>
      <w:r w:rsidRPr="00922712">
        <w:rPr>
          <w:rFonts w:ascii="Times New Roman" w:hAnsi="Times New Roman" w:cs="Times New Roman"/>
          <w:sz w:val="24"/>
          <w:szCs w:val="24"/>
        </w:rPr>
        <w:t xml:space="preserve">This </w:t>
      </w:r>
      <w:r w:rsidR="00C65F53">
        <w:rPr>
          <w:rFonts w:ascii="Times New Roman" w:hAnsi="Times New Roman" w:cs="Times New Roman"/>
          <w:sz w:val="24"/>
          <w:szCs w:val="24"/>
        </w:rPr>
        <w:t>chapter</w:t>
      </w:r>
      <w:r w:rsidRPr="00922712">
        <w:rPr>
          <w:rFonts w:ascii="Times New Roman" w:hAnsi="Times New Roman" w:cs="Times New Roman"/>
          <w:sz w:val="24"/>
          <w:szCs w:val="24"/>
        </w:rPr>
        <w:t xml:space="preserve"> focuses mainly on the inclusion of catalase in the genome as a</w:t>
      </w:r>
      <w:r w:rsidR="00C65F53">
        <w:rPr>
          <w:rFonts w:ascii="Times New Roman" w:hAnsi="Times New Roman" w:cs="Times New Roman"/>
          <w:sz w:val="24"/>
          <w:szCs w:val="24"/>
        </w:rPr>
        <w:t xml:space="preserve"> binary</w:t>
      </w:r>
      <w:r w:rsidRPr="00922712">
        <w:rPr>
          <w:rFonts w:ascii="Times New Roman" w:hAnsi="Times New Roman" w:cs="Times New Roman"/>
          <w:sz w:val="24"/>
          <w:szCs w:val="24"/>
        </w:rPr>
        <w:t xml:space="preserve"> defining trait. </w:t>
      </w:r>
      <w:r w:rsidR="0095336C" w:rsidRPr="00922712">
        <w:rPr>
          <w:rFonts w:ascii="Times New Roman" w:hAnsi="Times New Roman" w:cs="Times New Roman"/>
          <w:sz w:val="24"/>
          <w:szCs w:val="24"/>
        </w:rPr>
        <w:t>However,</w:t>
      </w:r>
      <w:r w:rsidRPr="00922712">
        <w:rPr>
          <w:rFonts w:ascii="Times New Roman" w:hAnsi="Times New Roman" w:cs="Times New Roman"/>
          <w:sz w:val="24"/>
          <w:szCs w:val="24"/>
        </w:rPr>
        <w:t xml:space="preserve"> a wide array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922712">
        <w:rPr>
          <w:rFonts w:ascii="Times New Roman" w:hAnsi="Times New Roman" w:cs="Times New Roman"/>
          <w:sz w:val="24"/>
          <w:szCs w:val="24"/>
        </w:rPr>
        <w:t xml:space="preserve"> detoxification enzymes exist in nature</w:t>
      </w:r>
      <w:r w:rsidR="00C36C6C" w:rsidRPr="00922712">
        <w:rPr>
          <w:rFonts w:ascii="Times New Roman" w:hAnsi="Times New Roman" w:cs="Times New Roman"/>
          <w:sz w:val="24"/>
          <w:szCs w:val="24"/>
        </w:rPr>
        <w:t xml:space="preserve"> </w:t>
      </w:r>
      <w:r w:rsidR="00C36C6C" w:rsidRPr="00922712">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{"citationID":"Sn6mpxgd","properties":{"formattedCitation":"(Tripathi, Bhatt, and Dietz 2009; Bengtsson-Palme et al. 2014; Ighodaro and Akinloye 2018)","plainCitation":"(Tripathi, Bhatt, and Dietz 2009; Bengtsson-Palme et al. 2014; Ighodaro and Akinloye 2018)","noteIndex":0},"citationItems":[{"id":3609,"uris":["http://zotero.org/users/6128296/items/8NDFYDVH"],"itemData":{"id":3609,"type":"article-journal","container-title":"Protoplasma","DOI":"10.1007/s00709-009-0032-0","ISSN":"0033-183X, 1615-6102","issue":"1-4","journalAbbreviation":"Protoplasma","language":"en","page":"3-15","source":"DOI.org (Crossref)","title":"Peroxiredoxins: a less studied component of hydrogen peroxide detoxification in photosynthetic organisms","title-short":"Peroxiredoxins","volume":"235","author":[{"family":"Tripathi","given":""},{"family":"Bhatt","given":"Indu"},{"family":"Dietz","given":"Karl-Josef"}],"issued":{"date-parts":[["2009",3]]}}},{"id":3064,"uris":["http://zotero.org/users/6128296/items/649JVMNG"],"itemData":{"id":3064,"type":"article-journal","abstract":"Background: Environmental shotgun sequencing (metagenomics) provides a new way to study communities in microbial ecology. We here use sequence data from the Global Ocean Sampling (GOS) expedition to investigate toxicant selection pressures revealed by the presence of detoxification genes in marine bacteria. To capture a broad range of potential toxicants we selected detoxification protein families representing systems protecting microorganisms from a variety of stressors, such as metals, organic compounds, antibiotics and oxygen radicals.\nResults: Using a bioinformatics procedure based on comparative analysis to finished bacterial genomes we found that the amount of detoxification genes present in marine microorganisms seems surprisingly small. The underrepresentation is particularly evident for toxicant transporters and proteins involved in detoxifying metals. Exceptions are enzymes involved in oxidative stress defense where peroxidase enzymes are more abundant in marine bacteria compared to bacteria in general. In contrast, catalases are almost completely absent from the open ocean environment, suggesting that peroxidases and peroxiredoxins constitute a core line of defense against reactive oxygen species (ROS) in the marine milieu.\nConclusions: We found no indication that detoxification systems would be generally more abundant close to the coast compared to the open ocean. On the contrary, for several of the protein families that displayed a significant geographical distribution, like peroxidase, penicillin binding transpeptidase and divalent ion transport protein, the open ocean samples showed the highest abundance. Along the same lines, the abundance of most detoxification proteins did not increase with estimated pollution. The low level of detoxification systems in marine bacteria indicate that the majority of marine bacteria have a low capacity to adapt to increased pollution. Our study exemplifies the use of metagenomics data in ecotoxicology, and in particular how anthropogenic consequences on life in the sea can be examined.","container-title":"BMC Genomics","DOI":"10.1186/1471-2164-15-749","ISSN":"1471-2164","issue":"1","journalAbbreviation":"BMC Genomics","language":"en","page":"749","source":"DOI.org (Crossref)","title":"Metagenomics reveals that detoxification systems are underrepresented in marine bacterial communities","volume":"15","author":[{"family":"Bengtsson-Palme","given":""},{"family":"Alm Rosenblad","given":"Magnus"},{"family":"Molin","given":"Mikael"},{"family":"Blomberg","given":"Anders"}],"issued":{"date-parts":[["2014"]]}}},{"id":6674,"uris":["http://zotero.org/users/6128296/items/2CU4WY5C"],"itemData":{"id":6674,"type":"article-journal","abstract":"The body encloses a complex antioxidant defence grid that relies on endogenous enzymatic and nonenzymatic antioxidants. These molecules collectively act against free radicals to resist their damaging effects to vital biomolecules and ultimately body tissues. Based on their response to general free radical invasion, they can be categorized into ﬁrst, second, third and even fourth line defense antioxidants. The role and effectiveness of the ﬁrst line defense antioxidants which basically include superoxide dismutase (SOD), catalase (CAT) and glutathione peroxidase (GPX) is important and indispensable in the entire defense strategy of antioxidants, especially in reference to super oxide anion radical (*O2) which is perpetually generated in normal body metabolism, particularly through the mitochondrial energy production pathway (MEPP). A lot has been published concerning antioxidants and their signiﬁcance in preventing oxidative stress and the attendant cellular damage, howbeit with paucity of awareness on the fundamental role of SOD, CAT and GPX. The present review tends to articulate important information on SOD, CAT and GPX as ﬁrst line defense antioxidant enzymes.","container-title":"Alexandria Journal of Medicine","DOI":"10.1016/j.ajme.2017.09.001","ISSN":"2090-5068, 2090-5076","issue":"4","journalAbbreviation":"Alexandria Journal of Medicine","language":"en","page":"287-293","source":"DOI.org (Crossref)","title":"First line defence antioxidants-superoxide dismutase (SOD), catalase (CAT) and glutathione peroxidase (GPX): Their fundamental role in the entire antioxidant defence grid","title-short":"First line defence antioxidants-superoxide dismutase (SOD), catalase (CAT) and glutathione peroxidase (GPX)","volume":"54","author":[{"family":"Ighodaro","given":""},{"family":"Akinloye","given":""}],"issued":{"date-parts":[["2018",12,1]]}}}],"schema":"https://github.com/citation-style-language/schema/raw/master/csl-citation.json"} </w:instrText>
      </w:r>
      <w:r w:rsidR="00C36C6C"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 xml:space="preserve">(Tripathi, Bhatt, and Dietz 2009; Bengtsson-Palme </w:t>
      </w:r>
      <w:r w:rsidR="00183222" w:rsidRPr="00183222">
        <w:rPr>
          <w:rFonts w:ascii="Times New Roman" w:hAnsi="Times New Roman" w:cs="Times New Roman"/>
          <w:i/>
          <w:iCs/>
          <w:sz w:val="24"/>
          <w:szCs w:val="24"/>
        </w:rPr>
        <w:t>et al</w:t>
      </w:r>
      <w:r w:rsidR="006C2922" w:rsidRPr="00922712">
        <w:rPr>
          <w:rFonts w:ascii="Times New Roman" w:hAnsi="Times New Roman" w:cs="Times New Roman"/>
          <w:sz w:val="24"/>
          <w:szCs w:val="24"/>
        </w:rPr>
        <w:t xml:space="preserve">. 2014; Ighodaro and </w:t>
      </w:r>
      <w:proofErr w:type="spellStart"/>
      <w:r w:rsidR="006C2922" w:rsidRPr="00922712">
        <w:rPr>
          <w:rFonts w:ascii="Times New Roman" w:hAnsi="Times New Roman" w:cs="Times New Roman"/>
          <w:sz w:val="24"/>
          <w:szCs w:val="24"/>
        </w:rPr>
        <w:t>Akinloye</w:t>
      </w:r>
      <w:proofErr w:type="spellEnd"/>
      <w:r w:rsidR="006C2922" w:rsidRPr="00922712">
        <w:rPr>
          <w:rFonts w:ascii="Times New Roman" w:hAnsi="Times New Roman" w:cs="Times New Roman"/>
          <w:sz w:val="24"/>
          <w:szCs w:val="24"/>
        </w:rPr>
        <w:t xml:space="preserve"> 2018)</w:t>
      </w:r>
      <w:r w:rsidR="00C36C6C" w:rsidRPr="00922712">
        <w:rPr>
          <w:rFonts w:ascii="Times New Roman" w:hAnsi="Times New Roman" w:cs="Times New Roman"/>
          <w:sz w:val="24"/>
          <w:szCs w:val="24"/>
        </w:rPr>
        <w:fldChar w:fldCharType="end"/>
      </w:r>
      <w:r w:rsidRPr="00922712">
        <w:rPr>
          <w:rFonts w:ascii="Times New Roman" w:hAnsi="Times New Roman" w:cs="Times New Roman"/>
          <w:sz w:val="24"/>
          <w:szCs w:val="24"/>
        </w:rPr>
        <w:t>. While peroxidases, specifically glutathione peroxidase</w:t>
      </w:r>
      <w:r w:rsidR="00AC17F4">
        <w:rPr>
          <w:rFonts w:ascii="Times New Roman" w:hAnsi="Times New Roman" w:cs="Times New Roman"/>
          <w:sz w:val="24"/>
          <w:szCs w:val="24"/>
        </w:rPr>
        <w:t>,</w:t>
      </w:r>
      <w:r w:rsidRPr="00922712">
        <w:rPr>
          <w:rFonts w:ascii="Times New Roman" w:hAnsi="Times New Roman" w:cs="Times New Roman"/>
          <w:sz w:val="24"/>
          <w:szCs w:val="24"/>
        </w:rPr>
        <w:t xml:space="preserve"> have been reported </w:t>
      </w:r>
      <w:r w:rsidR="00AC17F4">
        <w:rPr>
          <w:rFonts w:ascii="Times New Roman" w:hAnsi="Times New Roman" w:cs="Times New Roman"/>
          <w:sz w:val="24"/>
          <w:szCs w:val="24"/>
        </w:rPr>
        <w:t>to show</w:t>
      </w:r>
      <w:r w:rsidRPr="00922712">
        <w:rPr>
          <w:rFonts w:ascii="Times New Roman" w:hAnsi="Times New Roman" w:cs="Times New Roman"/>
          <w:sz w:val="24"/>
          <w:szCs w:val="24"/>
        </w:rPr>
        <w:t xml:space="preserve"> faster</w:t>
      </w:r>
      <w:r w:rsidR="00AC17F4">
        <w:rPr>
          <w:rFonts w:ascii="Times New Roman" w:hAnsi="Times New Roman" w:cs="Times New Roman"/>
          <w:sz w:val="24"/>
          <w:szCs w:val="24"/>
        </w:rPr>
        <w:t xml:space="preserve"> whole cell- </w:t>
      </w:r>
      <w:r w:rsidR="00AC17F4" w:rsidRPr="003609FB">
        <w:rPr>
          <w:rFonts w:ascii="Times New Roman" w:hAnsi="Times New Roman" w:cs="Times New Roman"/>
          <w:sz w:val="24"/>
          <w:szCs w:val="24"/>
        </w:rPr>
        <w:t>H</w:t>
      </w:r>
      <w:r w:rsidR="00AC17F4" w:rsidRPr="00351FC4">
        <w:rPr>
          <w:rFonts w:ascii="Times New Roman" w:hAnsi="Times New Roman" w:cs="Times New Roman"/>
          <w:sz w:val="24"/>
          <w:szCs w:val="24"/>
          <w:vertAlign w:val="subscript"/>
        </w:rPr>
        <w:t>2</w:t>
      </w:r>
      <w:r w:rsidR="00AC17F4" w:rsidRPr="003609FB">
        <w:rPr>
          <w:rFonts w:ascii="Times New Roman" w:hAnsi="Times New Roman" w:cs="Times New Roman"/>
          <w:sz w:val="24"/>
          <w:szCs w:val="24"/>
        </w:rPr>
        <w:t>O</w:t>
      </w:r>
      <w:r w:rsidR="00AC17F4" w:rsidRPr="00351FC4">
        <w:rPr>
          <w:rFonts w:ascii="Times New Roman" w:hAnsi="Times New Roman" w:cs="Times New Roman"/>
          <w:sz w:val="24"/>
          <w:szCs w:val="24"/>
          <w:vertAlign w:val="subscript"/>
        </w:rPr>
        <w:t>2</w:t>
      </w:r>
      <w:r w:rsidR="00AC17F4" w:rsidRPr="00922712">
        <w:rPr>
          <w:rFonts w:ascii="Times New Roman" w:hAnsi="Times New Roman" w:cs="Times New Roman"/>
          <w:sz w:val="24"/>
          <w:szCs w:val="24"/>
        </w:rPr>
        <w:t xml:space="preserve"> detoxification</w:t>
      </w:r>
      <w:r w:rsidRPr="00922712">
        <w:rPr>
          <w:rFonts w:ascii="Times New Roman" w:hAnsi="Times New Roman" w:cs="Times New Roman"/>
          <w:sz w:val="24"/>
          <w:szCs w:val="24"/>
        </w:rPr>
        <w:t xml:space="preserve"> rates than </w:t>
      </w:r>
      <w:r w:rsidR="00AC17F4">
        <w:rPr>
          <w:rFonts w:ascii="Times New Roman" w:hAnsi="Times New Roman" w:cs="Times New Roman"/>
          <w:sz w:val="24"/>
          <w:szCs w:val="24"/>
        </w:rPr>
        <w:t xml:space="preserve">isolated </w:t>
      </w:r>
      <w:r w:rsidRPr="00922712">
        <w:rPr>
          <w:rFonts w:ascii="Times New Roman" w:hAnsi="Times New Roman" w:cs="Times New Roman"/>
          <w:sz w:val="24"/>
          <w:szCs w:val="24"/>
        </w:rPr>
        <w:t>catalase</w:t>
      </w:r>
      <w:r w:rsidR="008041DE">
        <w:rPr>
          <w:rFonts w:ascii="Times New Roman" w:hAnsi="Times New Roman" w:cs="Times New Roman"/>
          <w:sz w:val="24"/>
          <w:szCs w:val="24"/>
        </w:rPr>
        <w:t xml:space="preserve"> rates,</w:t>
      </w:r>
      <w:r w:rsidRPr="00922712">
        <w:rPr>
          <w:rFonts w:ascii="Times New Roman" w:hAnsi="Times New Roman" w:cs="Times New Roman"/>
          <w:sz w:val="24"/>
          <w:szCs w:val="24"/>
        </w:rPr>
        <w:t xml:space="preserve"> it is generally accepted that catalase is the most efficient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922712">
        <w:rPr>
          <w:rFonts w:ascii="Times New Roman" w:hAnsi="Times New Roman" w:cs="Times New Roman"/>
          <w:sz w:val="24"/>
          <w:szCs w:val="24"/>
        </w:rPr>
        <w:t xml:space="preserve"> detoxification enzyme available to aerobic organisms</w:t>
      </w:r>
      <w:r w:rsidR="00BF37F3" w:rsidRPr="00922712">
        <w:rPr>
          <w:rFonts w:ascii="Times New Roman" w:hAnsi="Times New Roman" w:cs="Times New Roman"/>
          <w:sz w:val="24"/>
          <w:szCs w:val="24"/>
        </w:rPr>
        <w:t xml:space="preserve"> </w:t>
      </w:r>
      <w:r w:rsidR="00BF37F3" w:rsidRPr="00922712">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{"citationID":"rirwucMh","properties":{"formattedCitation":"(Nicholls 2012; Ohno and Gallin 1985)","plainCitation":"(Nicholls 2012; Ohno and Gallin 1985)","noteIndex":0},"citationItems":[{"id":2239,"uris":["http://zotero.org/users/6128296/items/PQLLPNCK"],"itemData":{"id":2239,"type":"article-journal","abstract":"This review describes the historical difﬁculties in devising a kinetically satisfactory mechanism for the classical catalase after its identiﬁcation as a unique catalytic entity in 1902 and prior to the breakthrough 1947 analysis by Chance and co-workers which led to the identiﬁcation of peroxide compounds I and II. The role of protons in the formation of these two ferryl complexes is discussed and current problems of inhibitory ligand and hydrogen donor binding at the active site are outlined, especially the multiple roles involving formate or formic acid. A previous mechanism of NADPH-dependent catalase protection against substrate inhibition is defended. A revised model linking the catalytic (‘catalatic’) action and the oneelectron side reactions involving compound II is suggested. And it is concluded that, contrary to an idea proposed in 1963 that eukaryotic catalase might be a ‘fossil enzyme’, current thinking gives it a central role in the redox protective processes of long term importance for human and other eukaryotic and prokaryotic life.","container-title":"Archives of Biochemistry and Biophysics","DOI":"10.1016/j.abb.2012.01.015","ISSN":"00039861","issue":"2","journalAbbreviation":"Archives of Biochemistry and Biophysics","language":"en","page":"95-101","source":"DOI.org (Crossref)","title":"Classical catalase: Ancient and modern","title-short":"Classical catalase","volume":"525","author":[{"family":"Nicholls","given":""}],"issued":{"date-parts":[["2012",9]]}}},{"id":4051,"uris":["http://zotero.org/users/6128296/items/TY52KWLW"],"itemData":{"id":4051,"type":"article-journal","abstract":"It is well known that catalaseis transformed tonitric oxide-Fez*-catalaseby hydrogen peroxide (Hz02)plus azide. In this report,we show that myeloperoxidase is also inactivated by HzOzplus azide. Utilizing this system, we studied the presenceand source of intracellular Hz02 generated by activated neutrophils. Stimulation of neutrophilswith phorbol myristateacetate (PMA,100 ng/ml) plus azide (5 mM) for 30 min completely inactivated intragranular myeloperoxidaseand reduced cytosolic catalase to35% of resting cells. This intracellular inactivationof heme enzymes did not occur in normal neutrophils incubated with either PMA or azide alone or in neutrophils from patients with chronicgranulomatous disease (CDG) which cannot produce HzOzin response to PMA.Incubation of neutrophils with azide and a Ha02 generating system (glucose-glucose oxidase) inactivated 41% of neutrophil myeloperoxidase. Glutathione-glutathione peroxidase (GSH-GSH peroxidase), an extracellular H2O2 scavenger,totallyprotectedneutrophil myeloperoxidase from inactivation by azide plus glucose-glucose oxidase. In addition, when a mixture of normal andCGD cells was stimulated with PMA in thepresence of azide, 90% of the myeloperoxidase in CGD neutrophils was inactivated. Therefore, H2O2 released extracellularly from activated neutrophils can diffuse into cells. In contrast, myeloperoxidase in normal polymorphonuclear leukocytes stimulated withPMA in thepresence of azide and GSH-GSH peroxidase was 75% inactivated. Thus, the results indicate that a GSH-GSH peroxidase-insensitive pool of H202is also generated, presumably at theplasma membrane, and thispool of HaOz can undergo direct internal diffusion to inactivatemyeloperoxidase.","container-title":"Journal of Biological Chemistry","DOI":"10.1016/S0021-9258(17)39493-0","ISSN":"00219258","issue":"14","journalAbbreviation":"Journal of Biological Chemistry","language":"en","page":"8438-8446","source":"DOI.org (Crossref)","title":"Diffusion of extracellular hydrogen peroxide into intracellular compartments of human neutrophils. Studies utilizing the inactivation of myeloperoxidase by hydrogen peroxide and azide.","volume":"260","author":[{"family":"Ohno","given":""},{"family":"Gallin","given":"J I"}],"issued":{"date-parts":[["1985",7]]}}}],"schema":"https://github.com/citation-style-language/schema/raw/master/csl-citation.json"} </w:instrText>
      </w:r>
      <w:r w:rsidR="00BF37F3"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(Nicholls 2012; Ohno and Gallin 1985)</w:t>
      </w:r>
      <w:r w:rsidR="00BF37F3" w:rsidRPr="00922712">
        <w:rPr>
          <w:rFonts w:ascii="Times New Roman" w:hAnsi="Times New Roman" w:cs="Times New Roman"/>
          <w:sz w:val="24"/>
          <w:szCs w:val="24"/>
        </w:rPr>
        <w:fldChar w:fldCharType="end"/>
      </w:r>
      <w:r w:rsidR="00BF37F3" w:rsidRPr="00922712">
        <w:rPr>
          <w:rFonts w:ascii="Times New Roman" w:hAnsi="Times New Roman" w:cs="Times New Roman"/>
          <w:sz w:val="24"/>
          <w:szCs w:val="24"/>
        </w:rPr>
        <w:t>.</w:t>
      </w:r>
      <w:r w:rsidRPr="00922712">
        <w:rPr>
          <w:rFonts w:ascii="Times New Roman" w:hAnsi="Times New Roman" w:cs="Times New Roman"/>
          <w:sz w:val="24"/>
          <w:szCs w:val="24"/>
        </w:rPr>
        <w:t xml:space="preserve"> This, along with the genetic closeness of </w:t>
      </w:r>
      <w:r w:rsidR="00691B65" w:rsidRPr="00922712">
        <w:rPr>
          <w:rFonts w:ascii="Times New Roman" w:hAnsi="Times New Roman" w:cs="Times New Roman"/>
          <w:i/>
          <w:iCs/>
          <w:sz w:val="24"/>
          <w:szCs w:val="24"/>
        </w:rPr>
        <w:t>Prochlorococcus</w:t>
      </w:r>
      <w:r w:rsidR="00691B65" w:rsidRPr="00922712">
        <w:rPr>
          <w:rFonts w:ascii="Times New Roman" w:hAnsi="Times New Roman" w:cs="Times New Roman"/>
          <w:sz w:val="24"/>
          <w:szCs w:val="24"/>
        </w:rPr>
        <w:t xml:space="preserve"> </w:t>
      </w:r>
      <w:r w:rsidRPr="00922712">
        <w:rPr>
          <w:rFonts w:ascii="Times New Roman" w:hAnsi="Times New Roman" w:cs="Times New Roman"/>
          <w:sz w:val="24"/>
          <w:szCs w:val="24"/>
        </w:rPr>
        <w:t xml:space="preserve"> and </w:t>
      </w:r>
      <w:proofErr w:type="spellStart"/>
      <w:r w:rsidR="00691B65" w:rsidRPr="00922712">
        <w:rPr>
          <w:rFonts w:ascii="Times New Roman" w:hAnsi="Times New Roman" w:cs="Times New Roman"/>
          <w:i/>
          <w:iCs/>
          <w:sz w:val="24"/>
          <w:szCs w:val="24"/>
        </w:rPr>
        <w:t>Synechococcus</w:t>
      </w:r>
      <w:proofErr w:type="spellEnd"/>
      <w:r w:rsidRPr="00922712">
        <w:rPr>
          <w:rFonts w:ascii="Times New Roman" w:hAnsi="Times New Roman" w:cs="Times New Roman"/>
          <w:sz w:val="24"/>
          <w:szCs w:val="24"/>
        </w:rPr>
        <w:t xml:space="preserve"> and stark differential peroxid</w:t>
      </w:r>
      <w:r w:rsidR="00021D58">
        <w:rPr>
          <w:rFonts w:ascii="Times New Roman" w:hAnsi="Times New Roman" w:cs="Times New Roman"/>
          <w:sz w:val="24"/>
          <w:szCs w:val="24"/>
        </w:rPr>
        <w:t xml:space="preserve">e </w:t>
      </w:r>
      <w:r w:rsidRPr="00922712">
        <w:rPr>
          <w:rFonts w:ascii="Times New Roman" w:hAnsi="Times New Roman" w:cs="Times New Roman"/>
          <w:sz w:val="24"/>
          <w:szCs w:val="24"/>
        </w:rPr>
        <w:t xml:space="preserve">susceptibility </w:t>
      </w:r>
      <w:r w:rsidR="009C2624" w:rsidRPr="00922712">
        <w:rPr>
          <w:rFonts w:ascii="Times New Roman" w:hAnsi="Times New Roman" w:cs="Times New Roman"/>
          <w:sz w:val="24"/>
          <w:szCs w:val="24"/>
        </w:rPr>
        <w:fldChar w:fldCharType="begin"/>
      </w:r>
      <w:r w:rsidR="004A122C" w:rsidRPr="00922712">
        <w:rPr>
          <w:rFonts w:ascii="Times New Roman" w:hAnsi="Times New Roman" w:cs="Times New Roman"/>
          <w:sz w:val="24"/>
          <w:szCs w:val="24"/>
        </w:rPr>
        <w:instrText xml:space="preserve"> ADDIN ZOTERO_ITEM CSL_CITATION {"citationID":"SMMbrQyt","properties":{"formattedCitation":"(Morris 2011)","plainCitation":"(Morris 2011)","noteIndex":0},"citationItems":[{"id":3438,"uris":["http://zotero.org/users/6128296/items/QHAPA57S"],"itemData":{"id":3438,"type":"thesis","language":"en","publisher":"University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9C2624"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(Morris 2011)</w:t>
      </w:r>
      <w:r w:rsidR="009C2624" w:rsidRPr="00922712">
        <w:rPr>
          <w:rFonts w:ascii="Times New Roman" w:hAnsi="Times New Roman" w:cs="Times New Roman"/>
          <w:sz w:val="24"/>
          <w:szCs w:val="24"/>
        </w:rPr>
        <w:fldChar w:fldCharType="end"/>
      </w:r>
      <w:r w:rsidR="009C2624" w:rsidRPr="00922712">
        <w:rPr>
          <w:rFonts w:ascii="Times New Roman" w:hAnsi="Times New Roman" w:cs="Times New Roman"/>
          <w:sz w:val="24"/>
          <w:szCs w:val="24"/>
        </w:rPr>
        <w:t xml:space="preserve"> </w:t>
      </w:r>
      <w:r w:rsidRPr="00922712">
        <w:rPr>
          <w:rFonts w:ascii="Times New Roman" w:hAnsi="Times New Roman" w:cs="Times New Roman"/>
          <w:sz w:val="24"/>
          <w:szCs w:val="24"/>
        </w:rPr>
        <w:t xml:space="preserve">led to catalase being the focus of this first presentation of our model. However with catalase and peroxidase showing different tolerances to temperature stress </w:t>
      </w:r>
      <w:r w:rsidR="009C2624" w:rsidRPr="00922712">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{"citationID":"BVYFQBjB","properties":{"formattedCitation":"(Omran 1980)","plainCitation":"(Omran 1980)","noteIndex":0},"citationItems":[{"id":2238,"uris":["http://zotero.org/users/6128296/items/FU2CEBXC"],"itemData":{"id":2238,"type":"article-journal","abstract":"T4me activities of catalase, peroxidase, indoleacetic acid (IAA) oxidase and peroxide levels in cucumber plants during and after chilling were determined. During 96 ours at 5 C and 85% relative humidity, catalase activity declned, IAA oxidase activity increased, and peroxide concentrations increased. Peroxidase activity was not affected by chilling. When chilled plants were returned to 25 C to recover, enzyme activities and peroxide concentration were restored to their prechil ing levels. The increase in peroxide and IAA oxidase activity may inactivate or destroy IAA and thus retard growth.","container-title":"Plant Physiology","DOI":"10.1104/pp.65.2.407","ISSN":"0032-0889, 1532-2548","issue":"2","journalAbbreviation":"Plant Physiol.","language":"en","page":"407-408","source":"DOI.org (Crossref)","title":"Peroxide Levels and the Activities of Catalase, Peroxidase, and Indoleacetic Acid Oxidase during and after Chilling Cucumber Seedlings","volume":"65","author":[{"family":"Omran","given":""}],"issued":{"date-parts":[["1980",2,1]]}}}],"schema":"https://github.com/citation-style-language/schema/raw/master/csl-citation.json"} </w:instrText>
      </w:r>
      <w:r w:rsidR="009C2624"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(Omran 1980)</w:t>
      </w:r>
      <w:r w:rsidR="009C2624" w:rsidRPr="00922712">
        <w:rPr>
          <w:rFonts w:ascii="Times New Roman" w:hAnsi="Times New Roman" w:cs="Times New Roman"/>
          <w:sz w:val="24"/>
          <w:szCs w:val="24"/>
        </w:rPr>
        <w:fldChar w:fldCharType="end"/>
      </w:r>
      <w:r w:rsidR="009C2624" w:rsidRPr="00922712">
        <w:rPr>
          <w:rFonts w:ascii="Times New Roman" w:hAnsi="Times New Roman" w:cs="Times New Roman"/>
          <w:sz w:val="24"/>
          <w:szCs w:val="24"/>
        </w:rPr>
        <w:t>,</w:t>
      </w:r>
      <w:r w:rsidR="00DC5645" w:rsidRPr="00922712">
        <w:rPr>
          <w:rFonts w:ascii="Times New Roman" w:hAnsi="Times New Roman" w:cs="Times New Roman"/>
          <w:sz w:val="24"/>
          <w:szCs w:val="24"/>
        </w:rPr>
        <w:t xml:space="preserve"> </w:t>
      </w:r>
      <w:r w:rsidRPr="00922712">
        <w:rPr>
          <w:rFonts w:ascii="Times New Roman" w:hAnsi="Times New Roman" w:cs="Times New Roman"/>
          <w:sz w:val="24"/>
          <w:szCs w:val="24"/>
        </w:rPr>
        <w:t>differentiation between primary</w:t>
      </w:r>
      <w:r w:rsidR="00D85A0E" w:rsidRPr="00922712">
        <w:rPr>
          <w:rFonts w:ascii="Times New Roman" w:hAnsi="Times New Roman" w:cs="Times New Roman"/>
          <w:sz w:val="24"/>
          <w:szCs w:val="24"/>
        </w:rPr>
        <w:t>,</w:t>
      </w:r>
      <w:r w:rsidRPr="00922712">
        <w:rPr>
          <w:rFonts w:ascii="Times New Roman" w:hAnsi="Times New Roman" w:cs="Times New Roman"/>
          <w:sz w:val="24"/>
          <w:szCs w:val="24"/>
        </w:rPr>
        <w:t xml:space="preserve"> secondary</w:t>
      </w:r>
      <w:r w:rsidR="00D85A0E" w:rsidRPr="00922712">
        <w:rPr>
          <w:rFonts w:ascii="Times New Roman" w:hAnsi="Times New Roman" w:cs="Times New Roman"/>
          <w:sz w:val="24"/>
          <w:szCs w:val="24"/>
        </w:rPr>
        <w:t>, and</w:t>
      </w:r>
      <w:r w:rsidRPr="00922712">
        <w:rPr>
          <w:rFonts w:ascii="Times New Roman" w:hAnsi="Times New Roman" w:cs="Times New Roman"/>
          <w:sz w:val="24"/>
          <w:szCs w:val="24"/>
        </w:rPr>
        <w:t xml:space="preserve"> tertiary detoxification mechanisms </w:t>
      </w:r>
      <w:r w:rsidR="00DC5645" w:rsidRPr="00922712">
        <w:rPr>
          <w:rFonts w:ascii="Times New Roman" w:hAnsi="Times New Roman" w:cs="Times New Roman"/>
          <w:sz w:val="24"/>
          <w:szCs w:val="24"/>
        </w:rPr>
        <w:fldChar w:fldCharType="begin"/>
      </w:r>
      <w:r w:rsidR="00535223">
        <w:rPr>
          <w:rFonts w:ascii="Times New Roman" w:hAnsi="Times New Roman" w:cs="Times New Roman"/>
          <w:sz w:val="24"/>
          <w:szCs w:val="24"/>
        </w:rPr>
        <w:instrText xml:space="preserve"> ADDIN ZOTERO_ITEM CSL_CITATION {"citationID":"Y0tBYCFx","properties":{"formattedCitation":"(Ighodaro and Akinloye 2018)","plainCitation":"(Ighodaro and Akinloye 2018)","noteIndex":0},"citationItems":[{"id":6674,"uris":["http://zotero.org/users/6128296/items/2CU4WY5C"],"itemData":{"id":6674,"type":"article-journal","abstract":"The body encloses a complex antioxidant defence grid that relies on endogenous enzymatic and nonenzymatic antioxidants. These molecules collectively act against free radicals to resist their damaging effects to vital biomolecules and ultimately body tissues. Based on their response to general free radical invasion, they can be categorized into ﬁrst, second, third and even fourth line defense antioxidants. The role and effectiveness of the ﬁrst line defense antioxidants which basically include superoxide dismutase (SOD), catalase (CAT) and glutathione peroxidase (GPX) is important and indispensable in the entire defense strategy of antioxidants, especially in reference to super oxide anion radical (*O2) which is perpetually generated in normal body metabolism, particularly through the mitochondrial energy production pathway (MEPP). A lot has been published concerning antioxidants and their signiﬁcance in preventing oxidative stress and the attendant cellular damage, howbeit with paucity of awareness on the fundamental role of SOD, CAT and GPX. The present review tends to articulate important information on SOD, CAT and GPX as ﬁrst line defense antioxidant enzymes.","container-title":"Alexandria Journal of Medicine","DOI":"10.1016/j.ajme.2017.09.001","ISSN":"2090-5068, 2090-5076","issue":"4","journalAbbreviation":"Alexandria Journal of Medicine","language":"en","page":"287-293","source":"DOI.org (Crossref)","title":"First line defence antioxidants-superoxide dismutase (SOD), catalase (CAT) and glutathione peroxidase (GPX): Their fundamental role in the entire antioxidant defence grid","title-short":"First line defence antioxidants-superoxide dismutase (SOD), catalase (CAT) and glutathione peroxidase (GPX)","volume":"54","author":[{"family":"Ighodaro","given":""},{"family":"Akinloye","given":""}],"issued":{"date-parts":[["2018",12,1]]}}}],"schema":"https://github.com/citation-style-language/schema/raw/master/csl-citation.json"} </w:instrText>
      </w:r>
      <w:r w:rsidR="00DC5645" w:rsidRPr="00922712">
        <w:rPr>
          <w:rFonts w:ascii="Times New Roman" w:hAnsi="Times New Roman" w:cs="Times New Roman"/>
          <w:sz w:val="24"/>
          <w:szCs w:val="24"/>
        </w:rPr>
        <w:fldChar w:fldCharType="separate"/>
      </w:r>
      <w:r w:rsidR="006C2922" w:rsidRPr="00922712">
        <w:rPr>
          <w:rFonts w:ascii="Times New Roman" w:hAnsi="Times New Roman" w:cs="Times New Roman"/>
          <w:sz w:val="24"/>
          <w:szCs w:val="24"/>
        </w:rPr>
        <w:t xml:space="preserve">(Ighodaro and </w:t>
      </w:r>
      <w:proofErr w:type="spellStart"/>
      <w:r w:rsidR="006C2922" w:rsidRPr="00922712">
        <w:rPr>
          <w:rFonts w:ascii="Times New Roman" w:hAnsi="Times New Roman" w:cs="Times New Roman"/>
          <w:sz w:val="24"/>
          <w:szCs w:val="24"/>
        </w:rPr>
        <w:t>Akinloye</w:t>
      </w:r>
      <w:proofErr w:type="spellEnd"/>
      <w:r w:rsidR="006C2922" w:rsidRPr="00922712">
        <w:rPr>
          <w:rFonts w:ascii="Times New Roman" w:hAnsi="Times New Roman" w:cs="Times New Roman"/>
          <w:sz w:val="24"/>
          <w:szCs w:val="24"/>
        </w:rPr>
        <w:t xml:space="preserve"> 2018)</w:t>
      </w:r>
      <w:r w:rsidR="00DC5645" w:rsidRPr="00922712">
        <w:rPr>
          <w:rFonts w:ascii="Times New Roman" w:hAnsi="Times New Roman" w:cs="Times New Roman"/>
          <w:sz w:val="24"/>
          <w:szCs w:val="24"/>
        </w:rPr>
        <w:fldChar w:fldCharType="end"/>
      </w:r>
      <w:r w:rsidRPr="00922712">
        <w:rPr>
          <w:rFonts w:ascii="Times New Roman" w:hAnsi="Times New Roman" w:cs="Times New Roman"/>
          <w:sz w:val="24"/>
          <w:szCs w:val="24"/>
        </w:rPr>
        <w:t xml:space="preserve"> may be important for </w:t>
      </w:r>
      <w:r w:rsidR="00021D58">
        <w:rPr>
          <w:rFonts w:ascii="Times New Roman" w:hAnsi="Times New Roman" w:cs="Times New Roman"/>
          <w:sz w:val="24"/>
          <w:szCs w:val="24"/>
        </w:rPr>
        <w:t xml:space="preserve">modeling </w:t>
      </w:r>
      <w:r w:rsidRPr="00922712">
        <w:rPr>
          <w:rFonts w:ascii="Times New Roman" w:hAnsi="Times New Roman" w:cs="Times New Roman"/>
          <w:sz w:val="24"/>
          <w:szCs w:val="24"/>
        </w:rPr>
        <w:t>future ocean microbes</w:t>
      </w:r>
      <w:r w:rsidR="00DC5645" w:rsidRPr="00922712">
        <w:rPr>
          <w:rFonts w:ascii="Times New Roman" w:hAnsi="Times New Roman" w:cs="Times New Roman"/>
          <w:sz w:val="24"/>
          <w:szCs w:val="24"/>
        </w:rPr>
        <w:t xml:space="preserve"> </w:t>
      </w:r>
      <w:r w:rsidR="00DC5645" w:rsidRPr="00922712">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{"citationID":"R9SY0tva","properties":{"formattedCitation":"(Ma 2015)","plainCitation":"(Ma 2015)","noteIndex":0},"citationItems":[{"id":3373,"uris":["http://zotero.org/users/6128296/items/R5I9UQKW"],"itemData":{"id":3373,"type":"thesis","abstract":"Cyanobacteria of the genus Prochlorococcus are the smallest and most abundant phytoplankters in the ocean. Temperature is a major influence on Prochlorococcus abundance and distribution in the ocean, but the physiological basis for this relationship is not well understood. In other microbes, lipid and fatty acid composition have been shown to be influenced by temperature, and temperature has also been proposed as a relevant factor for setting the elemental allocation in marine phytoplankton. In this study, we found that percentage of fatty acids unsaturation was negatively related with temperature in some Prochlorococcus strains, but this was not universal. Temperature had a significant linear positive effect on nitrogen and carbon cell quotas across all strains. As temperature increased 10 ̊C, nitrogen and carbon quotas rose by 40.0% and 34.6%, respectively. Individual strains displayed negative relationships between growth rate and phosphorus quota. Studies in other photosynthetic organisms suggested that HOOH and temperature extremes act together as stressors. Importantly, it also has been shown that Prochlorococcus is highly susceptible to hydrogen peroxide (HOOH) and co-occurring heterotrophs such as Alteromonas sp. facilitate the growth of Prochlorococcus at the ocean surface by scavenging HOOH. To address the potential synergistic effects of temperature and HOOH on Prochlorococcus, we monitored the growth of environmental-relevant concentrations of cold-adapted (MED4) and warm-adapted (MIT9312) Prochlorococcus strains with different initial concentrations of HOOH under a range of temperatures. While not impacting the temperature optima for growth, higher concentrations of HOOH severely diminished the permissive temperature range for growth of both Prochlorococcus strains. At the permissive temperatures, the growth rates of both Prochlorococcus strains decreased as a function of HOOH, and temperature extremes increased susceptibility of photosystem II to HOOHmediated damage. While these effects were manifest in both strains, they were more pronounced in the warm-adapted strain. Heterotrophic bacteria, serving as a proxy for the natural community, increased the Prochlorococcus growth rate under these temperatures and increased the growth temperature range (MED4), and this was attributed in part to their ability to remove HOOH from the medium.","language":"en","publisher":"University of Tennessee","source":"Zotero","title":"Physiological characterization of Prochlorococcus under abiotic stressors temperature and hydrogen peroxide","author":[{"family":"Ma","given":""}],"issued":{"date-parts":[["2015",12]]}}}],"schema":"https://github.com/citation-style-language/schema/raw/master/csl-citation.json"} </w:instrText>
      </w:r>
      <w:r w:rsidR="00DC5645" w:rsidRPr="00922712">
        <w:rPr>
          <w:rFonts w:ascii="Times New Roman" w:hAnsi="Times New Roman" w:cs="Times New Roman"/>
          <w:sz w:val="24"/>
          <w:szCs w:val="24"/>
        </w:rPr>
        <w:fldChar w:fldCharType="separate"/>
      </w:r>
      <w:r w:rsidR="009D7443">
        <w:rPr>
          <w:rFonts w:ascii="Times New Roman" w:hAnsi="Times New Roman" w:cs="Times New Roman"/>
          <w:sz w:val="24"/>
          <w:szCs w:val="24"/>
        </w:rPr>
        <w:t>(Ma 2015)</w:t>
      </w:r>
      <w:r w:rsidR="00DC5645" w:rsidRPr="00922712">
        <w:rPr>
          <w:rFonts w:ascii="Times New Roman" w:hAnsi="Times New Roman" w:cs="Times New Roman"/>
          <w:sz w:val="24"/>
          <w:szCs w:val="24"/>
        </w:rPr>
        <w:fldChar w:fldCharType="end"/>
      </w:r>
      <w:r w:rsidRPr="00922712">
        <w:rPr>
          <w:rFonts w:ascii="Times New Roman" w:hAnsi="Times New Roman" w:cs="Times New Roman"/>
          <w:sz w:val="24"/>
          <w:szCs w:val="24"/>
        </w:rPr>
        <w:t xml:space="preserve">. Further training of our model with data from a wider set of taxonomic groups and relevant detoxification genes would expand the ecological relevance of our modeling </w:t>
      </w:r>
      <w:r w:rsidR="00021D58">
        <w:rPr>
          <w:rFonts w:ascii="Times New Roman" w:hAnsi="Times New Roman" w:cs="Times New Roman"/>
          <w:sz w:val="24"/>
          <w:szCs w:val="24"/>
        </w:rPr>
        <w:t>framework</w:t>
      </w:r>
      <w:r w:rsidRPr="00922712">
        <w:rPr>
          <w:rFonts w:ascii="Times New Roman" w:hAnsi="Times New Roman" w:cs="Times New Roman"/>
          <w:sz w:val="24"/>
          <w:szCs w:val="24"/>
        </w:rPr>
        <w:t>.</w:t>
      </w:r>
      <w:r w:rsidRPr="00CE7353">
        <w:rPr>
          <w:rFonts w:ascii="Times New Roman" w:hAnsi="Times New Roman" w:cs="Times New Roman"/>
          <w:sz w:val="24"/>
          <w:szCs w:val="24"/>
        </w:rPr>
        <w:t xml:space="preserve"> </w:t>
      </w:r>
    </w:p>
    <w:p w14:paraId="32337424" w14:textId="12595D55" w:rsidR="00DC50BD" w:rsidRPr="003609FB" w:rsidRDefault="005E185F" w:rsidP="00AB2160">
      <w:pPr>
        <w:spacing w:line="360" w:lineRule="auto"/>
        <w:ind w:firstLine="720"/>
        <w:rPr>
          <w:rFonts w:ascii="Times New Roman" w:hAnsi="Times New Roman" w:cs="Times New Roman"/>
          <w:sz w:val="24"/>
          <w:szCs w:val="24"/>
        </w:rPr>
      </w:pPr>
      <w:r w:rsidRPr="00CE7353">
        <w:rPr>
          <w:rFonts w:ascii="Times New Roman" w:hAnsi="Times New Roman" w:cs="Times New Roman"/>
          <w:sz w:val="24"/>
          <w:szCs w:val="24"/>
        </w:rPr>
        <w:t xml:space="preserve">The batch culture conditions used for our laboratory cultures are not reflective of the nutrient limiting conditions prevalent in the oligotrophic systems where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CE7353">
        <w:rPr>
          <w:rFonts w:ascii="Times New Roman" w:hAnsi="Times New Roman" w:cs="Times New Roman"/>
          <w:sz w:val="24"/>
          <w:szCs w:val="24"/>
        </w:rPr>
        <w:t xml:space="preserve">thrives. However, it is difficult to lower nitrogen enough to assess relevant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CE7353">
        <w:rPr>
          <w:rFonts w:ascii="Times New Roman" w:hAnsi="Times New Roman" w:cs="Times New Roman"/>
          <w:sz w:val="24"/>
          <w:szCs w:val="24"/>
        </w:rPr>
        <w:t xml:space="preserve">low nitrogen conditions </w:t>
      </w:r>
      <w:r w:rsidR="00DC5645" w:rsidRPr="00CE7353">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{"citationID":"9LoKx99C","properties":{"formattedCitation":"(Masuda et al. 2023; Calfee 2021)","plainCitation":"(Masuda et al. 2023; Calfee 2021)","noteIndex":0},"citationItems":[{"id":3707,"uris":["http://zotero.org/users/6128296/items/LYVJQAKR"],"itemData":{"id":3707,"type":"article-journal","abstract":"Prochlorococcus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Ying"}],"issued":{"date-parts":[["2023",8,17]]}}},{"id":3125,"uris":["http://zotero.org/users/6128296/items/4VSH9QLP"],"itemData":{"id":3125,"type":"thesis","abstract":"Prochlorococcus is a genus of extremely successful marine cyanobacteria. This success is realized through its pervasive biogeographical range and presence in almost all open ocean environments where it usually it the dominant phytoplankton. Limited capabilities of culturing and genetic manipulation of this organism have resulted in assumptions about this success overwhelmingly based on field observations. These studies have assumed adaptations for resource uptake and utilization in nutrient limited environments to cause dominance of Prochlorococcus over other photosynthetic microbes. In an attempt to definitively explain this through laboratory culture, we developed a culturing system to assay questions of nutrient limitation effects upon Prochlorococcus and its competitive ability based on nitrogen limited populations within the North Pacific Subtropical Gyre. We determined that competition for nitrogen did explain the population dynamics of Prochlorococcus and another cyanobacterium, Synechococcus, and were able to recreate their observed abundances in nitrogen limited laboratory culture. Interestingly this outcome could only be achieved through the inclusion of a heterotrophic bacterium, which facilitated the success of Prochlorococcus through complex crossfeeding interactions. In an effort to further explore the important microbial interactions influencing this dominant cyanobacterium, we developed an additional culturing system to determine if rival phytoplankton (Synechococcus and picoeukaryotes), with whom Prochlorococcus competes for nutrients, could protect Prochlorococcus from oxidative stress from hydrogen peroxide. These rivals successfully protected Prochlorococcus from mortality when cocultured at ecologically relevant abundances. Lastly we determined the affect of seasonal change on Prochlorococcus ecotypes and potential relationships between high-light and low-light adapted ecotypes and between ecotypes and abundant microbial phyla that varied seasonally. Herein we speculate on the overall importance of microbial interactions based on nutrient transformation and environmental conditioning to the ecology and biogeography of Prochlorococcus.","language":"en","publisher":"University of Tennessee","source":"Zotero","title":"Determining the Ecological and Physiological Factors Contributing to the Competitive Success of Prochlorococcus in the Oligotrophic Ocean","author":[{"family":"Calfee","given":""}],"issued":{"date-parts":[["2021",12]]}}}],"schema":"https://github.com/citation-style-language/schema/raw/master/csl-citation.json"} </w:instrText>
      </w:r>
      <w:r w:rsidR="00DC5645" w:rsidRPr="00CE7353">
        <w:rPr>
          <w:rFonts w:ascii="Times New Roman" w:hAnsi="Times New Roman" w:cs="Times New Roman"/>
          <w:sz w:val="24"/>
          <w:szCs w:val="24"/>
        </w:rPr>
        <w:fldChar w:fldCharType="separate"/>
      </w:r>
      <w:r w:rsidR="00535223">
        <w:rPr>
          <w:rFonts w:ascii="Times New Roman" w:hAnsi="Times New Roman" w:cs="Times New Roman"/>
          <w:sz w:val="24"/>
        </w:rPr>
        <w:t xml:space="preserve">(Masuda </w:t>
      </w:r>
      <w:r w:rsidR="00183222" w:rsidRPr="00183222">
        <w:rPr>
          <w:rFonts w:ascii="Times New Roman" w:hAnsi="Times New Roman" w:cs="Times New Roman"/>
          <w:i/>
          <w:iCs/>
          <w:sz w:val="24"/>
          <w:szCs w:val="24"/>
        </w:rPr>
        <w:t>et al</w:t>
      </w:r>
      <w:r w:rsidR="00535223">
        <w:rPr>
          <w:rFonts w:ascii="Times New Roman" w:hAnsi="Times New Roman" w:cs="Times New Roman"/>
          <w:sz w:val="24"/>
        </w:rPr>
        <w:t>. 2023; Calfee 2021)</w:t>
      </w:r>
      <w:r w:rsidR="00DC5645" w:rsidRPr="00CE7353">
        <w:rPr>
          <w:rFonts w:ascii="Times New Roman" w:hAnsi="Times New Roman" w:cs="Times New Roman"/>
          <w:sz w:val="24"/>
          <w:szCs w:val="24"/>
        </w:rPr>
        <w:fldChar w:fldCharType="end"/>
      </w:r>
      <w:r w:rsidRPr="00CE7353">
        <w:rPr>
          <w:rFonts w:ascii="Times New Roman" w:hAnsi="Times New Roman" w:cs="Times New Roman"/>
          <w:sz w:val="24"/>
          <w:szCs w:val="24"/>
        </w:rPr>
        <w:t xml:space="preserve"> and </w:t>
      </w:r>
      <w:r w:rsidR="00021D58">
        <w:rPr>
          <w:rFonts w:ascii="Times New Roman" w:hAnsi="Times New Roman" w:cs="Times New Roman"/>
          <w:sz w:val="24"/>
          <w:szCs w:val="24"/>
        </w:rPr>
        <w:t>global microbial modeling</w:t>
      </w:r>
      <w:r w:rsidRPr="00CE7353">
        <w:rPr>
          <w:rFonts w:ascii="Times New Roman" w:hAnsi="Times New Roman" w:cs="Times New Roman"/>
          <w:sz w:val="24"/>
          <w:szCs w:val="24"/>
        </w:rPr>
        <w:t xml:space="preserve"> framework </w:t>
      </w:r>
      <w:r w:rsidR="004E1D75" w:rsidRPr="00CE7353">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{"citationID":"9ez6oY4t","properties":{"formattedCitation":"(Dutkiewicz, Follows, and Bragg 2009)","plainCitation":"(Dutkiewicz, Follows, and Bragg 2009)","noteIndex":0},"citationItems":[{"id":88,"uris":["http://zotero.org/users/6128296/items/GNGVK9JM"],"itemData":{"id":88,"type":"article-journal","abstract":"We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G."}],"issued":{"date-parts":[["2009",12]]}}}],"schema":"https://github.com/citation-style-language/schema/raw/master/csl-citation.json"} </w:instrText>
      </w:r>
      <w:r w:rsidR="004E1D75" w:rsidRPr="00CE7353">
        <w:rPr>
          <w:rFonts w:ascii="Times New Roman" w:hAnsi="Times New Roman" w:cs="Times New Roman"/>
          <w:sz w:val="24"/>
          <w:szCs w:val="24"/>
        </w:rPr>
        <w:fldChar w:fldCharType="separate"/>
      </w:r>
      <w:r w:rsidR="00922909">
        <w:rPr>
          <w:rFonts w:ascii="Times New Roman" w:hAnsi="Times New Roman" w:cs="Times New Roman"/>
          <w:sz w:val="24"/>
          <w:szCs w:val="24"/>
        </w:rPr>
        <w:t>(Dutkiewicz, Follows, and Bragg 2009)</w:t>
      </w:r>
      <w:r w:rsidR="004E1D75" w:rsidRPr="00CE7353">
        <w:rPr>
          <w:rFonts w:ascii="Times New Roman" w:hAnsi="Times New Roman" w:cs="Times New Roman"/>
          <w:sz w:val="24"/>
          <w:szCs w:val="24"/>
        </w:rPr>
        <w:fldChar w:fldCharType="end"/>
      </w:r>
      <w:r w:rsidRPr="00CE7353">
        <w:rPr>
          <w:rFonts w:ascii="Times New Roman" w:hAnsi="Times New Roman" w:cs="Times New Roman"/>
          <w:sz w:val="24"/>
          <w:szCs w:val="24"/>
        </w:rPr>
        <w:t>, for which these ODEs were developed, incorporates nutrient fluxes</w:t>
      </w:r>
      <w:r w:rsidR="00021D58">
        <w:rPr>
          <w:rFonts w:ascii="Times New Roman" w:hAnsi="Times New Roman" w:cs="Times New Roman"/>
          <w:sz w:val="24"/>
          <w:szCs w:val="24"/>
        </w:rPr>
        <w:t xml:space="preserve"> on worldwide inputs</w:t>
      </w:r>
      <w:r w:rsidRPr="00CE7353">
        <w:rPr>
          <w:rFonts w:ascii="Times New Roman" w:hAnsi="Times New Roman" w:cs="Times New Roman"/>
          <w:sz w:val="24"/>
          <w:szCs w:val="24"/>
        </w:rPr>
        <w:t xml:space="preserve">. Applying our model to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CE7353">
        <w:rPr>
          <w:rFonts w:ascii="Times New Roman" w:hAnsi="Times New Roman" w:cs="Times New Roman"/>
          <w:sz w:val="24"/>
          <w:szCs w:val="24"/>
        </w:rPr>
        <w:t xml:space="preserve">growing in chemostat conditions – where nutrients are more likely to be limiting - under a range of nitrogen inputs would be a powerful additional test of its applicability. </w:t>
      </w:r>
      <w:r w:rsidR="00375175" w:rsidRPr="00CE7353">
        <w:rPr>
          <w:rFonts w:ascii="Times New Roman" w:hAnsi="Times New Roman" w:cs="Times New Roman"/>
          <w:sz w:val="24"/>
          <w:szCs w:val="24"/>
        </w:rPr>
        <w:t>Regardless</w:t>
      </w:r>
      <w:r w:rsidR="007D32A6" w:rsidRPr="00CE7353">
        <w:rPr>
          <w:rFonts w:ascii="Times New Roman" w:hAnsi="Times New Roman" w:cs="Times New Roman"/>
          <w:sz w:val="24"/>
          <w:szCs w:val="24"/>
        </w:rPr>
        <w:t>,</w:t>
      </w:r>
      <w:r w:rsidRPr="00CE7353">
        <w:rPr>
          <w:rFonts w:ascii="Times New Roman" w:hAnsi="Times New Roman" w:cs="Times New Roman"/>
          <w:sz w:val="24"/>
          <w:szCs w:val="24"/>
        </w:rPr>
        <w:t xml:space="preserve"> </w:t>
      </w:r>
      <w:r w:rsidR="00021D58">
        <w:rPr>
          <w:rFonts w:ascii="Times New Roman" w:hAnsi="Times New Roman" w:cs="Times New Roman"/>
          <w:sz w:val="24"/>
          <w:szCs w:val="24"/>
        </w:rPr>
        <w:t>the authors</w:t>
      </w:r>
      <w:r w:rsidRPr="00CE7353">
        <w:rPr>
          <w:rFonts w:ascii="Times New Roman" w:hAnsi="Times New Roman" w:cs="Times New Roman"/>
          <w:sz w:val="24"/>
          <w:szCs w:val="24"/>
        </w:rPr>
        <w:t xml:space="preserve"> </w:t>
      </w:r>
      <w:r w:rsidR="00021D58">
        <w:rPr>
          <w:rFonts w:ascii="Times New Roman" w:hAnsi="Times New Roman" w:cs="Times New Roman"/>
          <w:sz w:val="24"/>
          <w:szCs w:val="24"/>
        </w:rPr>
        <w:t>do not anticipate</w:t>
      </w:r>
      <w:r w:rsidRPr="00CE7353">
        <w:rPr>
          <w:rFonts w:ascii="Times New Roman" w:hAnsi="Times New Roman" w:cs="Times New Roman"/>
          <w:sz w:val="24"/>
          <w:szCs w:val="24"/>
        </w:rPr>
        <w:t xml:space="preserve"> that this would qualitatively modify the main finding that catalase positive cyanobacteria tend to have far higher rates of cell specific detoxification than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CE7353">
        <w:rPr>
          <w:rFonts w:ascii="Times New Roman" w:hAnsi="Times New Roman" w:cs="Times New Roman"/>
          <w:sz w:val="24"/>
          <w:szCs w:val="24"/>
        </w:rPr>
        <w:t xml:space="preserve">and have significantly diminished rates of cell death associated with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CE7353">
        <w:rPr>
          <w:rFonts w:ascii="Times New Roman" w:hAnsi="Times New Roman" w:cs="Times New Roman"/>
          <w:sz w:val="24"/>
          <w:szCs w:val="24"/>
        </w:rPr>
        <w:t xml:space="preserve"> damage.</w:t>
      </w:r>
    </w:p>
    <w:p w14:paraId="188D48DE" w14:textId="4E715986" w:rsidR="00DC50BD" w:rsidRPr="003609FB" w:rsidRDefault="005E185F"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Continued excretion of </w:t>
      </w:r>
      <w:r w:rsidR="005F5361">
        <w:rPr>
          <w:rFonts w:ascii="Times New Roman" w:hAnsi="Times New Roman" w:cs="Times New Roman"/>
          <w:sz w:val="24"/>
          <w:szCs w:val="24"/>
        </w:rPr>
        <w:t>dissolved organic carbon (</w:t>
      </w:r>
      <w:r w:rsidRPr="003609FB">
        <w:rPr>
          <w:rFonts w:ascii="Times New Roman" w:hAnsi="Times New Roman" w:cs="Times New Roman"/>
          <w:sz w:val="24"/>
          <w:szCs w:val="24"/>
        </w:rPr>
        <w:t>DOC</w:t>
      </w:r>
      <w:r w:rsidR="005F5361">
        <w:rPr>
          <w:rFonts w:ascii="Times New Roman" w:hAnsi="Times New Roman" w:cs="Times New Roman"/>
          <w:sz w:val="24"/>
          <w:szCs w:val="24"/>
        </w:rPr>
        <w:t>)</w:t>
      </w:r>
      <w:r w:rsidRPr="003609FB">
        <w:rPr>
          <w:rFonts w:ascii="Times New Roman" w:hAnsi="Times New Roman" w:cs="Times New Roman"/>
          <w:sz w:val="24"/>
          <w:szCs w:val="24"/>
        </w:rPr>
        <w:t xml:space="preserve"> by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BF37F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{"citationID":"eoj4K12K","properties":{"formattedCitation":"(Calfee, Glasgo, and Zinser 2022; Grossowicz et al. 2017; Roth\\uc0\\u8208{}Rosenberg et al. 2021; Ofaim et al. 2021)","plainCitation":"(Calfee, Glasgo, and Zinser</w:instrText>
      </w:r>
      <w:r w:rsidR="009D7443">
        <w:rPr>
          <w:rFonts w:ascii="Times New Roman" w:hAnsi="Times New Roman" w:cs="Times New Roman" w:hint="eastAsia"/>
          <w:sz w:val="24"/>
          <w:szCs w:val="24"/>
        </w:rPr>
        <w:instrText xml:space="preserve"> 2022; Grossowicz et al. 2017; Roth</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Rosenberg et al. 2021; Ofaim et al. 2021)","noteIndex":0},"citationItems":[{"id":3126,"uris":["http://zotero.org/users/6128296/items/XY85MD2M"],"itemData":{"id":3126,"type":"article-journal","abstract":"The marine cyano</w:instrText>
      </w:r>
      <w:r w:rsidR="009D7443">
        <w:rPr>
          <w:rFonts w:ascii="Times New Roman" w:hAnsi="Times New Roman" w:cs="Times New Roman"/>
          <w:sz w:val="24"/>
          <w:szCs w:val="24"/>
        </w:rPr>
        <w:instrText>bacterium Prochlorococcus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Prochlorococcus outcompetes its rivals for scarce nutrients and that this advantage leads to its numerical success in nutrient-limited waters. Strains of Prochlorococcus and its sister genus Synechococcus grew well in both mono- and cocultures when nutrients were replete. However, in nitrogen-limited medium, Prochlorococcus outgrew Synechococcus but only when heterotrophic bacteria were also present. In the nitrogen-limited medium, the heterotroph Alteromonas macleodii outcompeted Synechococcus for nitrogen but only if stimulated by the exudate released by Prochlorococcus or if a proxy organic carbon source was provided. Genetic analysis of Alteromonas suggested that it outcompetes Synechococcus for nitrate and/or nitrite, during which cocultured Prochlorococcus grows on ammonia or other available nitrogen species. We propose that Prochlorococcus can stimulate antagonism between heterotrophic bacteria and potential phytoplankton competitors through a metabolic cross-feeding interaction, and this stimulation could contribute to the numerical success of Prochlorococcus in nutrient-limited regions of the ocean.","issue":"1","language":"en","page":"14","source":"Zotero","title":"Prochlorococcus Exudate Stimulates Heterotrophic Bacterial Competition with Rival Phytoplankton for Available Nitrogen","volume":"13","author":[{"family":"Calfee","given":""},{"family":"Glasgo","given":"Liz"},{"family":"Zinser","given":"E. R."}],"issued":{"date-parts":[["2022"]]}}},{"id":3709,"uris":["http://zotero.org/users/6128296/items/2SAKWTSC"],"itemData":{"id":3709,"type":"article-journal","abstract":"In this study, we test the applicability of the Droop/Caperon internal stores model to describe the growth and decline of the globally abundant marine cyanobacterium Prochlorococcus in batch culture as a function of internal and external inorganic and organic carbon and nitrogen. A rigorous parameter ﬁtting exercise, constrained by the measured cell density, ammonium and inorganic carbon concentrations, revealed many different combinations of parameter values that provided equally good model-data ﬁt. Introducing data on C : N ratio from the published literature provided additional constraints which could only be satisﬁed with a structural change to the model. The simplest addition that satisﬁed these constraints and improved quantitative overall model-data agreement was to explicitly represent excretion, which was predicted to account for 0.03–8.5% of the daily primary productivity; somewhat lower than previous estimates based on radiotracer incorporation. We argue that this signiﬁcant and biologically meaningful process should not be neglected in models of marine phytoplankton.","container-title":"Limnology and Oceanography","DOI":"10.1002/lno.10463","ISSN":"0024-3590, 1939-5590","issue":"2","journalAbbreviation":"Limnology &amp; Oceanography","language":"en","page":"818-835","source":"DOI.org (Crossref)","title":"&lt;i&gt;Prochlorococcus&lt;/i&gt; in the lab and in silico: The importance of representing exudation","title-short":"&lt;i&gt;Prochlorococcus&lt;/i&gt; in the lab and in silico","volume":"62","author":[{"family":"Grossowi</w:instrText>
      </w:r>
      <w:r w:rsidR="009D7443">
        <w:rPr>
          <w:rFonts w:ascii="Times New Roman" w:hAnsi="Times New Roman" w:cs="Times New Roman" w:hint="eastAsia"/>
          <w:sz w:val="24"/>
          <w:szCs w:val="24"/>
        </w:rPr>
        <w:instrText>cz","given":""},{"family":"Roth</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Rosenberg","given":"Dalit"},{"family":"Aharonovich","given":"Dikla"},{"family":"Silverman","given":"Jacob"},{"family":"Follows","given":"Michael J."},{"family":"Sher","given":"Daniel"}],"issued":{"date-parts":[["2017",3]]}}</w:instrText>
      </w:r>
      <w:r w:rsidR="009D7443">
        <w:rPr>
          <w:rFonts w:ascii="Times New Roman" w:hAnsi="Times New Roman" w:cs="Times New Roman"/>
          <w:sz w:val="24"/>
          <w:szCs w:val="24"/>
        </w:rPr>
        <w:instrText>},{"id":3517,"uris":["http://zotero.org/users/6128296/items/2UAELEZJ"],"itemData":{"id":3517,"type":"article-journal","abstract":"Every living cell is composed of macromolecules such as proteins, DNA, RNA, and pigments. The ratio between these macromolecular pools depends on the allocation of resources within the organism to different physiological requirements, and in turn affects biogeochemical cycles of elements such as carbon, nitrogen, and phosphorus. Here, we present detailed measurements of the macromolecular composition of Prochlorococcus MIT9312, a representative strain of a globally abundant marine primary producer, as it grows and declines due to nitrogen starvation in laboratory batch cultures. As cells reached stationary stage and declined, protein per cell decreased by $ 30% whereas RNA per cell and pigments per cell decreased by $ 75%. The decline stage was associated with the appearance of chlorotic cells, which had higher forward scatter (a proxy for cell size) but lower chlorophyll autoﬂuorescence, as well as with changes in photosynthetic pigment composition. Speciﬁcally, during culture decline divinyl-chlorophyll-like pigments emerged, which were not observed during exponential growth. These divinyl-chlorophyll-like pigments were also observed in natural samples from the Eastern Mediterranean. Over 90% of the carbon ﬁxed by Prochlorococcus MIT9312 (but not of a different strain, NATL2A) was released into the growth media under these laboratory conditions. Variations in RNA/protein indicate that, broadly deﬁned, the macromolecular composition of Prochlorococcus MIT9312 is more similar to eukaryotic phytoplankton than to marine heterotrophic bacteria, possibly due to the signiﬁcant investment in photosynthetic machinery of phototrophs.","container-title":"Limnology and Oceanography","DOI":"10.1002/lno.11720","ISSN":"0024-3590, 1939-5590","issue":"5","journalAbbreviation":"Limnol Oceanogr","language":"en","page":"1759-1773","source":"DOI.org (Crossref)","title":"Dynamic macromolecular com</w:instrText>
      </w:r>
      <w:r w:rsidR="009D7443">
        <w:rPr>
          <w:rFonts w:ascii="Times New Roman" w:hAnsi="Times New Roman" w:cs="Times New Roman" w:hint="eastAsia"/>
          <w:sz w:val="24"/>
          <w:szCs w:val="24"/>
        </w:rPr>
        <w:instrText>position and high exudation rates in &lt;i&gt;Prochlorococcus&lt;/i&gt;","volume":"66","author":[{"family":"Roth</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Rosenberg","given":""},{"family":"Aharonovich","given":"Dikla"},{"family":"Omta","given":"Anne Willem"},{"family":"Follows","given":"Michael J."},{"family</w:instrText>
      </w:r>
      <w:r w:rsidR="009D7443">
        <w:rPr>
          <w:rFonts w:ascii="Times New Roman" w:hAnsi="Times New Roman" w:cs="Times New Roman"/>
          <w:sz w:val="24"/>
          <w:szCs w:val="24"/>
        </w:rPr>
        <w:instrText xml:space="preserve">":"Sher","given":"Daniel"}],"issued":{"date-parts":[["2021",5]]}}},{"id":3461,"uris":["http://zotero.org/users/6128296/items/BNL24XJ7"],"itemData":{"id":3461,"type":"article-journal","abstract":"Microbial life in the oceans impacts the entire marine ecosystem, global biogeochemistry and climate. The marine cyanobacterium Prochlorococcus, an abundant component of this ecosystem, releases a significant fraction of the carbon fixed through photosynthesis, but the amount, timing and molecular composition of released carbon are still poorly understood. These depend on several factors, including nutrient availability, light intensity and glycogen storage. Here we combine multiple computational approaches to provide insight into carbon storage and exudation in Prochlorococcus. First, with the aid of a new algorithm for recursive filling of metabolic gaps (ReFill), and through substantial manual curation, we extended an existing genome-scale metabolic model of Prochlorococcus MED4. In this revised model iSO595), we decoupled glycogen biosynthesis/degradation from growth, thus enabling dynamic allocation of carbon storage. In contrast to standard implementations of flux balance modeling, we made use of forced influx of carbon and light into the cell, to recapitulate overflow metabolism due to the decoupling of photosynthesis and carbon fixation from growth during nutrient limitation. By using random sampling in the ensuing flux space, we found that storage of glycogen or exudation of organic acids are favored when the growth is nitrogen limited, while exudation of amino acids becomes more likely when phosphate is the limiting resource. We next used COMETS to simulate day-night cycles and found that the model displays dynamic glycogen allocation and exudation of organic acids. The switch from photosynthesis and glycogen storage to glycogen depletion is associated with a redistribution of fluxes from the Entner–Doudoroff to the Pentose Phosphate pathway. Finally, we show that specific gene knockouts in i SO595 exhibit dynamic anomalies compatible with experimental observations, further demonstrating the value of this model as a tool to probe the metabolic dynamic of Prochlorococcus.","container-title":"Frontiers in Genetics","DOI":"10.3389/fgene.2021.586293","ISSN":"1664-8021","journalAbbreviation":"Front. Genet.","language":"en","page":"586293","source":"DOI.org (Crossref)","title":"Dynamic Allocation of Carbon Storage and Nutrient-Dependent Exudation in a Revised Genome-Scale Model of Prochlorococcus","volume":"12","author":[{"family":"Ofaim","given":""},{"family":"Sulheim","given":"Snorre"},{"family":"Almaas","given":"Eivind"},{"family":"Sher","given":"Daniel"},{"family":"Segrè","given":"Daniel"}],"issued":{"date-parts":[["2021",2,9]]}}}],"schema":"https://github.com/citation-style-language/schema/raw/master/csl-citation.json"} </w:instrText>
      </w:r>
      <w:r w:rsidR="00BF37F3" w:rsidRPr="003609FB">
        <w:rPr>
          <w:rFonts w:ascii="Times New Roman" w:hAnsi="Times New Roman" w:cs="Times New Roman"/>
          <w:sz w:val="24"/>
          <w:szCs w:val="24"/>
        </w:rPr>
        <w:fldChar w:fldCharType="separate"/>
      </w:r>
      <w:r w:rsidR="00922909" w:rsidRPr="00922909">
        <w:rPr>
          <w:rFonts w:ascii="Times New Roman" w:hAnsi="Times New Roman" w:cs="Times New Roman"/>
          <w:sz w:val="24"/>
        </w:rPr>
        <w:t xml:space="preserve">(Calfee, Glasgo, and Zinser 2022; </w:t>
      </w:r>
      <w:proofErr w:type="spellStart"/>
      <w:r w:rsidR="00922909" w:rsidRPr="00922909">
        <w:rPr>
          <w:rFonts w:ascii="Times New Roman" w:hAnsi="Times New Roman" w:cs="Times New Roman"/>
          <w:sz w:val="24"/>
        </w:rPr>
        <w:t>Grossowicz</w:t>
      </w:r>
      <w:proofErr w:type="spellEnd"/>
      <w:r w:rsidR="00922909" w:rsidRPr="00922909">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2017; Roth‐Rosenberg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2021; </w:t>
      </w:r>
      <w:proofErr w:type="spellStart"/>
      <w:r w:rsidR="00922909" w:rsidRPr="00922909">
        <w:rPr>
          <w:rFonts w:ascii="Times New Roman" w:hAnsi="Times New Roman" w:cs="Times New Roman"/>
          <w:sz w:val="24"/>
        </w:rPr>
        <w:t>Ofaim</w:t>
      </w:r>
      <w:proofErr w:type="spellEnd"/>
      <w:r w:rsidR="00922909" w:rsidRPr="00922909">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w:t>
      </w:r>
      <w:r w:rsidR="00922909" w:rsidRPr="00922909">
        <w:rPr>
          <w:rFonts w:ascii="Times New Roman" w:hAnsi="Times New Roman" w:cs="Times New Roman"/>
          <w:sz w:val="24"/>
        </w:rPr>
        <w:lastRenderedPageBreak/>
        <w:t>2021)</w:t>
      </w:r>
      <w:r w:rsidR="00BF37F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may augment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from light </w:t>
      </w:r>
      <w:r w:rsidR="00627CB8"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{"citationID":"49pGZr68","properties":{"formattedCitation":"(Zhu et al. 2022)","plainCitation":"(Zhu et al. 2022)","noteIndex":0},"citationItems":[{"id":4059,"uris":["http://zotero.org/users/6128296/items/UQC3QQF2"],"itemData":{"id":4059,"type":"article-journal","abstract":"Hydrogen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627CB8"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(Zhu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2022)</w:t>
      </w:r>
      <w:r w:rsidR="00627CB8"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other sources. Our model did not explicitly resolve the sensitivity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to DOC concentration, but this did not prevent it from providing a satisfactory description of the dynamics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through batch culture experiments. However, DOC mediated production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likely to be an important process in any environmentally relevant model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Further analysis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in spike assays </w:t>
      </w:r>
      <w:r w:rsidR="00832919"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{"citationID":"jwPslQ50","properties":{"formattedCitation":"(Calfee 2021)","plainCitation":"(Calfee 2021)","noteIndex":0},"citationItems":[{"id":3125,"uris":["http://zotero.org/users/6128296/items/4VSH9QLP"],"itemData":{"id":3125,"type":"thesis","abstract":"Prochlorococcus is a genus of extremely successful marine cyanobacteria. This success is realized through its pervasive biogeographical range and presence in almost all open ocean environments where it usually it the dominant phytoplankton. Limited capabilities of culturing and genetic manipulation of this organism have resulted in assumptions about this success overwhelmingly based on field observations. These studies have assumed adaptations for resource uptake and utilization in nutrient limited environments to cause dominance of Prochlorococcus over other photosynthetic microbes. In an attempt to definitively explain this through laboratory culture, we developed a culturing system to assay questions of nutrient limitation effects upon Prochlorococcus and its competitive ability based on nitrogen limited populations within the North Pacific Subtropical Gyre. We determined that competition for nitrogen did explain the population dynamics of Prochlorococcus and another cyanobacterium, Synechococcus, and were able to recreate their observed abundances in nitrogen limited laboratory culture. Interestingly this outcome could only be achieved through the inclusion of a heterotrophic bacterium, which facilitated the success of Prochlorococcus through complex crossfeeding interactions. In an effort to further explore the important microbial interactions influencing this dominant cyanobacterium, we developed an additional culturing system to determine if rival phytoplankton (Synechococcus and picoeukaryotes), with whom Prochlorococcus competes for nutrients, could protect Prochlorococcus from oxidative stress from hydrogen peroxide. These rivals successfully protected Prochlorococcus from mortality when cocultured at ecologically relevant abundances. Lastly we determined the affect of seasonal change on Prochlorococcus ecotypes and potential relationships between high-light and low-light adapted ecotypes and between ecotypes and abundant microbial phyla that varied seasonally. Herein we speculate on the overall importance of microbial interactions based on nutrient transformation and environmental conditioning to the ecology and biogeography of Prochlorococcus.","language":"en","publisher":"University of Tennessee","source":"Zotero","title":"Determining the Ecological and Physiological Factors Contributing to the Competitive Success of Prochlorococcus in the Oligotrophic Ocean","author":[{"family":"Calfee","given":""}],"issued":{"date-parts":[["2021",12]]}}}],"schema":"https://github.com/citation-style-language/schema/raw/master/csl-citation.json"} </w:instrText>
      </w:r>
      <w:r w:rsidR="00832919"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(Calfee 2021)</w:t>
      </w:r>
      <w:r w:rsidR="00832919"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chemical buffers or natural DOC</w:t>
      </w:r>
      <w:r w:rsidR="00FF50FC" w:rsidRPr="003609FB">
        <w:rPr>
          <w:rFonts w:ascii="Times New Roman" w:hAnsi="Times New Roman" w:cs="Times New Roman"/>
          <w:sz w:val="24"/>
          <w:szCs w:val="24"/>
        </w:rPr>
        <w:t xml:space="preserve"> </w:t>
      </w:r>
      <w:r w:rsidR="00FF50F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{"citationID":"KzBK3MYh","properties":{"formattedCitation":"(Zinser 2013; Morris 2011)","plainCitation":"(Zinser 2013; Morris 2011)","noteIndex":0},"citationItems":[{"id":1614,"uris":["http://zotero.org/users/6128296/items/XUR3IYYN"],"itemData":{"id":1614,"type":"article-journal","container-title":"Journal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Microorganisms","author":[{"family":"Morris","given":""}],"issued":{"date-parts":[["2011"]]}}}],"schema":"https://github.com/citation-style-language/schema/raw/master/csl-citation.json"} </w:instrText>
      </w:r>
      <w:r w:rsidR="00FF50FC"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(Zinser 2013; Morris 2011)</w:t>
      </w:r>
      <w:r w:rsidR="00FF50F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may elucidate and constrain differences between laboratory and ocean observations. Light and DOC are both currently incorporated within the </w:t>
      </w:r>
      <w:r w:rsidR="005F5361">
        <w:rPr>
          <w:rFonts w:ascii="Times New Roman" w:hAnsi="Times New Roman" w:cs="Times New Roman"/>
          <w:sz w:val="24"/>
          <w:szCs w:val="24"/>
        </w:rPr>
        <w:t>a global plankton modeling</w:t>
      </w:r>
      <w:r w:rsidRPr="003609FB">
        <w:rPr>
          <w:rFonts w:ascii="Times New Roman" w:hAnsi="Times New Roman" w:cs="Times New Roman"/>
          <w:sz w:val="24"/>
          <w:szCs w:val="24"/>
        </w:rPr>
        <w:t xml:space="preserve"> framework </w:t>
      </w:r>
      <w:r w:rsidR="00FF50F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{"citationID":"MfaWdM38","properties":{"formattedCitation":"(Dutkiewicz, Follows, and Bragg 2009)","plainCitation":"(Dutkiewicz, Follows, and Bragg 2009)","noteIndex":0},"citationItems":[{"id":88,"uris":["http://zotero.org/users/6128296/items/GNGVK9JM"],"itemData":{"id":88,"type":"article-journal","abstract":"We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G."}],"issued":{"date-parts":[["2009",12]]}}}],"schema":"https://github.com/citation-style-language/schema/raw/master/csl-citation.json"} </w:instrText>
      </w:r>
      <w:r w:rsidR="00FF50FC"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(Dutkiewicz, Follows, and Bragg 2009)</w:t>
      </w:r>
      <w:r w:rsidR="00FF50FC" w:rsidRPr="003609FB">
        <w:rPr>
          <w:rFonts w:ascii="Times New Roman" w:hAnsi="Times New Roman" w:cs="Times New Roman"/>
          <w:sz w:val="24"/>
          <w:szCs w:val="24"/>
        </w:rPr>
        <w:fldChar w:fldCharType="end"/>
      </w:r>
      <w:r w:rsidR="005F5361">
        <w:rPr>
          <w:rFonts w:ascii="Times New Roman" w:hAnsi="Times New Roman" w:cs="Times New Roman"/>
          <w:sz w:val="24"/>
          <w:szCs w:val="24"/>
        </w:rPr>
        <w:t>, thus b</w:t>
      </w:r>
      <w:r w:rsidR="00021D58">
        <w:rPr>
          <w:rFonts w:ascii="Times New Roman" w:hAnsi="Times New Roman" w:cs="Times New Roman"/>
          <w:sz w:val="24"/>
          <w:szCs w:val="24"/>
        </w:rPr>
        <w:t>oth</w:t>
      </w:r>
      <w:r w:rsidRPr="003609FB">
        <w:rPr>
          <w:rFonts w:ascii="Times New Roman" w:hAnsi="Times New Roman" w:cs="Times New Roman"/>
          <w:sz w:val="24"/>
          <w:szCs w:val="24"/>
        </w:rPr>
        <w:t xml:space="preserve"> factors can be incorporated into our model, providing an avenue for further investigation of their importance and impact on microbial dynamics. </w:t>
      </w:r>
    </w:p>
    <w:p w14:paraId="19A788F0" w14:textId="00355971" w:rsidR="00DC50BD" w:rsidRPr="003609FB" w:rsidRDefault="005E185F"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Despite its limitations, our model</w:t>
      </w:r>
      <w:r w:rsidR="00021D58">
        <w:rPr>
          <w:rFonts w:ascii="Times New Roman" w:hAnsi="Times New Roman" w:cs="Times New Roman"/>
          <w:sz w:val="24"/>
          <w:szCs w:val="24"/>
        </w:rPr>
        <w:t xml:space="preserve"> is </w:t>
      </w:r>
      <w:r w:rsidRPr="003609FB">
        <w:rPr>
          <w:rFonts w:ascii="Times New Roman" w:hAnsi="Times New Roman" w:cs="Times New Roman"/>
          <w:sz w:val="24"/>
          <w:szCs w:val="24"/>
        </w:rPr>
        <w:t>trained with laboratory data</w:t>
      </w:r>
      <w:r w:rsidR="00021D58">
        <w:rPr>
          <w:rFonts w:ascii="Times New Roman" w:hAnsi="Times New Roman" w:cs="Times New Roman"/>
          <w:sz w:val="24"/>
          <w:szCs w:val="24"/>
        </w:rPr>
        <w:t xml:space="preserve"> and</w:t>
      </w:r>
      <w:r w:rsidRPr="003609FB">
        <w:rPr>
          <w:rFonts w:ascii="Times New Roman" w:hAnsi="Times New Roman" w:cs="Times New Roman"/>
          <w:sz w:val="24"/>
          <w:szCs w:val="24"/>
        </w:rPr>
        <w:t xml:space="preserve"> can quantitatively constrain physiological rate constants. We find that very closely related cyanobacteria display</w:t>
      </w:r>
      <w:r w:rsidR="007D32A6" w:rsidRPr="003609FB">
        <w:rPr>
          <w:rFonts w:ascii="Times New Roman" w:hAnsi="Times New Roman" w:cs="Times New Roman"/>
          <w:sz w:val="24"/>
          <w:szCs w:val="24"/>
        </w:rPr>
        <w:t>ed</w:t>
      </w:r>
      <w:r w:rsidRPr="003609FB">
        <w:rPr>
          <w:rFonts w:ascii="Times New Roman" w:hAnsi="Times New Roman" w:cs="Times New Roman"/>
          <w:sz w:val="24"/>
          <w:szCs w:val="24"/>
        </w:rPr>
        <w:t xml:space="preserve"> a wide range of detoxification rates, indicating this is an evolutionarily</w:t>
      </w:r>
      <w:r w:rsidR="00021D58">
        <w:rPr>
          <w:rFonts w:ascii="Times New Roman" w:hAnsi="Times New Roman" w:cs="Times New Roman"/>
          <w:sz w:val="24"/>
          <w:szCs w:val="24"/>
        </w:rPr>
        <w:t xml:space="preserve"> variable</w:t>
      </w:r>
      <w:r w:rsidRPr="003609FB">
        <w:rPr>
          <w:rFonts w:ascii="Times New Roman" w:hAnsi="Times New Roman" w:cs="Times New Roman"/>
          <w:sz w:val="24"/>
          <w:szCs w:val="24"/>
        </w:rPr>
        <w:t xml:space="preserve"> trait</w:t>
      </w:r>
      <w:r w:rsidR="00021D58">
        <w:rPr>
          <w:rFonts w:ascii="Times New Roman" w:hAnsi="Times New Roman" w:cs="Times New Roman"/>
          <w:sz w:val="24"/>
          <w:szCs w:val="24"/>
        </w:rPr>
        <w:t>, even among close genera</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strains are usually less contaminated </w:t>
      </w:r>
      <w:r w:rsidR="00C63D0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{"citationID":"st4X7Bjj","properties":{"formattedCitation":"(Chan 2008; Morris et al. 2008)","plainCitation":"(Chan 2008; Morris et al. 2008)","noteIndex":0},"citationItems":[{"id":4371,"uris":["http://zotero.org/users/6128296/items/4DUAE4DT"],"itemData":{"id":4371,"type":"thesis","abstract":"Synechococcus sp. strains CC9311, WH8102, and CC9605 were compared to investigate their response to oxidative stress. Fluorescence measurements, cell counts, and cell growth rates were compared for each strain exposed to a range of concentrations of an oxygen radical producing poison, methyl viologen, and an inhibitor of carotenoid biosynthesis, norflurazon. The methyl viologen induced expressions of genes coding for the putative antioxidant enzymes superoxide dismutase, glutathione peroxidase, and catalase/peroxidase, were also compared. The order of highest to lowest sensitivity to oxidative stress induced in the cell cytoplasm is CC9311, WH8102, and CC9605. Conversely, CC9605 is more sensitive to oxidative stress induced in the thylakoid compartment than CC9311. CC9311 significantly up regulated the expression of genes coding for NiSOD and CuZnSOD, two enzymes required to destroy reactive oxygen species. WH8102 up regulated the expression of genes coding for NiSOD and GP, though not to a significant degree. CC9605 up regulated genes coding for NiSOD, CuZnSOD, and catalase/peroxidase to a greater extent than both CC9311 and WH8102. The resistance of CC9605 to oxidative stress may have been facilitated by a unique system of regulation. Overall, these strains of Synechococcus revealed differing responses to oxidative stress likely due to their adaptation to different marine ecosystems.","publisher":"UMI Microform 1456304 Copyright 2008 by ProQuest LLC.","title":"Physiological and transcriptional responses to induced oxidative stress in Synechococcus sp. strains CC9311, WH8102, and CC9605","title-short":"chan dissertation 2008","author":[{"family":"Chan","given":""}],"issued":{"date-parts":[["2008"]]}}},{"id":816,"uris":["http://zotero.org/users/6128296/items/B9D5DHBN"],"itemData":{"id":816,"type":"article-journal","container-title":"Applied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R."}],"issued":{"date-parts":[["2008",7,15]]}}}],"schema":"https://github.com/citation-style-language/schema/raw/master/csl-citation.json"} </w:instrText>
      </w:r>
      <w:r w:rsidR="00C63D0C"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(Chan 2008; Morris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2008)</w:t>
      </w:r>
      <w:r w:rsidR="00C63D0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with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-detoxifying heterotrophs when isolated </w:t>
      </w:r>
      <w:r w:rsidR="00021D58">
        <w:rPr>
          <w:rFonts w:ascii="Times New Roman" w:hAnsi="Times New Roman" w:cs="Times New Roman"/>
          <w:sz w:val="24"/>
          <w:szCs w:val="24"/>
        </w:rPr>
        <w:t xml:space="preserve">than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C63D0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{"citationID":"GyzxK8V2","properties":{"formattedCitation":"(Morris et al. 2008; Chisholm et al. 1988; Moore et al. 2007)","plainCitation":"(Morris et al. 2008; Chisholm et al. 1988; Moore et al. 2007)","noteIndex":0},"citationItems":[{"id":816,"uris":["http://zotero.org/users/6128296/items/B9D5DHBN"],"itemData":{"id":816,"type":"article-journal","container-title":"Applied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R."}],"issued":{"date-parts":[["2008",7,15]]}}},{"id":4048,"uris":["http://zotero.org/users/6128296/items/PWPQTHJL"],"itemData":{"id":4048,"type":"article-journal","container-title":"Nature","DOI":"10.1038/334340a0","ISSN":"0028-0836, 1476-4687","issue":"6180","journalAbbreviation":"Nature","language":"en","page":"340-343","source":"DOI.org (Crossref)","title":"A novel free-living prochlorophyte abundant in the oceanic euphotic zone","volume":"334","author":[{"family":"Chisholm","given":""},{"family":"Olson","given":"Robert J."},{"family":"Zettler","given":"Erik R."},{"family":"Goericke","given":"Ralf"},{"family":"Waterbury","given":"John B."},{"family":"Welschmeyer","given":"Nicholas A."}],"issued":{"date-parts":[["1988",7]]}}},{"id":812,"uris":["http://zotero.org/users/6128296/items/N97IDXK4"],"itemData":{"id":812,"type":"article-journal","abstract":"Prochlorococcus is the numerically dominant primary producer in open ocean ecosystems. Analysis of Prochlorococcus genome sequences from cultured isolates and ocean samples has broadened interest in studying this tiny cell, and efforts are underway to develop it into a model system for studying marine microbial ecology. A critical component of these efforts has been the development of systematic culturing methods that will facilitate the distribution of Prochlorococcus to diverse labs that may be interested in studying it. This paper provides detailed methods for maintaining cultures of Prochlorococcus, including a comparison of growth rates of cells on two artificial seawater media and on a standard medium that uses a natural seawater base. Procedures for agar plating, cryopreservation, obtaining new isolates, and issues associated with culture volume and carbon limitation also are described.","container-title":"Limnology and Oceanography: Methods","DOI":"10.4319/lom.2007.5.353","ISSN":"1541-5856","issue":"10","language":"en","page":"353-362","source":"Wiley Online Library","title":"Culturing the marine cyanobacterium Prochlorococcus","volume":"5","author":[{"family":"Moore","given":""},{"family":"Coe","given":"Allison"</w:instrText>
      </w:r>
      <w:r w:rsidR="009D7443">
        <w:rPr>
          <w:rFonts w:ascii="Times New Roman" w:hAnsi="Times New Roman" w:cs="Times New Roman" w:hint="eastAsia"/>
          <w:sz w:val="24"/>
          <w:szCs w:val="24"/>
        </w:rPr>
        <w:instrText>},{"family":"Zinser","given":"Erik R."},{"family":"Saito","given":"Mak A."},{"family":"Sullivan","given":"Matthew B."},{"family":"Lindell","given":"Debbie"},{"family":"Frois</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Moniz","given":"Katya"},{"family":"Waterbury","given":"John"},{"family":"Chisholm</w:instrText>
      </w:r>
      <w:r w:rsidR="009D7443">
        <w:rPr>
          <w:rFonts w:ascii="Times New Roman" w:hAnsi="Times New Roman" w:cs="Times New Roman"/>
          <w:sz w:val="24"/>
          <w:szCs w:val="24"/>
        </w:rPr>
        <w:instrText xml:space="preserve">","given":"Sallie W."}],"issued":{"date-parts":[["2007"]]}}}],"schema":"https://github.com/citation-style-language/schema/raw/master/csl-citation.json"} </w:instrText>
      </w:r>
      <w:r w:rsidR="00C63D0C" w:rsidRPr="003609FB">
        <w:rPr>
          <w:rFonts w:ascii="Times New Roman" w:hAnsi="Times New Roman" w:cs="Times New Roman"/>
          <w:sz w:val="24"/>
          <w:szCs w:val="24"/>
        </w:rPr>
        <w:fldChar w:fldCharType="separate"/>
      </w:r>
      <w:r w:rsidR="00922909">
        <w:rPr>
          <w:rFonts w:ascii="Times New Roman" w:hAnsi="Times New Roman" w:cs="Times New Roman"/>
          <w:sz w:val="24"/>
        </w:rPr>
        <w:t xml:space="preserve">(Morris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xml:space="preserve">. 2008; Chisholm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xml:space="preserve">. 1988; Moore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2007)</w:t>
      </w:r>
      <w:r w:rsidR="00C63D0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which tracks with </w:t>
      </w:r>
      <w:r w:rsidR="00021D58">
        <w:rPr>
          <w:rFonts w:ascii="Times New Roman" w:hAnsi="Times New Roman" w:cs="Times New Roman"/>
          <w:sz w:val="24"/>
          <w:szCs w:val="24"/>
        </w:rPr>
        <w:t>B</w:t>
      </w:r>
      <w:r w:rsidRPr="003609FB">
        <w:rPr>
          <w:rFonts w:ascii="Times New Roman" w:hAnsi="Times New Roman" w:cs="Times New Roman"/>
          <w:sz w:val="24"/>
          <w:szCs w:val="24"/>
        </w:rPr>
        <w:t xml:space="preserve">lack </w:t>
      </w:r>
      <w:r w:rsidR="00021D58">
        <w:rPr>
          <w:rFonts w:ascii="Times New Roman" w:hAnsi="Times New Roman" w:cs="Times New Roman"/>
          <w:sz w:val="24"/>
          <w:szCs w:val="24"/>
        </w:rPr>
        <w:t>Q</w:t>
      </w:r>
      <w:r w:rsidRPr="003609FB">
        <w:rPr>
          <w:rFonts w:ascii="Times New Roman" w:hAnsi="Times New Roman" w:cs="Times New Roman"/>
          <w:sz w:val="24"/>
          <w:szCs w:val="24"/>
        </w:rPr>
        <w:t xml:space="preserve">ueen </w:t>
      </w:r>
      <w:r w:rsidR="00021D58">
        <w:rPr>
          <w:rFonts w:ascii="Times New Roman" w:hAnsi="Times New Roman" w:cs="Times New Roman"/>
          <w:sz w:val="24"/>
          <w:szCs w:val="24"/>
        </w:rPr>
        <w:t>L</w:t>
      </w:r>
      <w:r w:rsidRPr="003609FB">
        <w:rPr>
          <w:rFonts w:ascii="Times New Roman" w:hAnsi="Times New Roman" w:cs="Times New Roman"/>
          <w:sz w:val="24"/>
          <w:szCs w:val="24"/>
        </w:rPr>
        <w:t xml:space="preserve">ogic, and suggests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does not require helpers to grow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64036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{"citationID":"8IoxNYqJ","properties":{"formattedCitation":"(Morel et al. 1993)","plainCitation":"(Morel et al. 1993)","noteIndex":0},"citationItems":[{"id":4088,"uris":["http://zotero.org/users/6128296/items/K3BSBRNE"],"itemData":{"id":4088,"type":"article-journal","abstract":"Three unialgal strains of Prochlorococcus and four of Synechococcus were grown in batch culture at low irradiances.The spectral valuesof light absorption, scattering and back scattering of intact cells in suspension were determined,together with cell counts,size distribution and pigment composition(via HPLC). The spectral efficiency factors Qa, Qb, Qbbfor light absorption,scatteringandbackscatteringrespectively,werederived,aswell asthe corresponding chlorophyll-specificcoefficientsa*, b* and bz. The pigment used when normalizing is “true” chlorophyll a for Synechococcus, and divinyl-chlorophyll a for Prochlorococcus. In correspondencewith smallsizes(0.6 pm,on average)F’rochlorococcus exhibitsQbvaluesbelow those of Synechococcus (size about 0.9 km, on average). In contrast, Q, is higher for Prochlorococcus than for Synechococcus, in responseto high internal divinyl-chlorophyll content. In the blue part of the spectrumthe probability for photonsof beingabsorbedby a Prochlorococcus cell exceedsthat of beingscattered.Sucha combinationhasneverbeenfound before for other algal cells, consistentlymore efficient asscatterersthan as absorbers.The magnitude of the three efficiency Q-factors, as well as their spectral variations, can be understood and reconstructed in the frame of the Mie theory. The impact of thesesmall organismsd, ominantin oligotrophic environment,upon the optical propertiesof suchwaters are discussedon the basisof their chlorophyll-specificoptical coefficients.Their absorption capabilities(per unit of chlorophyll) are not far from beingmaximum,to the extent that the packageeffect is rather reduced. With respect to scattering,Prochlorococcus cells have a minute signaturecomparedto that of Synechococcus. This point is illustrated usingvertical profiles of fluorescence, attenuation coefficient, cell number,Chl a and divinyl-Chl a concentrations, as observedin an oligotrophic tropical situation. Even if the backscattering-toscatteringratio is,astheoretically expected,higherfor Prochlorococcus than for all other algae (includingSynechococcus), their light backscatteringcapacitydefinitely remainsnegligible.","container-title":"Journal of Marine Research","DOI":"10.1357/0022240933223963","ISSN":"00222402, 15439542","issue":"3","journalAbbreviation":"issn: 0022-2402","language":"en","page":"617-649","source":"DOI.org (Crossref)","title":"&lt;I&gt;Prochlorococcus&lt;/I&gt; and &lt;I&gt;Synechococcus&lt;/I&gt;: A comparative study of their optical properties in relation to their size and pigmentation","title-short":"&lt;I&gt;Prochlorococcus&lt;/I&gt; and &lt;I&gt;Synechococcus&lt;/I&gt;","volume":"51","author":[{"family":"Morel","given":""},{"family":"Ahn","given":"Yu-Hwan"},{"family":"Partensky","given":"Frédéric"},{"family":"Vaulot","given":"Daniel"},{"family":"Claustre","given":"Hervé"}],"issued":{"date-parts":[["1993",8,1]]}}}],"schema":"https://github.com/citation-style-language/schema/raw/master/csl-citation.json"} </w:instrText>
      </w:r>
      <w:r w:rsidR="00640366"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(Morel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1993)</w:t>
      </w:r>
      <w:r w:rsidR="00640366"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0802AA86" w14:textId="02E7A284" w:rsidR="004219EF" w:rsidRPr="003609FB" w:rsidRDefault="005E185F" w:rsidP="00AB2160">
      <w:pPr>
        <w:spacing w:line="360" w:lineRule="auto"/>
        <w:ind w:firstLine="720"/>
        <w:rPr>
          <w:rFonts w:ascii="Times New Roman" w:hAnsi="Times New Roman" w:cs="Times New Roman"/>
          <w:sz w:val="24"/>
          <w:szCs w:val="24"/>
        </w:rPr>
      </w:pPr>
      <w:r w:rsidRPr="00C92B4B">
        <w:rPr>
          <w:rFonts w:ascii="Times New Roman" w:hAnsi="Times New Roman" w:cs="Times New Roman"/>
          <w:sz w:val="24"/>
          <w:szCs w:val="24"/>
        </w:rPr>
        <w:t>Our model provides a basis on which to explore the mechanisms driving these interdependencies now and in future oceans. Climate change is changing carbon and nitrogen flux of the ocean</w:t>
      </w:r>
      <w:r w:rsidR="0064416C" w:rsidRPr="00C92B4B">
        <w:rPr>
          <w:rFonts w:ascii="Times New Roman" w:hAnsi="Times New Roman" w:cs="Times New Roman"/>
          <w:sz w:val="24"/>
          <w:szCs w:val="24"/>
        </w:rPr>
        <w:t xml:space="preserve"> </w:t>
      </w:r>
      <w:r w:rsidR="0064416C" w:rsidRPr="00C92B4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{"citationID":"EzIT9z8m","properties":{"formattedCitation":"(Friedlingstein et al. 2006; Sokolov et al. 2009; Beman et al. 2011; Le Qu\\uc0\\u233{}r\\uc0\\u233{} et al. 2009)","plainCitation":"(Friedlingstein et al. 2006; Sokolov et al. 2009; Beman et al. 2011; Le Quéré et al. 2009)","noteIndex":0},"citationItems":[{"id":191,"uris":["http://zotero.org/users/6128296/items/5IWXCU8E"],"itemData":{"id":191,"type":"article-journal","abstract":"Eleven coupled climate–carbon cycle models used a common protocol to study the coupling between climate change and the carbon cycle. The models were forced by historical emissions and the Intergovernmental Panel on Climate Change (IPCC) Special Report on Emissions Scenarios (SRES) A2 anthropogenic emissions of CO2 for the 1850–2100 time period. For each model, two simulations were performed in order to isolate the impact of climate change on the land and ocean carbon cycle, and therefore the climate feedback on the atmospheric CO2 concentration growth rate. There was unanimous agreement among the models that future climate change will reduce the efficiency of the earth system to absorb the anthropogenic carbon perturbation. A larger fraction of anthropogenic CO2 will stay airborne if climate change is accounted for. By the end of the twenty-first century, this additional CO2 varied between 20 and 200 ppm for the two extreme models, the majority of the models lying between 50 and 100 ppm. The higher CO2 levels led to an additional climate warming ranging between 0.1° and 1.5°C.","container-title":"Journal of Climate","DOI":"10.1175/JCLI3800.1","ISSN":"0894-8755, 1520-0442","issue":"14","journalAbbreviation":"J. Climate","language":"en","page":"3337-3353","source":"DOI.org (Crossref)","title":"Climate–Carbon Cycle Feedback Analysis: Results from the C &lt;sup&gt;4&lt;/sup&gt; MIP Model Intercomparison","title-short":"Climate–Carbon Cycle Feedback Analysis","volume":"19","author":[{"family":"Friedlingstein","given":""},{"family":"Cox","given":"P."},{"family":"Betts","given":"R."},{"family":"Bopp","given":"L."},{"family":"Bloh","given":"W.","non-dropping-particle":"von"},{"family":"Brovkin","given":"V."},{"family":"Cadule","given":"P."},{"family":"Doney","given":"S."},{"family":"Eby","given":"M."},{"family":"Fung","given":"I."},{"family":"Bala","given":"G."},{"family":"John","given":"J."},{"family":"Jones","given":"C."},{"family":"Joos","given":"F."},{"family":"Kato","given":"T."},{"family":"Kawamiya","given":"M."},{"family":"Knorr","given":"W."},{"family":"Lindsay","given":"K."},{"family":"Matthews","given":"H. D."},{"family":"Raddatz","given":"T."},{"family":"Rayner","given":"P."},{"family":"Reick","given":"C."},{"family":"Roeckner","given":"E."},{"family":"Schnitzler","given":"K.-G."},{"family":"Schnur","given":"R."},{"family":"Strassmann","given":"K."},{"family":"Weaver","given":"A. J."},{"family":"Yoshikawa","given":"C."},{"family":"Zeng","given":"N."}],"issued":{"date-parts":[["2006",7]]}}},{"id":229,"uris":["http://zotero.org/users/6128296/items/YAGAKT22"],"itemData":{"id":229,"type":"article-journal","abstract":"The MIT Integrated Global System Model is used to make probabilistic projections of climate change from 1861 to 2100. Since the model’s first projections were published in 2003 substantial improvements have been made to the model and improved estimates of the probability distributions of uncertain input parameters have become available. The new projections are considerably warmer than the 2003 projections, e.g., the median surface warming in 2091 to 2100 is 5.1oC compared to 2.4oC in the earlier study. Many changes contribute to the stronger warming; among the more important ones are taking into account the cooling in the second half of the 20th century due to volcanic eruptions for input parameter estimation and a more sophisticated method for projecting GDP growth which eliminated many low emission scenarios. However, if recently published data, suggesting stronger 20th century ocean warming, are used to determine the input climate parameters, the median projected warning at the end of the 21st century is only 4.1oC. Nevertheless all our simulations have a very small probability of warming less than 2.4oC, the lower bound of the IPCC AR4 projected likely range for the A1FI scenario, which has forcing very similar to our median projection. The probability distribution for the surface warming produced by our analysis is more symmetric than the distribution assumed by the IPCC due to a different feedback between the climate and the carbon cycle, resulting from a different treatment of the carbon-nitrogen interaction in the terrestrial ecosystem.","language":"en","page":"50","source":"Zotero","title":"Probabilistic forecast for 21st century climate based on uncertainties in emissions (without policy) and climate parameters","author":[{"family":"Sokolov","given":""},{"family":"Stone","given":"P"},{"family":"Forest","given":"C"},{"family":"Prinn","given":"R"},{"family":"Sarofim","given":"M"},{"family":"Webster","given":"M"},{"family":"Paltsev","given":"S"},{"family":"Schlosser","given":"C"},{"family":"Kicklighter","given":"D"},{"family":"Dutkiewicz","given":"S"},{"family":"Reilly","given":"J"},{"family":"Wang","given":"C"},{"family":"Felzer","given":"B"},{"family":"Jacoby","given":"H"}],"issued":{"date-parts":[["2009"]]}}},{"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A."}],"issued":{"date-parts":[["2011",1,4]]}}},{"id":192,"uris":["http://zotero.org/users/6128296/items/3AAG3GJR"],"itemData":{"id":192,"type":"article-journal","abstract":"Efforts to control climate change require the stabilization of atmospheric CO2 concentrations. This can only be achieved through a drastic reduction of global CO2 emissions. Yet fossil fuel emissions increased by 29% between 2000 and 2008, in conjunction with increased contributions from emerging economies, from the production and international trade of goods and services, and from the use of coal as a fuel source. In contrast, emissions from land-use changes were nearly constant. Between 1959 and 2008, 43% of each year’s CO2 emissions remained in the atmosphere on average; the rest was absorbed by carbon sinks on land and in the oceans. In the past 50 years, the fraction of CO2 emissions that remains in the atmosphere each year has likely increased, from about 40% to 45%, and models suggest that this trend was caused by a decrease in the uptake of CO2 by the carbon sinks in response to climate change and variability. Changes in the CO2 sinks are highly uncertain, but they could have a significant influence on future atmospheric CO2 levels. It is therefore crucial to reduce the uncertainties","container-title":"Nature Geoscience","DOI":"10.1038/ngeo689","ISSN":"1752-0894, 1752-0908","issue":"12","journalAbbreviation":"Nature Geosci","language":"en","page":"831-836","source":"DOI.org (Crossref)","title":"Trends in the sources and sinks of carbon dioxide","volume":"2","author":[{"family":"Le Quéré","given":""},{"family":"Raupach","given":"Michael R."},{"family":"Canadell","given":"Josep G."},{"family":"Marland","given":"Gregg"},{"family":"Bopp","given":"Laurent"},{"family":"Ciais","given":"Philippe"},{"family":"Conway","given":"Thomas J."},{"family":"Doney","given":"Scott C."},{"family":"Feely","given":"Richard A."},{"family":"Foster","given":"Pru"},{"family":"Friedlingstein","given":"Pierre"},{"family":"Gurney","given":"Kevin"},{"family":"Houghton","given":"Richard A."},{"family":"House","given":"Joanna I."},{"family":"Huntingford","given":"Chris"},{"family":"Levy","given":"Peter E."},{"family":"Lomas","given":"Mark R."},{"family":"Majkut","given":"Joseph"},{"family":"Metzl","given":"Nicolas"},{"family":"Ometto","given":"Jean P."},{"family":"Peters","given":"Glen P."},{"family":"Prentice","given":"I. Colin"},{"family":"Randerson","given":"James T."},{"family":"Running","given":"Steven W."},{"family":"Sarmiento","given":"Jorge L."},{"family":"Schuster","given":"Ute"},{"family":"Sitch","given":"Stephen"},{"family":"Takahashi","given":"Taro"},{"family":"Viovy","given":"Nicolas"},{"family":"Werf","given":"Guido R.","non-dropping-particle":"van der"},{"family":"Woodward","given":"F. Ian"}],"issued":{"date-parts":[["2009",12]]}}}],"schema":"https://github.com/citation-style-language/schema/raw/master/csl-citation.json"} </w:instrText>
      </w:r>
      <w:r w:rsidR="0064416C" w:rsidRPr="00C92B4B">
        <w:rPr>
          <w:rFonts w:ascii="Times New Roman" w:hAnsi="Times New Roman" w:cs="Times New Roman"/>
          <w:sz w:val="24"/>
          <w:szCs w:val="24"/>
        </w:rPr>
        <w:fldChar w:fldCharType="separate"/>
      </w:r>
      <w:r w:rsidR="00922909" w:rsidRPr="00922909">
        <w:rPr>
          <w:rFonts w:ascii="Times New Roman" w:hAnsi="Times New Roman" w:cs="Times New Roman"/>
          <w:sz w:val="24"/>
        </w:rPr>
        <w:t>(</w:t>
      </w:r>
      <w:proofErr w:type="spellStart"/>
      <w:r w:rsidR="00922909" w:rsidRPr="00922909">
        <w:rPr>
          <w:rFonts w:ascii="Times New Roman" w:hAnsi="Times New Roman" w:cs="Times New Roman"/>
          <w:sz w:val="24"/>
        </w:rPr>
        <w:t>Friedlingstein</w:t>
      </w:r>
      <w:proofErr w:type="spellEnd"/>
      <w:r w:rsidR="00922909" w:rsidRPr="00922909">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2006; Sokolov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2009; Beman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xml:space="preserve">. 2011; Le Quéré </w:t>
      </w:r>
      <w:r w:rsidR="00183222" w:rsidRPr="00183222">
        <w:rPr>
          <w:rFonts w:ascii="Times New Roman" w:hAnsi="Times New Roman" w:cs="Times New Roman"/>
          <w:i/>
          <w:iCs/>
          <w:sz w:val="24"/>
          <w:szCs w:val="24"/>
        </w:rPr>
        <w:t>et al</w:t>
      </w:r>
      <w:r w:rsidR="00922909" w:rsidRPr="00922909">
        <w:rPr>
          <w:rFonts w:ascii="Times New Roman" w:hAnsi="Times New Roman" w:cs="Times New Roman"/>
          <w:sz w:val="24"/>
        </w:rPr>
        <w:t>. 2009)</w:t>
      </w:r>
      <w:r w:rsidR="0064416C" w:rsidRPr="00C92B4B">
        <w:rPr>
          <w:rFonts w:ascii="Times New Roman" w:hAnsi="Times New Roman" w:cs="Times New Roman"/>
          <w:sz w:val="24"/>
          <w:szCs w:val="24"/>
        </w:rPr>
        <w:fldChar w:fldCharType="end"/>
      </w:r>
      <w:r w:rsidRPr="00C92B4B">
        <w:rPr>
          <w:rFonts w:ascii="Times New Roman" w:hAnsi="Times New Roman" w:cs="Times New Roman"/>
          <w:sz w:val="24"/>
          <w:szCs w:val="24"/>
        </w:rPr>
        <w:t xml:space="preserve"> while altering marine temperature </w:t>
      </w:r>
      <w:r w:rsidR="0064416C" w:rsidRPr="00C92B4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{"citationID":"WQTblqSn","properties":{"formattedCitation":"(Fu et al. 2007)","plainCitation":"(Fu et al. 2007)","noteIndex":0},"citationItems":[{"id":3214,"uris":["http://zotero.org/users/6128296/items/MUB7D4HK"],"itemData":{"id":3214,"type":"article-journal","abstract":"Little is known about the combined impacts of future CO2 and temperature increases on the growth and physiology of marine picocyanobacteria. We incubated Synechococcus and Prochlorococcus under present-day (380 ppm) or predicted year-2100 CO2 levels (750 ppm), and under normal versus elevated temperatures (+4°C) in semicontinuous cultures. Increased temperature stimulated the cell division rates of Synechococcus but not Prochlorococcus. Doubled CO2 combined with elevated temperature increased maximum chl a–normalized photosynthetic rates of Synechococcus four times relative to controls. Temperature also altered other photosynthetic parameters (a, Fmax, Ek, and DF =F 0m)inSynechococcus, but these changes were not observed for Prochlorococcus. Both increased CO2 and temperature raised the phycobilin and chl a content of Synechococcus, while only elevated temperature increased divinyl chl a in Prochlorococcus. Cellular carbon (C) and nitrogen (N) quotas, but not phosphorus (P) quotas, increased with elevated CO2 in Synechococcus, leading to  20% higher C:P and N:P ratios. In contrast, Prochlorococcus elemental composition remained unaffected by CO2, but cell volume and elemental quotas doubled with increasing temperature while maintaining constant stoichiometry. Synechococcus showed a much greater response to CO2 and temperature increases for most parameters measured, compared with Prochlorococcus. Our results suggest that global change could influence the dominance of Synechococcus and Prochlorococcus ecotypes, with likely effects on oligotrophic food-web structure. However, individual picocyanobacteria strains may respond quite differently to future CO2 and temperature increases, and caution is needed when generalizing their responses to global change in the ocean.","container-title":"Journal of Phycology","DOI":"10.1111/j.1529-8817.2007.00355.x","ISSN":"00223646, 15298817","issue":"3","language":"en","page":"485-496","source":"DOI.org (Crossref)","title":"EFFECTS OF INCREASED TEMPERATURE AND CO &lt;sub&gt;2&lt;/sub&gt; ON PHOTOSYNTHESIS, GROWTH, AND ELEMENTAL RATIOS IN MARINE &lt;i&gt;SYNECHOCOCCUS&lt;/i&gt; AND &lt;i&gt;PROCHLOROCOCCUS&lt;/i&gt; (CYANOBACTERIA)","volume":"43","author":[{"family":"Fu","given":""},{"family":"Warner","given":"Mark E."},{"family":"Zhang","given":"Yaohong"},{"family":"Feng","given":"Yuanyuan"},{"family":"Hutchins","given":"David A."}],"issued":{"date-parts":[["2007",6]]}}}],"schema":"https://github.com/citation-style-language/schema/raw/master/csl-citation.json"} </w:instrText>
      </w:r>
      <w:r w:rsidR="0064416C" w:rsidRPr="00C92B4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(Fu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2007)</w:t>
      </w:r>
      <w:r w:rsidR="0064416C" w:rsidRPr="00C92B4B">
        <w:rPr>
          <w:rFonts w:ascii="Times New Roman" w:hAnsi="Times New Roman" w:cs="Times New Roman"/>
          <w:sz w:val="24"/>
          <w:szCs w:val="24"/>
        </w:rPr>
        <w:fldChar w:fldCharType="end"/>
      </w:r>
      <w:r w:rsidRPr="00C92B4B">
        <w:rPr>
          <w:rFonts w:ascii="Times New Roman" w:hAnsi="Times New Roman" w:cs="Times New Roman"/>
          <w:sz w:val="24"/>
          <w:szCs w:val="24"/>
        </w:rPr>
        <w:t xml:space="preserve"> and precipitation (Hutchins and Fu 2017) inputs which directly affect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C92B4B">
        <w:rPr>
          <w:rFonts w:ascii="Times New Roman" w:hAnsi="Times New Roman" w:cs="Times New Roman"/>
          <w:sz w:val="24"/>
          <w:szCs w:val="24"/>
        </w:rPr>
        <w:t xml:space="preserve"> concentrations </w:t>
      </w:r>
      <w:r w:rsidR="00765702" w:rsidRPr="00C92B4B">
        <w:rPr>
          <w:rFonts w:ascii="Times New Roman" w:hAnsi="Times New Roman" w:cs="Times New Roman"/>
          <w:sz w:val="24"/>
          <w:szCs w:val="24"/>
        </w:rPr>
        <w:fldChar w:fldCharType="begin"/>
      </w:r>
      <w:r w:rsidR="00743C7C">
        <w:rPr>
          <w:rFonts w:ascii="Times New Roman" w:hAnsi="Times New Roman" w:cs="Times New Roman"/>
          <w:sz w:val="24"/>
          <w:szCs w:val="24"/>
        </w:rPr>
        <w:instrText xml:space="preserve"> ADDIN ZOTERO_ITEM CSL_CITATION {"citationID":"ENKHV7BG","properties":{"formattedCitation":"(Morris, Rose, and Lu 2022; Zhu et al. 2022; Zinser 2018b; Ahmad et al. 2015; Blough and Zepp 1995; Vaughan and Blough 1998)","plainCitation":"(Morris, Rose, and Lu 2022; Zhu et al. 2022; Zinser 2018b; Ahmad et al. 2015; Blough and Zepp 1995; Vaughan and Blough 1998)","noteIndex":0},"citationItems":[{"id":3443,"uris":["http://zotero.org/users/6128296/items/NAWLWA5Q"],"itemData":{"id":3443,"type":"article-journal","abstract":"Reactive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743C7C">
        <w:rPr>
          <w:rFonts w:ascii="Cambria Math" w:hAnsi="Cambria Math" w:cs="Cambria Math"/>
          <w:sz w:val="24"/>
          <w:szCs w:val="24"/>
        </w:rPr>
        <w:instrText>∼</w:instrText>
      </w:r>
      <w:r w:rsidR="00743C7C">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ecosystems","volume":"10","author":[{"family":"Zinser","given":""}],"issued":{"date-parts":[["2018",8]]}}},{"id":1688,"uris":["http://zotero.org/users/6128296/items/Y3V2RV47"],"itemData":{"id":1688,"type":"article-journal","abstract":"In this study, nanosized zero-valent iron-reduced graphene oxide (nZVI-rGO)-activated persulfate (PS) was used to investigate the generation of reactive oxygen species (ROS) for the degradation of trichloroethylene (TCE) in the aqueous solution. More than 98 % of TCE was degraded within 2 min under experimental conditions. The generation of ·OH increased when the pH was shifted toward the basic region while ·SO4− radicals’ intensity increased in the acidic pH. Different scenarios have been observed in ·O2− generation in the neutral and strong basic pH and decreased in acidic or slightly basic pH. In addition, the intensity of ·OH was increased with the addition of HCO3− (10 mM) and NO3− (100 mM) but decreased in the presence of Cl− (10and100mM),HCO3− (100 mM), and NO3− (10 mM). The degradation of anisole, probe for both ·OH and ·SO4−, was slightly enhanced by 10 mM NO3− anions but decreased in 100 mM salt solution. ·O2− intensity was increased while HCO3− (10 and 100mM)andNO3− (100 mM) anions were used. nZVI-rGO-activated PS process could remove TCE in aqueous effectively, and the ROS generation and intensity were influenced by solution pH values and anions.","container-title":"Water, Air, &amp; Soil Pollution","DOI":"10.1007/s11270-015-2635-8","ISSN":"0049-6979, 1573-2932","issue":"11","journalAbbreviation":"Water Air Soil Pollut","language":"en","page":"369","source":"DOI.org (Crossref)","title":"Effects of pH and Anions on the Generation of Reactive Oxygen Species (ROS) in nZVI-rGo-Activated Persulfate System","volume":"226","author":[{"family":"Ahmad","given":""},{"family":"Gu","given":"Xiaogang"},{"family":"Li","given":"Li"},{"family":"Lu","given":"Shuguang"},{"family":"Xu","given":"Yisheng"},{"family":"Guo","given":"Xuhong"}],"issued":{"date-parts":[["2015",11]]}}},{"id":2255,"uris":["http://zotero.org/users/6128296/items/AA4ACGK8"],"itemData":{"id":2255,"type":"chapter","container-title":"Active Oxygen in Chemistry. Structure Energetics and Reactivity in Chemistry Series","edition":"1995","note":"In: Foote, C.S., Valentine, J.S., Greenberg, A., Liebman, J.F. (eds)","publisher":"Springer, Dordrecht.","title":"Reactive Oxygen Species in Natural Waters.","URL":"https://doi.org/10.1007/978-94-007-0874-7_8","volume":"2","author":[{"family":"Blough","given":""},{"family":"Zepp","given":"R.G."}],"issued":{"date-parts":[["1995"]]}}},{"id":4746,"uris":["http://zotero.org/users/6128296/items/KNVJPM36"],"itemData":{"id":4746,"type":"article-journal","container-title":"Environmental Science &amp; Technology","DOI":"10.1021/es9710417","ISSN":"0013-936X, 1520-5851","issue":"19","journalAbbreviation":"Environ. Sci. Technol.","language":"en","page":"2947-2953","source":"DOI.org (Crossref)","title":"Photochemical Formation of Hydroxyl Radical by Constituents of Natural Waters","volume":"32","author":[{"family":"Vaughan","given":""},{"family":"Blough","given":"Neil V."}],"issued":{"date-parts":[["1998",10,1]]}}}],"schema":"https://github.com/citation-style-language/schema/raw/master/csl-citation.json"} </w:instrText>
      </w:r>
      <w:r w:rsidR="00765702" w:rsidRPr="00C92B4B">
        <w:rPr>
          <w:rFonts w:ascii="Times New Roman" w:hAnsi="Times New Roman" w:cs="Times New Roman"/>
          <w:sz w:val="24"/>
          <w:szCs w:val="24"/>
        </w:rPr>
        <w:fldChar w:fldCharType="separate"/>
      </w:r>
      <w:r w:rsidR="00743C7C">
        <w:rPr>
          <w:rFonts w:ascii="Times New Roman" w:hAnsi="Times New Roman" w:cs="Times New Roman"/>
          <w:sz w:val="24"/>
          <w:szCs w:val="24"/>
        </w:rPr>
        <w:t xml:space="preserve">(Morris, Rose, and Lu 2022; Zhu </w:t>
      </w:r>
      <w:r w:rsidR="00183222" w:rsidRPr="00183222">
        <w:rPr>
          <w:rFonts w:ascii="Times New Roman" w:hAnsi="Times New Roman" w:cs="Times New Roman"/>
          <w:i/>
          <w:iCs/>
          <w:sz w:val="24"/>
          <w:szCs w:val="24"/>
        </w:rPr>
        <w:t>et al</w:t>
      </w:r>
      <w:r w:rsidR="00743C7C">
        <w:rPr>
          <w:rFonts w:ascii="Times New Roman" w:hAnsi="Times New Roman" w:cs="Times New Roman"/>
          <w:sz w:val="24"/>
          <w:szCs w:val="24"/>
        </w:rPr>
        <w:t xml:space="preserve">. 2022; Zinser 2018b; Ahmad </w:t>
      </w:r>
      <w:r w:rsidR="00183222" w:rsidRPr="00183222">
        <w:rPr>
          <w:rFonts w:ascii="Times New Roman" w:hAnsi="Times New Roman" w:cs="Times New Roman"/>
          <w:i/>
          <w:iCs/>
          <w:sz w:val="24"/>
          <w:szCs w:val="24"/>
        </w:rPr>
        <w:t>et al</w:t>
      </w:r>
      <w:r w:rsidR="00743C7C">
        <w:rPr>
          <w:rFonts w:ascii="Times New Roman" w:hAnsi="Times New Roman" w:cs="Times New Roman"/>
          <w:sz w:val="24"/>
          <w:szCs w:val="24"/>
        </w:rPr>
        <w:t>. 2015; Blough and Zepp 1995; Vaughan and Blough 1998)</w:t>
      </w:r>
      <w:r w:rsidR="00765702" w:rsidRPr="00C92B4B">
        <w:rPr>
          <w:rFonts w:ascii="Times New Roman" w:hAnsi="Times New Roman" w:cs="Times New Roman"/>
          <w:sz w:val="24"/>
          <w:szCs w:val="24"/>
        </w:rPr>
        <w:fldChar w:fldCharType="end"/>
      </w:r>
      <w:r w:rsidRPr="00C92B4B">
        <w:rPr>
          <w:rFonts w:ascii="Times New Roman" w:hAnsi="Times New Roman" w:cs="Times New Roman"/>
          <w:sz w:val="24"/>
          <w:szCs w:val="24"/>
        </w:rPr>
        <w:t xml:space="preserve">. Already, noted plankton groups are projected to differ </w:t>
      </w:r>
      <w:r w:rsidR="007D32A6" w:rsidRPr="00C92B4B">
        <w:rPr>
          <w:rFonts w:ascii="Times New Roman" w:hAnsi="Times New Roman" w:cs="Times New Roman"/>
          <w:sz w:val="24"/>
          <w:szCs w:val="24"/>
        </w:rPr>
        <w:t>in</w:t>
      </w:r>
      <w:r w:rsidRPr="00C92B4B">
        <w:rPr>
          <w:rFonts w:ascii="Times New Roman" w:hAnsi="Times New Roman" w:cs="Times New Roman"/>
          <w:sz w:val="24"/>
          <w:szCs w:val="24"/>
        </w:rPr>
        <w:t xml:space="preserve"> the future marine environment </w:t>
      </w:r>
      <w:r w:rsidR="00765702" w:rsidRPr="00C92B4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{"citationID":"92dfPRUh","properties":{"formattedCitation":"(Carey et al. 2012; Henson et al. 2021; Dutkiewicz et al. 2015; Knight and Morris 2020; Beman et al. 2011)","plainCitation":"(Carey et al. 2012; Henson et al. 2021; Dutkiewicz et al. 2015; Knight and Morris 2020; Beman et al. 2011)","noteIndex":0},"citationItems":[{"id":1184,"uris":["http://zotero.org/users/6128296/items/YNKZL2VA"],"itemData":{"id":1184,"type":"article-journal","abstract":"Climate change scenarios predict that rivers, lakes, and reservoirs will experience increased temperatures, more intense and longer periods of thermal stratiﬁcation, modiﬁed hydrology, and altered nutrient loading. These environmental drivers will have substantial effects on freshwater phytoplankton species composition and biomass, potentially favouring cyanobacteria over other phytoplankton. In this Review, we examine how several cyanobacterial eco-physiological traits, speciﬁcally, the ability to grow in warmer temperatures; buoyancy; high afﬁnity for, and ability to store, phosphorus; nitrogen-ﬁxation; akinete production; and efﬁcient light harvesting, vary amongst cyanobacteria genera and may enable them to dominate in future climate scenarios. We predict that spatial variation in climate change will interact with physiological variation in cyanobacteria to create differences in the dominant cyanobacterial taxa among regions. Finally, we suggest that physiological traits speciﬁc to different cyanobacterial taxa may favour certain taxa over others in different regions, but overall, cyanobacteria as a group are likely to increase in most regions in the future.","container-title":"Water Research","DOI":"10.1016/j.watres.2011.12.016","ISSN":"00431354","issue":"5","journalAbbreviation":"Water Research","language":"en","page":"1394-1407","source":"DOI.org (Crossref)","title":"Eco-physiological adaptations that favour freshwater cyanobacteria in a changing climate","volume":"46","author":[{"family":"Carey","given":""},{"family":"Ibelings","given":"Bas W."},{"family":"Hoffmann","given":"Emily P."},{"family":"Hamilton","given":"David P."},{"family":"Brookes","given":"Justin D."}],"issued":{"date-parts":[["2012",4]]}}},{"id":4150,"uris":["http://zotero.org/users/6128296/items/LLDD9BXM"],"itemData":{"id":4150,"type":"article-journal","abstract":"Abstract\n            The future response of marine ecosystem diversity to continued anthropogenic forcing is poorly constrained. Phytoplankton are a diverse set of organisms that form the base of the marine ecosystem. Currently, ocean biogeochemistry and ecosystem models used for climate change projections typically include only 2−3 phytoplankton types and are, therefore, too simple to adequately assess the potential for changes in plankton community structure. Here, we analyse a complex ecosystem model with 35 phytoplankton types to evaluate the changes in phytoplankton community composition, turnover and size structure over the 21st century. We find that the rate of turnover in the phytoplankton community becomes faster during this century, that is, the community structure becomes increasingly unstable in response to climate change. Combined with alterations to phytoplankton diversity, our results imply a loss of ecological resilience with likely knock-on effects on the productivity and functioning of the marine environment.","container-title":"Nature Communications","DOI":"10.1038/s41467-021-25699-w","ISSN":"2041-1723","issue":"1","journalAbbreviation":"Nat Commun","language":"en","page":"5372","source":"DOI.org (Crossref)","title":"Future phytoplankton diversity in a changing climate","volume":"12","author":[{"family":"Henson","given":""},{"family":"Cael","given":"B. B."},{"family":"Allen","given":"Stephanie R."},{"family":"Dutkiewicz","given":"Stephanie"}],"issued":{"date-parts":[["2021",9,10]]}}},{"id":3188,"uris":["http://zotero.org/users/6128296/items/C5M8U2TV"],"itemData":{"id":3188,"type":"article-journal","abstract":"Phytoplankton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T."},{"family":"Berman-Frank","given":"Ilana"}],"issued":{"date-parts":[["2015",11]]}}},{"id":3977,"uris":["http://zotero.org/users/6128296/items/C682ZITV"],"itemData":{"id":3977,"type":"article-journal","abstract":"Anthropogenic CO2 emissions are projected to lower the pH of the ocean 0.3 units by 2100. Previous studies suggested that Prochlorococcus and Synechococcus, the numerically dominant phytoplankton in the oceans, have different responses to elevated CO2 that may result in a dramatic shift in their relative abundances in future oceans. Here we showed that the exponential growth rates of these two genera respond to future CO2 conditions in a manner similar to other cyanobacteria, but Prochlorococcus strains had significantly lower realized growth rates under elevated CO2 regimes due to poor survival after exposure to fresh culture media. Despite this, a Synechococcus strain was unable to outcompete a Prochlorococcus strain in co-culture at elevated CO2. Under these conditions, Prochlorococcus’ poor response to elevated CO2 disappeared, and Prochlorococcus’ relative fitness showed negative frequency dependence, with both competitors having significant fitness advantages when initially rare. These experiments suggested that the two strains should be able to coexist indefinitely in co-culture despite sharing nearly identical nutritional requirements. We speculate that negative frequency dependence exists due to reductive Black Queen evolution that has resulted in a passively mutualistic relationship analogous to that connecting Prochlorococcus with the ‘helper’ heterotrophic microbes in its environment.","container-title":"Enviro</w:instrText>
      </w:r>
      <w:r w:rsidR="009D7443">
        <w:rPr>
          <w:rFonts w:ascii="Times New Roman" w:hAnsi="Times New Roman" w:cs="Times New Roman" w:hint="eastAsia"/>
          <w:sz w:val="24"/>
          <w:szCs w:val="24"/>
        </w:rPr>
        <w:instrText>nmental Microbiology","DOI":"10.1111/1462-2920.15277","ISSN":"1462-2912, 1462-2920","issue":"11","journalAbbreviation":"Environmental Microbiology","language":"en","page":"4876-4889","source":"DOI.org (Crossref)","title":"Co</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culture with &lt;i&gt;Synechococcus&lt;</w:instrText>
      </w:r>
      <w:r w:rsidR="009D7443">
        <w:rPr>
          <w:rFonts w:ascii="Times New Roman" w:hAnsi="Times New Roman" w:cs="Times New Roman"/>
          <w:sz w:val="24"/>
          <w:szCs w:val="24"/>
        </w:rPr>
        <w:instrText xml:space="preserve">/i&gt; facilitates growth of &lt;i&gt;Prochlorococcus&lt;/i&gt; under ocean acidification conditions","volume":"22","author":[{"family":"Knight","given":""},{"family":"Morris","given":"J. Jeffrey"}],"issued":{"date-parts":[["2020",11]]}}},{"id":1670,"uris":["http://zotero.org/users/6128296/items/FPQP6Z9Q"],"itemData":{"id":1670,"type":"article-journal","abstract":"Ocean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A."}],"issued":{"date-parts":[["2011",1,4]]}}}],"schema":"https://github.com/citation-style-language/schema/raw/master/csl-citation.json"} </w:instrText>
      </w:r>
      <w:r w:rsidR="00765702" w:rsidRPr="00C92B4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(Carey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2012; Henson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2021; Dutkiewicz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2015; Knight and Morris 2020; Beman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2011)</w:t>
      </w:r>
      <w:r w:rsidR="00765702" w:rsidRPr="00C92B4B">
        <w:rPr>
          <w:rFonts w:ascii="Times New Roman" w:hAnsi="Times New Roman" w:cs="Times New Roman"/>
          <w:sz w:val="24"/>
          <w:szCs w:val="24"/>
        </w:rPr>
        <w:fldChar w:fldCharType="end"/>
      </w:r>
      <w:r w:rsidRPr="00C92B4B">
        <w:rPr>
          <w:rFonts w:ascii="Times New Roman" w:hAnsi="Times New Roman" w:cs="Times New Roman"/>
          <w:sz w:val="24"/>
          <w:szCs w:val="24"/>
        </w:rPr>
        <w:t xml:space="preserve">. We anticipate that quantification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C92B4B">
        <w:rPr>
          <w:rFonts w:ascii="Times New Roman" w:hAnsi="Times New Roman" w:cs="Times New Roman"/>
          <w:sz w:val="24"/>
          <w:szCs w:val="24"/>
        </w:rPr>
        <w:t xml:space="preserve">-detoxification and susceptibility in multiple catalase positive and negative plankton groups will help future analyses exploring the impacts of multiple stressors oligotrophic microbial communities </w:t>
      </w:r>
      <w:r w:rsidR="007D32A6" w:rsidRPr="00C92B4B">
        <w:rPr>
          <w:rFonts w:ascii="Times New Roman" w:hAnsi="Times New Roman" w:cs="Times New Roman"/>
          <w:sz w:val="24"/>
          <w:szCs w:val="24"/>
        </w:rPr>
        <w:t xml:space="preserve">experience </w:t>
      </w:r>
      <w:r w:rsidRPr="00C92B4B">
        <w:rPr>
          <w:rFonts w:ascii="Times New Roman" w:hAnsi="Times New Roman" w:cs="Times New Roman"/>
          <w:sz w:val="24"/>
          <w:szCs w:val="24"/>
        </w:rPr>
        <w:t>in a changing world.</w:t>
      </w:r>
    </w:p>
    <w:p w14:paraId="64041236" w14:textId="431A72D7" w:rsidR="00736537" w:rsidRPr="00736537" w:rsidRDefault="001B5E44" w:rsidP="00AB2160">
      <w:pPr>
        <w:pStyle w:val="Heading3"/>
        <w:spacing w:line="360" w:lineRule="auto"/>
      </w:pPr>
      <w:bookmarkStart w:id="38" w:name="_Toc173250027"/>
      <w:r w:rsidRPr="003609FB">
        <w:lastRenderedPageBreak/>
        <w:t>A</w:t>
      </w:r>
      <w:r w:rsidR="009B19B9" w:rsidRPr="003609FB">
        <w:t>cknowledgements</w:t>
      </w:r>
      <w:r w:rsidR="005E185F" w:rsidRPr="003609FB">
        <w:t>:</w:t>
      </w:r>
      <w:bookmarkEnd w:id="38"/>
      <w:r w:rsidR="005E185F" w:rsidRPr="003609FB">
        <w:t xml:space="preserve"> </w:t>
      </w:r>
    </w:p>
    <w:p w14:paraId="226CE874" w14:textId="0B194D43" w:rsidR="00736537" w:rsidRDefault="005E185F" w:rsidP="00A71D63">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J.J. Morris, University of Alabama at Birmingham – access to original data (2011, 2013, 2018) and culturing advice. B</w:t>
      </w:r>
      <w:r w:rsidR="00C92B4B">
        <w:rPr>
          <w:rFonts w:ascii="Times New Roman" w:hAnsi="Times New Roman" w:cs="Times New Roman"/>
          <w:sz w:val="24"/>
          <w:szCs w:val="24"/>
        </w:rPr>
        <w:t>.</w:t>
      </w:r>
      <w:r w:rsidRPr="003609FB">
        <w:rPr>
          <w:rFonts w:ascii="Times New Roman" w:hAnsi="Times New Roman" w:cs="Times New Roman"/>
          <w:sz w:val="24"/>
          <w:szCs w:val="24"/>
        </w:rPr>
        <w:t xml:space="preserve">C. Calfee, University of Chicago– original data and DKM lab training (BCC: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 0 and 400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data). E</w:t>
      </w:r>
      <w:r w:rsidR="00237A68" w:rsidRPr="003609FB">
        <w:rPr>
          <w:rFonts w:ascii="Times New Roman" w:hAnsi="Times New Roman" w:cs="Times New Roman"/>
          <w:sz w:val="24"/>
          <w:szCs w:val="24"/>
        </w:rPr>
        <w:t>.</w:t>
      </w:r>
      <w:r w:rsidRPr="003609FB">
        <w:rPr>
          <w:rFonts w:ascii="Times New Roman" w:hAnsi="Times New Roman" w:cs="Times New Roman"/>
          <w:sz w:val="24"/>
          <w:szCs w:val="24"/>
        </w:rPr>
        <w:t>A. Carr, University of Tennessee at Knoxville – modeling and science advice for D</w:t>
      </w:r>
      <w:r w:rsidR="00C113B3">
        <w:rPr>
          <w:rFonts w:ascii="Times New Roman" w:hAnsi="Times New Roman" w:cs="Times New Roman"/>
          <w:sz w:val="24"/>
          <w:szCs w:val="24"/>
        </w:rPr>
        <w:t>.</w:t>
      </w:r>
      <w:r w:rsidRPr="003609FB">
        <w:rPr>
          <w:rFonts w:ascii="Times New Roman" w:hAnsi="Times New Roman" w:cs="Times New Roman"/>
          <w:sz w:val="24"/>
          <w:szCs w:val="24"/>
        </w:rPr>
        <w:t>K</w:t>
      </w:r>
      <w:r w:rsidR="00C113B3">
        <w:rPr>
          <w:rFonts w:ascii="Times New Roman" w:hAnsi="Times New Roman" w:cs="Times New Roman"/>
          <w:sz w:val="24"/>
          <w:szCs w:val="24"/>
        </w:rPr>
        <w:t>.</w:t>
      </w:r>
      <w:r w:rsidRPr="003609FB">
        <w:rPr>
          <w:rFonts w:ascii="Times New Roman" w:hAnsi="Times New Roman" w:cs="Times New Roman"/>
          <w:sz w:val="24"/>
          <w:szCs w:val="24"/>
        </w:rPr>
        <w:t>M. High Performance &amp; Scientific Computing group, University of Tennessee at Knoxville - maintaining the ISAAC computing cluster. National Science Foundation’s Graduate Research Fellowship Program and Simons Foundation and OCE-2023680 funding of D</w:t>
      </w:r>
      <w:r w:rsidR="00C92B4B">
        <w:rPr>
          <w:rFonts w:ascii="Times New Roman" w:hAnsi="Times New Roman" w:cs="Times New Roman"/>
          <w:sz w:val="24"/>
          <w:szCs w:val="24"/>
        </w:rPr>
        <w:t>.</w:t>
      </w:r>
      <w:r w:rsidRPr="003609FB">
        <w:rPr>
          <w:rFonts w:ascii="Times New Roman" w:hAnsi="Times New Roman" w:cs="Times New Roman"/>
          <w:sz w:val="24"/>
          <w:szCs w:val="24"/>
        </w:rPr>
        <w:t>K</w:t>
      </w:r>
      <w:r w:rsidR="00C92B4B">
        <w:rPr>
          <w:rFonts w:ascii="Times New Roman" w:hAnsi="Times New Roman" w:cs="Times New Roman"/>
          <w:sz w:val="24"/>
          <w:szCs w:val="24"/>
        </w:rPr>
        <w:t>.</w:t>
      </w:r>
      <w:r w:rsidRPr="003609FB">
        <w:rPr>
          <w:rFonts w:ascii="Times New Roman" w:hAnsi="Times New Roman" w:cs="Times New Roman"/>
          <w:sz w:val="24"/>
          <w:szCs w:val="24"/>
        </w:rPr>
        <w:t>M</w:t>
      </w:r>
      <w:r w:rsidR="00C92B4B">
        <w:rPr>
          <w:rFonts w:ascii="Times New Roman" w:hAnsi="Times New Roman" w:cs="Times New Roman"/>
          <w:sz w:val="24"/>
          <w:szCs w:val="24"/>
        </w:rPr>
        <w:t>.</w:t>
      </w:r>
      <w:r w:rsidRPr="003609FB">
        <w:rPr>
          <w:rFonts w:ascii="Times New Roman" w:hAnsi="Times New Roman" w:cs="Times New Roman"/>
          <w:sz w:val="24"/>
          <w:szCs w:val="24"/>
        </w:rPr>
        <w:t>, D</w:t>
      </w:r>
      <w:r w:rsidR="00C92B4B">
        <w:rPr>
          <w:rFonts w:ascii="Times New Roman" w:hAnsi="Times New Roman" w:cs="Times New Roman"/>
          <w:sz w:val="24"/>
          <w:szCs w:val="24"/>
        </w:rPr>
        <w:t>.</w:t>
      </w:r>
      <w:r w:rsidRPr="003609FB">
        <w:rPr>
          <w:rFonts w:ascii="Times New Roman" w:hAnsi="Times New Roman" w:cs="Times New Roman"/>
          <w:sz w:val="24"/>
          <w:szCs w:val="24"/>
        </w:rPr>
        <w:t>T</w:t>
      </w:r>
      <w:r w:rsidR="00C92B4B">
        <w:rPr>
          <w:rFonts w:ascii="Times New Roman" w:hAnsi="Times New Roman" w:cs="Times New Roman"/>
          <w:sz w:val="24"/>
          <w:szCs w:val="24"/>
        </w:rPr>
        <w:t>.</w:t>
      </w:r>
      <w:r w:rsidRPr="003609FB">
        <w:rPr>
          <w:rFonts w:ascii="Times New Roman" w:hAnsi="Times New Roman" w:cs="Times New Roman"/>
          <w:sz w:val="24"/>
          <w:szCs w:val="24"/>
        </w:rPr>
        <w:t>, and E</w:t>
      </w:r>
      <w:r w:rsidR="00C92B4B">
        <w:rPr>
          <w:rFonts w:ascii="Times New Roman" w:hAnsi="Times New Roman" w:cs="Times New Roman"/>
          <w:sz w:val="24"/>
          <w:szCs w:val="24"/>
        </w:rPr>
        <w:t>.</w:t>
      </w:r>
      <w:r w:rsidRPr="003609FB">
        <w:rPr>
          <w:rFonts w:ascii="Times New Roman" w:hAnsi="Times New Roman" w:cs="Times New Roman"/>
          <w:sz w:val="24"/>
          <w:szCs w:val="24"/>
        </w:rPr>
        <w:t>R</w:t>
      </w:r>
      <w:r w:rsidR="00C92B4B">
        <w:rPr>
          <w:rFonts w:ascii="Times New Roman" w:hAnsi="Times New Roman" w:cs="Times New Roman"/>
          <w:sz w:val="24"/>
          <w:szCs w:val="24"/>
        </w:rPr>
        <w:t>.</w:t>
      </w:r>
      <w:r w:rsidRPr="003609FB">
        <w:rPr>
          <w:rFonts w:ascii="Times New Roman" w:hAnsi="Times New Roman" w:cs="Times New Roman"/>
          <w:sz w:val="24"/>
          <w:szCs w:val="24"/>
        </w:rPr>
        <w:t>Z</w:t>
      </w:r>
      <w:r w:rsidR="00C92B4B">
        <w:rPr>
          <w:rFonts w:ascii="Times New Roman" w:hAnsi="Times New Roman" w:cs="Times New Roman"/>
          <w:sz w:val="24"/>
          <w:szCs w:val="24"/>
        </w:rPr>
        <w:t>.</w:t>
      </w:r>
    </w:p>
    <w:p w14:paraId="7487B024" w14:textId="77777777" w:rsidR="00A842C8" w:rsidRDefault="00A842C8" w:rsidP="00A71D63">
      <w:pPr>
        <w:spacing w:line="360" w:lineRule="auto"/>
        <w:ind w:firstLine="720"/>
        <w:rPr>
          <w:rFonts w:ascii="Times New Roman" w:hAnsi="Times New Roman" w:cs="Times New Roman"/>
          <w:sz w:val="24"/>
          <w:szCs w:val="24"/>
        </w:rPr>
      </w:pPr>
    </w:p>
    <w:p w14:paraId="24C5195B" w14:textId="77777777" w:rsidR="00A842C8" w:rsidRDefault="00A842C8" w:rsidP="00A71D63">
      <w:pPr>
        <w:spacing w:line="360" w:lineRule="auto"/>
        <w:ind w:firstLine="720"/>
        <w:rPr>
          <w:rFonts w:ascii="Times New Roman" w:hAnsi="Times New Roman" w:cs="Times New Roman"/>
          <w:sz w:val="24"/>
          <w:szCs w:val="24"/>
        </w:rPr>
      </w:pPr>
    </w:p>
    <w:p w14:paraId="3253FD34" w14:textId="77777777" w:rsidR="00A842C8" w:rsidRDefault="00A842C8" w:rsidP="00A71D63">
      <w:pPr>
        <w:spacing w:line="360" w:lineRule="auto"/>
        <w:ind w:firstLine="720"/>
        <w:rPr>
          <w:rFonts w:ascii="Times New Roman" w:hAnsi="Times New Roman" w:cs="Times New Roman"/>
          <w:sz w:val="24"/>
          <w:szCs w:val="24"/>
        </w:rPr>
      </w:pPr>
    </w:p>
    <w:p w14:paraId="4FB424B4" w14:textId="77777777" w:rsidR="00A842C8" w:rsidRDefault="00A842C8" w:rsidP="00A71D63">
      <w:pPr>
        <w:spacing w:line="360" w:lineRule="auto"/>
        <w:ind w:firstLine="720"/>
        <w:rPr>
          <w:rFonts w:ascii="Times New Roman" w:hAnsi="Times New Roman" w:cs="Times New Roman"/>
          <w:sz w:val="24"/>
          <w:szCs w:val="24"/>
        </w:rPr>
      </w:pPr>
    </w:p>
    <w:p w14:paraId="29CFD65D" w14:textId="77777777" w:rsidR="00A842C8" w:rsidRDefault="00A842C8" w:rsidP="00A71D63">
      <w:pPr>
        <w:spacing w:line="360" w:lineRule="auto"/>
        <w:ind w:firstLine="720"/>
        <w:rPr>
          <w:rFonts w:ascii="Times New Roman" w:hAnsi="Times New Roman" w:cs="Times New Roman"/>
          <w:sz w:val="24"/>
          <w:szCs w:val="24"/>
        </w:rPr>
      </w:pPr>
    </w:p>
    <w:p w14:paraId="7854738C" w14:textId="77777777" w:rsidR="00A842C8" w:rsidRDefault="00A842C8" w:rsidP="00A71D63">
      <w:pPr>
        <w:spacing w:line="360" w:lineRule="auto"/>
        <w:ind w:firstLine="720"/>
        <w:rPr>
          <w:rFonts w:ascii="Times New Roman" w:hAnsi="Times New Roman" w:cs="Times New Roman"/>
          <w:sz w:val="24"/>
          <w:szCs w:val="24"/>
        </w:rPr>
      </w:pPr>
    </w:p>
    <w:p w14:paraId="5CF410D9" w14:textId="77777777" w:rsidR="00A842C8" w:rsidRDefault="00A842C8" w:rsidP="00A71D63">
      <w:pPr>
        <w:spacing w:line="360" w:lineRule="auto"/>
        <w:ind w:firstLine="720"/>
        <w:rPr>
          <w:rFonts w:ascii="Times New Roman" w:hAnsi="Times New Roman" w:cs="Times New Roman"/>
          <w:sz w:val="24"/>
          <w:szCs w:val="24"/>
        </w:rPr>
      </w:pPr>
    </w:p>
    <w:p w14:paraId="6C494402" w14:textId="77777777" w:rsidR="00F17DAA" w:rsidRDefault="00F17DAA" w:rsidP="00A71D63">
      <w:pPr>
        <w:spacing w:line="360" w:lineRule="auto"/>
        <w:ind w:firstLine="720"/>
        <w:rPr>
          <w:rFonts w:ascii="Times New Roman" w:hAnsi="Times New Roman" w:cs="Times New Roman"/>
          <w:sz w:val="24"/>
          <w:szCs w:val="24"/>
        </w:rPr>
      </w:pPr>
    </w:p>
    <w:p w14:paraId="418E9634" w14:textId="77777777" w:rsidR="00F17DAA" w:rsidRDefault="00F17DAA" w:rsidP="00A71D63">
      <w:pPr>
        <w:spacing w:line="360" w:lineRule="auto"/>
        <w:ind w:firstLine="720"/>
        <w:rPr>
          <w:rFonts w:ascii="Times New Roman" w:hAnsi="Times New Roman" w:cs="Times New Roman"/>
          <w:sz w:val="24"/>
          <w:szCs w:val="24"/>
        </w:rPr>
      </w:pPr>
    </w:p>
    <w:p w14:paraId="2B6FBD90" w14:textId="77777777" w:rsidR="00F17DAA" w:rsidRDefault="00F17DAA" w:rsidP="00A71D63">
      <w:pPr>
        <w:spacing w:line="360" w:lineRule="auto"/>
        <w:ind w:firstLine="720"/>
        <w:rPr>
          <w:rFonts w:ascii="Times New Roman" w:hAnsi="Times New Roman" w:cs="Times New Roman"/>
          <w:sz w:val="24"/>
          <w:szCs w:val="24"/>
        </w:rPr>
      </w:pPr>
    </w:p>
    <w:p w14:paraId="2B5E90AF" w14:textId="77777777" w:rsidR="00F17DAA" w:rsidRDefault="00F17DAA" w:rsidP="00A71D63">
      <w:pPr>
        <w:spacing w:line="360" w:lineRule="auto"/>
        <w:ind w:firstLine="720"/>
        <w:rPr>
          <w:rFonts w:ascii="Times New Roman" w:hAnsi="Times New Roman" w:cs="Times New Roman"/>
          <w:sz w:val="24"/>
          <w:szCs w:val="24"/>
        </w:rPr>
      </w:pPr>
    </w:p>
    <w:p w14:paraId="0F45D27F" w14:textId="77777777" w:rsidR="00F17DAA" w:rsidRDefault="00F17DAA" w:rsidP="00A71D63">
      <w:pPr>
        <w:spacing w:line="360" w:lineRule="auto"/>
        <w:ind w:firstLine="720"/>
        <w:rPr>
          <w:rFonts w:ascii="Times New Roman" w:hAnsi="Times New Roman" w:cs="Times New Roman"/>
          <w:sz w:val="24"/>
          <w:szCs w:val="24"/>
        </w:rPr>
      </w:pPr>
    </w:p>
    <w:p w14:paraId="611789EA" w14:textId="77777777" w:rsidR="00A842C8" w:rsidRPr="003609FB" w:rsidRDefault="00A842C8" w:rsidP="00A71D63">
      <w:pPr>
        <w:spacing w:line="360" w:lineRule="auto"/>
        <w:ind w:firstLine="720"/>
        <w:rPr>
          <w:rFonts w:ascii="Times New Roman" w:hAnsi="Times New Roman" w:cs="Times New Roman"/>
          <w:sz w:val="24"/>
          <w:szCs w:val="24"/>
        </w:rPr>
      </w:pPr>
    </w:p>
    <w:p w14:paraId="328AAB77" w14:textId="7AF6465A" w:rsidR="00E540F3" w:rsidRPr="004409D7" w:rsidRDefault="00E540F3" w:rsidP="00AB2160">
      <w:pPr>
        <w:pStyle w:val="Heading1"/>
        <w:spacing w:line="360" w:lineRule="auto"/>
        <w:rPr>
          <w:b w:val="0"/>
          <w:bCs w:val="0"/>
        </w:rPr>
      </w:pPr>
      <w:bookmarkStart w:id="39" w:name="_Toc173250028"/>
      <w:r w:rsidRPr="004409D7">
        <w:rPr>
          <w:b w:val="0"/>
          <w:bCs w:val="0"/>
        </w:rPr>
        <w:lastRenderedPageBreak/>
        <w:t xml:space="preserve">Evaluation of </w:t>
      </w:r>
      <w:r w:rsidR="00F52F1E" w:rsidRPr="004409D7">
        <w:rPr>
          <w:b w:val="0"/>
          <w:bCs w:val="0"/>
        </w:rPr>
        <w:t>H</w:t>
      </w:r>
      <w:r w:rsidR="00F52F1E" w:rsidRPr="004409D7">
        <w:rPr>
          <w:b w:val="0"/>
          <w:bCs w:val="0"/>
          <w:vertAlign w:val="subscript"/>
        </w:rPr>
        <w:t>2</w:t>
      </w:r>
      <w:r w:rsidR="00F52F1E" w:rsidRPr="004409D7">
        <w:rPr>
          <w:b w:val="0"/>
          <w:bCs w:val="0"/>
        </w:rPr>
        <w:t>O</w:t>
      </w:r>
      <w:r w:rsidR="00F52F1E" w:rsidRPr="004409D7">
        <w:rPr>
          <w:b w:val="0"/>
          <w:bCs w:val="0"/>
          <w:vertAlign w:val="subscript"/>
        </w:rPr>
        <w:t>2</w:t>
      </w:r>
      <w:r w:rsidRPr="004409D7">
        <w:rPr>
          <w:b w:val="0"/>
          <w:bCs w:val="0"/>
        </w:rPr>
        <w:t xml:space="preserve"> as a community composition moderator within oligotrophic plankton dynamics</w:t>
      </w:r>
      <w:bookmarkEnd w:id="39"/>
    </w:p>
    <w:p w14:paraId="70596FE1" w14:textId="77777777" w:rsidR="00531865" w:rsidRPr="003609FB" w:rsidRDefault="00531865" w:rsidP="00AB2160">
      <w:pPr>
        <w:spacing w:line="360" w:lineRule="auto"/>
        <w:rPr>
          <w:rFonts w:ascii="Times New Roman" w:hAnsi="Times New Roman" w:cs="Times New Roman"/>
          <w:sz w:val="24"/>
          <w:szCs w:val="24"/>
        </w:rPr>
      </w:pPr>
    </w:p>
    <w:p w14:paraId="1890F7C7" w14:textId="741A5EB7" w:rsidR="001F1D2A" w:rsidRPr="003609FB" w:rsidRDefault="001F1D2A" w:rsidP="00AB2160">
      <w:pPr>
        <w:spacing w:line="360" w:lineRule="auto"/>
        <w:rPr>
          <w:rFonts w:ascii="Times New Roman" w:hAnsi="Times New Roman" w:cs="Times New Roman"/>
          <w:sz w:val="24"/>
          <w:szCs w:val="24"/>
        </w:rPr>
      </w:pPr>
    </w:p>
    <w:p w14:paraId="32B09049" w14:textId="3A9C1976" w:rsidR="00383604" w:rsidRPr="003609FB" w:rsidRDefault="00383604" w:rsidP="00AB2160">
      <w:pPr>
        <w:spacing w:line="360" w:lineRule="auto"/>
        <w:rPr>
          <w:rFonts w:ascii="Times New Roman" w:hAnsi="Times New Roman" w:cs="Times New Roman"/>
          <w:sz w:val="24"/>
          <w:szCs w:val="24"/>
        </w:rPr>
      </w:pPr>
    </w:p>
    <w:p w14:paraId="11898EA6" w14:textId="210C62EB" w:rsidR="00383604" w:rsidRDefault="00383604" w:rsidP="00AB2160">
      <w:pPr>
        <w:spacing w:line="360" w:lineRule="auto"/>
        <w:rPr>
          <w:rFonts w:ascii="Times New Roman" w:hAnsi="Times New Roman" w:cs="Times New Roman"/>
          <w:sz w:val="24"/>
          <w:szCs w:val="24"/>
        </w:rPr>
      </w:pPr>
    </w:p>
    <w:p w14:paraId="733B8645" w14:textId="7FA82F8F" w:rsidR="00A71D63" w:rsidRDefault="00A71D63" w:rsidP="00AB2160">
      <w:pPr>
        <w:spacing w:line="360" w:lineRule="auto"/>
        <w:rPr>
          <w:rFonts w:ascii="Times New Roman" w:hAnsi="Times New Roman" w:cs="Times New Roman"/>
          <w:sz w:val="24"/>
          <w:szCs w:val="24"/>
        </w:rPr>
      </w:pPr>
    </w:p>
    <w:p w14:paraId="723578C2" w14:textId="08669567" w:rsidR="00A71D63" w:rsidRDefault="00A71D63" w:rsidP="00AB2160">
      <w:pPr>
        <w:spacing w:line="360" w:lineRule="auto"/>
        <w:rPr>
          <w:rFonts w:ascii="Times New Roman" w:hAnsi="Times New Roman" w:cs="Times New Roman"/>
          <w:sz w:val="24"/>
          <w:szCs w:val="24"/>
        </w:rPr>
      </w:pPr>
    </w:p>
    <w:p w14:paraId="627E4BAF" w14:textId="222A6C6A" w:rsidR="00A71D63" w:rsidRDefault="00A71D63" w:rsidP="00AB2160">
      <w:pPr>
        <w:spacing w:line="360" w:lineRule="auto"/>
        <w:rPr>
          <w:rFonts w:ascii="Times New Roman" w:hAnsi="Times New Roman" w:cs="Times New Roman"/>
          <w:sz w:val="24"/>
          <w:szCs w:val="24"/>
        </w:rPr>
      </w:pPr>
    </w:p>
    <w:p w14:paraId="508DF14E" w14:textId="706F0C28" w:rsidR="00A71D63" w:rsidRDefault="00A71D63" w:rsidP="00AB2160">
      <w:pPr>
        <w:spacing w:line="360" w:lineRule="auto"/>
        <w:rPr>
          <w:rFonts w:ascii="Times New Roman" w:hAnsi="Times New Roman" w:cs="Times New Roman"/>
          <w:sz w:val="24"/>
          <w:szCs w:val="24"/>
        </w:rPr>
      </w:pPr>
    </w:p>
    <w:p w14:paraId="6F325E07" w14:textId="7A4E2A5A" w:rsidR="00A71D63" w:rsidRDefault="00A71D63" w:rsidP="00AB2160">
      <w:pPr>
        <w:spacing w:line="360" w:lineRule="auto"/>
        <w:rPr>
          <w:rFonts w:ascii="Times New Roman" w:hAnsi="Times New Roman" w:cs="Times New Roman"/>
          <w:sz w:val="24"/>
          <w:szCs w:val="24"/>
        </w:rPr>
      </w:pPr>
    </w:p>
    <w:p w14:paraId="23BBA99F" w14:textId="7166F407" w:rsidR="00A71D63" w:rsidRDefault="00A71D63" w:rsidP="00AB2160">
      <w:pPr>
        <w:spacing w:line="360" w:lineRule="auto"/>
        <w:rPr>
          <w:rFonts w:ascii="Times New Roman" w:hAnsi="Times New Roman" w:cs="Times New Roman"/>
          <w:sz w:val="24"/>
          <w:szCs w:val="24"/>
        </w:rPr>
      </w:pPr>
    </w:p>
    <w:p w14:paraId="15ACA463" w14:textId="1B2B168D" w:rsidR="00A71D63" w:rsidRDefault="00A71D63" w:rsidP="00AB2160">
      <w:pPr>
        <w:spacing w:line="360" w:lineRule="auto"/>
        <w:rPr>
          <w:rFonts w:ascii="Times New Roman" w:hAnsi="Times New Roman" w:cs="Times New Roman"/>
          <w:sz w:val="24"/>
          <w:szCs w:val="24"/>
        </w:rPr>
      </w:pPr>
    </w:p>
    <w:p w14:paraId="5F0CD59E" w14:textId="0A6C09A9" w:rsidR="00A71D63" w:rsidRDefault="00A71D63" w:rsidP="00AB2160">
      <w:pPr>
        <w:spacing w:line="360" w:lineRule="auto"/>
        <w:rPr>
          <w:rFonts w:ascii="Times New Roman" w:hAnsi="Times New Roman" w:cs="Times New Roman"/>
          <w:sz w:val="24"/>
          <w:szCs w:val="24"/>
        </w:rPr>
      </w:pPr>
    </w:p>
    <w:p w14:paraId="6DBB4426" w14:textId="44326901" w:rsidR="00A71D63" w:rsidRDefault="00A71D63" w:rsidP="00AB2160">
      <w:pPr>
        <w:spacing w:line="360" w:lineRule="auto"/>
        <w:rPr>
          <w:rFonts w:ascii="Times New Roman" w:hAnsi="Times New Roman" w:cs="Times New Roman"/>
          <w:sz w:val="24"/>
          <w:szCs w:val="24"/>
        </w:rPr>
      </w:pPr>
    </w:p>
    <w:p w14:paraId="5CF3274D" w14:textId="773789F0" w:rsidR="00A71D63" w:rsidRDefault="00A71D63" w:rsidP="00AB2160">
      <w:pPr>
        <w:spacing w:line="360" w:lineRule="auto"/>
        <w:rPr>
          <w:rFonts w:ascii="Times New Roman" w:hAnsi="Times New Roman" w:cs="Times New Roman"/>
          <w:sz w:val="24"/>
          <w:szCs w:val="24"/>
        </w:rPr>
      </w:pPr>
    </w:p>
    <w:p w14:paraId="28B3BBA4" w14:textId="12325B5F" w:rsidR="00A71D63" w:rsidRDefault="00A71D63" w:rsidP="00AB2160">
      <w:pPr>
        <w:spacing w:line="360" w:lineRule="auto"/>
        <w:rPr>
          <w:rFonts w:ascii="Times New Roman" w:hAnsi="Times New Roman" w:cs="Times New Roman"/>
          <w:sz w:val="24"/>
          <w:szCs w:val="24"/>
        </w:rPr>
      </w:pPr>
    </w:p>
    <w:p w14:paraId="30E8085B" w14:textId="5095516A" w:rsidR="00A71D63" w:rsidRDefault="00A71D63" w:rsidP="00AB2160">
      <w:pPr>
        <w:spacing w:line="360" w:lineRule="auto"/>
        <w:rPr>
          <w:rFonts w:ascii="Times New Roman" w:hAnsi="Times New Roman" w:cs="Times New Roman"/>
          <w:sz w:val="24"/>
          <w:szCs w:val="24"/>
        </w:rPr>
      </w:pPr>
    </w:p>
    <w:p w14:paraId="0B613EDB" w14:textId="2CB507E4" w:rsidR="00A71D63" w:rsidRDefault="00A71D63" w:rsidP="00AB2160">
      <w:pPr>
        <w:spacing w:line="360" w:lineRule="auto"/>
        <w:rPr>
          <w:rFonts w:ascii="Times New Roman" w:hAnsi="Times New Roman" w:cs="Times New Roman"/>
          <w:sz w:val="24"/>
          <w:szCs w:val="24"/>
        </w:rPr>
      </w:pPr>
    </w:p>
    <w:p w14:paraId="203B5243" w14:textId="77777777" w:rsidR="00A71D63" w:rsidRPr="003609FB" w:rsidRDefault="00A71D63" w:rsidP="00AB2160">
      <w:pPr>
        <w:spacing w:line="360" w:lineRule="auto"/>
        <w:rPr>
          <w:rFonts w:ascii="Times New Roman" w:hAnsi="Times New Roman" w:cs="Times New Roman"/>
          <w:sz w:val="24"/>
          <w:szCs w:val="24"/>
        </w:rPr>
      </w:pPr>
    </w:p>
    <w:p w14:paraId="2CD6371B" w14:textId="6F08BAC5" w:rsidR="003808A7" w:rsidRPr="003609FB" w:rsidRDefault="003808A7"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Author(s): D</w:t>
      </w:r>
      <w:r w:rsidR="00620109" w:rsidRPr="003609FB">
        <w:rPr>
          <w:rFonts w:ascii="Times New Roman" w:hAnsi="Times New Roman" w:cs="Times New Roman"/>
          <w:sz w:val="24"/>
          <w:szCs w:val="24"/>
        </w:rPr>
        <w:t>.</w:t>
      </w:r>
      <w:r w:rsidRPr="003609FB">
        <w:rPr>
          <w:rFonts w:ascii="Times New Roman" w:hAnsi="Times New Roman" w:cs="Times New Roman"/>
          <w:sz w:val="24"/>
          <w:szCs w:val="24"/>
        </w:rPr>
        <w:t>K</w:t>
      </w:r>
      <w:r w:rsidR="00620109" w:rsidRPr="003609FB">
        <w:rPr>
          <w:rFonts w:ascii="Times New Roman" w:hAnsi="Times New Roman" w:cs="Times New Roman"/>
          <w:sz w:val="24"/>
          <w:szCs w:val="24"/>
        </w:rPr>
        <w:t>.</w:t>
      </w:r>
      <w:r w:rsidRPr="003609FB">
        <w:rPr>
          <w:rFonts w:ascii="Times New Roman" w:hAnsi="Times New Roman" w:cs="Times New Roman"/>
          <w:sz w:val="24"/>
          <w:szCs w:val="24"/>
        </w:rPr>
        <w:t>M</w:t>
      </w:r>
      <w:r w:rsidR="00620109" w:rsidRPr="003609FB">
        <w:rPr>
          <w:rFonts w:ascii="Times New Roman" w:hAnsi="Times New Roman" w:cs="Times New Roman"/>
          <w:sz w:val="24"/>
          <w:szCs w:val="24"/>
        </w:rPr>
        <w:t>., D.T.</w:t>
      </w:r>
    </w:p>
    <w:p w14:paraId="310CD02A" w14:textId="5E98B34A" w:rsidR="003808A7" w:rsidRPr="003609FB" w:rsidRDefault="003808A7"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Author contribution statements: Written and edited by D</w:t>
      </w:r>
      <w:r w:rsidR="00B03E43">
        <w:rPr>
          <w:rFonts w:ascii="Times New Roman" w:hAnsi="Times New Roman" w:cs="Times New Roman"/>
          <w:sz w:val="24"/>
          <w:szCs w:val="24"/>
        </w:rPr>
        <w:t>.</w:t>
      </w:r>
      <w:r w:rsidRPr="003609FB">
        <w:rPr>
          <w:rFonts w:ascii="Times New Roman" w:hAnsi="Times New Roman" w:cs="Times New Roman"/>
          <w:sz w:val="24"/>
          <w:szCs w:val="24"/>
        </w:rPr>
        <w:t>K</w:t>
      </w:r>
      <w:r w:rsidR="00B03E43">
        <w:rPr>
          <w:rFonts w:ascii="Times New Roman" w:hAnsi="Times New Roman" w:cs="Times New Roman"/>
          <w:sz w:val="24"/>
          <w:szCs w:val="24"/>
        </w:rPr>
        <w:t>.</w:t>
      </w:r>
      <w:r w:rsidRPr="003609FB">
        <w:rPr>
          <w:rFonts w:ascii="Times New Roman" w:hAnsi="Times New Roman" w:cs="Times New Roman"/>
          <w:sz w:val="24"/>
          <w:szCs w:val="24"/>
        </w:rPr>
        <w:t>M</w:t>
      </w:r>
      <w:r w:rsidR="00B03E43">
        <w:rPr>
          <w:rFonts w:ascii="Times New Roman" w:hAnsi="Times New Roman" w:cs="Times New Roman"/>
          <w:sz w:val="24"/>
          <w:szCs w:val="24"/>
        </w:rPr>
        <w:t>.</w:t>
      </w:r>
      <w:r w:rsidRPr="003609FB">
        <w:rPr>
          <w:rFonts w:ascii="Times New Roman" w:hAnsi="Times New Roman" w:cs="Times New Roman"/>
          <w:sz w:val="24"/>
          <w:szCs w:val="24"/>
        </w:rPr>
        <w:t xml:space="preserve"> with feedback from D</w:t>
      </w:r>
      <w:r w:rsidR="00B03E43">
        <w:rPr>
          <w:rFonts w:ascii="Times New Roman" w:hAnsi="Times New Roman" w:cs="Times New Roman"/>
          <w:sz w:val="24"/>
          <w:szCs w:val="24"/>
        </w:rPr>
        <w:t>.</w:t>
      </w:r>
      <w:r w:rsidRPr="003609FB">
        <w:rPr>
          <w:rFonts w:ascii="Times New Roman" w:hAnsi="Times New Roman" w:cs="Times New Roman"/>
          <w:sz w:val="24"/>
          <w:szCs w:val="24"/>
        </w:rPr>
        <w:t>T</w:t>
      </w:r>
      <w:r w:rsidR="00B03E43">
        <w:rPr>
          <w:rFonts w:ascii="Times New Roman" w:hAnsi="Times New Roman" w:cs="Times New Roman"/>
          <w:sz w:val="24"/>
          <w:szCs w:val="24"/>
        </w:rPr>
        <w:t>.</w:t>
      </w:r>
    </w:p>
    <w:p w14:paraId="3E34D336" w14:textId="77777777" w:rsidR="00FB1BCE" w:rsidRPr="003609FB" w:rsidRDefault="00FB1BCE" w:rsidP="00AB2160">
      <w:pPr>
        <w:spacing w:line="360" w:lineRule="auto"/>
        <w:rPr>
          <w:rFonts w:ascii="Times New Roman" w:hAnsi="Times New Roman" w:cs="Times New Roman"/>
          <w:sz w:val="24"/>
          <w:szCs w:val="24"/>
        </w:rPr>
      </w:pPr>
    </w:p>
    <w:p w14:paraId="0B978D98" w14:textId="77777777" w:rsidR="00FB1BCE" w:rsidRPr="003609FB" w:rsidRDefault="00FB1BCE" w:rsidP="00AB2160">
      <w:pPr>
        <w:spacing w:line="360" w:lineRule="auto"/>
        <w:rPr>
          <w:rFonts w:ascii="Times New Roman" w:hAnsi="Times New Roman" w:cs="Times New Roman"/>
          <w:sz w:val="24"/>
          <w:szCs w:val="24"/>
        </w:rPr>
      </w:pPr>
    </w:p>
    <w:p w14:paraId="501FC4ED" w14:textId="77777777" w:rsidR="00FB1BCE" w:rsidRPr="003609FB" w:rsidRDefault="00FB1BCE" w:rsidP="00AB2160">
      <w:pPr>
        <w:spacing w:line="360" w:lineRule="auto"/>
        <w:rPr>
          <w:rFonts w:ascii="Times New Roman" w:hAnsi="Times New Roman" w:cs="Times New Roman"/>
          <w:sz w:val="24"/>
          <w:szCs w:val="24"/>
        </w:rPr>
      </w:pPr>
    </w:p>
    <w:p w14:paraId="6DD2A797" w14:textId="77777777" w:rsidR="00FB1BCE" w:rsidRPr="003609FB" w:rsidRDefault="00FB1BCE" w:rsidP="00AB2160">
      <w:pPr>
        <w:spacing w:line="360" w:lineRule="auto"/>
        <w:rPr>
          <w:rFonts w:ascii="Times New Roman" w:hAnsi="Times New Roman" w:cs="Times New Roman"/>
          <w:sz w:val="24"/>
          <w:szCs w:val="24"/>
        </w:rPr>
      </w:pPr>
    </w:p>
    <w:p w14:paraId="4574307C" w14:textId="77777777" w:rsidR="00FB1BCE" w:rsidRPr="003609FB" w:rsidRDefault="00FB1BCE" w:rsidP="00AB2160">
      <w:pPr>
        <w:spacing w:line="360" w:lineRule="auto"/>
        <w:rPr>
          <w:rFonts w:ascii="Times New Roman" w:hAnsi="Times New Roman" w:cs="Times New Roman"/>
          <w:sz w:val="24"/>
          <w:szCs w:val="24"/>
        </w:rPr>
      </w:pPr>
    </w:p>
    <w:p w14:paraId="1574DCCA" w14:textId="77777777" w:rsidR="00FB1BCE" w:rsidRPr="003609FB" w:rsidRDefault="00FB1BCE" w:rsidP="00AB2160">
      <w:pPr>
        <w:spacing w:line="360" w:lineRule="auto"/>
        <w:rPr>
          <w:rFonts w:ascii="Times New Roman" w:hAnsi="Times New Roman" w:cs="Times New Roman"/>
          <w:sz w:val="24"/>
          <w:szCs w:val="24"/>
        </w:rPr>
      </w:pPr>
    </w:p>
    <w:p w14:paraId="3F46FFC2" w14:textId="77777777" w:rsidR="00FB1BCE" w:rsidRPr="003609FB" w:rsidRDefault="00FB1BCE" w:rsidP="00AB2160">
      <w:pPr>
        <w:spacing w:line="360" w:lineRule="auto"/>
        <w:rPr>
          <w:rFonts w:ascii="Times New Roman" w:hAnsi="Times New Roman" w:cs="Times New Roman"/>
          <w:sz w:val="24"/>
          <w:szCs w:val="24"/>
        </w:rPr>
      </w:pPr>
    </w:p>
    <w:p w14:paraId="21CE8F2B" w14:textId="77777777" w:rsidR="00FB1BCE" w:rsidRPr="003609FB" w:rsidRDefault="00FB1BCE" w:rsidP="00AB2160">
      <w:pPr>
        <w:spacing w:line="360" w:lineRule="auto"/>
        <w:rPr>
          <w:rFonts w:ascii="Times New Roman" w:hAnsi="Times New Roman" w:cs="Times New Roman"/>
          <w:sz w:val="24"/>
          <w:szCs w:val="24"/>
        </w:rPr>
      </w:pPr>
    </w:p>
    <w:p w14:paraId="0C57285C" w14:textId="77777777" w:rsidR="00FB1BCE" w:rsidRPr="003609FB" w:rsidRDefault="00FB1BCE" w:rsidP="00AB2160">
      <w:pPr>
        <w:spacing w:line="360" w:lineRule="auto"/>
        <w:rPr>
          <w:rFonts w:ascii="Times New Roman" w:hAnsi="Times New Roman" w:cs="Times New Roman"/>
          <w:sz w:val="24"/>
          <w:szCs w:val="24"/>
        </w:rPr>
      </w:pPr>
    </w:p>
    <w:p w14:paraId="06B40CB2" w14:textId="77777777" w:rsidR="00FB1BCE" w:rsidRPr="003609FB" w:rsidRDefault="00FB1BCE" w:rsidP="00AB2160">
      <w:pPr>
        <w:spacing w:line="360" w:lineRule="auto"/>
        <w:rPr>
          <w:rFonts w:ascii="Times New Roman" w:hAnsi="Times New Roman" w:cs="Times New Roman"/>
          <w:sz w:val="24"/>
          <w:szCs w:val="24"/>
        </w:rPr>
      </w:pPr>
    </w:p>
    <w:p w14:paraId="4457AFC7" w14:textId="77777777" w:rsidR="00FB1BCE" w:rsidRPr="003609FB" w:rsidRDefault="00FB1BCE" w:rsidP="00AB2160">
      <w:pPr>
        <w:spacing w:line="360" w:lineRule="auto"/>
        <w:rPr>
          <w:rFonts w:ascii="Times New Roman" w:hAnsi="Times New Roman" w:cs="Times New Roman"/>
          <w:sz w:val="24"/>
          <w:szCs w:val="24"/>
        </w:rPr>
      </w:pPr>
    </w:p>
    <w:p w14:paraId="72FF3816" w14:textId="77777777" w:rsidR="00FB1BCE" w:rsidRPr="003609FB" w:rsidRDefault="00FB1BCE" w:rsidP="00AB2160">
      <w:pPr>
        <w:spacing w:line="360" w:lineRule="auto"/>
        <w:rPr>
          <w:rFonts w:ascii="Times New Roman" w:hAnsi="Times New Roman" w:cs="Times New Roman"/>
          <w:sz w:val="24"/>
          <w:szCs w:val="24"/>
        </w:rPr>
      </w:pPr>
    </w:p>
    <w:p w14:paraId="4417992E" w14:textId="77777777" w:rsidR="00FB1BCE" w:rsidRPr="003609FB" w:rsidRDefault="00FB1BCE" w:rsidP="00AB2160">
      <w:pPr>
        <w:spacing w:line="360" w:lineRule="auto"/>
        <w:rPr>
          <w:rFonts w:ascii="Times New Roman" w:hAnsi="Times New Roman" w:cs="Times New Roman"/>
          <w:sz w:val="24"/>
          <w:szCs w:val="24"/>
        </w:rPr>
      </w:pPr>
    </w:p>
    <w:p w14:paraId="585C56D8" w14:textId="77777777" w:rsidR="00FB1BCE" w:rsidRPr="003609FB" w:rsidRDefault="00FB1BCE" w:rsidP="00AB2160">
      <w:pPr>
        <w:spacing w:line="360" w:lineRule="auto"/>
        <w:rPr>
          <w:rFonts w:ascii="Times New Roman" w:hAnsi="Times New Roman" w:cs="Times New Roman"/>
          <w:sz w:val="24"/>
          <w:szCs w:val="24"/>
        </w:rPr>
      </w:pPr>
    </w:p>
    <w:p w14:paraId="697C9434" w14:textId="77777777" w:rsidR="00FB1BCE" w:rsidRPr="003609FB" w:rsidRDefault="00FB1BCE" w:rsidP="00AB2160">
      <w:pPr>
        <w:spacing w:line="360" w:lineRule="auto"/>
        <w:rPr>
          <w:rFonts w:ascii="Times New Roman" w:hAnsi="Times New Roman" w:cs="Times New Roman"/>
          <w:sz w:val="24"/>
          <w:szCs w:val="24"/>
        </w:rPr>
      </w:pPr>
    </w:p>
    <w:p w14:paraId="6B4E72C5" w14:textId="0CE0C0A9" w:rsidR="00FB1BCE" w:rsidRDefault="00FB1BCE" w:rsidP="00AB2160">
      <w:pPr>
        <w:spacing w:line="360" w:lineRule="auto"/>
        <w:rPr>
          <w:rFonts w:ascii="Times New Roman" w:hAnsi="Times New Roman" w:cs="Times New Roman"/>
          <w:sz w:val="24"/>
          <w:szCs w:val="24"/>
        </w:rPr>
      </w:pPr>
    </w:p>
    <w:p w14:paraId="22F54C32" w14:textId="1ECF9A8D" w:rsidR="00901176" w:rsidRDefault="00901176" w:rsidP="00AB2160">
      <w:pPr>
        <w:spacing w:line="360" w:lineRule="auto"/>
        <w:rPr>
          <w:rFonts w:ascii="Times New Roman" w:hAnsi="Times New Roman" w:cs="Times New Roman"/>
          <w:sz w:val="24"/>
          <w:szCs w:val="24"/>
        </w:rPr>
      </w:pPr>
    </w:p>
    <w:p w14:paraId="1D68CE45" w14:textId="58BDE5A3" w:rsidR="00A71D63" w:rsidRDefault="00A71D63" w:rsidP="00AB2160">
      <w:pPr>
        <w:spacing w:line="360" w:lineRule="auto"/>
        <w:rPr>
          <w:rFonts w:ascii="Times New Roman" w:hAnsi="Times New Roman" w:cs="Times New Roman"/>
          <w:sz w:val="24"/>
          <w:szCs w:val="24"/>
        </w:rPr>
      </w:pPr>
    </w:p>
    <w:p w14:paraId="081F7D61" w14:textId="77777777" w:rsidR="00A71D63" w:rsidRPr="003609FB" w:rsidRDefault="00A71D63" w:rsidP="00AB2160">
      <w:pPr>
        <w:spacing w:line="360" w:lineRule="auto"/>
        <w:rPr>
          <w:rFonts w:ascii="Times New Roman" w:hAnsi="Times New Roman" w:cs="Times New Roman"/>
          <w:sz w:val="24"/>
          <w:szCs w:val="24"/>
        </w:rPr>
      </w:pPr>
    </w:p>
    <w:p w14:paraId="3EC6B406" w14:textId="2434D78D" w:rsidR="00531865" w:rsidRPr="00F17DAA" w:rsidRDefault="00531865" w:rsidP="00AB2160">
      <w:pPr>
        <w:pStyle w:val="Heading2"/>
        <w:spacing w:line="360" w:lineRule="auto"/>
      </w:pPr>
      <w:bookmarkStart w:id="40" w:name="_Toc173250029"/>
      <w:r w:rsidRPr="003609FB">
        <w:lastRenderedPageBreak/>
        <w:t>Abstract</w:t>
      </w:r>
      <w:bookmarkEnd w:id="40"/>
      <w:r w:rsidRPr="003609FB">
        <w:t xml:space="preserve"> </w:t>
      </w:r>
    </w:p>
    <w:p w14:paraId="46ACF8CA" w14:textId="0D1C666F" w:rsidR="00205B99" w:rsidRDefault="00366DBC" w:rsidP="00C750D8">
      <w:pPr>
        <w:spacing w:line="360" w:lineRule="auto"/>
        <w:rPr>
          <w:rFonts w:ascii="Times New Roman" w:hAnsi="Times New Roman" w:cs="Times New Roman"/>
          <w:sz w:val="24"/>
          <w:szCs w:val="24"/>
        </w:rPr>
      </w:pPr>
      <w:r w:rsidRPr="003609FB">
        <w:rPr>
          <w:rFonts w:ascii="Times New Roman" w:hAnsi="Times New Roman" w:cs="Times New Roman"/>
          <w:sz w:val="24"/>
          <w:szCs w:val="24"/>
        </w:rPr>
        <w:tab/>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proofErr w:type="gramStart"/>
      <w:r w:rsidR="00531865" w:rsidRPr="003609FB">
        <w:rPr>
          <w:rFonts w:ascii="Times New Roman" w:hAnsi="Times New Roman" w:cs="Times New Roman"/>
          <w:sz w:val="24"/>
          <w:szCs w:val="24"/>
        </w:rPr>
        <w:t>the</w:t>
      </w:r>
      <w:proofErr w:type="gramEnd"/>
      <w:r w:rsidR="00531865" w:rsidRPr="003609FB">
        <w:rPr>
          <w:rFonts w:ascii="Times New Roman" w:hAnsi="Times New Roman" w:cs="Times New Roman"/>
          <w:sz w:val="24"/>
          <w:szCs w:val="24"/>
        </w:rPr>
        <w:t xml:space="preserve"> smallest known free-living autotroph, and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the closest extant relative known to </w:t>
      </w:r>
      <w:r w:rsidR="00691B65" w:rsidRPr="00691B65">
        <w:rPr>
          <w:rFonts w:ascii="Times New Roman" w:hAnsi="Times New Roman" w:cs="Times New Roman"/>
          <w:i/>
          <w:iCs/>
          <w:sz w:val="24"/>
          <w:szCs w:val="24"/>
        </w:rPr>
        <w:t>Prochlorococcus</w:t>
      </w:r>
      <w:r w:rsidR="00531865" w:rsidRPr="003609FB">
        <w:rPr>
          <w:rFonts w:ascii="Times New Roman" w:hAnsi="Times New Roman" w:cs="Times New Roman"/>
          <w:sz w:val="24"/>
          <w:szCs w:val="24"/>
        </w:rPr>
        <w:t xml:space="preserve"> perform </w:t>
      </w:r>
      <w:r w:rsidR="00BB5BF0">
        <w:rPr>
          <w:rFonts w:ascii="Times New Roman" w:hAnsi="Times New Roman" w:cs="Times New Roman"/>
          <w:sz w:val="24"/>
          <w:szCs w:val="24"/>
        </w:rPr>
        <w:t xml:space="preserve">approximately </w:t>
      </w:r>
      <w:r w:rsidR="00531865" w:rsidRPr="003609FB">
        <w:rPr>
          <w:rFonts w:ascii="Times New Roman" w:hAnsi="Times New Roman" w:cs="Times New Roman"/>
          <w:sz w:val="24"/>
          <w:szCs w:val="24"/>
        </w:rPr>
        <w:t>50% of marine carbon fixation. Yet laboratory experiments indicate that streamlining-induced loss of vital hydrogen peroxide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w:t>
      </w:r>
      <w:r w:rsidR="0058021F" w:rsidRPr="003609FB">
        <w:rPr>
          <w:rFonts w:ascii="Times New Roman" w:hAnsi="Times New Roman" w:cs="Times New Roman"/>
          <w:sz w:val="24"/>
          <w:szCs w:val="24"/>
        </w:rPr>
        <w:t>,</w:t>
      </w:r>
      <w:r w:rsidR="00531865" w:rsidRPr="003609FB">
        <w:rPr>
          <w:rFonts w:ascii="Times New Roman" w:hAnsi="Times New Roman" w:cs="Times New Roman"/>
          <w:sz w:val="24"/>
          <w:szCs w:val="24"/>
        </w:rPr>
        <w:t xml:space="preserve"> a type of harmful reactive oxygen species, detoxication genes has led to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requiring ‘helper’ microbes to survive the daily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produced in surface waters. The oligotrophic ocean contains high concentrations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due to photoproduction via pigmented detrital material as well as rain events. </w:t>
      </w:r>
      <w:r w:rsidR="00691B65" w:rsidRPr="00691B65">
        <w:rPr>
          <w:rFonts w:ascii="Times New Roman" w:hAnsi="Times New Roman" w:cs="Times New Roman"/>
          <w:i/>
          <w:iCs/>
          <w:sz w:val="24"/>
          <w:szCs w:val="24"/>
        </w:rPr>
        <w:t>Prochlorococcus</w:t>
      </w:r>
      <w:r w:rsidR="00531865" w:rsidRPr="003609FB">
        <w:rPr>
          <w:rFonts w:ascii="Times New Roman" w:hAnsi="Times New Roman" w:cs="Times New Roman"/>
          <w:sz w:val="24"/>
          <w:szCs w:val="24"/>
        </w:rPr>
        <w:t xml:space="preserve"> is the most numerically abundant photosynthetic organism in the oligotrophic ocean and is estimated to perform half of the carbon fixation there, yet it cannot live in monoculture at the level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that accumulates abiotically in a single diel cycle of its natural environment.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shows marked differences in </w:t>
      </w:r>
      <w:r w:rsidR="00B03E43" w:rsidRPr="003609FB">
        <w:rPr>
          <w:rFonts w:ascii="Times New Roman" w:hAnsi="Times New Roman" w:cs="Times New Roman"/>
          <w:sz w:val="24"/>
          <w:szCs w:val="24"/>
        </w:rPr>
        <w:t>recover</w:t>
      </w:r>
      <w:r w:rsidR="00B03E43">
        <w:rPr>
          <w:rFonts w:ascii="Times New Roman" w:hAnsi="Times New Roman" w:cs="Times New Roman"/>
          <w:sz w:val="24"/>
          <w:szCs w:val="24"/>
        </w:rPr>
        <w:t>ed</w:t>
      </w:r>
      <w:r w:rsidR="00B03E43"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monoculture batch assays parameter (See Chapter 2 work)</w:t>
      </w:r>
      <w:r w:rsidR="00C57ACD" w:rsidRPr="003609FB">
        <w:rPr>
          <w:rFonts w:ascii="Times New Roman" w:hAnsi="Times New Roman" w:cs="Times New Roman"/>
          <w:sz w:val="24"/>
          <w:szCs w:val="24"/>
        </w:rPr>
        <w:t>.</w:t>
      </w:r>
      <w:r w:rsidR="00531865" w:rsidRPr="003609FB">
        <w:rPr>
          <w:rFonts w:ascii="Times New Roman" w:hAnsi="Times New Roman" w:cs="Times New Roman"/>
          <w:sz w:val="24"/>
          <w:szCs w:val="24"/>
        </w:rPr>
        <w:t xml:space="preserve"> These paradoxical controls over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community dominance are the focus of </w:t>
      </w:r>
      <w:r w:rsidR="00BB5BF0">
        <w:rPr>
          <w:rFonts w:ascii="Times New Roman" w:hAnsi="Times New Roman" w:cs="Times New Roman"/>
          <w:sz w:val="24"/>
          <w:szCs w:val="24"/>
        </w:rPr>
        <w:t>C</w:t>
      </w:r>
      <w:r w:rsidR="00531865" w:rsidRPr="003609FB">
        <w:rPr>
          <w:rFonts w:ascii="Times New Roman" w:hAnsi="Times New Roman" w:cs="Times New Roman"/>
          <w:sz w:val="24"/>
          <w:szCs w:val="24"/>
        </w:rPr>
        <w:t xml:space="preserve">hapter 3. We investigate the effect of divergent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phenotypes on modeled phytoplankton community structure under a </w:t>
      </w:r>
      <w:r w:rsidR="00B03E43">
        <w:rPr>
          <w:rFonts w:ascii="Times New Roman" w:hAnsi="Times New Roman" w:cs="Times New Roman"/>
          <w:sz w:val="24"/>
          <w:szCs w:val="24"/>
        </w:rPr>
        <w:t xml:space="preserve">single </w:t>
      </w:r>
      <w:r w:rsidR="00531865" w:rsidRPr="003609FB">
        <w:rPr>
          <w:rFonts w:ascii="Times New Roman" w:hAnsi="Times New Roman" w:cs="Times New Roman"/>
          <w:sz w:val="24"/>
          <w:szCs w:val="24"/>
        </w:rPr>
        <w:t xml:space="preserve">nutrient competition framework. We </w:t>
      </w:r>
      <w:r w:rsidR="008872C7" w:rsidRPr="003609FB">
        <w:rPr>
          <w:rFonts w:ascii="Times New Roman" w:hAnsi="Times New Roman" w:cs="Times New Roman"/>
          <w:sz w:val="24"/>
          <w:szCs w:val="24"/>
        </w:rPr>
        <w:t>b</w:t>
      </w:r>
      <w:r w:rsidR="00531865" w:rsidRPr="003609FB">
        <w:rPr>
          <w:rFonts w:ascii="Times New Roman" w:hAnsi="Times New Roman" w:cs="Times New Roman"/>
          <w:sz w:val="24"/>
          <w:szCs w:val="24"/>
        </w:rPr>
        <w:t xml:space="preserve">uild upon accepted nutrient competition theories and known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impacts</w:t>
      </w:r>
      <w:r w:rsidR="008872C7" w:rsidRPr="003609FB">
        <w:rPr>
          <w:rFonts w:ascii="Times New Roman" w:hAnsi="Times New Roman" w:cs="Times New Roman"/>
          <w:sz w:val="24"/>
          <w:szCs w:val="24"/>
        </w:rPr>
        <w:t xml:space="preserve"> on</w:t>
      </w:r>
      <w:r w:rsidR="00531865" w:rsidRPr="003609FB">
        <w:rPr>
          <w:rFonts w:ascii="Times New Roman" w:hAnsi="Times New Roman" w:cs="Times New Roman"/>
          <w:sz w:val="24"/>
          <w:szCs w:val="24"/>
        </w:rPr>
        <w:t xml:space="preserve"> two autotroph species, one catalase negative, P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analogue), </w:t>
      </w:r>
      <w:r w:rsidR="001F1D2A" w:rsidRPr="003609FB">
        <w:rPr>
          <w:rFonts w:ascii="Times New Roman" w:hAnsi="Times New Roman" w:cs="Times New Roman"/>
          <w:sz w:val="24"/>
          <w:szCs w:val="24"/>
        </w:rPr>
        <w:t>a</w:t>
      </w:r>
      <w:r w:rsidR="00531865" w:rsidRPr="003609FB">
        <w:rPr>
          <w:rFonts w:ascii="Times New Roman" w:hAnsi="Times New Roman" w:cs="Times New Roman"/>
          <w:sz w:val="24"/>
          <w:szCs w:val="24"/>
        </w:rPr>
        <w:t>nd one catalase positive, S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analogue) are used to investigate microbial population composition available to a community </w:t>
      </w:r>
      <w:r w:rsidR="00BB5BF0">
        <w:rPr>
          <w:rFonts w:ascii="Times New Roman" w:hAnsi="Times New Roman" w:cs="Times New Roman"/>
          <w:sz w:val="24"/>
          <w:szCs w:val="24"/>
        </w:rPr>
        <w:t xml:space="preserve">level </w:t>
      </w:r>
      <w:r w:rsidR="00531865" w:rsidRPr="003609FB">
        <w:rPr>
          <w:rFonts w:ascii="Times New Roman" w:hAnsi="Times New Roman" w:cs="Times New Roman"/>
          <w:sz w:val="24"/>
          <w:szCs w:val="24"/>
        </w:rPr>
        <w:t xml:space="preserve">under different </w:t>
      </w:r>
      <w:r w:rsidR="00BB5BF0">
        <w:rPr>
          <w:rFonts w:ascii="Times New Roman" w:hAnsi="Times New Roman" w:cs="Times New Roman"/>
          <w:sz w:val="24"/>
          <w:szCs w:val="24"/>
        </w:rPr>
        <w:t>ammonium (N)</w:t>
      </w:r>
      <w:r w:rsidR="00531865" w:rsidRPr="003609FB">
        <w:rPr>
          <w:rFonts w:ascii="Times New Roman" w:hAnsi="Times New Roman" w:cs="Times New Roman"/>
          <w:sz w:val="24"/>
          <w:szCs w:val="24"/>
        </w:rPr>
        <w:t xml:space="preserve"> 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w:t>
      </w:r>
      <w:r w:rsidR="00BB5BF0">
        <w:rPr>
          <w:rFonts w:ascii="Times New Roman" w:hAnsi="Times New Roman" w:cs="Times New Roman"/>
          <w:sz w:val="24"/>
          <w:szCs w:val="24"/>
        </w:rPr>
        <w:t xml:space="preserve">(H) </w:t>
      </w:r>
      <w:r w:rsidR="00531865" w:rsidRPr="003609FB">
        <w:rPr>
          <w:rFonts w:ascii="Times New Roman" w:hAnsi="Times New Roman" w:cs="Times New Roman"/>
          <w:sz w:val="24"/>
          <w:szCs w:val="24"/>
        </w:rPr>
        <w:t xml:space="preserve">conditions. </w:t>
      </w:r>
      <w:r w:rsidR="001B1066" w:rsidRPr="003609FB">
        <w:rPr>
          <w:rFonts w:ascii="Times New Roman" w:hAnsi="Times New Roman" w:cs="Times New Roman"/>
          <w:sz w:val="24"/>
          <w:szCs w:val="24"/>
        </w:rPr>
        <w:t>W</w:t>
      </w:r>
      <w:r w:rsidR="00531865" w:rsidRPr="003609FB">
        <w:rPr>
          <w:rFonts w:ascii="Times New Roman" w:hAnsi="Times New Roman" w:cs="Times New Roman"/>
          <w:sz w:val="24"/>
          <w:szCs w:val="24"/>
        </w:rPr>
        <w:t xml:space="preserve">e show that selective resistance to a community threat in microbial populations confers competitive advantages depending on the environmental conditions. We recover distinct phytoplankton assembly predictions for oligotrophic growth when considering </w:t>
      </w:r>
      <w:r w:rsidR="00B03E43">
        <w:rPr>
          <w:rFonts w:ascii="Times New Roman" w:hAnsi="Times New Roman" w:cs="Times New Roman"/>
          <w:sz w:val="24"/>
          <w:szCs w:val="24"/>
        </w:rPr>
        <w:t>two</w:t>
      </w:r>
      <w:r w:rsidR="00531865" w:rsidRPr="003609FB">
        <w:rPr>
          <w:rFonts w:ascii="Times New Roman" w:hAnsi="Times New Roman" w:cs="Times New Roman"/>
          <w:sz w:val="24"/>
          <w:szCs w:val="24"/>
        </w:rPr>
        <w:t xml:space="preserve"> key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model parameters. The tradeoff between growth advantage in low N and higher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detoxification rate control</w:t>
      </w:r>
      <w:r w:rsidR="0079418A" w:rsidRPr="003609FB">
        <w:rPr>
          <w:rFonts w:ascii="Times New Roman" w:hAnsi="Times New Roman" w:cs="Times New Roman"/>
          <w:sz w:val="24"/>
          <w:szCs w:val="24"/>
        </w:rPr>
        <w:t>s</w:t>
      </w:r>
      <w:r w:rsidR="00531865" w:rsidRPr="003609FB">
        <w:rPr>
          <w:rFonts w:ascii="Times New Roman" w:hAnsi="Times New Roman" w:cs="Times New Roman"/>
          <w:sz w:val="24"/>
          <w:szCs w:val="24"/>
        </w:rPr>
        <w:t xml:space="preserve"> the toggle between competitive and coexistent behavior in this P, S system. Interestingly, leaky detoxification from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alone</w:t>
      </w:r>
      <w:r w:rsidR="00B03E43">
        <w:rPr>
          <w:rFonts w:ascii="Times New Roman" w:hAnsi="Times New Roman" w:cs="Times New Roman"/>
          <w:sz w:val="24"/>
          <w:szCs w:val="24"/>
        </w:rPr>
        <w:t xml:space="preserve"> only</w:t>
      </w:r>
      <w:r w:rsidR="00531865" w:rsidRPr="003609FB">
        <w:rPr>
          <w:rFonts w:ascii="Times New Roman" w:hAnsi="Times New Roman" w:cs="Times New Roman"/>
          <w:sz w:val="24"/>
          <w:szCs w:val="24"/>
        </w:rPr>
        <w:t xml:space="preserve"> allows for coexistence at high N or low H suppl</w:t>
      </w:r>
      <w:r w:rsidR="00B03E43">
        <w:rPr>
          <w:rFonts w:ascii="Times New Roman" w:hAnsi="Times New Roman" w:cs="Times New Roman"/>
          <w:sz w:val="24"/>
          <w:szCs w:val="24"/>
        </w:rPr>
        <w:t>y rates</w:t>
      </w:r>
      <w:r w:rsidR="00531865" w:rsidRPr="003609FB">
        <w:rPr>
          <w:rFonts w:ascii="Times New Roman" w:hAnsi="Times New Roman" w:cs="Times New Roman"/>
          <w:sz w:val="24"/>
          <w:szCs w:val="24"/>
        </w:rPr>
        <w:t xml:space="preserve">. Bacterial detoxification along with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detoxification </w:t>
      </w:r>
      <w:r w:rsidR="00B03E43" w:rsidRPr="003609FB">
        <w:rPr>
          <w:rFonts w:ascii="Times New Roman" w:hAnsi="Times New Roman" w:cs="Times New Roman"/>
          <w:sz w:val="24"/>
          <w:szCs w:val="24"/>
        </w:rPr>
        <w:t>H</w:t>
      </w:r>
      <w:r w:rsidR="00B03E43" w:rsidRPr="00351FC4">
        <w:rPr>
          <w:rFonts w:ascii="Times New Roman" w:hAnsi="Times New Roman" w:cs="Times New Roman"/>
          <w:sz w:val="24"/>
          <w:szCs w:val="24"/>
          <w:vertAlign w:val="subscript"/>
        </w:rPr>
        <w:t>2</w:t>
      </w:r>
      <w:r w:rsidR="00B03E43" w:rsidRPr="003609FB">
        <w:rPr>
          <w:rFonts w:ascii="Times New Roman" w:hAnsi="Times New Roman" w:cs="Times New Roman"/>
          <w:sz w:val="24"/>
          <w:szCs w:val="24"/>
        </w:rPr>
        <w:t>O</w:t>
      </w:r>
      <w:r w:rsidR="00B03E43">
        <w:rPr>
          <w:rFonts w:ascii="Times New Roman" w:hAnsi="Times New Roman" w:cs="Times New Roman"/>
          <w:sz w:val="24"/>
          <w:szCs w:val="24"/>
        </w:rPr>
        <w:t xml:space="preserve"> of </w:t>
      </w:r>
      <w:r w:rsidR="00531865" w:rsidRPr="003609FB">
        <w:rPr>
          <w:rFonts w:ascii="Times New Roman" w:hAnsi="Times New Roman" w:cs="Times New Roman"/>
          <w:sz w:val="24"/>
          <w:szCs w:val="24"/>
        </w:rPr>
        <w:t xml:space="preserve">was needed </w:t>
      </w:r>
      <w:r w:rsidR="00B03E43">
        <w:rPr>
          <w:rFonts w:ascii="Times New Roman" w:hAnsi="Times New Roman" w:cs="Times New Roman"/>
          <w:sz w:val="24"/>
          <w:szCs w:val="24"/>
        </w:rPr>
        <w:t xml:space="preserve">in this model framework </w:t>
      </w:r>
      <w:r w:rsidR="00531865" w:rsidRPr="003609FB">
        <w:rPr>
          <w:rFonts w:ascii="Times New Roman" w:hAnsi="Times New Roman" w:cs="Times New Roman"/>
          <w:sz w:val="24"/>
          <w:szCs w:val="24"/>
        </w:rPr>
        <w:t xml:space="preserve">to recover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coexistence on a single N </w:t>
      </w:r>
      <w:r w:rsidR="0041543A">
        <w:rPr>
          <w:rFonts w:ascii="Times New Roman" w:hAnsi="Times New Roman" w:cs="Times New Roman"/>
          <w:sz w:val="24"/>
          <w:szCs w:val="24"/>
        </w:rPr>
        <w:t>withi</w:t>
      </w:r>
      <w:r w:rsidR="0041543A" w:rsidRPr="003609FB">
        <w:rPr>
          <w:rFonts w:ascii="Times New Roman" w:hAnsi="Times New Roman" w:cs="Times New Roman"/>
          <w:sz w:val="24"/>
          <w:szCs w:val="24"/>
        </w:rPr>
        <w:t>n</w:t>
      </w:r>
      <w:r w:rsidR="00531865" w:rsidRPr="003609FB">
        <w:rPr>
          <w:rFonts w:ascii="Times New Roman" w:hAnsi="Times New Roman" w:cs="Times New Roman"/>
          <w:sz w:val="24"/>
          <w:szCs w:val="24"/>
        </w:rPr>
        <w:t xml:space="preserve"> </w:t>
      </w:r>
      <w:r w:rsidR="0041543A">
        <w:rPr>
          <w:rFonts w:ascii="Times New Roman" w:hAnsi="Times New Roman" w:cs="Times New Roman"/>
          <w:sz w:val="24"/>
          <w:szCs w:val="24"/>
        </w:rPr>
        <w:t xml:space="preserve">ecologically relevant oligotrophic </w:t>
      </w:r>
      <w:r w:rsidR="00531865" w:rsidRPr="003609FB">
        <w:rPr>
          <w:rFonts w:ascii="Times New Roman" w:hAnsi="Times New Roman" w:cs="Times New Roman"/>
          <w:sz w:val="24"/>
          <w:szCs w:val="24"/>
        </w:rPr>
        <w:t xml:space="preserve">low N or H </w:t>
      </w:r>
      <w:r w:rsidR="0041543A">
        <w:rPr>
          <w:rFonts w:ascii="Times New Roman" w:hAnsi="Times New Roman" w:cs="Times New Roman"/>
          <w:sz w:val="24"/>
          <w:szCs w:val="24"/>
        </w:rPr>
        <w:t>supply rates</w:t>
      </w:r>
      <w:r w:rsidR="00531865" w:rsidRPr="003609FB">
        <w:rPr>
          <w:rFonts w:ascii="Times New Roman" w:hAnsi="Times New Roman" w:cs="Times New Roman"/>
          <w:sz w:val="24"/>
          <w:szCs w:val="24"/>
        </w:rPr>
        <w:t xml:space="preserve">. This competition model provides clarity on scenarios in which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exerts ecological pressure on globally important microbes. </w:t>
      </w:r>
    </w:p>
    <w:p w14:paraId="5768FD72" w14:textId="77777777" w:rsidR="00F17DAA" w:rsidRPr="003609FB" w:rsidRDefault="00F17DAA" w:rsidP="00C750D8">
      <w:pPr>
        <w:spacing w:line="360" w:lineRule="auto"/>
        <w:rPr>
          <w:rFonts w:ascii="Times New Roman" w:hAnsi="Times New Roman" w:cs="Times New Roman"/>
          <w:sz w:val="24"/>
          <w:szCs w:val="24"/>
        </w:rPr>
      </w:pPr>
    </w:p>
    <w:p w14:paraId="5C4D1F7B" w14:textId="0BC67C33" w:rsidR="00531865" w:rsidRPr="00F17DAA" w:rsidRDefault="00531865" w:rsidP="00AB2160">
      <w:pPr>
        <w:pStyle w:val="Heading2"/>
        <w:spacing w:line="360" w:lineRule="auto"/>
        <w:rPr>
          <w:sz w:val="24"/>
          <w:szCs w:val="24"/>
        </w:rPr>
      </w:pPr>
      <w:bookmarkStart w:id="41" w:name="_Toc173250030"/>
      <w:r w:rsidRPr="003609FB">
        <w:rPr>
          <w:sz w:val="24"/>
          <w:szCs w:val="24"/>
        </w:rPr>
        <w:lastRenderedPageBreak/>
        <w:t>Introduction</w:t>
      </w:r>
      <w:bookmarkEnd w:id="41"/>
      <w:r w:rsidRPr="003609FB">
        <w:rPr>
          <w:sz w:val="24"/>
          <w:szCs w:val="24"/>
        </w:rPr>
        <w:t xml:space="preserve"> </w:t>
      </w:r>
    </w:p>
    <w:p w14:paraId="23FA6137" w14:textId="5DB3A582" w:rsidR="00531865" w:rsidRPr="003609FB" w:rsidRDefault="00531865"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Phytoplankton</w:t>
      </w:r>
      <w:r w:rsidR="00FF0E3D">
        <w:rPr>
          <w:rFonts w:ascii="Times New Roman" w:hAnsi="Times New Roman" w:cs="Times New Roman"/>
          <w:sz w:val="24"/>
          <w:szCs w:val="24"/>
        </w:rPr>
        <w:t xml:space="preserve">, through their growth and death dynamics, </w:t>
      </w:r>
      <w:r w:rsidRPr="003609FB">
        <w:rPr>
          <w:rFonts w:ascii="Times New Roman" w:hAnsi="Times New Roman" w:cs="Times New Roman"/>
          <w:sz w:val="24"/>
          <w:szCs w:val="24"/>
        </w:rPr>
        <w:t xml:space="preserve">control </w:t>
      </w:r>
      <w:r w:rsidR="00FF0E3D">
        <w:rPr>
          <w:rFonts w:ascii="Times New Roman" w:hAnsi="Times New Roman" w:cs="Times New Roman"/>
          <w:sz w:val="24"/>
          <w:szCs w:val="24"/>
        </w:rPr>
        <w:t xml:space="preserve">the </w:t>
      </w:r>
      <w:r w:rsidRPr="003609FB">
        <w:rPr>
          <w:rFonts w:ascii="Times New Roman" w:hAnsi="Times New Roman" w:cs="Times New Roman"/>
          <w:sz w:val="24"/>
          <w:szCs w:val="24"/>
        </w:rPr>
        <w:t xml:space="preserve">nutrient flows and </w:t>
      </w:r>
      <w:r w:rsidR="00FF0E3D">
        <w:rPr>
          <w:rFonts w:ascii="Times New Roman" w:hAnsi="Times New Roman" w:cs="Times New Roman"/>
          <w:sz w:val="24"/>
          <w:szCs w:val="24"/>
        </w:rPr>
        <w:t xml:space="preserve">subsequent </w:t>
      </w:r>
      <w:r w:rsidRPr="003609FB">
        <w:rPr>
          <w:rFonts w:ascii="Times New Roman" w:hAnsi="Times New Roman" w:cs="Times New Roman"/>
          <w:sz w:val="24"/>
          <w:szCs w:val="24"/>
        </w:rPr>
        <w:t xml:space="preserve">composition of the community determines the way in which nutrients cycle through a </w:t>
      </w:r>
      <w:r w:rsidR="00894AA3">
        <w:rPr>
          <w:rFonts w:ascii="Times New Roman" w:hAnsi="Times New Roman" w:cs="Times New Roman"/>
          <w:sz w:val="24"/>
          <w:szCs w:val="24"/>
        </w:rPr>
        <w:t xml:space="preserve">marine </w:t>
      </w:r>
      <w:r w:rsidRPr="003609FB">
        <w:rPr>
          <w:rFonts w:ascii="Times New Roman" w:hAnsi="Times New Roman" w:cs="Times New Roman"/>
          <w:sz w:val="24"/>
          <w:szCs w:val="24"/>
        </w:rPr>
        <w:t xml:space="preserve">system </w:t>
      </w:r>
      <w:r w:rsidR="00921AFD" w:rsidRPr="003609FB">
        <w:rPr>
          <w:rFonts w:ascii="Times New Roman" w:hAnsi="Times New Roman" w:cs="Times New Roman"/>
          <w:sz w:val="24"/>
          <w:szCs w:val="24"/>
        </w:rPr>
        <w:fldChar w:fldCharType="begin"/>
      </w:r>
      <w:r w:rsidR="00492027">
        <w:rPr>
          <w:rFonts w:ascii="Times New Roman" w:hAnsi="Times New Roman" w:cs="Times New Roman"/>
          <w:sz w:val="24"/>
          <w:szCs w:val="24"/>
        </w:rPr>
        <w:instrText xml:space="preserve"> ADDIN ZOTERO_ITEM CSL_CITATION {"citationID":"1dpgc3og","properties":{"formattedCitation":"(Behrenfeld et al. 2005; Mullin, Sloan, and Eppley 1966; Saba et al. 2010)","plainCitation":"(Behrenfeld et al. 2005; Mullin, Sloan, and Eppley 1966; Saba et al. 2010)","noteIndex":0},"citationItems":[{"id":4073,"uris":["http://zotero.org/users/6128296/items/3FFPJ79D"],"itemData":{"id":4073,"type":"article-journal","abstract":"Ocean biogeochemical and ecosystem processes are linked by net primary production (NPP) in the ocean's surface layer, where inorganic carbon is fixed by photosynthetic processes. Determinations of NPP are necessarily a function of phytoplankton biomass and its physiological status, but the estimation of these two terms from space has remained an elusive target. Here we present new satellite ocean color observations of phytoplankton carbon (C) and chlorophyll (Chl) biomass and show that derived Chl:C ratios closely follow anticipated physiological dependencies on light, nutrients, and temperat</w:instrText>
      </w:r>
      <w:r w:rsidR="00492027">
        <w:rPr>
          <w:rFonts w:ascii="Times New Roman" w:hAnsi="Times New Roman" w:cs="Times New Roman" w:hint="eastAsia"/>
          <w:sz w:val="24"/>
          <w:szCs w:val="24"/>
        </w:rPr>
        <w:instrText>ure. With this new information, global estimates of phytoplankton growth rates (</w:instrText>
      </w:r>
      <w:r w:rsidR="00492027">
        <w:rPr>
          <w:rFonts w:ascii="Times New Roman" w:hAnsi="Times New Roman" w:cs="Times New Roman" w:hint="eastAsia"/>
          <w:sz w:val="24"/>
          <w:szCs w:val="24"/>
        </w:rPr>
        <w:instrText>μ</w:instrText>
      </w:r>
      <w:r w:rsidR="00492027">
        <w:rPr>
          <w:rFonts w:ascii="Times New Roman" w:hAnsi="Times New Roman" w:cs="Times New Roman" w:hint="eastAsia"/>
          <w:sz w:val="24"/>
          <w:szCs w:val="24"/>
        </w:rPr>
        <w:instrText>) and carbon</w:instrText>
      </w:r>
      <w:r w:rsidR="00492027">
        <w:rPr>
          <w:rFonts w:ascii="Times New Roman" w:hAnsi="Times New Roman" w:cs="Times New Roman" w:hint="eastAsia"/>
          <w:sz w:val="24"/>
          <w:szCs w:val="24"/>
        </w:rPr>
        <w:instrText>‐</w:instrText>
      </w:r>
      <w:r w:rsidR="00492027">
        <w:rPr>
          <w:rFonts w:ascii="Times New Roman" w:hAnsi="Times New Roman" w:cs="Times New Roman" w:hint="eastAsia"/>
          <w:sz w:val="24"/>
          <w:szCs w:val="24"/>
        </w:rPr>
        <w:instrText>based NPP are made for the first time. Compared to an earlier chlorophyll</w:instrText>
      </w:r>
      <w:r w:rsidR="00492027">
        <w:rPr>
          <w:rFonts w:ascii="Times New Roman" w:hAnsi="Times New Roman" w:cs="Times New Roman" w:hint="eastAsia"/>
          <w:sz w:val="24"/>
          <w:szCs w:val="24"/>
        </w:rPr>
        <w:instrText>‐</w:instrText>
      </w:r>
      <w:r w:rsidR="00492027">
        <w:rPr>
          <w:rFonts w:ascii="Times New Roman" w:hAnsi="Times New Roman" w:cs="Times New Roman" w:hint="eastAsia"/>
          <w:sz w:val="24"/>
          <w:szCs w:val="24"/>
        </w:rPr>
        <w:instrText>based approach, our carbon</w:instrText>
      </w:r>
      <w:r w:rsidR="00492027">
        <w:rPr>
          <w:rFonts w:ascii="Times New Roman" w:hAnsi="Times New Roman" w:cs="Times New Roman" w:hint="eastAsia"/>
          <w:sz w:val="24"/>
          <w:szCs w:val="24"/>
        </w:rPr>
        <w:instrText>‐</w:instrText>
      </w:r>
      <w:r w:rsidR="00492027">
        <w:rPr>
          <w:rFonts w:ascii="Times New Roman" w:hAnsi="Times New Roman" w:cs="Times New Roman" w:hint="eastAsia"/>
          <w:sz w:val="24"/>
          <w:szCs w:val="24"/>
        </w:rPr>
        <w:instrText>based values are considerably higher in tropical oceans, sho</w:instrText>
      </w:r>
      <w:r w:rsidR="00492027">
        <w:rPr>
          <w:rFonts w:ascii="Times New Roman" w:hAnsi="Times New Roman" w:cs="Times New Roman"/>
          <w:sz w:val="24"/>
          <w:szCs w:val="24"/>
        </w:rPr>
        <w:instrText>w greater seasonality at middle and high latitudes, and illustrate important differences in the formation and demise of regional algal blooms. This fusion of emerging concepts from the phycological and remote sensing disciplines has the potential to fundamentally change how we model and observe carbon cycling in the global oceans.","container-title":"Global Biogeochemical Cycles","DOI":"10.1029/2004GB002299","ISSN":"0886-6236, 1944-9224","issue":"1","journalAbbreviation":"Global Biogeochemical Cycles","la</w:instrText>
      </w:r>
      <w:r w:rsidR="00492027">
        <w:rPr>
          <w:rFonts w:ascii="Times New Roman" w:hAnsi="Times New Roman" w:cs="Times New Roman" w:hint="eastAsia"/>
          <w:sz w:val="24"/>
          <w:szCs w:val="24"/>
        </w:rPr>
        <w:instrText>nguage":"en","page":"2004GB002299","source":"DOI.org (Crossref)","title":"Carbon</w:instrText>
      </w:r>
      <w:r w:rsidR="00492027">
        <w:rPr>
          <w:rFonts w:ascii="Times New Roman" w:hAnsi="Times New Roman" w:cs="Times New Roman" w:hint="eastAsia"/>
          <w:sz w:val="24"/>
          <w:szCs w:val="24"/>
        </w:rPr>
        <w:instrText>‐</w:instrText>
      </w:r>
      <w:r w:rsidR="00492027">
        <w:rPr>
          <w:rFonts w:ascii="Times New Roman" w:hAnsi="Times New Roman" w:cs="Times New Roman" w:hint="eastAsia"/>
          <w:sz w:val="24"/>
          <w:szCs w:val="24"/>
        </w:rPr>
        <w:instrText>based ocean productivity and phytoplankton physiology from space","volume":"19","author":[{"family":"Behrenfeld","given":""},{"family":"Boss","given":"Emmanuel"},{"family":"S</w:instrText>
      </w:r>
      <w:r w:rsidR="00492027">
        <w:rPr>
          <w:rFonts w:ascii="Times New Roman" w:hAnsi="Times New Roman" w:cs="Times New Roman"/>
          <w:sz w:val="24"/>
          <w:szCs w:val="24"/>
        </w:rPr>
        <w:instrText xml:space="preserve">iegel","given":"David A."},{"family":"Shea","given":"Donald M."}],"issued":{"date-parts":[["2005",3]]}}},{"id":222,"uris":["http://zotero.org/users/6128296/items/G2TRHF9C"],"itemData":{"id":222,"type":"article-journal","container-title":"Limnology and Oceanography","DOI":"10.4319/lo.1966.11.2.0307","ISSN":"00243590","issue":"2","journalAbbreviation":"Limnol. Oceanogr.","language":"en","page":"307-311","source":"DOI.org (Crossref)","title":"RELATIONSHIP BETWEEN CARBON CONTENT, CELL VOLUME, AND AREA IN PHYTOPLANKTON","volume":"11","author":[{"family":"Mullin","given":""},{"family":"Sloan","given":"P. R."},{"family":"Eppley","given":"R. W."}],"issued":{"date-parts":[["1966",4]]}}},{"id":225,"uris":["http://zotero.org/users/6128296/items/SAGTHVHX"],"itemData":{"id":225,"type":"article-journal","container-title":"Global Biogeochemical Cycles","DOI":"10.1029/2009GB003655","ISSN":"08866236","issue":"3","journalAbbreviation":"Global Biogeochem. Cycles","language":"en","page":"n/a-n/a","source":"DOI.org (Crossref)","title":"Challenges of modeling depth-integrated marine primary productivity over multiple decades: A case study at BATS and HOT: modeling marine primary productivity","title-short":"Challenges of modeling depth-integrated marine primary productivity over multiple decades","volume":"24","author":[{"family":"Saba","given":""},{"family":"Friedrichs","given":"Marjorie A. M."},{"family":"Carr","given":"Mary-Elena"},{"family":"Antoine","given":"David"},{"family":"Armstrong","given":"Robert A."},{"family":"Asanuma","given":"Ichio"},{"family":"Aumont","given":"Olivier"},{"family":"Bates","given":"Nicholas R."},{"family":"Behrenfeld","given":"Michael J."},{"family":"Bennington","given":"Val"},{"family":"Bopp","given":"Laurent"},{"family":"Bruggeman","given":"Jorn"},{"family":"Buitenhuis","given":"Erik T."},{"family":"Church","given":"Matthew J."},{"family":"Ciotti","given":"Aurea M."},{"family":"Doney","given":"Scott C."},{"family":"Dowell","given":"Mark"},{"family":"Dunne","given":"John"},{"family":"Dutkiewicz","given":"Stephanie"},{"family":"Gregg","given":"Watson"},{"family":"Hoepffner","given":"Nicolas"},{"family":"Hyde","given":"Kimberly J. W."},{"family":"Ishizaka","given":"Joji"},{"family":"Kameda","given":"Takahiko"},{"family":"Karl","given":"David M."},{"family":"Lima","given":"Ivan"},{"family":"Lomas","given":"Michael W."},{"family":"Marra","given":"John"},{"family":"McKinley","given":"Galen A."},{"family":"Mélin","given":"Frédéric"},{"family":"Moore","given":"J. Keith"},{"family":"Morel","given":"André"},{"family":"O'Reilly","given":"John"},{"family":"Salihoglu","given":"Baris"},{"family":"Scardi","given":"Michele"},{"family":"Smyth","given":"Tim J."},{"family":"Tang","given":"Shilin"},{"family":"Tjiputra","given":"Jerry"},{"family":"Uitz","given":"Julia"},{"family":"Vichi","given":"Marcello"},{"family":"Waters","given":"Kirk"},{"family":"Westberry","given":"Toby K."},{"family":"Yool","given":"Andrew"}],"issued":{"date-parts":[["2010",9]]}}}],"schema":"https://github.com/citation-style-language/schema/raw/master/csl-citation.json"} </w:instrText>
      </w:r>
      <w:r w:rsidR="00921AFD" w:rsidRPr="003609FB">
        <w:rPr>
          <w:rFonts w:ascii="Times New Roman" w:hAnsi="Times New Roman" w:cs="Times New Roman"/>
          <w:sz w:val="24"/>
          <w:szCs w:val="24"/>
        </w:rPr>
        <w:fldChar w:fldCharType="separate"/>
      </w:r>
      <w:r w:rsidR="00922909">
        <w:rPr>
          <w:rFonts w:ascii="Times New Roman" w:hAnsi="Times New Roman" w:cs="Times New Roman"/>
          <w:sz w:val="24"/>
        </w:rPr>
        <w:t>(</w:t>
      </w:r>
      <w:proofErr w:type="spellStart"/>
      <w:r w:rsidR="00922909">
        <w:rPr>
          <w:rFonts w:ascii="Times New Roman" w:hAnsi="Times New Roman" w:cs="Times New Roman"/>
          <w:sz w:val="24"/>
        </w:rPr>
        <w:t>Behrenfeld</w:t>
      </w:r>
      <w:proofErr w:type="spellEnd"/>
      <w:r w:rsidR="00922909">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xml:space="preserve">. 2005; Mullin, Sloan, and Eppley 1966; Saba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2010)</w:t>
      </w:r>
      <w:r w:rsidR="00921AF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The oligotrophic oceans, while low in nutrient influx both from continents or deep sea </w:t>
      </w:r>
      <w:r w:rsidR="006F0B5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{"citationID":"acdm8ftY","properties":{"formattedCitation":"(Altabet, Robinson, and Walstad 1986; Dong et al. 2022; Karl 1999)","plainCitation":"(Altabet, Robinson, and Walstad 1986; Dong et al. 2022; Karl 1999)","noteIndex":0},"citationItems":[{"id":1551,"uris":["http://zotero.org/users/6128296/items/R39526T9"],"itemData":{"id":1551,"type":"article-journal","abstract":"An idealized, one-dimensional, constant diffusivity mathematical model for the study of the vertical flux of nitrogen in the upper-ocean is presented. We attempt to simulate observed patterns in vertical profiles for the natural abundance of 15N in particulate organic nitrogen (PON) and the concentrations of PON and NO) -. The concentration of phytoplankton nitrogen (ll) increased as a result of either increasing the upward flux of NO) -(N) or by increasing the residence time of n. A minimum in the 015N of phytoplankton nitrogen (02) appeared near a maximum in n at the inflection point of the N profile. Increasing the residence time or the vertical eddy diffusivity, reduced the amplitude of the 02 profile. The model was able to produce reasonably good simulations of observed profiles from two warm-core rings, Rings 82-E and 82-H, using the most appropriate values for the light extinction coefficient and the residence time of PON. These results lend general support to current views regarding the nature and significance of the vertical fluxes of nitrogen in the upper-ocean and hypotheses presented previously concerning the factors which affect the 015N of PON.","container-title":"Journal of Marine Research","DOI":"10.1357/002224086788460111","ISSN":"00222402, 15439542","issue":"1","journalAbbreviation":"J Mar Res","language":"en","page":"203-225","source":"DOI.org (Crossref)","title":"A model for the vertical flux of nitrogen in the upper ocean: Simulating the alteration of isotopic ratios","title-short":"A model for the vertical flux of nitrogen in the upper ocean","volume":"44","author":[{"family":"Altabet","given":""},{"family":"Robinson","given":"Allan R."},{"family":"Walstad","given":"Leonard J."}],"issued":{"date-parts":[["1986",2,1]]}}},{"id":3176,"uris":["http://zotero.org/users/6128296/items/DKFGCGFK"],"itemData":{"id":3176,"type":"article-journal","abstract":"We present concentrations of total particulate carbon (PC), carbonate (PIC), total particulate nitrogen (PN), δ13C and δ15N of suspended particles along a North Paciﬁc transect. In the upper 400 m, suspended PIC to particulate organic carbon (POC) ratios generally follow published sinking PIC/POC ratios. Below 600 m, suspended PIC/POC become signiﬁcantly lower than sinking PIC/POC, likely indicating PIC dissolution within the suspended load. In three out of the ﬁve stations, suspended PN δ15N increase with depth from the euphotic zone to the thermocline, consistent with previous observations in many ocean regions (e.g.,BATS and HOT). However, in the other two stations where phytoplankton blooms were encountered, high suspended PN δ15N (up to 12‰) were observed in the euphotic zone, which was likely caused by the export of low-δ15N PN during the phytoplankton blooms. Average Corg : N ratio of suspended particles along the transect is 5.1 Æ 0.2, with the value in the subtropical gyre (5.8 Æ 0.3) slightly higher than the subarctic gyre (4.6 Æ 0.2).","container-title":"Limnology and Oceanography","DOI":"10.1002/lno.11989","ISSN":"0024-3590, 1939-5590","issue":"1","journalAbbreviation":"Limnology &amp; Oceanography","language":"en","page":"247-260","source":"DOI.org (Crossref)","title":"Depth profiles of suspended carbon and nitrogen along a North Pacific transect: Concentrations, isotopes, and ratios","title-short":"Depth profiles of suspended carbon and nitrogen along a North Pacific transect","volume":"67","author":[{"family":"Dong","given":""},{"family":"Wang","given":"Xingchen Tony"},{"family":"Subhas","given":"Adam V."},{"family":"Pavia","given":"Frank J."},{"family":"Adkins","given":"Jess F."},{"family":"Berelson","given":"William M."}],"issued":{"date-parts":[["2022",1]]}}},{"id":1249,"uris":["http://zotero.org/users/6128296/items/C98ZVF9F"],"itemData":{"id":1249,"type":"article-journal","language":"en","page":"34","source":"Zotero","title":"A Sea of Change: Biogeochemical Variability in the North Pacific Subtropical Gyre","author":[{"family":"Karl","given":""}],"issued":{"date-parts":[["1999"]]}}}],"schema":"https://github.com/citation-style-language/schema/raw/master/csl-citation.json"} </w:instrText>
      </w:r>
      <w:r w:rsidR="006F0B53"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w:t>
      </w:r>
      <w:proofErr w:type="spellStart"/>
      <w:r w:rsidR="00922909">
        <w:rPr>
          <w:rFonts w:ascii="Times New Roman" w:hAnsi="Times New Roman" w:cs="Times New Roman"/>
          <w:sz w:val="24"/>
          <w:szCs w:val="24"/>
        </w:rPr>
        <w:t>Altabet</w:t>
      </w:r>
      <w:proofErr w:type="spellEnd"/>
      <w:r w:rsidR="00922909">
        <w:rPr>
          <w:rFonts w:ascii="Times New Roman" w:hAnsi="Times New Roman" w:cs="Times New Roman"/>
          <w:sz w:val="24"/>
          <w:szCs w:val="24"/>
        </w:rPr>
        <w:t xml:space="preserve">, Robinson, and Walstad 1986; Dong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2022; Karl 1999)</w:t>
      </w:r>
      <w:r w:rsidR="006F0B5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supports a </w:t>
      </w:r>
      <w:r w:rsidR="00462FDD">
        <w:rPr>
          <w:rFonts w:ascii="Times New Roman" w:hAnsi="Times New Roman" w:cs="Times New Roman"/>
          <w:sz w:val="24"/>
          <w:szCs w:val="24"/>
        </w:rPr>
        <w:t>diverse</w:t>
      </w:r>
      <w:r w:rsidRPr="003609FB">
        <w:rPr>
          <w:rFonts w:ascii="Times New Roman" w:hAnsi="Times New Roman" w:cs="Times New Roman"/>
          <w:sz w:val="24"/>
          <w:szCs w:val="24"/>
        </w:rPr>
        <w:t xml:space="preserve"> range of plankton </w:t>
      </w:r>
      <w:r w:rsidR="006F0B5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{"citationID":"ic1Oa8rA","properties":{"formattedCitation":"(Visintini, Martiny, and Flombaum 2021; Buitenhuis et al. 2012; Partensky et al. 1996; Partensky, Blanchot, and Vaulot 1999; Venrick 1982)","plainCitation":"(Visintini, Martiny, and Flombaum 2021; Buitenhuis et al. 2012; Partensky et al. 1996; Partensky, Blanchot, and Vaulot 1999; Venrick 1982)","noteIndex":0},"citationItems":[{"id":3999,"uris":["http://zotero.org/users/6128296/items/8G87M8S5"],"itemData":{"id":3999,"type":"article-journal","abstract":"Abstract\n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B."}],"issued":{"date-parts":[["2012",4,27]]}}},{"id":3476,"uris":["http://zotero.org/users/6128296/items/ISR39QQR"],"itemData":{"id":3476,"type":"article-journal","container-title":"Deep Sea Research Part I: Oceanographic Research Papers","DOI":"10.1016/0967-0637(96)00056-8","ISSN":"09670637","issue":"8","journalAbbreviation":"Deep Sea Research Part I: Oceanographic Research Papers","language":"en","page":"1191-1213","source":"DOI.org (Crossref)","title":"Vertical structure of picophytoplankton at different trophic sites of the tropical northeastern Atlantic Ocean","volume":"43","author":[{"family":"Partensky","given":""},{"family":"Blanchot","given":"Jean"},{"family":"Lantoine","given":"François"},{"family":"Neveux","given":"Jacques"},{"family":"Marie","given":"Dominique"}],"issued":{"date-parts":[["1996",8]]}}},{"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id":4084,"uris":["http://zotero.org/users/6128296/items/UYG338UX"],"itemData":{"id":4084,"type":"article-journal","abstract":"Details of the vertical distribution of oceanic phytoplankton species are investigated by means of four stations occupied during June 1977 and August 1978 near 28?N, 155?W. Two distinct, recurring floral associations, separated by a region of rapid transition near or below 100 m, are identified. The associations are apparently related to the \"nutrient limited\" and \"light limited\" physiological regimes described previously.","container-title":"Ecological Monographs","DOI":"10.2307/1942608","ISSN":"0012-9615, 1557-7015","issue":"2","journalAbbreviation":"Ecological Monographs","language":"en","page":"129-154","source":"DOI.org (Crossref)","title":"Phytoplankton in an Oligotrophic Ocean: Observations and Questions: Ecological Archives M052-002","title-short":"Phytoplankton in an Oligotrophic Ocean","volume":"52","author":[{"family":"Venrick","given":""}],"issued":{"date-parts":[["1982",6]]}}}],"schema":"https://github.com/citation-style-language/schema/raw/master/csl-citation.json"} </w:instrText>
      </w:r>
      <w:r w:rsidR="006F0B53" w:rsidRPr="003609FB">
        <w:rPr>
          <w:rFonts w:ascii="Times New Roman" w:hAnsi="Times New Roman" w:cs="Times New Roman"/>
          <w:sz w:val="24"/>
          <w:szCs w:val="24"/>
        </w:rPr>
        <w:fldChar w:fldCharType="separate"/>
      </w:r>
      <w:r w:rsidR="009D7443">
        <w:rPr>
          <w:rFonts w:ascii="Times New Roman" w:hAnsi="Times New Roman" w:cs="Times New Roman"/>
          <w:sz w:val="24"/>
        </w:rPr>
        <w:t xml:space="preserve">(Visintini, Martiny, and </w:t>
      </w:r>
      <w:proofErr w:type="spellStart"/>
      <w:r w:rsidR="009D7443">
        <w:rPr>
          <w:rFonts w:ascii="Times New Roman" w:hAnsi="Times New Roman" w:cs="Times New Roman"/>
          <w:sz w:val="24"/>
        </w:rPr>
        <w:t>Flombaum</w:t>
      </w:r>
      <w:proofErr w:type="spellEnd"/>
      <w:r w:rsidR="009D7443">
        <w:rPr>
          <w:rFonts w:ascii="Times New Roman" w:hAnsi="Times New Roman" w:cs="Times New Roman"/>
          <w:sz w:val="24"/>
        </w:rPr>
        <w:t xml:space="preserve"> 2021; Buitenhuis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2012;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1996;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Venrick 1982)</w:t>
      </w:r>
      <w:r w:rsidR="006F0B5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first </w:t>
      </w:r>
      <w:r w:rsidR="004F1055" w:rsidRPr="003609FB">
        <w:rPr>
          <w:rFonts w:ascii="Times New Roman" w:hAnsi="Times New Roman" w:cs="Times New Roman"/>
          <w:sz w:val="24"/>
          <w:szCs w:val="24"/>
        </w:rPr>
        <w:t>isolated</w:t>
      </w:r>
      <w:r w:rsidRPr="003609FB">
        <w:rPr>
          <w:rFonts w:ascii="Times New Roman" w:hAnsi="Times New Roman" w:cs="Times New Roman"/>
          <w:sz w:val="24"/>
          <w:szCs w:val="24"/>
        </w:rPr>
        <w:t xml:space="preserve"> </w:t>
      </w:r>
      <w:r w:rsidR="00FF0E3D">
        <w:rPr>
          <w:rFonts w:ascii="Times New Roman" w:hAnsi="Times New Roman" w:cs="Times New Roman"/>
          <w:sz w:val="24"/>
          <w:szCs w:val="24"/>
        </w:rPr>
        <w:t xml:space="preserve">in </w:t>
      </w:r>
      <w:r w:rsidRPr="003609FB">
        <w:rPr>
          <w:rFonts w:ascii="Times New Roman" w:hAnsi="Times New Roman" w:cs="Times New Roman"/>
          <w:sz w:val="24"/>
          <w:szCs w:val="24"/>
        </w:rPr>
        <w:t xml:space="preserve">the 1980’s </w:t>
      </w:r>
      <w:r w:rsidR="006F0B53"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{"citationID":"mXj1Y74G","properties":{"formattedCitation":"(Chisholm et al. 1988)","plainCitation":"(Chisholm et al. 1988)","noteIndex":0},"citationItems":[{"id":4048,"uris":["http://zotero.org/users/6128296/items/PWPQTHJL"],"itemData":{"id":4048,"type":"article-journal","container-title":"Nature","DOI":"10.1038/334340a0","ISSN":"0028-0836, 1476-4687","issue":"6180","journalAbbreviation":"Nature","language":"en","page":"340-343","source":"DOI.org (Crossref)","title":"A novel free-living prochlorophyte abundant in the oceanic euphotic zone","volume":"334","author":[{"family":"Chisholm","given":""},{"family":"Olson","given":"Robert J."},{"family":"Zettler","given":"Erik R."},{"family":"Goericke","given":"Ralf"},{"family":"Waterbury","given":"John B."},{"family":"Welschmeyer","given":"Nicholas A."}],"issued":{"date-parts":[["1988",7]]}}}],"schema":"https://github.com/citation-style-language/schema/raw/master/csl-citation.json"} </w:instrText>
      </w:r>
      <w:r w:rsidR="006F0B53" w:rsidRPr="003609FB">
        <w:rPr>
          <w:rFonts w:ascii="Times New Roman" w:hAnsi="Times New Roman" w:cs="Times New Roman"/>
          <w:sz w:val="24"/>
          <w:szCs w:val="24"/>
        </w:rPr>
        <w:fldChar w:fldCharType="separate"/>
      </w:r>
      <w:r w:rsidR="00922909">
        <w:rPr>
          <w:rFonts w:ascii="Times New Roman" w:hAnsi="Times New Roman" w:cs="Times New Roman"/>
          <w:sz w:val="24"/>
        </w:rPr>
        <w:t xml:space="preserve">(Chisholm </w:t>
      </w:r>
      <w:r w:rsidR="00183222" w:rsidRPr="00183222">
        <w:rPr>
          <w:rFonts w:ascii="Times New Roman" w:hAnsi="Times New Roman" w:cs="Times New Roman"/>
          <w:i/>
          <w:iCs/>
          <w:sz w:val="24"/>
          <w:szCs w:val="24"/>
        </w:rPr>
        <w:t>et al</w:t>
      </w:r>
      <w:r w:rsidR="00922909">
        <w:rPr>
          <w:rFonts w:ascii="Times New Roman" w:hAnsi="Times New Roman" w:cs="Times New Roman"/>
          <w:sz w:val="24"/>
        </w:rPr>
        <w:t>. 1988)</w:t>
      </w:r>
      <w:r w:rsidR="006F0B53" w:rsidRPr="003609FB">
        <w:rPr>
          <w:rFonts w:ascii="Times New Roman" w:hAnsi="Times New Roman" w:cs="Times New Roman"/>
          <w:sz w:val="24"/>
          <w:szCs w:val="24"/>
        </w:rPr>
        <w:fldChar w:fldCharType="end"/>
      </w:r>
      <w:r w:rsidR="006F0B53"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has since been shown to dominate oligotrophic surface waters </w:t>
      </w:r>
      <w:r w:rsidR="00DE6A6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{"citationID":"xZsT2xnB","properties":{"formattedCitation":"(Partensky et al. 1996; Partensky, Hess, and Vaulot 1999)","plainCitation":"(Partensky et al. 1996; Partensky, Hess, and Vaulot 1999)","noteIndex":0},"citationItems":[{"id":3476,"uris":["http://zotero.org/users/6128296/items/ISR39QQR"],"itemData":{"id":3476,"type":"article-journal","container-title":"Deep Sea Research Part I: Oceanographic Research Papers","DOI":"10.1016/0967-0637(96)00056-8","ISSN":"09670637","issue":"8","journalAbbreviation":"Deep Sea Research Part I: Oceanographic Research Papers","language":"en","page":"1191-1213","source":"DOI.org (Crossref)","title":"Vertical structure of picophytoplankton at different trophic sites of the tropical northeastern Atlantic Ocean","volume":"43","author":[{"family":"Partensky","given":""},{"family":"Blanchot","given":"Jean"},{"family":"Lantoine","given":"François"},{"family":"Neveux","given":"Jacques"},{"family":"Marie","given":"Dominique"}],"issued":{"date-parts":[["1996",8]]}}},{"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R."},{"family":"Vaulot","given":"D."}],"issued":{"date-parts":[["1999",3]]}}}],"schema":"https://github.com/citation-style-language/schema/raw/master/csl-citation.json"} </w:instrText>
      </w:r>
      <w:r w:rsidR="00DE6A6B"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1996;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Hess,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w:t>
      </w:r>
      <w:r w:rsidR="00DE6A6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grow alongside its closest extant relative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DE6A6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{"citationID":"knqZhhps","properties":{"formattedCitation":"(Partensky, Blanchot, and Vaulot 1999; Rabouille, Edwards, and Zehr 2007)","plainCitation":"(Partensky, Blanchot, and Vaulot 1999; Rabouille, Edwards, and Zehr 2007)","noteIndex":0},"citationItems":[{"id":4251,"uris":["http://zotero.org/users/6128296/items/KSAT33BJ"],"itemData":{"id":4251,"type":"article-journal","container-title":"Bulletin-Institut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id":3501,"uris":["http://zotero.org/users/6128296/items/FXLB6JDG"],"itemData":{"id":3501,"type":"article-journal","abstract":"A simple model was developed to examine the vertical distribution of Prochlorococcus and Synechococcus ecotypes in the water column, based on their adaptation to light intensity. Model simulations were compared with a 14-year time series of Prochlorococcus and Synechococcus cell abundances at Station ALOHA in the North Paciﬁc Subtropical Gyre. Data were analysed to examine spatial and temporal patterns in abundances and their ranges of variability in the euphotic zone, the surface mixed layer and the layer in the euphotic zone but below the base of the mixed layer. Model simulations show that the apparent occupation of the whole euphotic zone by a genus can be the result of a co-occurrence of different ecotypes that segregate vertically. The segregation of ecotypes can result simply from differences in light response. A sensitivity analysis of the model, performed on the parameter a (initial slope of the lightresponse curve) and the DIN concentration in the upper water column, demonstrates that the model successfully reproduces the observed range of vertical distributions. Results support the idea that intermittent mixing events may have important ecological and geochemical impacts on the phytoplankton community at Station ALOHA.","container-title":"Environmental Microbiology","DOI":"10.1111/j.1462-2920.2007.01376.x","ISSN":"1462-2912, 1462-2920","issue":"10","journalAbbreviation":"Environ Microbiol","language":"en","page":"2588-2602","source":"DOI.org (Crossref)","title":"Modelling the vertical distribution of Prochlorococcus and Synechococcus in the North Pacific Subtropical Ocean","volume":"9","author":[{"family":"Rabouille","given":""},{"family":"Edwards","given":"Christopher A."},{"family":"Zehr","given":"Jonathan P."}],"issued":{"date-parts":[["2007",10]]}}}],"schema":"https://github.com/citation-style-language/schema/raw/master/csl-citation.json"} </w:instrText>
      </w:r>
      <w:r w:rsidR="00DE6A6B"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Rabouille, Edwards, and Zehr 2007)</w:t>
      </w:r>
      <w:r w:rsidR="00DE6A6B" w:rsidRPr="003609FB">
        <w:rPr>
          <w:rFonts w:ascii="Times New Roman" w:hAnsi="Times New Roman" w:cs="Times New Roman"/>
          <w:sz w:val="24"/>
          <w:szCs w:val="24"/>
        </w:rPr>
        <w:fldChar w:fldCharType="end"/>
      </w:r>
      <w:r w:rsidR="00DE6A6B"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Efficiency of nutrient usage due to genomic and physical streamlining is touted </w:t>
      </w:r>
      <w:r w:rsidR="004F1055" w:rsidRPr="003609FB">
        <w:rPr>
          <w:rFonts w:ascii="Times New Roman" w:hAnsi="Times New Roman" w:cs="Times New Roman"/>
          <w:sz w:val="24"/>
          <w:szCs w:val="24"/>
        </w:rPr>
        <w:t>as allowing</w:t>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to dominate </w:t>
      </w:r>
      <w:r w:rsidR="00DE6A6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{"citationID":"J8DbcqXL","properties":{"formattedCitation":"(Read et al. 2017; Giovannoni et al. 2005; Giovannoni, Cameron Thrash, and Temperton 2014; Beaulieu et al. 2008)","plainCitation":"(Read et al. 2017; Giovannoni et al. 2005; Giovannoni, Cameron Thrash, and Temperton 2014; Beaulieu et al. 2008)","noteIndex":0},"citationItems":[{"id":1951,"uris":["http://zotero.org/users/6128296/items/83IPDWVJ"],"itemData":{"id":1951,"type":"article-journal","abstract":"Prochlorococcus is a globally abundant marine cyanobacterium with many adaptations that reduce cellular nutrient requirements, facilitating growth in its nutrient-poor environment. One such genomic adaptation is the preferential utilization of amino acids containing fewer N-atoms, which minimizes cellular nitrogen requirements. We predicted that transcriptional regulation might further reduce cellular N budgets during transient N limitation. To explore this, we compared transcription start sites (TSSs) in Prochlorococcus MED4 under N-deprived and N-replete conditions. Of 64 genes with primary and internal TSSs in both conditions, N-deprived cells initiated transcription downstream of primary TSSs more frequently than N-replete cells. Additionally, 117 genes with only an internal TSS demonstrated increased internal transcription under N-deprivation. These shortened transcripts encode predicted proteins with an average of 21% less N content compared to full-length transcripts. We hypothesized that low translation rates, which afford greater control over protein abundances, would be beneficial to relatively slow-growing organisms like Prochlorococcus. Consistent with this idea, we found that Prochlorococcus exhibits greater usage of glycine–glycine motifs, which causes translational pausing, when compared to faster growing microbes. Our findings indicate that structural changes occur within the Prochlorococcus MED4 transcriptome during N-deprivation, potentially altering the size and structure of proteins expressed under nutrient limitation.","container-title":"The ISME Journal","DOI":"10.1038/ismej.2017.88","ISSN":"1751-7362, 1751-7370","issue":"10","journalAbbreviation":"ISME J","language":"en","page":"2267-2278","source":"DOI.org (Crossref)","title":"Nitrogen cost minimization is promoted by structural changes in the transcriptome of N-deprived Prochlorococcus cells","volume":"11","author":[{"family":"Read","given":""},{"family":"Berube","given":"Paul M"},{"family":"Biller","given":"Steven J"},{"family":"Neveux","given":"Iva"},{"family":"Cubillos-Ruiz","given":"Andres"},{"family":"Chisholm","given":"Sallie W"},{"family":"Grzymski","given":"Joseph J"}],"issued":{"date-parts":[["2017",10]]}}},{"id":3228,"uris":["http://zotero.org/users/6128296/items/ZLJ9JJTZ"],"itemData":{"id":3228,"type":"article-journal","abstract":"The SAR11 clade consists of very small, heterotrophic marine α-proteobacteria that are found throughout the oceans, where they account for about 25% of all microbial cells.\n              Pelagibacter ubique\n              , the first cultured member of this clade, has the smallest genome and encodes the smallest number of predicted open reading frames known for a free-living microorganism. In contrast to parasitic bacteria and archaea with small genomes,\n              P. ubique\n              has complete biosynthetic pathways for all 20 amino acids and all but a few cofactors.\n              P. ubique\n              has no pseudogenes, introns, transposons, extrachromosomal elements, or inteins; few paralogs; and the shortest intergenic spacers yet observed for any cell.","container-title":"Science","DOI":"10.1126/science.1114057","ISSN":"0036-8075, 1095-9203","issue":"5738","journalAbbreviation":"Science","language":"en","page":"1242-1245","source":"DOI.org (Crossref)","title":"Genome Streamlining in a Cosmopolitan Oceanic Bacterium","volume":"309","author":[{"family":"Giovannoni","given":""},{"family":"Tripp","given":"H. James"},{"family":"Givan","given":"Scott"},{"family":"Podar","given":"Mircea"},{"family":"Vergin","given":"Kevin L."},{"family":"Baptista","given":"Damon"},{"family":"Bibbs","given":"Lisa"},{"family":"Eads","given":"Jonathan"},{"family":"Richardson","given":"Toby H."},{"family":"Noordewier","given":"Michiel"},{"family":"Rappé","given":"Michael S."},{"family":"Short","given":"Jay M."},{"family":"Carrington","given":"James C."},{"family":"Mathur","given":"Eric J."}],"issued":{"date-parts":[["2005",8,19]]}}},{"id":1217,"uris":["http://zotero.org/users/6128296/items/TM8BPJ2Z"],"itemData":{"id":1217,"type":"article-journal","abstract":"Whether a small cell, a small genome or a minimal set of chemical reactions with self-replicating properties, simplicity is beguiling. As Leonardo da Vinci reportedly said, ‘simplicity is the ultimate sophistication’. Two diverging views of simplicity have emerged in accounts of symbiotic and commensal bacteria and cosmopolitan free-living bacteria with small genomes. The small genomes of obligate insect endosymbionts have been attributed to genetic drift caused by small effective population sizes (Ne). In contrast, streamlining theory attributes small cells and genomes to selection for efficient use of nutrients in populations where Ne is large and nutrients limit growth. Regardless of the cause of genome reduction, lost coding potential eventually dictates loss of function. Consequences of reductive evolution in streamlined organisms include atypical patterns of prototrophy and the absence of common regulatory systems, which have been linked to difficulty in culturing these cells. Recent evidence from metagenomics suggests that streamlining is commonplace, may broadly explain the phenomenon of the uncultured microbial majority, and might also explain the highly interdependent (connected) behavior of many microbial ecosystems. Streamlining theory is belied by the observation that many successful bacteria are large cells with complex genomes. To fully appreciate streamlining, we must look to the life histories and adaptive strategies of cells, which impose minimum requirements for complexity that vary with niche.","container-title":"The ISME Journal","DOI":"10.1038/ismej.2014.60","ISSN":"1751-7362, 1751-7370","issue":"8","journalAbbreviation":"ISME J","language":"en","page":"1553-1565","source":"DOI.org (Crossref)","title":"Implications of streamlining theory for microbial ecology","volume":"8","author":[{"family":"Giovannoni","given":""},{"family":"Cameron Thrash","given":"J"},{"family":"Temperton","given":"Ben"}],"issued":{"date-parts":[["2014",8]]}}},{"id":78,"uris":["http://zotero.org/users/6128296/items/WYCDC92Q"],"itemData":{"id":78,"type":"article-journal","abstract":"Across eukaryotes phenotypic correlations with genome size are thought to scale from genome size effects on cell size. However, for plants the genome/cell size link has only been thoroughly documented within ploidy series and small subsets of herbaceous species.","container-title":"New Phytologist","DOI":"10.1111/j.1469-8137.2008.02528.x","ISSN":"0028646X, 14698137","issue":"4","language":"en","page":"975-986","source":"DOI.org (Crossref)","title":"Genome size is a strong predictor of cell size and stomatal density in angiosperms","volume":"179","author":[{"family":"Beaulieu","given":""},{"family":"Leitch","given":"Ilia J."},{"family":"Patel","given":"Sunil"},{"family":"Pendharkar","given":"Arjun"},{"family":"Knight","given":"Charles A."}],"issued":{"date-parts":[["2008",9]]}}}],"schema":"https://github.com/citation-style-language/schema/raw/master/csl-citation.json"} </w:instrText>
      </w:r>
      <w:r w:rsidR="00DE6A6B"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(Read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2017; Giovannoni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2005; Giovannoni, Cameron Thrash, and Temperton 2014; Beaulieu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2008)</w:t>
      </w:r>
      <w:r w:rsidR="00DE6A6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over sister genera </w:t>
      </w:r>
      <w:r w:rsidR="004F1055" w:rsidRPr="003609FB">
        <w:rPr>
          <w:rFonts w:ascii="Times New Roman" w:hAnsi="Times New Roman" w:cs="Times New Roman"/>
          <w:sz w:val="24"/>
          <w:szCs w:val="24"/>
        </w:rPr>
        <w:t>while</w:t>
      </w:r>
      <w:r w:rsidRPr="003609FB">
        <w:rPr>
          <w:rFonts w:ascii="Times New Roman" w:hAnsi="Times New Roman" w:cs="Times New Roman"/>
          <w:sz w:val="24"/>
          <w:szCs w:val="24"/>
        </w:rPr>
        <w:t xml:space="preserve"> usage of ammonium over nitrate </w:t>
      </w:r>
      <w:r w:rsidR="004F0AA5"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{"citationID":"CVUdQByS","properties":{"formattedCitation":"(Garcia-Fernandez, de Marsac, and Diez 2004)","plainCitation":"(Garcia-Fernandez, de Marsac, and Diez 2004)","dontUpdate":true,"noteIndex":0},"citationItems":[{"id":92,"uris":["http://zotero.org/users/6128296/items/NBRTUMCT"],"itemData":{"id":92,"type":"article-journal","container-title":"Microbiology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T.","non-dropping-particle":"de"},{"family":"Diez","given":"J."}],"issued":{"date-parts":[["2004",12,1]]}}}],"schema":"https://github.com/citation-style-language/schema/raw/master/csl-citation.json"} </w:instrText>
      </w:r>
      <w:r w:rsidR="004F0AA5" w:rsidRPr="003609FB">
        <w:rPr>
          <w:rFonts w:ascii="Times New Roman" w:hAnsi="Times New Roman" w:cs="Times New Roman"/>
          <w:sz w:val="24"/>
          <w:szCs w:val="24"/>
        </w:rPr>
        <w:fldChar w:fldCharType="separate"/>
      </w:r>
      <w:r w:rsidR="00D92905">
        <w:rPr>
          <w:rFonts w:ascii="Times New Roman" w:hAnsi="Times New Roman" w:cs="Times New Roman"/>
          <w:sz w:val="24"/>
          <w:szCs w:val="24"/>
        </w:rPr>
        <w:t xml:space="preserve">(R </w:t>
      </w:r>
      <w:proofErr w:type="spellStart"/>
      <w:r w:rsidR="00D92905">
        <w:rPr>
          <w:rFonts w:ascii="Times New Roman" w:hAnsi="Times New Roman" w:cs="Times New Roman"/>
          <w:sz w:val="24"/>
          <w:szCs w:val="24"/>
        </w:rPr>
        <w:t>Rippka</w:t>
      </w:r>
      <w:proofErr w:type="spellEnd"/>
      <w:r w:rsidR="00D92905">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D92905">
        <w:rPr>
          <w:rFonts w:ascii="Times New Roman" w:hAnsi="Times New Roman" w:cs="Times New Roman"/>
          <w:sz w:val="24"/>
          <w:szCs w:val="24"/>
        </w:rPr>
        <w:t>. 2000)</w:t>
      </w:r>
      <w:r w:rsidR="004F0AA5"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140A9C" w:rsidRPr="003609FB">
        <w:rPr>
          <w:rFonts w:ascii="Times New Roman" w:hAnsi="Times New Roman" w:cs="Times New Roman"/>
          <w:sz w:val="24"/>
          <w:szCs w:val="24"/>
        </w:rPr>
        <w:t>as a</w:t>
      </w:r>
      <w:r w:rsidR="00A02D97" w:rsidRPr="003609FB">
        <w:rPr>
          <w:rFonts w:ascii="Times New Roman" w:hAnsi="Times New Roman" w:cs="Times New Roman"/>
          <w:sz w:val="24"/>
          <w:szCs w:val="24"/>
        </w:rPr>
        <w:t xml:space="preserve"> nitrogen source</w:t>
      </w:r>
      <w:r w:rsidRPr="003609FB">
        <w:rPr>
          <w:rFonts w:ascii="Times New Roman" w:hAnsi="Times New Roman" w:cs="Times New Roman"/>
          <w:sz w:val="24"/>
          <w:szCs w:val="24"/>
        </w:rPr>
        <w:t xml:space="preserve"> ha</w:t>
      </w:r>
      <w:r w:rsidR="004F1055" w:rsidRPr="003609FB">
        <w:rPr>
          <w:rFonts w:ascii="Times New Roman" w:hAnsi="Times New Roman" w:cs="Times New Roman"/>
          <w:sz w:val="24"/>
          <w:szCs w:val="24"/>
        </w:rPr>
        <w:t>s</w:t>
      </w:r>
      <w:r w:rsidRPr="003609FB">
        <w:rPr>
          <w:rFonts w:ascii="Times New Roman" w:hAnsi="Times New Roman" w:cs="Times New Roman"/>
          <w:sz w:val="24"/>
          <w:szCs w:val="24"/>
        </w:rPr>
        <w:t xml:space="preserve"> been shown to allow coexistence </w:t>
      </w:r>
      <w:r w:rsidR="004F1055" w:rsidRPr="003609FB">
        <w:rPr>
          <w:rFonts w:ascii="Times New Roman" w:hAnsi="Times New Roman" w:cs="Times New Roman"/>
          <w:sz w:val="24"/>
          <w:szCs w:val="24"/>
        </w:rPr>
        <w:t xml:space="preserve">between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F1055"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004F1055" w:rsidRPr="003609FB">
        <w:rPr>
          <w:rFonts w:ascii="Times New Roman" w:hAnsi="Times New Roman" w:cs="Times New Roman"/>
          <w:sz w:val="24"/>
          <w:szCs w:val="24"/>
        </w:rPr>
        <w:t xml:space="preserve">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4F0AA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{"citationID":"22mRnAmZ","properties":{"formattedCitation":"(Masuda et al. 2023; Button 1991; 1998)","plainCitation":"(Masuda et al. 2023; Button 1991; 1998)","dontUpdate":true,"noteIndex":0},"citationItems":[{"id":3707,"uris":["http://zotero.org/users/6128296/items/LYVJQAKR"],"itemData":{"id":3707,"type":"article-journal","abstract":"Prochlorococcus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Ying"}],"issued":{"date-parts":[["2023",8,17]]}}},{"id":1182,"uris":["http://zotero.org/users/6128296/items/GAHKMTTN"],"itemData":{"id":1182,"type":"article-journal","abstract":"Formulations are presented that describe the concentration dependency of nutrient-limited transport and growth in molecular terms. They relate the rate of transport at steady state through a two-sequence process, transport and metabolism, to ambient concentrations according to the amounts and kinetic characteristics of the two rate-limiting proteins in these sequences. Sequences are separated by a metabolic pool. A novel feature of these formulations is the translation coefficient, which relates the transport rate attained at given ambient nutrient concentrations and membrane transporter characteristics to the nutrient concentrations sustained in the metabolic pools. The formulations, termed janusian kinetics, show that hyperbolic kinetics are retained during independent changes in transporter and enzyme contents or characteristics. Specific affinity (aA) depends strongly on the amount and kinetic characteristics of the transporters; it is also mildly affected by the amount and characteristics of the rate-limiting enzyme. This kinetic constant best describes the ability to accumulate substrate from limiting concentrations. Maximal velocity (Vm,,) describes uptake from concentrated solutions and can depend strongly on either limiting enzyme content or the associated content of transporters. The whole-cell Michaelis constant (KT), which depends on the ratio of rate-limiting enzyme to transporter, can be relatively independent of change in aA and is best used to describe the concentration at which saturation begins to occur. Theory specifies that good oligotrophs have a large aA for nutrient collection and a small Vm. for economy of enzyme, giving a small KT. The product of the two constants is universally rather constant so that oligotrophy is scaled on a plot of aA versus KT, with better oligotrophs toward one end. This idea is borne out by experimental data, and therefore typical small difficult-to-culture aquatic bacteria may be classified as oligobacteria.","container-title":"APPL. ENVIRON. MICROBIOL.","language":"en","page":"6","source":"Zotero","title":"Biochemical Basis for Whole-Cell Uptake Kinetics: Specific Affinity, Oligotrophic Capacity, and the Meaning of the Michaelis Constant","volume":"57","author":[{"family":"Button","given":""}],"issued":{"date-parts":[["1991"]]}}},{"id":1183,"uris":["http://zotero.org/users/6128296/items/EW3DPQCY"],"itemData":{"id":1183,"type":"article-journal","abstract":"Recently tabulated values of 0.016 to 0.021 g of cells (wet wt)/g of cells/h (49) are sufficient to consume most oligotrophs at growth rates specified by presumed substrate concentrations and specific affinities for substrates including those with large growth yields (62). However, the principle of decoupling material requirements for growth from those required for maintenance is parallel to decoupling energy requirements for maintaining an energized membrane from those required for transport, so the appropriate values for the calculation may be unknown","container-title":"MICROBIOL. MOL. BIOL. REV.","language":"en","page":"10","source":"Zotero","title":"Nutrient Uptake by Microorganisms according to Kinetic Parameters from Theory as Related to Cytoarchitecture","volume":"62","author":[{"family":"Button","given":""}],"issued":{"date-parts":[["1998"]]}}}],"schema":"https://github.com/citation-style-language/schema/raw/master/csl-citation.json"} </w:instrText>
      </w:r>
      <w:r w:rsidR="004F0AA5" w:rsidRPr="003609FB">
        <w:rPr>
          <w:rFonts w:ascii="Times New Roman" w:hAnsi="Times New Roman" w:cs="Times New Roman"/>
          <w:sz w:val="24"/>
          <w:szCs w:val="24"/>
        </w:rPr>
        <w:fldChar w:fldCharType="separate"/>
      </w:r>
      <w:r w:rsidR="00D92905">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D92905">
        <w:rPr>
          <w:rFonts w:ascii="Times New Roman" w:hAnsi="Times New Roman" w:cs="Times New Roman"/>
          <w:sz w:val="24"/>
          <w:szCs w:val="24"/>
        </w:rPr>
        <w:t xml:space="preserve">. 2008; R </w:t>
      </w:r>
      <w:proofErr w:type="spellStart"/>
      <w:r w:rsidR="00D92905">
        <w:rPr>
          <w:rFonts w:ascii="Times New Roman" w:hAnsi="Times New Roman" w:cs="Times New Roman"/>
          <w:sz w:val="24"/>
          <w:szCs w:val="24"/>
        </w:rPr>
        <w:t>Rippka</w:t>
      </w:r>
      <w:proofErr w:type="spellEnd"/>
      <w:r w:rsidR="00D92905">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D92905">
        <w:rPr>
          <w:rFonts w:ascii="Times New Roman" w:hAnsi="Times New Roman" w:cs="Times New Roman"/>
          <w:sz w:val="24"/>
          <w:szCs w:val="24"/>
        </w:rPr>
        <w:t>. 2000)</w:t>
      </w:r>
      <w:r w:rsidR="004F0AA5"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Despite their prevalence,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was </w:t>
      </w:r>
      <w:r w:rsidR="00A02D97" w:rsidRPr="003609FB">
        <w:rPr>
          <w:rFonts w:ascii="Times New Roman" w:hAnsi="Times New Roman" w:cs="Times New Roman"/>
          <w:sz w:val="24"/>
          <w:szCs w:val="24"/>
        </w:rPr>
        <w:t>historically</w:t>
      </w:r>
      <w:r w:rsidR="00140A9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difficult to culture </w:t>
      </w:r>
      <w:r w:rsidR="004F0AA5" w:rsidRPr="003609FB">
        <w:rPr>
          <w:rFonts w:ascii="Times New Roman" w:hAnsi="Times New Roman" w:cs="Times New Roman"/>
          <w:sz w:val="24"/>
          <w:szCs w:val="24"/>
        </w:rPr>
        <w:fldChar w:fldCharType="begin"/>
      </w:r>
      <w:r w:rsidR="00FC72F8">
        <w:rPr>
          <w:rFonts w:ascii="Times New Roman" w:hAnsi="Times New Roman" w:cs="Times New Roman"/>
          <w:sz w:val="24"/>
          <w:szCs w:val="24"/>
        </w:rPr>
        <w:instrText xml:space="preserve"> ADDIN ZOTERO_ITEM CSL_CITATION {"citationID":"pO7vkvxE","properties":{"formattedCitation":"(Rippka et al. 2000)","plainCitation":"(Rippka et al. 2000)","noteIndex":0},"citationItems":[{"id":4795,"uris":["http://zotero.org/users/6128296/items/KNQQHGQ2"],"itemData":{"id":4795,"type":"article-journal","abstract":"The formal description of Prochlorococcus marinus Chisholm et al. 1992, 299 was based on the non-axenic nomenclatural type, strain CCMP 1375T. The puriﬁcation and properties of the axenic strain PCC 9511, derived from the same primary culture (SARG) as the type species, are reported here. Prochlorococcus PCC 9511 differs from the latter in possessing horseshoeshaped thylakoids, exhibiting a low chlorophyll b2 content and lacking phycoerythrin, but shares these phenotypic properties with Prochlorococcus strain CCMP 1378. This relationship was conﬁrmed by 16S rRNA sequence analyses, which clearly demonstrated that the axenic isolate is not co-identic with the nomenclatural type. Strain PCC 9511 has a low mean DNA base composition (32 mol % GMC) and harbours the smallest genome of all known oxyphotobacteria (genome complexity 1 3 GDa l 2 Mbp). Urea and ammonia are the preferred sources of nitrogen for growth, whereas nitrate is not utilized. Several different organic phosphorus compounds efﬁciently replace phosphate in the culture medium, indicative of ecto-phosphohydrolase activity. In order to distinguish strain PCC 9511 from the nomenclatural type, a new subspecies is proposed, Prochlorococcus marinus Chisholm et al. 1992 subsp. pastoris subsp. nov.","container-title":"International Journal of Systematic and Evolutionary Microbiology","DOI":"10.1099/00207713-50-5-1833","ISSN":"1466-5026, 1466-5034","issue":"5","language":"en","page":"1833-1847","source":"DOI.org (Crossref)","title":"Prochlorococcus marinus Chisholm et al. 1992 subsp. pastoris subsp. nov. strain PCC 9511, the first axenic chlorophyll a2/b2-containing cyanobacterium (Oxyphotobacteria).","volume":"50","author":[{"family":"Rippka","given":""},{"family":"Coursin","given":""},{"family":"Hess","given":""},{"family":"Lichtlé","given":""},{"family":"Scanlan","given":""},{"family":"Palinska","given":"K A"},{"family":"Iteman","given":"I"},{"family":"Partensky","given":"F"},{"family":"Houmard","given":"J"},{"family":"Herdman","given":"M"}],"issued":{"date-parts":[["2000",9,1]]}}}],"schema":"https://github.com/citation-style-language/schema/raw/master/csl-citation.json"} </w:instrText>
      </w:r>
      <w:r w:rsidR="004F0AA5"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w:t>
      </w:r>
      <w:proofErr w:type="spellStart"/>
      <w:r w:rsidR="00922909">
        <w:rPr>
          <w:rFonts w:ascii="Times New Roman" w:hAnsi="Times New Roman" w:cs="Times New Roman"/>
          <w:sz w:val="24"/>
          <w:szCs w:val="24"/>
        </w:rPr>
        <w:t>Rippka</w:t>
      </w:r>
      <w:proofErr w:type="spellEnd"/>
      <w:r w:rsidR="0092290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2000)</w:t>
      </w:r>
      <w:r w:rsidR="004F0AA5"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until </w:t>
      </w:r>
      <w:r w:rsidR="001310E0">
        <w:rPr>
          <w:rFonts w:ascii="Times New Roman" w:hAnsi="Times New Roman" w:cs="Times New Roman"/>
          <w:sz w:val="24"/>
          <w:szCs w:val="24"/>
        </w:rPr>
        <w:t xml:space="preserve">diluted </w:t>
      </w:r>
      <w:r w:rsidRPr="003609FB">
        <w:rPr>
          <w:rFonts w:ascii="Times New Roman" w:hAnsi="Times New Roman" w:cs="Times New Roman"/>
          <w:sz w:val="24"/>
          <w:szCs w:val="24"/>
        </w:rPr>
        <w:t xml:space="preserve">helper bacteria, formally </w:t>
      </w:r>
      <w:r w:rsidR="004F1055" w:rsidRPr="003609FB">
        <w:rPr>
          <w:rFonts w:ascii="Times New Roman" w:hAnsi="Times New Roman" w:cs="Times New Roman"/>
          <w:sz w:val="24"/>
          <w:szCs w:val="24"/>
        </w:rPr>
        <w:t xml:space="preserve">considered </w:t>
      </w:r>
      <w:r w:rsidRPr="003609FB">
        <w:rPr>
          <w:rFonts w:ascii="Times New Roman" w:hAnsi="Times New Roman" w:cs="Times New Roman"/>
          <w:sz w:val="24"/>
          <w:szCs w:val="24"/>
        </w:rPr>
        <w:t>‘contaminants</w:t>
      </w:r>
      <w:r w:rsidR="00490E61">
        <w:rPr>
          <w:rFonts w:ascii="Times New Roman" w:hAnsi="Times New Roman" w:cs="Times New Roman"/>
          <w:sz w:val="24"/>
          <w:szCs w:val="24"/>
        </w:rPr>
        <w:t>,</w:t>
      </w:r>
      <w:r w:rsidRPr="003609FB">
        <w:rPr>
          <w:rFonts w:ascii="Times New Roman" w:hAnsi="Times New Roman" w:cs="Times New Roman"/>
          <w:sz w:val="24"/>
          <w:szCs w:val="24"/>
        </w:rPr>
        <w:t>’</w:t>
      </w:r>
      <w:r w:rsidR="00490E61">
        <w:rPr>
          <w:rFonts w:ascii="Times New Roman" w:hAnsi="Times New Roman" w:cs="Times New Roman"/>
          <w:sz w:val="24"/>
          <w:szCs w:val="24"/>
        </w:rPr>
        <w:t xml:space="preserve"> </w:t>
      </w:r>
      <w:r w:rsidR="004F1055" w:rsidRPr="003609FB">
        <w:rPr>
          <w:rFonts w:ascii="Times New Roman" w:hAnsi="Times New Roman" w:cs="Times New Roman"/>
          <w:sz w:val="24"/>
          <w:szCs w:val="24"/>
        </w:rPr>
        <w:t>were found</w:t>
      </w:r>
      <w:r w:rsidRPr="003609FB">
        <w:rPr>
          <w:rFonts w:ascii="Times New Roman" w:hAnsi="Times New Roman" w:cs="Times New Roman"/>
          <w:sz w:val="24"/>
          <w:szCs w:val="24"/>
        </w:rPr>
        <w:t xml:space="preserve"> to help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grow</w:t>
      </w:r>
      <w:r w:rsidR="001310E0">
        <w:rPr>
          <w:rFonts w:ascii="Times New Roman" w:hAnsi="Times New Roman" w:cs="Times New Roman"/>
          <w:sz w:val="24"/>
          <w:szCs w:val="24"/>
        </w:rPr>
        <w:t xml:space="preserve"> when added back to </w:t>
      </w:r>
      <w:r w:rsidR="001310E0" w:rsidRPr="001310E0">
        <w:rPr>
          <w:rFonts w:ascii="Times" w:hAnsi="Times" w:cs="Times New Roman"/>
          <w:i/>
          <w:iCs/>
          <w:color w:val="000000" w:themeColor="text1"/>
          <w:sz w:val="24"/>
          <w:szCs w:val="24"/>
        </w:rPr>
        <w:t>Prochlorococcus</w:t>
      </w:r>
      <w:r w:rsidR="001310E0">
        <w:rPr>
          <w:rFonts w:ascii="Times New Roman" w:hAnsi="Times New Roman" w:cs="Times New Roman"/>
          <w:sz w:val="24"/>
          <w:szCs w:val="24"/>
        </w:rPr>
        <w:t xml:space="preserve"> </w:t>
      </w:r>
      <w:r w:rsidR="005D0327">
        <w:rPr>
          <w:rFonts w:ascii="Times New Roman" w:hAnsi="Times New Roman" w:cs="Times New Roman"/>
          <w:sz w:val="24"/>
          <w:szCs w:val="24"/>
        </w:rPr>
        <w:t xml:space="preserve">in dilute coculture </w:t>
      </w:r>
      <w:r w:rsidR="00232D92" w:rsidRPr="003609FB">
        <w:rPr>
          <w:rFonts w:ascii="Times New Roman" w:hAnsi="Times New Roman" w:cs="Times New Roman"/>
          <w:sz w:val="24"/>
          <w:szCs w:val="24"/>
        </w:rPr>
        <w:fldChar w:fldCharType="begin"/>
      </w:r>
      <w:r w:rsidR="00FC72F8">
        <w:rPr>
          <w:rFonts w:ascii="Times New Roman" w:hAnsi="Times New Roman" w:cs="Times New Roman"/>
          <w:sz w:val="24"/>
          <w:szCs w:val="24"/>
        </w:rPr>
        <w:instrText xml:space="preserve"> ADDIN ZOTERO_ITEM CSL_CITATION {"citationID":"LayPqDlV","properties":{"formattedCitation":"(Morris et al. 2008; Rippka et al. 2000)","plainCitation":"(Morris et al. 2008; Rippka et al. 2000)","noteIndex":0},"citationItems":[{"id":816,"uris":["http://zotero.org/users/6128296/items/B9D5DHBN"],"itemData":{"id":816,"type":"article-journal","container-title":"Applied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R."}],"issued":{"date-parts":[["2008",7,15]]}}},{"id":4795,"uris":["http://zotero.org/users/6128296/items/KNQQHGQ2"],"itemData":{"id":4795,"type":"article-journal","abstract":"The formal description of Prochlorococcus marinus Chisholm et al. 1992, 299 was based on the non-axenic nomenclatural type, strain CCMP 1375T. The puriﬁcation and properties of the axenic strain PCC 9511, derived from the same primary culture (SARG) as the type species, are reported here. Prochlorococcus PCC 9511 differs from the latter in possessing horseshoeshaped thylakoids, exhibiting a low chlorophyll b2 content and lacking phycoerythrin, but shares these phenotypic properties with Prochlorococcus strain CCMP 1378. This relationship was conﬁrmed by 16S rRNA sequence analyses, which clearly demonstrated that the axenic isolate is not co-identic with the nomenclatural type. Strain PCC 9511 has a low mean DNA base composition (32 mol % GMC) and harbours the smallest genome of all known oxyphotobacteria (genome complexity 1 3 GDa l 2 Mbp). Urea and ammonia are the preferred sources of nitrogen for growth, whereas nitrate is not utilized. Several different organic phosphorus compounds efﬁciently replace phosphate in the culture medium, indicative of ecto-phosphohydrolase activity. In order to distinguish strain PCC 9511 from the nomenclatural type, a new subspecies is proposed, Prochlorococcus marinus Chisholm et al. 1992 subsp. pastoris subsp. nov.","container-title":"International Journal of Systematic and Evolutionary Microbiology","DOI":"10.1099/00207713-50-5-1833","ISSN":"1466-5026, 1466-5034","issue":"5","language":"en","page":"1833-1847","source":"DOI.org (Crossref)","title":"Prochlorococcus marinus Chisholm et al. 1992 subsp. pastoris subsp. nov. strain PCC 9511, the first axenic chlorophyll a2/b2-containing cyanobacterium (Oxyphotobacteria).","volume":"50","author":[{"family":"Rippka","given":""},{"family":"Coursin","given":""},{"family":"Hess","given":""},{"family":"Lichtlé","given":""},{"family":"Scanlan","given":""},{"family":"Palinska","given":"K A"},{"family":"Iteman","given":"I"},{"family":"Partensky","given":"F"},{"family":"Houmard","given":"J"},{"family":"Herdman","given":"M"}],"issued":{"date-parts":[["2000",9,1]]}}}],"schema":"https://github.com/citation-style-language/schema/raw/master/csl-citation.json"} </w:instrText>
      </w:r>
      <w:r w:rsidR="00232D92"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2008; </w:t>
      </w:r>
      <w:proofErr w:type="spellStart"/>
      <w:r w:rsidR="00922909">
        <w:rPr>
          <w:rFonts w:ascii="Times New Roman" w:hAnsi="Times New Roman" w:cs="Times New Roman"/>
          <w:sz w:val="24"/>
          <w:szCs w:val="24"/>
        </w:rPr>
        <w:t>Rippka</w:t>
      </w:r>
      <w:proofErr w:type="spellEnd"/>
      <w:r w:rsidR="0092290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2000)</w:t>
      </w:r>
      <w:r w:rsidR="00232D92"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This ‘help’ was shown to come in the form of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drawdown via </w:t>
      </w:r>
      <w:r w:rsidR="00140A9C" w:rsidRPr="003609FB">
        <w:rPr>
          <w:rFonts w:ascii="Times New Roman" w:hAnsi="Times New Roman" w:cs="Times New Roman"/>
          <w:sz w:val="24"/>
          <w:szCs w:val="24"/>
        </w:rPr>
        <w:t xml:space="preserve">detoxification by </w:t>
      </w:r>
      <w:r w:rsidR="001310E0">
        <w:rPr>
          <w:rFonts w:ascii="Times New Roman" w:hAnsi="Times New Roman" w:cs="Times New Roman"/>
          <w:sz w:val="24"/>
          <w:szCs w:val="24"/>
        </w:rPr>
        <w:t xml:space="preserve">whole </w:t>
      </w:r>
      <w:r w:rsidRPr="003609FB">
        <w:rPr>
          <w:rFonts w:ascii="Times New Roman" w:hAnsi="Times New Roman" w:cs="Times New Roman"/>
          <w:sz w:val="24"/>
          <w:szCs w:val="24"/>
        </w:rPr>
        <w:t>cells</w:t>
      </w:r>
      <w:r w:rsidR="001310E0">
        <w:rPr>
          <w:rFonts w:ascii="Times New Roman" w:hAnsi="Times New Roman" w:cs="Times New Roman"/>
          <w:sz w:val="24"/>
          <w:szCs w:val="24"/>
        </w:rPr>
        <w:t xml:space="preserve">, pyruvate, </w:t>
      </w:r>
      <w:r w:rsidRPr="003609FB">
        <w:rPr>
          <w:rFonts w:ascii="Times New Roman" w:hAnsi="Times New Roman" w:cs="Times New Roman"/>
          <w:sz w:val="24"/>
          <w:szCs w:val="24"/>
        </w:rPr>
        <w:t xml:space="preserve">or </w:t>
      </w:r>
      <w:r w:rsidR="004F1055" w:rsidRPr="003609FB">
        <w:rPr>
          <w:rFonts w:ascii="Times New Roman" w:hAnsi="Times New Roman" w:cs="Times New Roman"/>
          <w:sz w:val="24"/>
          <w:szCs w:val="24"/>
        </w:rPr>
        <w:t>exogenous</w:t>
      </w:r>
      <w:r w:rsidRPr="003609FB">
        <w:rPr>
          <w:rFonts w:ascii="Times New Roman" w:hAnsi="Times New Roman" w:cs="Times New Roman"/>
          <w:sz w:val="24"/>
          <w:szCs w:val="24"/>
        </w:rPr>
        <w:t xml:space="preserve"> purified catalase </w:t>
      </w:r>
      <w:r w:rsidR="00232D92" w:rsidRPr="003609FB">
        <w:rPr>
          <w:rFonts w:ascii="Times New Roman" w:hAnsi="Times New Roman" w:cs="Times New Roman"/>
          <w:sz w:val="24"/>
          <w:szCs w:val="24"/>
        </w:rPr>
        <w:fldChar w:fldCharType="begin"/>
      </w:r>
      <w:r w:rsidR="001310E0">
        <w:rPr>
          <w:rFonts w:ascii="Times New Roman" w:hAnsi="Times New Roman" w:cs="Times New Roman"/>
          <w:sz w:val="24"/>
          <w:szCs w:val="24"/>
        </w:rPr>
        <w:instrText xml:space="preserve"> ADDIN ZOTERO_ITEM CSL_CITATION {"citationID":"me3UG8Vq","properties":{"formattedCitation":"(Morris et al. 2008; Ma 2015; Zinser 2018a)","plainCitation":"(Morris et al. 2008; Ma 2015; Zinser 2018a)","noteIndex":0},"citationItems":[{"id":816,"uris":["http://zotero.org/users/6128296/items/B9D5DHBN"],"itemData":{"id":816,"type":"article-journal","container-title":"Applied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R."}],"issued":{"date-parts":[["2008",7,15]]}}},{"id":3373,"uris":["http://zotero.org/users/6128296/items/R5I9UQKW"],"itemData":{"id":3373,"type":"thesis","abstract":"Cyanobacteria of the genus Prochlorococcus are the smallest and most abundant phytoplankters in the ocean. Temperature is a major influence on Prochlorococcus abundance and distribution in the ocean, but the physiological basis for this relationship is not well understood. In other microbes, lipid and fatty acid composition have been shown to be influenced by temperature, and temperature has also been proposed as a relevant factor for setting the elemental allocation in marine phytoplankton. In this study, we found that percentage of fatty acids unsaturation was negatively related with temperature in some Prochlorococcus strains, but this was not universal. Temperature had a significant linear positive effect on nitrogen and carbon cell quotas across all strains. As temperature increased 10 ̊C, nitrogen and carbon quotas rose by 40.0% and 34.6%, respectively. Individual strains displayed negative relationships between growth rate and phosphorus quota. Studies in other photosynthetic organisms suggested that HOOH and temperature extremes act together as stressors. Importantly, it also has been shown that Prochlorococcus is highly susceptible to hydrogen peroxide (HOOH) and co-occurring heterotrophs such as Alteromonas sp. facilitate the growth of Prochlorococcus at the ocean surface by scavenging HOOH. To address the potential synergistic effects of temperature and HOOH on Prochlorococcus, we monitored the growth of environmental-relevant concentrations of cold-adapted (MED4) and warm-adapted (MIT9312) Prochlorococcus strains with different initial concentrations of HOOH under a range of temperatures. While not impacting the temperature optima for growth, higher concentrations of HOOH severely diminished the permissive temperature range for growth of both Prochlorococcus strains. At the permissive temperatures, the growth rates of both Prochlorococcus strains decreased as a function of HOOH, and temperature extremes increased susceptibility of photosystem II to HOOHmediated damage. While these effects were manifest in both strains, they were more pronounced in the warm-adapted strain. Heterotrophic bacteria, serving as a proxy for the natural community, increased the Prochlorococcus growth rate under these temperatures and increased the growth temperature range (MED4), and this was attributed in part to their ability to remove HOOH from the medium.","language":"en","publisher":"University of Tennessee","source":"Zotero","title":"Physiological characterization of Prochlorococcus under abiotic stressors temperature and hydrogen peroxide","author":[{"family":"Ma","given":""}],"issued":{"date-parts":[["2015",12]]}}},{"id":133,"uris":["http://zotero.org/users/6128296/items/RGJ6RK2K"],"itemData":{"id":133,"type":"article-journal","abstract":"Hydrogen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microbes","volume":"10","author":[{"family":"Zinser","given":""}],"issued":{"date-parts":[["2018",8]]}}}],"schema":"https://github.com/citation-style-language/schema/raw/master/csl-citation.json"} </w:instrText>
      </w:r>
      <w:r w:rsidR="00232D92" w:rsidRPr="003609FB">
        <w:rPr>
          <w:rFonts w:ascii="Times New Roman" w:hAnsi="Times New Roman" w:cs="Times New Roman"/>
          <w:sz w:val="24"/>
          <w:szCs w:val="24"/>
        </w:rPr>
        <w:fldChar w:fldCharType="separate"/>
      </w:r>
      <w:r w:rsidR="001310E0">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1310E0">
        <w:rPr>
          <w:rFonts w:ascii="Times New Roman" w:hAnsi="Times New Roman" w:cs="Times New Roman"/>
          <w:sz w:val="24"/>
          <w:szCs w:val="24"/>
        </w:rPr>
        <w:t>. 2008; Ma 2015; Zinser 2018a)</w:t>
      </w:r>
      <w:r w:rsidR="00232D92" w:rsidRPr="003609FB">
        <w:rPr>
          <w:rFonts w:ascii="Times New Roman" w:hAnsi="Times New Roman" w:cs="Times New Roman"/>
          <w:sz w:val="24"/>
          <w:szCs w:val="24"/>
        </w:rPr>
        <w:fldChar w:fldCharType="end"/>
      </w:r>
      <w:r w:rsidR="00232D92" w:rsidRPr="003609FB">
        <w:rPr>
          <w:rFonts w:ascii="Times New Roman" w:hAnsi="Times New Roman" w:cs="Times New Roman"/>
          <w:sz w:val="24"/>
          <w:szCs w:val="24"/>
        </w:rPr>
        <w:t>.</w:t>
      </w:r>
    </w:p>
    <w:p w14:paraId="5BEB32AD" w14:textId="4002CF22" w:rsidR="00191E9F" w:rsidRDefault="00691B65" w:rsidP="00AB2160">
      <w:pPr>
        <w:spacing w:line="360" w:lineRule="auto"/>
        <w:ind w:firstLine="720"/>
        <w:rPr>
          <w:rFonts w:ascii="Times New Roman" w:hAnsi="Times New Roman" w:cs="Times New Roman"/>
          <w:sz w:val="24"/>
          <w:szCs w:val="24"/>
        </w:rPr>
      </w:pPr>
      <w:r w:rsidRPr="007A4B22">
        <w:rPr>
          <w:rFonts w:ascii="Times New Roman" w:hAnsi="Times New Roman" w:cs="Times New Roman"/>
          <w:i/>
          <w:iCs/>
          <w:sz w:val="24"/>
          <w:szCs w:val="24"/>
        </w:rPr>
        <w:t>Prochlorococcus</w:t>
      </w:r>
      <w:r w:rsidR="00A02D97" w:rsidRPr="007A4B22">
        <w:rPr>
          <w:rFonts w:ascii="Times New Roman" w:hAnsi="Times New Roman" w:cs="Times New Roman"/>
          <w:i/>
          <w:iCs/>
          <w:sz w:val="24"/>
          <w:szCs w:val="24"/>
        </w:rPr>
        <w:t>’</w:t>
      </w:r>
      <w:r w:rsidR="00A02D97" w:rsidRPr="007A4B22">
        <w:rPr>
          <w:rFonts w:ascii="Times New Roman" w:hAnsi="Times New Roman" w:cs="Times New Roman"/>
          <w:sz w:val="24"/>
          <w:szCs w:val="24"/>
        </w:rPr>
        <w:t xml:space="preserve">s loss of catalase-peroxidase </w:t>
      </w:r>
      <w:r w:rsidR="00207D69" w:rsidRPr="007A4B22">
        <w:rPr>
          <w:rFonts w:ascii="Times New Roman" w:hAnsi="Times New Roman" w:cs="Times New Roman"/>
          <w:sz w:val="24"/>
          <w:szCs w:val="24"/>
        </w:rPr>
        <w:fldChar w:fldCharType="begin"/>
      </w:r>
      <w:r w:rsidR="00922909" w:rsidRPr="007A4B22">
        <w:rPr>
          <w:rFonts w:ascii="Times New Roman" w:hAnsi="Times New Roman" w:cs="Times New Roman"/>
          <w:sz w:val="24"/>
          <w:szCs w:val="24"/>
        </w:rPr>
        <w:instrText xml:space="preserve"> ADDIN ZOTERO_ITEM CSL_CITATION {"citationID":"CVyOFkRC","properties":{"formattedCitation":"(Chelikani, Fita, and Loewen 2004; Alfonso-Prieto et al. 2009)","plainCitation":"(Chelikani, Fita, and Loewen 2004; Alfonso-Prieto et al. 2009)","noteIndex":0},"citationItems":[{"id":3139,"uris":["http://zotero.org/users/6128296/items/TTNFG3TL"],"itemData":{"id":3139,"type":"article-journal","abstract":"Abstract. More than 300 catalase sequences are now available, divided among monofunctional catalases (&gt; 225), bifunctional catalase-peroxidases (&gt; 50) and manganese-containing catalases (&gt; 25). When combined with the recent appearance of crystal structures from at least two representatives from each of these groups (nine from the monofunctional catalases), valuable insights into the catalatic reaction mechanism in its various forms and into catalase evolution have been gained. The structures have revealed an unusually large number of modifiCMLS, Cell. Mol. Life Sci. 61 (2004) 192 – 208 1420-682X/04/020192-17 DOI 10.1007/s00018-003-3206-5 © Birkhäuser Verlag, Basel, 2004 CMLS Cellular and Molecular Life Sciences cations unique to catalases, a result of interacting with reactive oxygen species. Biochemical and physiological characterization of catalases from many different organisms has revealed a surprisingly wide range of catalatic efficiencies, despite similar sequences. Catalase gene expression in micro-organisms generally is controlled either by sensors of reactive oxygen species or by growth phase regulons, although the detailed mechanisms vary considerably.","container-title":"Cellular and Molecular Life Sciences (CMLS)","DOI":"10.1007/s00018-003-3206-5","ISSN":"1420-682X, 1420-9071","issue":"2","journalAbbreviation":"Cellular and Molecular Life Sciences (CMLS)","language":"en","page":"192-208","source":"DOI.org (Crossref)","title":"Diversity of structures and properties among catalases","volume":"61","author":[{"family":"Chelikani","given":""},{"family":"Fita","given":"I."},{"family":"Loewen","given":"P. C."}],"issued":{"date-parts":[["2004",1,1]]}}},{"id":4101,"uris":["http://zotero.org/users/6128296/items/B3P3UGED"],"itemData":{"id":4101,"type":"article-journal","abstract":"Catalases are ubiquitous enzymes that prevent cell oxidative damage by degrading hydrogen peroxide to water and oxygen (2H2O2 f 2 H2O + O2) with high efﬁciency. The enzyme is ﬁrst oxidized to a high-valent iron intermediate, known as Compound I (Cpd I) which, in contrast to other hydroperoxidases, is reduced back to the resting state by further reacting with H2O2. By means of hybrid QM/MM Car-Parrinello metadynamics simulations, we have investigated the mechanism of the reduction of Compound I by H2O2 in Helicobacter pylori catalase (HPC) and Penicillium vitale catalase (PVC). We found that the Cpd I-H2O2 complex evolves to a Cpd II-like species through the transfer of a hydrogen atom from the peroxide to the oxoferryl unit. To complete the reaction, two mechanisms may be operative: a His-mediated (Fita-Rossmann) mechanism, which involves the distal His as an acid-base catalyst mediating the transfer of a proton (associated with an electron transfer), and a direct mechanism, in which a hydrogen atom transfer occurs. Independently of the mechanism, the reaction proceeds by two one-electron transfers rather than one two-electron transfer, as has long been the lore. The calculations provide a detailed view of the atomic and electronic reorganizations during the reaction, and highlight the key role of the distal residues to assist the reaction. Additional calculations on the in silico HPC His56Gly mutant and gas-phase models provide clues to understand the requirements for the reaction to proceed with low barriers.","container-title":"Journal of the American Chemical Society","DOI":"10.1021/ja9018572","ISSN":"0002-7863, 1520-5126","issue":"33","journalAbbreviation":"J. Am. Chem. Soc.","language":"en","page":"11751-11761","source":"DOI.org (Crossref)","title":"The Molecular Mechanism of the Catalase Reaction","volume":"131","author":[{"family":"Alfonso-Prieto","given":""},{"family":"Biarnés","given":"Xevi"},{"family":"Vidossich","given":"Pietro"},{"family":"Rovira","given":"Carme"}],"issued":{"date-parts":[["2009",8,26]]}}}],"schema":"https://github.com/citation-style-language/schema/raw/master/csl-citation.json"} </w:instrText>
      </w:r>
      <w:r w:rsidR="00207D69"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w:t>
      </w:r>
      <w:proofErr w:type="spellStart"/>
      <w:r w:rsidR="006C2922" w:rsidRPr="007A4B22">
        <w:rPr>
          <w:rFonts w:ascii="Times New Roman" w:hAnsi="Times New Roman" w:cs="Times New Roman"/>
          <w:sz w:val="24"/>
          <w:szCs w:val="24"/>
        </w:rPr>
        <w:t>Chelikani</w:t>
      </w:r>
      <w:proofErr w:type="spellEnd"/>
      <w:r w:rsidR="006C2922" w:rsidRPr="007A4B22">
        <w:rPr>
          <w:rFonts w:ascii="Times New Roman" w:hAnsi="Times New Roman" w:cs="Times New Roman"/>
          <w:sz w:val="24"/>
          <w:szCs w:val="24"/>
        </w:rPr>
        <w:t xml:space="preserve">, Fita, and Loewen 2004; Alfonso-Prieto </w:t>
      </w:r>
      <w:r w:rsidR="00183222" w:rsidRPr="00183222">
        <w:rPr>
          <w:rFonts w:ascii="Times New Roman" w:hAnsi="Times New Roman" w:cs="Times New Roman"/>
          <w:i/>
          <w:iCs/>
          <w:sz w:val="24"/>
          <w:szCs w:val="24"/>
        </w:rPr>
        <w:t>et al</w:t>
      </w:r>
      <w:r w:rsidR="006C2922" w:rsidRPr="007A4B22">
        <w:rPr>
          <w:rFonts w:ascii="Times New Roman" w:hAnsi="Times New Roman" w:cs="Times New Roman"/>
          <w:sz w:val="24"/>
          <w:szCs w:val="24"/>
        </w:rPr>
        <w:t>. 2009)</w:t>
      </w:r>
      <w:r w:rsidR="00207D69" w:rsidRPr="007A4B22">
        <w:rPr>
          <w:rFonts w:ascii="Times New Roman" w:hAnsi="Times New Roman" w:cs="Times New Roman"/>
          <w:sz w:val="24"/>
          <w:szCs w:val="24"/>
        </w:rPr>
        <w:fldChar w:fldCharType="end"/>
      </w:r>
      <w:r w:rsidR="00207D69" w:rsidRPr="007A4B22">
        <w:rPr>
          <w:rFonts w:ascii="Times New Roman" w:hAnsi="Times New Roman" w:cs="Times New Roman"/>
          <w:sz w:val="24"/>
          <w:szCs w:val="24"/>
        </w:rPr>
        <w:t xml:space="preserve"> </w:t>
      </w:r>
      <w:r w:rsidR="00A02D97" w:rsidRPr="007A4B22">
        <w:rPr>
          <w:rFonts w:ascii="Times New Roman" w:hAnsi="Times New Roman" w:cs="Times New Roman"/>
          <w:sz w:val="24"/>
          <w:szCs w:val="24"/>
        </w:rPr>
        <w:t xml:space="preserve">due to genomic streamlining and reduction renders it vulnerable to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as little as 400 </w:t>
      </w:r>
      <w:proofErr w:type="spellStart"/>
      <w:r w:rsidR="00A02D97" w:rsidRPr="007A4B22">
        <w:rPr>
          <w:rFonts w:ascii="Times New Roman" w:hAnsi="Times New Roman" w:cs="Times New Roman"/>
          <w:sz w:val="24"/>
          <w:szCs w:val="24"/>
        </w:rPr>
        <w:t>nM</w:t>
      </w:r>
      <w:proofErr w:type="spellEnd"/>
      <w:r w:rsidR="00A02D97" w:rsidRPr="007A4B22">
        <w:rPr>
          <w:rFonts w:ascii="Times New Roman" w:hAnsi="Times New Roman" w:cs="Times New Roman"/>
          <w:sz w:val="24"/>
          <w:szCs w:val="24"/>
        </w:rPr>
        <w:t xml:space="preserve">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spike is lethal in monoculture, which is the equivalent of </w:t>
      </w:r>
      <w:r w:rsidR="00A3147A">
        <w:rPr>
          <w:rFonts w:ascii="Times New Roman" w:hAnsi="Times New Roman" w:cs="Times New Roman"/>
          <w:sz w:val="24"/>
          <w:szCs w:val="24"/>
        </w:rPr>
        <w:t>half a</w:t>
      </w:r>
      <w:r w:rsidR="00A02D97" w:rsidRPr="007A4B22">
        <w:rPr>
          <w:rFonts w:ascii="Times New Roman" w:hAnsi="Times New Roman" w:cs="Times New Roman"/>
          <w:sz w:val="24"/>
          <w:szCs w:val="24"/>
        </w:rPr>
        <w:t xml:space="preserve"> day</w:t>
      </w:r>
      <w:r w:rsidR="00A3147A">
        <w:rPr>
          <w:rFonts w:ascii="Times New Roman" w:hAnsi="Times New Roman" w:cs="Times New Roman"/>
          <w:sz w:val="24"/>
          <w:szCs w:val="24"/>
        </w:rPr>
        <w:t>’s</w:t>
      </w:r>
      <w:r w:rsidR="00A02D97" w:rsidRPr="007A4B22">
        <w:rPr>
          <w:rFonts w:ascii="Times New Roman" w:hAnsi="Times New Roman" w:cs="Times New Roman"/>
          <w:sz w:val="24"/>
          <w:szCs w:val="24"/>
        </w:rPr>
        <w:t xml:space="preserve"> abiotically accumulated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w:t>
      </w:r>
      <w:r w:rsidR="00A3147A">
        <w:rPr>
          <w:rFonts w:ascii="Times New Roman" w:hAnsi="Times New Roman" w:cs="Times New Roman"/>
          <w:sz w:val="24"/>
          <w:szCs w:val="24"/>
        </w:rPr>
        <w:t xml:space="preserve">concentration </w:t>
      </w:r>
      <w:r w:rsidR="00A02D97" w:rsidRPr="007A4B22">
        <w:rPr>
          <w:rFonts w:ascii="Times New Roman" w:hAnsi="Times New Roman" w:cs="Times New Roman"/>
          <w:sz w:val="24"/>
          <w:szCs w:val="24"/>
        </w:rPr>
        <w:t xml:space="preserve">in </w:t>
      </w:r>
      <w:r w:rsidRPr="007A4B22">
        <w:rPr>
          <w:rFonts w:ascii="Times New Roman" w:hAnsi="Times New Roman" w:cs="Times New Roman"/>
          <w:i/>
          <w:iCs/>
          <w:sz w:val="24"/>
          <w:szCs w:val="24"/>
        </w:rPr>
        <w:t>Prochlorococcus</w:t>
      </w:r>
      <w:r w:rsidR="00A02D97" w:rsidRPr="007A4B22">
        <w:rPr>
          <w:rFonts w:ascii="Times New Roman" w:hAnsi="Times New Roman" w:cs="Times New Roman"/>
          <w:sz w:val="24"/>
          <w:szCs w:val="24"/>
        </w:rPr>
        <w:t>’s native</w:t>
      </w:r>
      <w:r w:rsidR="00A3147A">
        <w:rPr>
          <w:rFonts w:ascii="Times New Roman" w:hAnsi="Times New Roman" w:cs="Times New Roman"/>
          <w:sz w:val="24"/>
          <w:szCs w:val="24"/>
        </w:rPr>
        <w:t xml:space="preserve">, surface oligotrophic, </w:t>
      </w:r>
      <w:r w:rsidR="00A02D97" w:rsidRPr="007A4B22">
        <w:rPr>
          <w:rFonts w:ascii="Times New Roman" w:hAnsi="Times New Roman" w:cs="Times New Roman"/>
          <w:sz w:val="24"/>
          <w:szCs w:val="24"/>
        </w:rPr>
        <w:t xml:space="preserve">environment </w:t>
      </w:r>
      <w:r w:rsidR="00207D69" w:rsidRPr="007A4B22">
        <w:rPr>
          <w:rFonts w:ascii="Times New Roman" w:hAnsi="Times New Roman" w:cs="Times New Roman"/>
          <w:sz w:val="24"/>
          <w:szCs w:val="24"/>
        </w:rPr>
        <w:fldChar w:fldCharType="begin"/>
      </w:r>
      <w:r w:rsidR="009D7443" w:rsidRPr="007A4B22">
        <w:rPr>
          <w:rFonts w:ascii="Times New Roman" w:hAnsi="Times New Roman" w:cs="Times New Roman"/>
          <w:sz w:val="24"/>
          <w:szCs w:val="24"/>
        </w:rPr>
        <w:instrText xml:space="preserve"> ADDIN ZOTERO_ITEM CSL_CITATION {"citationID":"K90v8jGo","properties":{"formattedCitation":"(Morris 2011; Ma et al. 2018)","plainCitation":"(Morris 2011; Ma et al. 2018)","noteIndex":0},"citationItems":[{"id":3438,"uris":["http://zotero.org/users/6128296/items/QHAPA57S"],"itemData":{"id":3438,"type":"thesis","language":"en","publisher":"University of Tennessee","source":"Zotero","title":"The ‘Helper’ Phenotype: A Symbiotic Interaction Between Prochlorococcus and Hydrogen Peroxide Scavenging Microorganisms","author":[{"family":"Morris","given":""}],"issued":{"date-parts":[["2011"]]}}},{"id":2142,"uris":["http://zotero.org/users/6128296/items/V83EGSC2"],"itemData":{"id":2142,"type":"article-journal","abstract":"Prochlorococcus, the smallest and most abundant phytoplankter in the ocean, is highly sensitive to hydrogen peroxide (HOOH), and co-occurring heterotrophs such as Alteromonas facilitate the growth of Prochlorococcus by scavenging HOOH. Temperature is also a major influence on Prochlorococcus abundance and distribution in the ocean, and studies in other photosynthetic organisms have shown that HOOH and temperature extremes can act together as synergistic stressors. To address potential synergistic effects of temperature and HOOH on Prochlorococcus growth, high- and low-temperatureadapted representative strains were cultured at ecologically relevant concentrations under a range of HOOH concentrations and temperatures. Higher concentrations of HOOH severely diminished the permissive temperature range for growth of both Prochlorococcus strains. At the permissive temperatures, the growth rates of both Prochlorococcus strains decreased as a function of HOOH, and cold temperature increased susceptibility of photosystem II to HOOH-mediated damage. Serving as a proxy for the natural community, co-cultured heterotrophic bacteria increased the Prochlorococcus growth rate under these temperatures, and expanded the permissive range of temperature for growth. These studies indicate that in the ocean, the cross-protective function of the microbial community may confer a fitness increase for Prochlorococcus at its temperature extremes, especially near the ocean surface where oxidative stress is highest. This interaction may play a substantial role in defining the realized thermal niche and habitat range of Prochlorococcus with respect to latitude.","container-title":"The ISME Journal","DOI":"10.1038/ismej.2017.182","ISSN":"1751-7362, 1751-7370","issue":"2","journalAbbreviation":"ISME J","language":"en","page":"473-484","source":"DOI.org (Crossref)","title":"Degradation of hydrogen peroxide at the ocean’s surface: the influence of the microbial community on the realized thermal niche of Prochlorococcus","title-short":"Degradation of hydrogen peroxide at the ocean’s surface","volume":"12","author":[{"family":"Ma","given":""},{"family":"Calfee","given":"Benjamin C"},{"family":"Morris","given":"J Jeffrey"},{"family":"Johnson","given":"Zackary I"},{"family":"Zinser","given":"Erik R"}],"issued":{"date-parts":[["2018",2]]}}}],"schema":"https://github.com/citation-style-language/schema/raw/master/csl-citation.json"} </w:instrText>
      </w:r>
      <w:r w:rsidR="00207D69" w:rsidRPr="007A4B22">
        <w:rPr>
          <w:rFonts w:ascii="Times New Roman" w:hAnsi="Times New Roman" w:cs="Times New Roman"/>
          <w:sz w:val="24"/>
          <w:szCs w:val="24"/>
        </w:rPr>
        <w:fldChar w:fldCharType="separate"/>
      </w:r>
      <w:r w:rsidR="009D7443" w:rsidRPr="007A4B22">
        <w:rPr>
          <w:rFonts w:ascii="Times New Roman" w:hAnsi="Times New Roman" w:cs="Times New Roman"/>
          <w:sz w:val="24"/>
          <w:szCs w:val="24"/>
        </w:rPr>
        <w:t xml:space="preserve">(Morris 2011; Ma </w:t>
      </w:r>
      <w:r w:rsidR="00183222" w:rsidRPr="00183222">
        <w:rPr>
          <w:rFonts w:ascii="Times New Roman" w:hAnsi="Times New Roman" w:cs="Times New Roman"/>
          <w:i/>
          <w:iCs/>
          <w:sz w:val="24"/>
          <w:szCs w:val="24"/>
        </w:rPr>
        <w:t>et al</w:t>
      </w:r>
      <w:r w:rsidR="009D7443" w:rsidRPr="007A4B22">
        <w:rPr>
          <w:rFonts w:ascii="Times New Roman" w:hAnsi="Times New Roman" w:cs="Times New Roman"/>
          <w:sz w:val="24"/>
          <w:szCs w:val="24"/>
        </w:rPr>
        <w:t>. 2018)</w:t>
      </w:r>
      <w:r w:rsidR="00207D69" w:rsidRPr="007A4B22">
        <w:rPr>
          <w:rFonts w:ascii="Times New Roman" w:hAnsi="Times New Roman" w:cs="Times New Roman"/>
          <w:sz w:val="24"/>
          <w:szCs w:val="24"/>
        </w:rPr>
        <w:fldChar w:fldCharType="end"/>
      </w:r>
      <w:r w:rsidR="00A02D97" w:rsidRPr="007A4B22">
        <w:rPr>
          <w:rFonts w:ascii="Times New Roman" w:hAnsi="Times New Roman" w:cs="Times New Roman"/>
          <w:sz w:val="24"/>
          <w:szCs w:val="24"/>
        </w:rPr>
        <w:t xml:space="preserve">. In contrast </w:t>
      </w:r>
      <w:proofErr w:type="spellStart"/>
      <w:r w:rsidRPr="007A4B22">
        <w:rPr>
          <w:rFonts w:ascii="Times New Roman" w:hAnsi="Times New Roman" w:cs="Times New Roman"/>
          <w:i/>
          <w:iCs/>
          <w:sz w:val="24"/>
          <w:szCs w:val="24"/>
        </w:rPr>
        <w:t>Synechococcus</w:t>
      </w:r>
      <w:proofErr w:type="spellEnd"/>
      <w:r w:rsidR="00A02D97" w:rsidRPr="007A4B22">
        <w:rPr>
          <w:rFonts w:ascii="Times New Roman" w:hAnsi="Times New Roman" w:cs="Times New Roman"/>
          <w:sz w:val="24"/>
          <w:szCs w:val="24"/>
        </w:rPr>
        <w:t>, a catalase containing sister gen</w:t>
      </w:r>
      <w:r w:rsidR="007A4B22">
        <w:rPr>
          <w:rFonts w:ascii="Times New Roman" w:hAnsi="Times New Roman" w:cs="Times New Roman"/>
          <w:sz w:val="24"/>
          <w:szCs w:val="24"/>
        </w:rPr>
        <w:t>us</w:t>
      </w:r>
      <w:r w:rsidR="00A02D97" w:rsidRPr="007A4B22">
        <w:rPr>
          <w:rFonts w:ascii="Times New Roman" w:hAnsi="Times New Roman" w:cs="Times New Roman"/>
          <w:sz w:val="24"/>
          <w:szCs w:val="24"/>
        </w:rPr>
        <w:t xml:space="preserve">, does not share this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sensitive phenotype </w:t>
      </w:r>
      <w:r w:rsidR="00207D69" w:rsidRPr="007A4B22">
        <w:rPr>
          <w:rFonts w:ascii="Times New Roman" w:hAnsi="Times New Roman" w:cs="Times New Roman"/>
          <w:sz w:val="24"/>
          <w:szCs w:val="24"/>
        </w:rPr>
        <w:fldChar w:fldCharType="begin"/>
      </w:r>
      <w:r w:rsidR="004A122C" w:rsidRPr="007A4B22">
        <w:rPr>
          <w:rFonts w:ascii="Times New Roman" w:hAnsi="Times New Roman" w:cs="Times New Roman"/>
          <w:sz w:val="24"/>
          <w:szCs w:val="24"/>
        </w:rPr>
        <w:instrText xml:space="preserve"> ADDIN ZOTERO_ITEM CSL_CITATION {"citationID":"PY6CUiWp","properties":{"formattedCitation":"(Morris et al. 2016)","plainCitation":"(Morris et al. 2016)","noteIndex":0},"citationItems":[{"id":1698,"uris":["http://zotero.org/users/6128296/items/EVC4QN3I"],"itemData":{"id":1698,"type":"article-journal","container-title":"Journal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R."}],"issued":{"date-parts":[["2016",8]]}}}],"schema":"https://github.com/citation-style-language/schema/raw/master/csl-citation.json"} </w:instrText>
      </w:r>
      <w:r w:rsidR="00207D69"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sidRPr="007A4B22">
        <w:rPr>
          <w:rFonts w:ascii="Times New Roman" w:hAnsi="Times New Roman" w:cs="Times New Roman"/>
          <w:sz w:val="24"/>
          <w:szCs w:val="24"/>
        </w:rPr>
        <w:t>. 2016)</w:t>
      </w:r>
      <w:r w:rsidR="00207D69" w:rsidRPr="007A4B22">
        <w:rPr>
          <w:rFonts w:ascii="Times New Roman" w:hAnsi="Times New Roman" w:cs="Times New Roman"/>
          <w:sz w:val="24"/>
          <w:szCs w:val="24"/>
        </w:rPr>
        <w:fldChar w:fldCharType="end"/>
      </w:r>
      <w:r w:rsidR="00A02D97" w:rsidRPr="007A4B22">
        <w:rPr>
          <w:rFonts w:ascii="Times New Roman" w:hAnsi="Times New Roman" w:cs="Times New Roman"/>
          <w:sz w:val="24"/>
          <w:szCs w:val="24"/>
        </w:rPr>
        <w:t xml:space="preserve">. Ambient marine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rests </w:t>
      </w:r>
      <w:r w:rsidR="00191E9F" w:rsidRPr="007A4B22">
        <w:rPr>
          <w:rFonts w:ascii="Times New Roman" w:hAnsi="Times New Roman" w:cs="Times New Roman"/>
          <w:sz w:val="24"/>
          <w:szCs w:val="24"/>
        </w:rPr>
        <w:t xml:space="preserve">under 200 </w:t>
      </w:r>
      <w:proofErr w:type="spellStart"/>
      <w:r w:rsidR="00191E9F" w:rsidRPr="007A4B22">
        <w:rPr>
          <w:rFonts w:ascii="Times New Roman" w:hAnsi="Times New Roman" w:cs="Times New Roman"/>
          <w:sz w:val="24"/>
          <w:szCs w:val="24"/>
        </w:rPr>
        <w:t>nM</w:t>
      </w:r>
      <w:proofErr w:type="spellEnd"/>
      <w:r w:rsidR="00191E9F" w:rsidRPr="007A4B22">
        <w:rPr>
          <w:rFonts w:ascii="Times New Roman" w:hAnsi="Times New Roman" w:cs="Times New Roman"/>
          <w:sz w:val="24"/>
          <w:szCs w:val="24"/>
        </w:rPr>
        <w:t xml:space="preserve"> H</w:t>
      </w:r>
      <w:r w:rsidR="00191E9F" w:rsidRPr="007A4B22">
        <w:rPr>
          <w:rFonts w:ascii="Times New Roman" w:hAnsi="Times New Roman" w:cs="Times New Roman"/>
          <w:sz w:val="24"/>
          <w:szCs w:val="24"/>
          <w:vertAlign w:val="subscript"/>
        </w:rPr>
        <w:t>2</w:t>
      </w:r>
      <w:r w:rsidR="00191E9F" w:rsidRPr="007A4B22">
        <w:rPr>
          <w:rFonts w:ascii="Times New Roman" w:hAnsi="Times New Roman" w:cs="Times New Roman"/>
          <w:sz w:val="24"/>
          <w:szCs w:val="24"/>
        </w:rPr>
        <w:t>O</w:t>
      </w:r>
      <w:r w:rsidR="00191E9F" w:rsidRPr="007A4B22">
        <w:rPr>
          <w:rFonts w:ascii="Times New Roman" w:hAnsi="Times New Roman" w:cs="Times New Roman"/>
          <w:sz w:val="24"/>
          <w:szCs w:val="24"/>
          <w:vertAlign w:val="subscript"/>
        </w:rPr>
        <w:t>2</w:t>
      </w:r>
      <w:r w:rsidR="00191E9F" w:rsidRPr="007A4B22">
        <w:rPr>
          <w:rFonts w:ascii="Times New Roman" w:hAnsi="Times New Roman" w:cs="Times New Roman"/>
          <w:sz w:val="24"/>
          <w:szCs w:val="24"/>
        </w:rPr>
        <w:t xml:space="preserve"> </w:t>
      </w:r>
      <w:r w:rsidR="00191E9F">
        <w:rPr>
          <w:rFonts w:ascii="Times New Roman" w:hAnsi="Times New Roman" w:cs="Times New Roman"/>
          <w:sz w:val="24"/>
          <w:szCs w:val="24"/>
        </w:rPr>
        <w:t xml:space="preserve">, </w:t>
      </w:r>
      <w:r w:rsidR="00A02D97" w:rsidRPr="007A4B22">
        <w:rPr>
          <w:rFonts w:ascii="Times New Roman" w:hAnsi="Times New Roman" w:cs="Times New Roman"/>
          <w:sz w:val="24"/>
          <w:szCs w:val="24"/>
        </w:rPr>
        <w:t xml:space="preserve">below the </w:t>
      </w:r>
      <w:r w:rsidR="00191E9F">
        <w:rPr>
          <w:rFonts w:ascii="Times New Roman" w:hAnsi="Times New Roman" w:cs="Times New Roman"/>
          <w:sz w:val="24"/>
          <w:szCs w:val="24"/>
        </w:rPr>
        <w:t>demonstrated</w:t>
      </w:r>
      <w:r w:rsidR="00A02D97" w:rsidRPr="007A4B22">
        <w:rPr>
          <w:rFonts w:ascii="Times New Roman" w:hAnsi="Times New Roman" w:cs="Times New Roman"/>
          <w:sz w:val="24"/>
          <w:szCs w:val="24"/>
        </w:rPr>
        <w:t xml:space="preserve"> lethal limit for </w:t>
      </w:r>
      <w:r w:rsidRPr="007A4B22">
        <w:rPr>
          <w:rFonts w:ascii="Times New Roman" w:hAnsi="Times New Roman" w:cs="Times New Roman"/>
          <w:i/>
          <w:iCs/>
          <w:sz w:val="24"/>
          <w:szCs w:val="24"/>
        </w:rPr>
        <w:t>Prochlorococcus</w:t>
      </w:r>
      <w:r w:rsidR="00A02D97" w:rsidRPr="007A4B22">
        <w:rPr>
          <w:rFonts w:ascii="Times New Roman" w:hAnsi="Times New Roman" w:cs="Times New Roman"/>
          <w:sz w:val="24"/>
          <w:szCs w:val="24"/>
        </w:rPr>
        <w:t xml:space="preserve"> </w:t>
      </w:r>
      <w:r w:rsidR="00207D69" w:rsidRPr="007A4B22">
        <w:rPr>
          <w:rFonts w:ascii="Times New Roman" w:hAnsi="Times New Roman" w:cs="Times New Roman"/>
          <w:sz w:val="24"/>
          <w:szCs w:val="24"/>
        </w:rPr>
        <w:fldChar w:fldCharType="begin"/>
      </w:r>
      <w:r w:rsidR="009D7443" w:rsidRPr="007A4B22">
        <w:rPr>
          <w:rFonts w:ascii="Times New Roman" w:hAnsi="Times New Roman" w:cs="Times New Roman"/>
          <w:sz w:val="24"/>
          <w:szCs w:val="24"/>
        </w:rPr>
        <w:instrText xml:space="preserve"> ADDIN ZOTERO_ITEM CSL_CITATION {"citationID":"GiOwO9Iw","properties":{"formattedCitation":"(Zinser 2013; Powers and Miller 2014)","plainCitation":"(Zinser 2013; Powers and Miller 2014)","noteIndex":0},"citationItems":[{"id":1614,"uris":["http://zotero.org/users/6128296/items/XUR3IYYN"],"itemData":{"id":1614,"type":"article-journal","container-title":"Journal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media","volume":"49","author":[{"family":"Zinser","given":""}],"issued":{"date-parts":[["2013",12]]}}},{"id":4526,"uris":["http://zotero.org/users/6128296/items/4SN3A73G"],"itemData":{"id":4526,"type":"article-journal","abstract":"Hydrogen peroxide (H2O2) and its precursor, superoxide (O2 ), are well-studied photochemical products that are pivotal in regulating redox transformations of trace metals and organic matter in the surface ocean. In attempts to understand the magnitude of both H2O2 and O2  photoproduction on a global scale, we implemented a model to calculate photochemical fluxes of these products from remotely sensed ocean color and modeled solar irradiances. We generated monthly climatologies for open ocean H2O2 photoproduction rates using an average apparent quantum yield (AQY) spectrum determined from laboratory irradiations of oligotrophic water collected in the Gulf of Alaska. Because the formation of H2O2 depends on secondary thermal reactions involving O2 , we also implemented a temperature correction for the H2O2 AQY using remotely sensed sea surface temperature and an Arrhenius relationship for H2O2 photoproduction. Daily photoproduction rates of H2O2 ranged from &lt;1 to over 100 nM per day, amounting to  30 mM per year in highly productive regions. When production rates were calculated without the temperature correction, maximum daily rates were underestimated by 1525%, highlighting the importance of including the temperature modification for H2O2 in these models. By making assumptions about the relationship between H2O2 and O2  photoproduction rates and O2  decay kinetics, we present a method for calculating midday O2  steady-state concentrations ([O2 ]ss)in the open ocean. Estimated [O2 ]ss ranged from 0.1–5 nM assuming biomolecular dismutation was the only sink for O2 , but were reduced to 0.1–290 pM when catalytic pathways were included. While the approach presented here provides the first global scale estimates of marine [O2 ]ss from remote sensing, the potential of this model to quantify O2  photoproduction rates and [O2 ]ss will not be fully realized until the mechanisms controlling O2  photoproduction and decay are better understood.","container-title":"Environ. Sci.: Processes Impacts","DOI":"10.1039/C3EM00617D","ISSN":"2050-7887, 2050-7895","issue":"4","journalAbbreviation":"Environ. Sci.: Processes Impacts","language":"en","page":"792-806","source":"DOI.org (Crossref)","title":"Blending remote sensing data products to estimate photochemical production of hydrogen peroxide and superoxide in the surface ocean","volume":"16","author":[{"family":"Powers","given":""},{"family":"Miller","given":"William L."}],"issued":{"date-parts":[["2014"]]}}}],"schema":"https://github.com/citation-style-language/schema/raw/master/csl-citation.json"} </w:instrText>
      </w:r>
      <w:r w:rsidR="00207D69"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(Zinser 2013; Powers and Miller 2014)</w:t>
      </w:r>
      <w:r w:rsidR="00207D69" w:rsidRPr="007A4B22">
        <w:rPr>
          <w:rFonts w:ascii="Times New Roman" w:hAnsi="Times New Roman" w:cs="Times New Roman"/>
          <w:sz w:val="24"/>
          <w:szCs w:val="24"/>
        </w:rPr>
        <w:fldChar w:fldCharType="end"/>
      </w:r>
      <w:r w:rsidR="00191E9F">
        <w:rPr>
          <w:rFonts w:ascii="Times New Roman" w:hAnsi="Times New Roman" w:cs="Times New Roman"/>
          <w:sz w:val="24"/>
          <w:szCs w:val="24"/>
        </w:rPr>
        <w:t>. This is</w:t>
      </w:r>
      <w:r w:rsidR="00A02D97" w:rsidRPr="007A4B22">
        <w:rPr>
          <w:rFonts w:ascii="Times New Roman" w:hAnsi="Times New Roman" w:cs="Times New Roman"/>
          <w:sz w:val="24"/>
          <w:szCs w:val="24"/>
        </w:rPr>
        <w:t xml:space="preserve"> despite daily photochemical </w:t>
      </w:r>
      <w:r w:rsidR="00F52F1E" w:rsidRPr="007A4B22">
        <w:rPr>
          <w:rFonts w:ascii="Times New Roman" w:hAnsi="Times New Roman" w:cs="Times New Roman"/>
          <w:sz w:val="24"/>
          <w:szCs w:val="24"/>
        </w:rPr>
        <w:lastRenderedPageBreak/>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production from DOC </w:t>
      </w:r>
      <w:r w:rsidR="008466B9" w:rsidRPr="007A4B22">
        <w:rPr>
          <w:rFonts w:ascii="Times New Roman" w:hAnsi="Times New Roman" w:cs="Times New Roman"/>
          <w:sz w:val="24"/>
          <w:szCs w:val="24"/>
        </w:rPr>
        <w:fldChar w:fldCharType="begin"/>
      </w:r>
      <w:r w:rsidR="009D7443" w:rsidRPr="007A4B22">
        <w:rPr>
          <w:rFonts w:ascii="Times New Roman" w:hAnsi="Times New Roman" w:cs="Times New Roman"/>
          <w:sz w:val="24"/>
          <w:szCs w:val="24"/>
        </w:rPr>
        <w:instrText xml:space="preserve"> ADDIN ZOTERO_ITEM CSL_CITATION {"citationID":"bjPd6HQD","properties":{"formattedCitation":"(Zhang, Del Vecchio, and Blough 2012; Willey, Paerl, and Go 1999; Avery et al. 2005; Goldstone and Voelker 2000)","plainCitation":"(Zhang, Del Vecchio, and Blough 2012; Willey, Paerl, and Go 1999; Avery et al. 2005; Goldstone and Voelker 2000)","noteIndex":0},"citationItems":[{"id":3681,"uris":["http://zotero.org/users/6128296/items/KPXTBR8E"],"itemData":{"id":3681,"type":"article-journal","abstract":"The mechanism(s) by which hydrogen peroxide (H2O2) is photoproduced by humic substances and chromophoric dissolved organic matter was probed by examining the dependence of the initial H2O2 photoproduction rate (RH2O2) and apparent H2O2 quantum yields on dioxygen concentration for both untreated and borohydride-reduced samples. Although borohydride reduction substantially reduced light absorption, the RH2O2 values were largely unaﬀected. Apparent monochromatic and polychromatic quantum yields thus increased following reduction. The results indicate that light absorption by chargetransfer states or by (aromatic) ketone/aldehydes does not lead to signiﬁcant H2O2 photoproduction. High concentrations of triplet quenchers relative to that of dioxygen produced only small decreases (sorbic acid) or small increases (Cl− and Br−) in RH2O2, indicating that neither 1O2 nor excited triplet states of quinones contribute signiﬁcantly to H2O2 photoproduction. The dependence of RH2O2 on O2 concentration provides evidence that the intermediate(s) reacting with O2 to produce superoxide are relatively long-lived (approximately tens of microseconds or more). Evidence of the photochemical formation of O2-reducing intermediates under anaerobic conditions was also obtained; these reducing intermediates appeared to be relatively stable in the absence of O2. Our data suggest that these O2-reducing intermediates are generated by intramolecular electron transfer from short-lived excited states of electron donors to ground-state acceptors.","container-title":"Environmental Science &amp; Technology","DOI":"10.1021/es3029582","ISSN":"0013-936X, 1520-5851","issue":"21","journalAbbreviation":"Environ. Sci. Technol.","language":"en","page":"11836-11843","source":"DOI.org (Crossref)","title":"Investigating the Mechanism of Hydrogen Peroxide Photoproduction by Humic Substances","volume":"46","author":[{"family":"Zhang","given":""},{"family":"Del Vecchio","given":"Rossana"},{"family":"Blough","given":"Neil V."}],"issued":{"date-parts":[["2012",11,6]]}}},{"id":3370,"uris":["http://zotero.org/users/6128296/items/9UYF82ME"],"itemData":{"id":3370,"type":"article-journal","abstract":"Bioassays indicate addition of hydrogen peroxide in concentrations similar to rain sometimes decreases chlorophyll a (chl a) production in surface Gulf Stream seawater. Bioassays were conducted on shipboard in the spring and autumn of 1993, 1994, and 1995. using surface Gulf Stream seawater collected off the coast of North Carolina. Chl a increases were observed after addition of FeC13 (in 1 of 5 bioassays), iron (111) EDTA (6 of 6 bioassays), or EDTA alone (4 of 4 bioassays). The chl a increases were suppressed significantly in 7 of 11 of these bioassays when the bioassay seawater was initially diluted by 1% with a 30 or 40 p M solution of hydrogen peroxide (a concentration similar to rainwater).Hydrogen peroxide induced inhibition of chl a production was not observed in bioassays in w h ~ c hchl a increased in response to addltion of nitrate or ammonium, hence the growth inhibition was associated with added metal or complexing agent. Rainwater therefore plays a complex role in primary productivity in surface seawater, with the specific effect dependent upon rainwater concentrations of nitrate, ammonium, trace metals and hydrogen peroxide, as well as on the extent of nitrogen limitation and the oxidant concentration in the surface seawater.","container-title":"Marine Ecology Progress Series","DOI":"10.3354/meps178145","ISSN":"0171-8630, 1616-1599","journalAbbreviation":"Mar. Ecol. Prog. Ser.","language":"en","page":"145-150","source":"DOI.org (Crossref)","title":"Impact of rainwater hydrogen peroxide on chlorophyll a content of surface Gulf Stream seawater off North Carolina, USA","volume":"178","author":[{"family":"Willey","given":""},{"family":"Paerl","given":"Hw"},{"family":"Go","given":"M"}],"issued":{"date-parts":[["1999"]]}}},{"id":3113,"uris":["http://zotero.org/users/6128296/items/GY7VGVSC"],"itemData":{"id":3113,"type":"article-journal","abstract":"Hydrogen peroxide concentrations, production rates and decomposition rates were measured during each of two 3-week cruises in August 1999 and March 2000 at the Bermuda Atlantic Time Series Station. Patterns of variation in the concentrations of hydrogen peroxide in surface seawater at BATS were drastically different in August of 1999 compared with March of 2000. In August, hydrogen peroxide concentrations were primarily controlled by input from rain, whereas in March, they were controlled by photochemical processes and showed diurnal variations. The highest concentrations in surface water in August followed rain events, whereas in March, they occurred at approximately 1400 after rapid photochemical production. This production in March was followed by an equally rapid loss of H2O2, probably driven by a secondary photochemical process, then by much slower decline at night. The combination of photochemical production and consumption processes resulted in a steady-state system over a 24-h period in March but not August. The dark decomposition of surface water hydrogen peroxide incubated in storage experiments was the same during both August and March and followed first order kinetics with a rate constant of 0.009 hÀ 1. This was in remarkably good agreement with the decay of the atmospheric hydrogen peroxide signal in surface seawater observed in August. The comparable rate constant for deep water from 200 m was about one-third of that for BATS surface seawater in March. Because filtered seawater had lower production rates than unfiltered seawater from the same depth, biological production may contribute to surface seawater hydrogen peroxide at BATS during the March spring plankton bloom, but it is not the dominant source.","container-title":"Marine Chemistry","DOI":"10.1016/j.marchem.2005.03.006","ISSN":"03044203","issue":"3-4","journalAbbreviation":"Marine Chemistry","language":"en","page":"236-244","source":"DOI.org (Crossref)","title":"Hydrogen peroxide at the Bermuda Atlantic Time Series Station: Temporal variability of seawater hydrogen peroxide","title-short":"Hydrogen peroxide at the Bermuda Atlantic Time Series Station","volume":"97","author":[{"family":"Avery","given":""},{"family":"Cooper","given":"William J."},{"family":"Kieber","given":"Robert J."},{"family":"Willey","given":"Joan D."}],"issued":{"date-parts":[["2005",12]]}}},{"id":3232,"uris":["http://zotero.org/users/6128296/items/WATYGSLQ"],"itemData":{"id":3232,"type":"article-journal","abstract":"Colored dissolved organic matter (CDOM) and humic substances contain a nonmetallic redox-cycling component capable of catalyzing superoxide (O2-) dismutation. Firstorder rate coefficients (kpseudo) measured for this O2- sink in a number of coastal and Chesapeake Bay water samples range up to 1.4 s-1, comparable in magnitude to catalyzed dismutation by Cu species. A significant (r 2 ) 0.73) correlation is observed between kpseudo and the optical absorption and salinity of individual coastal water samples, suggesting an association with non-marine-derived CDOM. The activity of this sink is not changed by acidification or boiling of samples but is removed by photooxidation, indicating that it is an organic compound, but that it is neither enzymatic nor likely to consist of tightly bound metals. The stoichiometry of hydrogen peroxide formation from O2 decay indicates that this sink is capable of a redox cycle catalyzing the dismutation of O2-. This CDOM sink combined with the organic copper sink previously described will produce a steady-state superoxide concentration in coastal waters that is 100-1000-fold lower than that predicted from bimolecular dismutation alone. Catalyzed O2- decay was also observed in a variety of humic and fulvic acid samples, possibly occurring through quinone functionalities. Although the presence of quinone moieties in humic and fulvic acids has been demonstrated, there do not appear to be good correlations between several measures of quinone content and the O2- dismutation rates of these samples.","container-title":"Environmental Science &amp; Technology","DOI":"10.1021/es9905445","ISSN":"0013-936X, 1520-5851","issue":"6","journalAbbreviation":"Environ. Sci. Technol.","language":"en","page":"1043-1048","source":"DOI.org (Crossref)","title":"Chemistry of Superoxide Radical in Seawater: CDOM Associated Sink of Superoxide in Coastal Waters","title-short":"Chemistry of Superoxide Radical in Seawater","volume":"34","author":[{"family":"Goldstone","given":""},{"family":"Voelker","given":""}],"issued":{"date-parts":[["2000",3,1]]}}}],"schema":"https://github.com/citation-style-language/schema/raw/master/csl-citation.json"} </w:instrText>
      </w:r>
      <w:r w:rsidR="008466B9"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 xml:space="preserve">(Zhang, Del Vecchio, and Blough 2012; Willey, </w:t>
      </w:r>
      <w:proofErr w:type="spellStart"/>
      <w:r w:rsidR="006C2922" w:rsidRPr="007A4B22">
        <w:rPr>
          <w:rFonts w:ascii="Times New Roman" w:hAnsi="Times New Roman" w:cs="Times New Roman"/>
          <w:sz w:val="24"/>
          <w:szCs w:val="24"/>
        </w:rPr>
        <w:t>Paerl</w:t>
      </w:r>
      <w:proofErr w:type="spellEnd"/>
      <w:r w:rsidR="006C2922" w:rsidRPr="007A4B22">
        <w:rPr>
          <w:rFonts w:ascii="Times New Roman" w:hAnsi="Times New Roman" w:cs="Times New Roman"/>
          <w:sz w:val="24"/>
          <w:szCs w:val="24"/>
        </w:rPr>
        <w:t xml:space="preserve">, and Go 1999; Avery </w:t>
      </w:r>
      <w:r w:rsidR="00183222" w:rsidRPr="00183222">
        <w:rPr>
          <w:rFonts w:ascii="Times New Roman" w:hAnsi="Times New Roman" w:cs="Times New Roman"/>
          <w:i/>
          <w:iCs/>
          <w:sz w:val="24"/>
          <w:szCs w:val="24"/>
        </w:rPr>
        <w:t>et al</w:t>
      </w:r>
      <w:r w:rsidR="006C2922" w:rsidRPr="007A4B22">
        <w:rPr>
          <w:rFonts w:ascii="Times New Roman" w:hAnsi="Times New Roman" w:cs="Times New Roman"/>
          <w:sz w:val="24"/>
          <w:szCs w:val="24"/>
        </w:rPr>
        <w:t>. 2005; Goldstone and Voelker 2000)</w:t>
      </w:r>
      <w:r w:rsidR="008466B9" w:rsidRPr="007A4B22">
        <w:rPr>
          <w:rFonts w:ascii="Times New Roman" w:hAnsi="Times New Roman" w:cs="Times New Roman"/>
          <w:sz w:val="24"/>
          <w:szCs w:val="24"/>
        </w:rPr>
        <w:fldChar w:fldCharType="end"/>
      </w:r>
      <w:r w:rsidR="00A02D97" w:rsidRPr="007A4B22">
        <w:rPr>
          <w:rFonts w:ascii="Times New Roman" w:hAnsi="Times New Roman" w:cs="Times New Roman"/>
          <w:sz w:val="24"/>
          <w:szCs w:val="24"/>
        </w:rPr>
        <w:t xml:space="preserve"> and periodic rain events increasing ROS production rates </w:t>
      </w:r>
      <w:r w:rsidR="001E3CFF" w:rsidRPr="007A4B22">
        <w:rPr>
          <w:rFonts w:ascii="Times New Roman" w:hAnsi="Times New Roman" w:cs="Times New Roman"/>
          <w:sz w:val="24"/>
          <w:szCs w:val="24"/>
        </w:rPr>
        <w:fldChar w:fldCharType="begin"/>
      </w:r>
      <w:r w:rsidR="009D7443" w:rsidRPr="007A4B22">
        <w:rPr>
          <w:rFonts w:ascii="Times New Roman" w:hAnsi="Times New Roman" w:cs="Times New Roman"/>
          <w:sz w:val="24"/>
          <w:szCs w:val="24"/>
        </w:rPr>
        <w:instrText xml:space="preserve"> ADDIN ZOTERO_ITEM CSL_CITATION {"citationID":"vLiFCcAb","properties":{"formattedCitation":"(Willey, Paerl, and Go 1999; Morris, Rose, and Lu 2022; Harvey 1925)","plainCitation":"(Willey, Paerl, and Go 1999; Morris, Rose, and Lu 2022; Harvey 1925)","noteIndex":0},"citationItems":[{"id":3370,"uris":["http://zotero.org/users/6128296/items/9UYF82ME"],"itemData":{"id":3370,"type":"article-journal","abstract":"Bioassays indicate addition of hydrogen peroxide in concentrations similar to rain sometimes decreases chlorophyll a (chl a) production in surface Gulf Stream seawater. Bioassays were conducted on shipboard in the spring and autumn of 1993, 1994, and 1995. using surface Gulf Stream seawater collected off the coast of North Carolina. Chl a increases were observed after addition of FeC13 (in 1 of 5 bioassays), iron (111) EDTA (6 of 6 bioassays), or EDTA alone (4 of 4 bioassays). The chl a increases were suppressed significantly in 7 of 11 of these bioassays when the bioassay seawater was initially diluted by 1% with a 30 or 40 p M solution of hydrogen peroxide (a concentration similar to rainwater).Hydrogen peroxide induced inhibition of chl a production was not observed in bioassays in w h ~ c hchl a increased in response to addltion of nitrate or ammonium, hence the growth inhibition was associated with added metal or complexing agent. Rainwater therefore plays a complex role in primary productivity in surface seawater, with the specific effect dependent upon rainwater concentrations of nitrate, ammonium, trace metals and hydrogen peroxide, as well as on the extent of nitrogen limitation and the oxidant concentration in the surface seawater.","container-title":"Marine Ecology Progress Series","DOI":"10.3354/meps178145","ISSN":"0171-8630, 1616-1599","journalAbbreviation":"Mar. Ecol. Prog. Ser.","language":"en","page":"145-150","source":"DOI.org (Crossref)","title":"Impact of rainwater hydrogen peroxide on chlorophyll a content of surface Gulf Stream seawater off North Carolina, USA","volume":"178","author":[{"family":"Willey","given":""},{"family":"Paerl","given":"Hw"},{"family":"Go","given":"M"}],"issued":{"date-parts":[["1999"]]}}},{"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L."},{"family":"Lu","given":"Zhiying"}],"issued":{"date-parts":[["2022",6]]}}},{"id":3468,"uris":["http://zotero.org/users/6128296/items/ALRZF7AE"],"itemData":{"id":3468,"type":"article-journal","abstract":"1. Putrefaction in sea-water sets free compounds toxic to Calanus. A portion of these compounds withstands oxidation to non-toxic forms in air saturated water for considerable periods.\n            2. “Deep water” from the English Channel contains a catalyst, probably an iron compound, which increases the rate of oxidation of a number of easily oxidisable organic compounds. Its action is inhibited in surface and inshore waters by dissolved organic matter.\n            3. Hydrogen peroxide decomposes relatively quickly in “deep water” from the English Channel, at a velocity corresponding to that of a monomolecular reaction. A catalyst, probably an iron compound, active towards hydrogen peroxide, occurs in sea-water. The action of the catalyst is inhibited by dissolved organic substances in surface and inshore water, until such substances are oxidised by the hydrogen peroxide.","container-title":"Journal of the Marine Biological Association of the United Kingdom","DOI":"10.1017/S002531540000936X","ISSN":"0025-3154, 1469-7769","issue":"4","journalAbbreviation":"J. Mar. Biol. Ass.","language":"en","page":"953-969","source":"DOI.org (Crossref)","title":"Oxidation in Sea Water","volume":"13","author":[{"family":"Harvey","given":""}],"issued":{"date-parts":[["1925",10]]}}}],"schema":"https://github.com/citation-style-language/schema/raw/master/csl-citation.json"} </w:instrText>
      </w:r>
      <w:r w:rsidR="001E3CFF"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 xml:space="preserve">(Willey, </w:t>
      </w:r>
      <w:proofErr w:type="spellStart"/>
      <w:r w:rsidR="006C2922" w:rsidRPr="007A4B22">
        <w:rPr>
          <w:rFonts w:ascii="Times New Roman" w:hAnsi="Times New Roman" w:cs="Times New Roman"/>
          <w:sz w:val="24"/>
          <w:szCs w:val="24"/>
        </w:rPr>
        <w:t>Paerl</w:t>
      </w:r>
      <w:proofErr w:type="spellEnd"/>
      <w:r w:rsidR="006C2922" w:rsidRPr="007A4B22">
        <w:rPr>
          <w:rFonts w:ascii="Times New Roman" w:hAnsi="Times New Roman" w:cs="Times New Roman"/>
          <w:sz w:val="24"/>
          <w:szCs w:val="24"/>
        </w:rPr>
        <w:t>, and Go 1999; Morris, Rose, and Lu 2022; Harvey 1925)</w:t>
      </w:r>
      <w:r w:rsidR="001E3CFF" w:rsidRPr="007A4B22">
        <w:rPr>
          <w:rFonts w:ascii="Times New Roman" w:hAnsi="Times New Roman" w:cs="Times New Roman"/>
          <w:sz w:val="24"/>
          <w:szCs w:val="24"/>
        </w:rPr>
        <w:fldChar w:fldCharType="end"/>
      </w:r>
      <w:r w:rsidR="001E3CFF" w:rsidRPr="007A4B22">
        <w:rPr>
          <w:rFonts w:ascii="Times New Roman" w:hAnsi="Times New Roman" w:cs="Times New Roman"/>
          <w:sz w:val="24"/>
          <w:szCs w:val="24"/>
        </w:rPr>
        <w:t>.</w:t>
      </w:r>
      <w:r w:rsidR="00A02D97" w:rsidRPr="007A4B22">
        <w:rPr>
          <w:rFonts w:ascii="Times New Roman" w:hAnsi="Times New Roman" w:cs="Times New Roman"/>
          <w:sz w:val="24"/>
          <w:szCs w:val="24"/>
        </w:rPr>
        <w:t xml:space="preserve"> </w:t>
      </w:r>
      <w:proofErr w:type="gramStart"/>
      <w:r w:rsidR="00191E9F">
        <w:rPr>
          <w:rFonts w:ascii="Times New Roman" w:hAnsi="Times New Roman" w:cs="Times New Roman"/>
          <w:sz w:val="24"/>
          <w:szCs w:val="24"/>
        </w:rPr>
        <w:t>Thus</w:t>
      </w:r>
      <w:proofErr w:type="gramEnd"/>
      <w:r w:rsidR="00191E9F">
        <w:rPr>
          <w:rFonts w:ascii="Times New Roman" w:hAnsi="Times New Roman" w:cs="Times New Roman"/>
          <w:sz w:val="24"/>
          <w:szCs w:val="24"/>
        </w:rPr>
        <w:t xml:space="preserve"> something in the ocean is constantly removing this </w:t>
      </w:r>
      <w:r w:rsidR="00191E9F" w:rsidRPr="007A4B22">
        <w:rPr>
          <w:rFonts w:ascii="Times New Roman" w:hAnsi="Times New Roman" w:cs="Times New Roman"/>
          <w:sz w:val="24"/>
          <w:szCs w:val="24"/>
        </w:rPr>
        <w:t>H</w:t>
      </w:r>
      <w:r w:rsidR="00191E9F" w:rsidRPr="007A4B22">
        <w:rPr>
          <w:rFonts w:ascii="Times New Roman" w:hAnsi="Times New Roman" w:cs="Times New Roman"/>
          <w:sz w:val="24"/>
          <w:szCs w:val="24"/>
          <w:vertAlign w:val="subscript"/>
        </w:rPr>
        <w:t>2</w:t>
      </w:r>
      <w:r w:rsidR="00191E9F" w:rsidRPr="007A4B22">
        <w:rPr>
          <w:rFonts w:ascii="Times New Roman" w:hAnsi="Times New Roman" w:cs="Times New Roman"/>
          <w:sz w:val="24"/>
          <w:szCs w:val="24"/>
        </w:rPr>
        <w:t>O</w:t>
      </w:r>
      <w:r w:rsidR="00191E9F" w:rsidRPr="007A4B22">
        <w:rPr>
          <w:rFonts w:ascii="Times New Roman" w:hAnsi="Times New Roman" w:cs="Times New Roman"/>
          <w:sz w:val="24"/>
          <w:szCs w:val="24"/>
          <w:vertAlign w:val="subscript"/>
        </w:rPr>
        <w:t>2</w:t>
      </w:r>
      <w:r w:rsidR="00191E9F">
        <w:rPr>
          <w:rFonts w:ascii="Times New Roman" w:hAnsi="Times New Roman" w:cs="Times New Roman"/>
          <w:sz w:val="24"/>
          <w:szCs w:val="24"/>
        </w:rPr>
        <w:t xml:space="preserve">. </w:t>
      </w:r>
      <w:r w:rsidR="00A02D97" w:rsidRPr="007A4B22">
        <w:rPr>
          <w:rFonts w:ascii="Times New Roman" w:hAnsi="Times New Roman" w:cs="Times New Roman"/>
          <w:sz w:val="24"/>
          <w:szCs w:val="24"/>
        </w:rPr>
        <w:t xml:space="preserve">A growing host of literature </w:t>
      </w:r>
      <w:r w:rsidR="001E3CFF" w:rsidRPr="007A4B22">
        <w:rPr>
          <w:rFonts w:ascii="Times New Roman" w:hAnsi="Times New Roman" w:cs="Times New Roman"/>
          <w:sz w:val="24"/>
          <w:szCs w:val="24"/>
        </w:rPr>
        <w:fldChar w:fldCharType="begin"/>
      </w:r>
      <w:r w:rsidR="009D7443" w:rsidRPr="007A4B22">
        <w:rPr>
          <w:rFonts w:ascii="Times New Roman" w:hAnsi="Times New Roman" w:cs="Times New Roman"/>
          <w:sz w:val="24"/>
          <w:szCs w:val="24"/>
        </w:rPr>
        <w:instrText xml:space="preserve"> ADDIN ZOTERO_ITEM CSL_CITATION {"citationID":"tCCPKGLh","properties":{"formattedCitation":"(Morris, Rose, and Lu 2022; Zinser 2018a; Ma et al. 2018; Knight and Morris 2018)","plainCitation":"(Morris, Rose, and Lu 2022; Zinser 2018a; Ma et al. 2018; Knight and Morris 2018)","noteIndex":0},"citationItems":[{"id":3443,"uris":["http://zotero.org/users/6128296/items/NAWLWA5Q"],"itemData":{"id":3443,"type":"article-journal","abstract":"Reactive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microbes","volume":"10","author":[{"family":"Zinser","given":""}],"issued":{"date-parts":[["2018",8]]}}},{"id":2142,"uris":["http://zotero.org/users/6128296/items/V83EGSC2"],"itemData":{"id":2142,"type":"article-journal","abstract":"Prochlorococcus, the smallest and most abundant phytoplankter in the ocean, is highly sensitive to hydrogen peroxide (HOOH), and co-occurring heterotrophs such as Alteromonas facilitate the growth of Prochlorococcus by scavenging HOOH. Temperature is also a major influence on Prochlorococcus abundance and distribution in the ocean, and studies in other photosynthetic organisms have shown that HOOH and temperature extremes can act together as synergistic stressors. To address potential synergistic effects of temperature and HOOH on Prochlorococcus growth, high- and low-temperatureadapted representative strains were cultured at ecologically relevant concentrations under a range of HOOH concentrations and temperatures. Higher concentrations of HOOH severely diminished the permissive temperature range for growth of both Prochlorococcus strains. At the permissive temperatures, the growth rates of both Prochlorococcus strains decreased as a function of HOOH, and cold temperature increased susceptibility of photosystem II to HOOH-mediated damage. Serving as a proxy for the natural community, co-cultured heterotrophic bacteria increased the Prochlorococcus growth rate under these temperatures, and expanded the permissive range of temperature for growth. These studies indicate that in the ocean, the cross-protective function of the microbial community may confer a fitness increase for Prochlorococcus at its temperature extremes, especially near the ocean surface where oxidative stress is highest. This interaction may play a substantial role in defining the realized thermal niche and habitat range of Prochlorococcus with respect to latitude.","container-title":"The ISME Journal","DOI":"10.1038/ismej.2017.182","ISSN":"1751-7362, 1751-7370","issue":"2","journalAbbreviation":"ISME J","language":"en","page":"473-484","source":"DOI.org (Crossref)","title":"Degradation of hydrogen peroxide at the ocean’s surface: the influence of the microbial community on the realized thermal niche of Prochlorococcus","title-short":"Degradation of hydrogen peroxide at the ocean’s surface","volume":"12","author":[{"family":"Ma","given":""},{"family":"Calfee","given":"Benjamin C"},{"family":"Morris","given":"J Jeffrey"},{"family":"Johnson","given":"Zackary I"},{"family":"Zinser","given":"Erik R"}],"issued":{"date-parts":[["2018",2]]}}},{"id":1694,"uris":["http://zotero.org/users/6128296/items/4NT526H5"],"itemData":{"id":1694,"type":"report","abstract":"Anthropogenic CO2 emissions are projected to lower the pH of the open ocean by 0.2 to 0.3 units over the next century. Laboratory experiments show that different phytoplankton taxa exhibit a wide variety of responses, with some strains having higher fitness under projected future conditions, and others being negatively impacted. Previous studies have suggested that Prochlorococcus and Synechococcus, the numerically dominant picophytoplankton in the oceans, have very different responses to elevated CO2 that may result in a dramatic shift in their relative abundances in future oceans. Here we show that these two genera experience faster exponential growth rates under future CO2 conditions, similar to most other cyanobacteria that have been studied. However,Prochlorococcus strains have significantly lower realized growth rates due to more extreme lag periods after exposure to fresh culture media. Surprisingly, however, Synechococcus was unable to outcompete Prochlorococcus in co-culture at elevated CO2.  Under these conditions,\n Prochlorococcus poor response to elevated CO2\ndisappeared, and it showed negative frequency dependence in its relative fitness compared to Synechococcus, with a significant fitness advantage when it was initially rare. Moreover, both Synechococcus and Prochlorococcus had faster growth rates in co-culture with each other than either had in unialgal culture. We speculate that this negative frequency dependence is an outgrowth of reductive Black Queen evolution operating on both taxa that has resulted in a passively mutualistic relationship analogous to that connecting Prochlorococcus with the “helper” heterotrophic microbes in its environment.","genre":"preprint","language":"en","note":"DOI: 10.1101/337378","publisher":"Microbiology","source":"DOI.org (Crossref)","title":"Competition and Synergy Between &lt;i&gt;Prochlorococcus&lt;/i&gt; and &lt;i&gt;Synechococcus&lt;/i&gt; Under Ocean Acidification Conditions","URL":"http://biorxiv.org/lookup/doi/10.1101/337378","author":[{"family":"Knight","given":""},{"family":"Morris","given":"J. Jeffrey"}],"accessed":{"date-parts":[["2019",12,16]]},"issued":{"date-parts":[["2018",6,3]]}}}],"schema":"https://github.com/citation-style-language/schema/raw/master/csl-citation.json"} </w:instrText>
      </w:r>
      <w:r w:rsidR="001E3CFF" w:rsidRPr="007A4B22">
        <w:rPr>
          <w:rFonts w:ascii="Times New Roman" w:hAnsi="Times New Roman" w:cs="Times New Roman"/>
          <w:sz w:val="24"/>
          <w:szCs w:val="24"/>
        </w:rPr>
        <w:fldChar w:fldCharType="separate"/>
      </w:r>
      <w:r w:rsidR="009D7443" w:rsidRPr="007A4B22">
        <w:rPr>
          <w:rFonts w:ascii="Times New Roman" w:hAnsi="Times New Roman" w:cs="Times New Roman"/>
          <w:sz w:val="24"/>
          <w:szCs w:val="24"/>
        </w:rPr>
        <w:t xml:space="preserve">(Morris, Rose, and Lu 2022; Zinser 2018a; Ma </w:t>
      </w:r>
      <w:r w:rsidR="00183222" w:rsidRPr="00183222">
        <w:rPr>
          <w:rFonts w:ascii="Times New Roman" w:hAnsi="Times New Roman" w:cs="Times New Roman"/>
          <w:i/>
          <w:iCs/>
          <w:sz w:val="24"/>
          <w:szCs w:val="24"/>
        </w:rPr>
        <w:t>et al</w:t>
      </w:r>
      <w:r w:rsidR="009D7443" w:rsidRPr="007A4B22">
        <w:rPr>
          <w:rFonts w:ascii="Times New Roman" w:hAnsi="Times New Roman" w:cs="Times New Roman"/>
          <w:sz w:val="24"/>
          <w:szCs w:val="24"/>
        </w:rPr>
        <w:t>. 2018; Knight and Morris 2018)</w:t>
      </w:r>
      <w:r w:rsidR="001E3CFF" w:rsidRPr="007A4B22">
        <w:rPr>
          <w:rFonts w:ascii="Times New Roman" w:hAnsi="Times New Roman" w:cs="Times New Roman"/>
          <w:sz w:val="24"/>
          <w:szCs w:val="24"/>
        </w:rPr>
        <w:fldChar w:fldCharType="end"/>
      </w:r>
      <w:r w:rsidR="001E3CFF" w:rsidRPr="007A4B22">
        <w:rPr>
          <w:rFonts w:ascii="Times New Roman" w:hAnsi="Times New Roman" w:cs="Times New Roman"/>
          <w:sz w:val="24"/>
          <w:szCs w:val="24"/>
        </w:rPr>
        <w:t xml:space="preserve"> </w:t>
      </w:r>
      <w:r w:rsidR="00A02D97" w:rsidRPr="007A4B22">
        <w:rPr>
          <w:rFonts w:ascii="Times New Roman" w:hAnsi="Times New Roman" w:cs="Times New Roman"/>
          <w:sz w:val="24"/>
          <w:szCs w:val="24"/>
        </w:rPr>
        <w:t>ha</w:t>
      </w:r>
      <w:r w:rsidR="001E3CFF" w:rsidRPr="007A4B22">
        <w:rPr>
          <w:rFonts w:ascii="Times New Roman" w:hAnsi="Times New Roman" w:cs="Times New Roman"/>
          <w:sz w:val="24"/>
          <w:szCs w:val="24"/>
        </w:rPr>
        <w:t>s</w:t>
      </w:r>
      <w:r w:rsidR="00A02D97" w:rsidRPr="007A4B22">
        <w:rPr>
          <w:rFonts w:ascii="Times New Roman" w:hAnsi="Times New Roman" w:cs="Times New Roman"/>
          <w:sz w:val="24"/>
          <w:szCs w:val="24"/>
        </w:rPr>
        <w:t xml:space="preserve"> shown that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A02D97" w:rsidRPr="007A4B22">
        <w:rPr>
          <w:rFonts w:ascii="Times New Roman" w:hAnsi="Times New Roman" w:cs="Times New Roman"/>
          <w:sz w:val="24"/>
          <w:szCs w:val="24"/>
        </w:rPr>
        <w:t xml:space="preserve"> is both important and differentially constraining to community members in open ocean systems. </w:t>
      </w:r>
    </w:p>
    <w:p w14:paraId="08DDABB6" w14:textId="4436350D" w:rsidR="00531865" w:rsidRPr="003609FB" w:rsidRDefault="00A02D97" w:rsidP="00AB2160">
      <w:pPr>
        <w:spacing w:line="360" w:lineRule="auto"/>
        <w:ind w:firstLine="720"/>
        <w:rPr>
          <w:rFonts w:ascii="Times New Roman" w:hAnsi="Times New Roman" w:cs="Times New Roman"/>
          <w:sz w:val="24"/>
          <w:szCs w:val="24"/>
        </w:rPr>
      </w:pPr>
      <w:r w:rsidRPr="007A4B22">
        <w:rPr>
          <w:rFonts w:ascii="Times New Roman" w:hAnsi="Times New Roman" w:cs="Times New Roman"/>
          <w:sz w:val="24"/>
          <w:szCs w:val="24"/>
        </w:rPr>
        <w:t xml:space="preserve">Our previous work (Chapter </w:t>
      </w:r>
      <w:r w:rsidR="001F1D2A" w:rsidRPr="007A4B22">
        <w:rPr>
          <w:rFonts w:ascii="Times New Roman" w:hAnsi="Times New Roman" w:cs="Times New Roman"/>
          <w:sz w:val="24"/>
          <w:szCs w:val="24"/>
        </w:rPr>
        <w:t>2</w:t>
      </w:r>
      <w:r w:rsidRPr="007A4B22">
        <w:rPr>
          <w:rFonts w:ascii="Times New Roman" w:hAnsi="Times New Roman" w:cs="Times New Roman"/>
          <w:sz w:val="24"/>
          <w:szCs w:val="24"/>
        </w:rPr>
        <w:t xml:space="preserve">) in monoculture analyses quantified observed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Pr="007A4B22">
        <w:rPr>
          <w:rFonts w:ascii="Times New Roman" w:hAnsi="Times New Roman" w:cs="Times New Roman"/>
          <w:sz w:val="24"/>
          <w:szCs w:val="24"/>
        </w:rPr>
        <w:t xml:space="preserve"> susceptibilities in </w:t>
      </w:r>
      <w:r w:rsidR="00691B65" w:rsidRPr="007A4B22">
        <w:rPr>
          <w:rFonts w:ascii="Times New Roman" w:hAnsi="Times New Roman" w:cs="Times New Roman"/>
          <w:i/>
          <w:iCs/>
          <w:sz w:val="24"/>
          <w:szCs w:val="24"/>
        </w:rPr>
        <w:t>Prochlorococcus</w:t>
      </w:r>
      <w:r w:rsidR="00691B65" w:rsidRPr="007A4B22">
        <w:rPr>
          <w:rFonts w:ascii="Times New Roman" w:hAnsi="Times New Roman" w:cs="Times New Roman"/>
          <w:sz w:val="24"/>
          <w:szCs w:val="24"/>
        </w:rPr>
        <w:t xml:space="preserve"> </w:t>
      </w:r>
      <w:r w:rsidRPr="007A4B22">
        <w:rPr>
          <w:rFonts w:ascii="Times New Roman" w:hAnsi="Times New Roman" w:cs="Times New Roman"/>
          <w:sz w:val="24"/>
          <w:szCs w:val="24"/>
        </w:rPr>
        <w:t xml:space="preserve">and </w:t>
      </w:r>
      <w:proofErr w:type="spellStart"/>
      <w:r w:rsidR="00691B65" w:rsidRPr="007A4B22">
        <w:rPr>
          <w:rFonts w:ascii="Times New Roman" w:hAnsi="Times New Roman" w:cs="Times New Roman"/>
          <w:i/>
          <w:iCs/>
          <w:sz w:val="24"/>
          <w:szCs w:val="24"/>
        </w:rPr>
        <w:t>Synechococcus</w:t>
      </w:r>
      <w:proofErr w:type="spellEnd"/>
      <w:r w:rsidRPr="007A4B22">
        <w:rPr>
          <w:rFonts w:ascii="Times New Roman" w:hAnsi="Times New Roman" w:cs="Times New Roman"/>
          <w:sz w:val="24"/>
          <w:szCs w:val="24"/>
        </w:rPr>
        <w:t xml:space="preserve"> parameters representing detoxification and damage (Figure </w:t>
      </w:r>
      <w:r w:rsidR="001E3CFF" w:rsidRPr="007A4B22">
        <w:rPr>
          <w:rFonts w:ascii="Times New Roman" w:hAnsi="Times New Roman" w:cs="Times New Roman"/>
          <w:sz w:val="24"/>
          <w:szCs w:val="24"/>
        </w:rPr>
        <w:t>3.2</w:t>
      </w:r>
      <w:r w:rsidRPr="007A4B22">
        <w:rPr>
          <w:rFonts w:ascii="Times New Roman" w:hAnsi="Times New Roman" w:cs="Times New Roman"/>
          <w:sz w:val="24"/>
          <w:szCs w:val="24"/>
        </w:rPr>
        <w:t>).</w:t>
      </w:r>
      <w:r w:rsidR="00461A7E">
        <w:rPr>
          <w:rFonts w:ascii="Times New Roman" w:hAnsi="Times New Roman" w:cs="Times New Roman"/>
          <w:sz w:val="24"/>
          <w:szCs w:val="24"/>
        </w:rPr>
        <w:t xml:space="preserve"> M</w:t>
      </w:r>
      <w:r w:rsidRPr="007A4B22">
        <w:rPr>
          <w:rFonts w:ascii="Times New Roman" w:hAnsi="Times New Roman" w:cs="Times New Roman"/>
          <w:sz w:val="24"/>
          <w:szCs w:val="24"/>
        </w:rPr>
        <w:t xml:space="preserve">embrane permeability of </w:t>
      </w:r>
      <w:r w:rsidR="00F52F1E" w:rsidRPr="007A4B22">
        <w:rPr>
          <w:rFonts w:ascii="Times New Roman" w:hAnsi="Times New Roman" w:cs="Times New Roman"/>
          <w:sz w:val="24"/>
          <w:szCs w:val="24"/>
        </w:rPr>
        <w:t>H</w:t>
      </w:r>
      <w:r w:rsidR="00F52F1E" w:rsidRPr="007A4B22">
        <w:rPr>
          <w:rFonts w:ascii="Times New Roman" w:hAnsi="Times New Roman" w:cs="Times New Roman"/>
          <w:sz w:val="24"/>
          <w:szCs w:val="24"/>
          <w:vertAlign w:val="subscript"/>
        </w:rPr>
        <w:t>2</w:t>
      </w:r>
      <w:r w:rsidR="00F52F1E" w:rsidRPr="007A4B22">
        <w:rPr>
          <w:rFonts w:ascii="Times New Roman" w:hAnsi="Times New Roman" w:cs="Times New Roman"/>
          <w:sz w:val="24"/>
          <w:szCs w:val="24"/>
        </w:rPr>
        <w:t>O</w:t>
      </w:r>
      <w:r w:rsidR="00F52F1E" w:rsidRPr="007A4B22">
        <w:rPr>
          <w:rFonts w:ascii="Times New Roman" w:hAnsi="Times New Roman" w:cs="Times New Roman"/>
          <w:sz w:val="24"/>
          <w:szCs w:val="24"/>
          <w:vertAlign w:val="subscript"/>
        </w:rPr>
        <w:t>2</w:t>
      </w:r>
      <w:r w:rsidR="00461A7E">
        <w:rPr>
          <w:rFonts w:ascii="Times New Roman" w:hAnsi="Times New Roman" w:cs="Times New Roman"/>
          <w:sz w:val="24"/>
          <w:szCs w:val="24"/>
        </w:rPr>
        <w:t xml:space="preserve"> </w:t>
      </w:r>
      <w:r w:rsidR="00461A7E" w:rsidRPr="007A4B22">
        <w:rPr>
          <w:rFonts w:ascii="Times New Roman" w:hAnsi="Times New Roman" w:cs="Times New Roman"/>
          <w:sz w:val="24"/>
          <w:szCs w:val="24"/>
        </w:rPr>
        <w:t>define</w:t>
      </w:r>
      <w:r w:rsidR="00461A7E">
        <w:rPr>
          <w:rFonts w:ascii="Times New Roman" w:hAnsi="Times New Roman" w:cs="Times New Roman"/>
          <w:sz w:val="24"/>
          <w:szCs w:val="24"/>
        </w:rPr>
        <w:t>s the</w:t>
      </w:r>
      <w:r w:rsidRPr="007A4B22">
        <w:rPr>
          <w:rFonts w:ascii="Times New Roman" w:hAnsi="Times New Roman" w:cs="Times New Roman"/>
          <w:sz w:val="24"/>
          <w:szCs w:val="24"/>
        </w:rPr>
        <w:t xml:space="preserve"> damage and detoxification </w:t>
      </w:r>
      <w:r w:rsidR="00461A7E">
        <w:rPr>
          <w:rFonts w:ascii="Times New Roman" w:hAnsi="Times New Roman" w:cs="Times New Roman"/>
          <w:sz w:val="24"/>
          <w:szCs w:val="24"/>
        </w:rPr>
        <w:t>of it</w:t>
      </w:r>
      <w:r w:rsidRPr="007A4B22">
        <w:rPr>
          <w:rFonts w:ascii="Times New Roman" w:hAnsi="Times New Roman" w:cs="Times New Roman"/>
          <w:sz w:val="24"/>
          <w:szCs w:val="24"/>
        </w:rPr>
        <w:t xml:space="preserve"> as leaky functions</w:t>
      </w:r>
      <w:r w:rsidR="00461A7E">
        <w:rPr>
          <w:rFonts w:ascii="Times New Roman" w:hAnsi="Times New Roman" w:cs="Times New Roman"/>
          <w:sz w:val="24"/>
          <w:szCs w:val="24"/>
        </w:rPr>
        <w:t xml:space="preserve">. Meaning the </w:t>
      </w:r>
      <w:r w:rsidRPr="007A4B22">
        <w:rPr>
          <w:rFonts w:ascii="Times New Roman" w:hAnsi="Times New Roman" w:cs="Times New Roman"/>
          <w:sz w:val="24"/>
          <w:szCs w:val="24"/>
        </w:rPr>
        <w:t xml:space="preserve"> benefits </w:t>
      </w:r>
      <w:r w:rsidR="00461A7E">
        <w:rPr>
          <w:rFonts w:ascii="Times New Roman" w:hAnsi="Times New Roman" w:cs="Times New Roman"/>
          <w:sz w:val="24"/>
          <w:szCs w:val="24"/>
        </w:rPr>
        <w:t xml:space="preserve">of the functions </w:t>
      </w:r>
      <w:r w:rsidRPr="007A4B22">
        <w:rPr>
          <w:rFonts w:ascii="Times New Roman" w:hAnsi="Times New Roman" w:cs="Times New Roman"/>
          <w:sz w:val="24"/>
          <w:szCs w:val="24"/>
        </w:rPr>
        <w:t xml:space="preserve">are available to organisms other than the </w:t>
      </w:r>
      <w:r w:rsidR="00575BA9">
        <w:rPr>
          <w:rFonts w:ascii="Times New Roman" w:hAnsi="Times New Roman" w:cs="Times New Roman"/>
          <w:sz w:val="24"/>
          <w:szCs w:val="24"/>
        </w:rPr>
        <w:t>creator</w:t>
      </w:r>
      <w:r w:rsidR="00461A7E">
        <w:rPr>
          <w:rFonts w:ascii="Times New Roman" w:hAnsi="Times New Roman" w:cs="Times New Roman"/>
          <w:sz w:val="24"/>
          <w:szCs w:val="24"/>
        </w:rPr>
        <w:t xml:space="preserve"> of the function with</w:t>
      </w:r>
      <w:r w:rsidRPr="007A4B22">
        <w:rPr>
          <w:rFonts w:ascii="Times New Roman" w:hAnsi="Times New Roman" w:cs="Times New Roman"/>
          <w:sz w:val="24"/>
          <w:szCs w:val="24"/>
        </w:rPr>
        <w:t xml:space="preserve">in the system </w:t>
      </w:r>
      <w:r w:rsidR="001E3CFF" w:rsidRPr="007A4B22">
        <w:rPr>
          <w:rFonts w:ascii="Times New Roman" w:hAnsi="Times New Roman" w:cs="Times New Roman"/>
          <w:sz w:val="24"/>
          <w:szCs w:val="24"/>
        </w:rPr>
        <w:fldChar w:fldCharType="begin"/>
      </w:r>
      <w:r w:rsidR="004A122C" w:rsidRPr="007A4B22">
        <w:rPr>
          <w:rFonts w:ascii="Times New Roman" w:hAnsi="Times New Roman" w:cs="Times New Roman"/>
          <w:sz w:val="24"/>
          <w:szCs w:val="24"/>
        </w:rPr>
        <w:instrText xml:space="preserve"> ADDIN ZOTERO_ITEM CSL_CITATION {"citationID":"GexgTEJh","properties":{"formattedCitation":"(Morris 2015)","plainCitation":"(Morris 2015)","noteIndex":0},"citationItems":[{"id":4042,"uris":["http://zotero.org/users/6128296/items/CSSF4USS"],"itemData":{"id":4042,"type":"article-journal","container-title":"Trends in Genetics","DOI":"10.1016/j.tig.2015.05.004","ISSN":"01689525","issue":"8","journalAbbreviation":"Trends in Genetics","language":"en","page":"475-482","source":"DOI.org (Crossref)","title":"Black Queen evolution: the role of leakiness in structuring microbial communities","title-short":"Black Queen evolution","volume":"31","author":[{"family":"Morris","given":""}],"issued":{"date-parts":[["2015",8]]}}}],"schema":"https://github.com/citation-style-language/schema/raw/master/csl-citation.json"} </w:instrText>
      </w:r>
      <w:r w:rsidR="001E3CFF"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(Morris 2015)</w:t>
      </w:r>
      <w:r w:rsidR="001E3CFF" w:rsidRPr="007A4B22">
        <w:rPr>
          <w:rFonts w:ascii="Times New Roman" w:hAnsi="Times New Roman" w:cs="Times New Roman"/>
          <w:sz w:val="24"/>
          <w:szCs w:val="24"/>
        </w:rPr>
        <w:fldChar w:fldCharType="end"/>
      </w:r>
      <w:r w:rsidRPr="007A4B22">
        <w:rPr>
          <w:rFonts w:ascii="Times New Roman" w:hAnsi="Times New Roman" w:cs="Times New Roman"/>
          <w:sz w:val="24"/>
          <w:szCs w:val="24"/>
        </w:rPr>
        <w:t xml:space="preserve">. Leaky functions have been shown to alter the competitive advantage of microbes in the system, allowing for coexistent rather than exclusive behaviors </w:t>
      </w:r>
      <w:r w:rsidR="001E3CFF" w:rsidRPr="007A4B22">
        <w:rPr>
          <w:rFonts w:ascii="Times New Roman" w:hAnsi="Times New Roman" w:cs="Times New Roman"/>
          <w:sz w:val="24"/>
          <w:szCs w:val="24"/>
        </w:rPr>
        <w:fldChar w:fldCharType="begin"/>
      </w:r>
      <w:r w:rsidR="00922909" w:rsidRPr="007A4B22">
        <w:rPr>
          <w:rFonts w:ascii="Times New Roman" w:hAnsi="Times New Roman" w:cs="Times New Roman"/>
          <w:sz w:val="24"/>
          <w:szCs w:val="24"/>
        </w:rPr>
        <w:instrText xml:space="preserve"> ADDIN ZOTERO_ITEM CSL_CITATION {"citationID":"sKnztssh","properties":{"formattedCitation":"(Adkins-Jablonsky et al. 2021; Morris, Lenski, and Zinser 2012)","plainCitation":"(Adkins-Jablonsky et al. 2021; Morris, Lenski, and Zinser 2012)","noteIndex":0},"citationItems":[{"id":4119,"uris":["http://zotero.org/users/6128296/items/BJU4STXQ"],"itemData":{"id":4119,"type":"article-journal","abstract":"Significance\n            Natural microbial communities are often deeply interdependent despite being locked in competition over a small number of limiting resources. While there are theories about how evolution can generate these dependencies, less is known about how responsibility for different tasks is assigned in a community. Here, we show that even small differences in costs paid by a species for performing a vital but “leaky” function can lead to one species consistently evolving into the sole “helper” for the entire community. We suggest that this process is analogous to the human economic principle of comparative advantage, selecting for efficient divisions of labor in microbial marketplaces.\n          , \n            \n              Many biological functions are leaky, and organisms that perform them contribute some of their products to a community “marketplace” in which nonperforming individuals may compete for them. Leaky functions are partitioned unequally in microbial communities, and the evolutionary forces determining which species perform them and which become beneficiaries are poorly understood. Here, we demonstrate that the market principle of comparative advantage determines the distribution of a leaky antibiotic resistance gene in an environment occupied by two “species”—strains of\n              Escherichia coli\n              growing on mutually exclusive resources and thus occupying separate niches. Communities comprised of antibiotic-resistant cells were rapidly invaded by sensitive cells of both types. While the two phenotypes coexisted stably for 500 generations, in 15/18 replicates, antibiotic sensitivity became fixed in one species. Fixation always occurred in the same species despite both species being genetically identical except for their niche-defining mutation. In the absence of antibiotic, the fitness cost of resistance was identical in both species. However, the intrinsic resistance of the species that ultimately became the sole helper was significantly lower, and thus its reward for expressing the resistance gene was higher. Opportunity cost of resistance, not absolute cost or efficiency of antibiotic removal, determined which species became the helper, consistent with the economic theory of comparative advantage. We present a model that suggests that this market-like dynamic is a general property of Black Queen systems and, in communities dependent on multiple leaky functions, could lead to the spontaneous development of an equitable and efficient division of labor.","container-title":"Proceedings of the National Academy of Sciences","DOI":"10.1073/pnas.2109813118","ISSN":"0027-8424, 1091-6490","issue":"39","journalAbbreviation":"Proc. Natl. Acad. Sci. U.S.A.","language":"en","page":"e2109813118","source":"DOI.org (Crossref)","title":"Market forces determine the distribution of a leaky function in a simple microbial community","volume":"118","author":[{"family":"Adkins-Jablonsky","given":""},{"family":"Clark","given":"Colleen M."},{"family":"Papoulis","given":"Spiridon E."},{"family":"Kuhl","given":"Matthew D."},{"family":"Morris","given":"J. Jeffrey"}],"issued":{"date-parts":[["2021",9,28]]}}},{"id":114,"uris":["http://zotero.org/users/6128296/items/RAQDXC7K"],"itemData":{"id":114,"type":"article-journal","abstract":"Reductive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R."}],"issued":{"date-parts":[["2012",3,23]]}}}],"schema":"https://github.com/citation-style-language/schema/raw/master/csl-citation.json"} </w:instrText>
      </w:r>
      <w:r w:rsidR="001E3CFF" w:rsidRPr="007A4B22">
        <w:rPr>
          <w:rFonts w:ascii="Times New Roman" w:hAnsi="Times New Roman" w:cs="Times New Roman"/>
          <w:sz w:val="24"/>
          <w:szCs w:val="24"/>
        </w:rPr>
        <w:fldChar w:fldCharType="separate"/>
      </w:r>
      <w:r w:rsidR="006C2922" w:rsidRPr="007A4B22">
        <w:rPr>
          <w:rFonts w:ascii="Times New Roman" w:hAnsi="Times New Roman" w:cs="Times New Roman"/>
          <w:sz w:val="24"/>
          <w:szCs w:val="24"/>
        </w:rPr>
        <w:t xml:space="preserve">(Adkins-Jablonsky </w:t>
      </w:r>
      <w:r w:rsidR="00183222" w:rsidRPr="00183222">
        <w:rPr>
          <w:rFonts w:ascii="Times New Roman" w:hAnsi="Times New Roman" w:cs="Times New Roman"/>
          <w:i/>
          <w:iCs/>
          <w:sz w:val="24"/>
          <w:szCs w:val="24"/>
        </w:rPr>
        <w:t>et al</w:t>
      </w:r>
      <w:r w:rsidR="006C2922" w:rsidRPr="007A4B22">
        <w:rPr>
          <w:rFonts w:ascii="Times New Roman" w:hAnsi="Times New Roman" w:cs="Times New Roman"/>
          <w:sz w:val="24"/>
          <w:szCs w:val="24"/>
        </w:rPr>
        <w:t>. 2021; Morris, Lenski, and Zinser 2012)</w:t>
      </w:r>
      <w:r w:rsidR="001E3CFF" w:rsidRPr="007A4B22">
        <w:rPr>
          <w:rFonts w:ascii="Times New Roman" w:hAnsi="Times New Roman" w:cs="Times New Roman"/>
          <w:sz w:val="24"/>
          <w:szCs w:val="24"/>
        </w:rPr>
        <w:fldChar w:fldCharType="end"/>
      </w:r>
      <w:r w:rsidRPr="003609FB">
        <w:rPr>
          <w:rFonts w:ascii="Times New Roman" w:hAnsi="Times New Roman" w:cs="Times New Roman"/>
          <w:sz w:val="24"/>
          <w:szCs w:val="24"/>
        </w:rPr>
        <w:t>.</w:t>
      </w:r>
      <w:r w:rsidR="0044553F">
        <w:rPr>
          <w:rFonts w:ascii="Times New Roman" w:hAnsi="Times New Roman" w:cs="Times New Roman"/>
          <w:sz w:val="24"/>
          <w:szCs w:val="24"/>
        </w:rPr>
        <w:t xml:space="preserve"> Functions done within the cell that do not create or </w:t>
      </w:r>
      <w:r w:rsidR="00400A93">
        <w:rPr>
          <w:rFonts w:ascii="Times New Roman" w:hAnsi="Times New Roman" w:cs="Times New Roman"/>
          <w:sz w:val="24"/>
          <w:szCs w:val="24"/>
        </w:rPr>
        <w:t>catabolize</w:t>
      </w:r>
      <w:r w:rsidR="0044553F">
        <w:rPr>
          <w:rFonts w:ascii="Times New Roman" w:hAnsi="Times New Roman" w:cs="Times New Roman"/>
          <w:sz w:val="24"/>
          <w:szCs w:val="24"/>
        </w:rPr>
        <w:t xml:space="preserve"> diffusible products</w:t>
      </w:r>
      <w:r w:rsidR="005252E9">
        <w:rPr>
          <w:rFonts w:ascii="Times New Roman" w:hAnsi="Times New Roman" w:cs="Times New Roman"/>
          <w:sz w:val="24"/>
          <w:szCs w:val="24"/>
        </w:rPr>
        <w:t xml:space="preserve"> generally </w:t>
      </w:r>
      <w:r w:rsidR="0044553F">
        <w:rPr>
          <w:rFonts w:ascii="Times New Roman" w:hAnsi="Times New Roman" w:cs="Times New Roman"/>
          <w:sz w:val="24"/>
          <w:szCs w:val="24"/>
        </w:rPr>
        <w:t xml:space="preserve">are non-leaky. </w:t>
      </w:r>
      <w:r w:rsidR="00400A93">
        <w:rPr>
          <w:rFonts w:ascii="Times New Roman" w:hAnsi="Times New Roman" w:cs="Times New Roman"/>
          <w:sz w:val="24"/>
          <w:szCs w:val="24"/>
        </w:rPr>
        <w:t>Non-leaky functions seem evolutionary more advantageous for strict m</w:t>
      </w:r>
      <w:r w:rsidR="0044553F">
        <w:rPr>
          <w:rFonts w:ascii="Times New Roman" w:hAnsi="Times New Roman" w:cs="Times New Roman"/>
          <w:sz w:val="24"/>
          <w:szCs w:val="24"/>
        </w:rPr>
        <w:t xml:space="preserve">icrobial </w:t>
      </w:r>
      <w:r w:rsidR="00400A93">
        <w:rPr>
          <w:rFonts w:ascii="Times New Roman" w:hAnsi="Times New Roman" w:cs="Times New Roman"/>
          <w:sz w:val="24"/>
          <w:szCs w:val="24"/>
        </w:rPr>
        <w:t xml:space="preserve">competition scenarios, especially in diffuse </w:t>
      </w:r>
      <w:r w:rsidR="001F0E0F">
        <w:rPr>
          <w:rFonts w:ascii="Times New Roman" w:hAnsi="Times New Roman" w:cs="Times New Roman"/>
          <w:sz w:val="24"/>
          <w:szCs w:val="24"/>
        </w:rPr>
        <w:t>environments; with the noted selection against cheaters, or those taking advantage of other’s leaky</w:t>
      </w:r>
      <w:r w:rsidR="007B56D4">
        <w:rPr>
          <w:rFonts w:ascii="Times New Roman" w:hAnsi="Times New Roman" w:cs="Times New Roman"/>
          <w:sz w:val="24"/>
          <w:szCs w:val="24"/>
        </w:rPr>
        <w:t xml:space="preserve"> </w:t>
      </w:r>
      <w:r w:rsidR="001F0E0F">
        <w:rPr>
          <w:rFonts w:ascii="Times New Roman" w:hAnsi="Times New Roman" w:cs="Times New Roman"/>
          <w:sz w:val="24"/>
          <w:szCs w:val="24"/>
        </w:rPr>
        <w:t>functions</w:t>
      </w:r>
      <w:r w:rsidR="004153EE">
        <w:rPr>
          <w:rFonts w:ascii="Times New Roman" w:hAnsi="Times New Roman" w:cs="Times New Roman"/>
          <w:sz w:val="24"/>
          <w:szCs w:val="24"/>
        </w:rPr>
        <w:t>,</w:t>
      </w:r>
      <w:r w:rsidR="001F0E0F">
        <w:rPr>
          <w:rFonts w:ascii="Times New Roman" w:hAnsi="Times New Roman" w:cs="Times New Roman"/>
          <w:sz w:val="24"/>
          <w:szCs w:val="24"/>
        </w:rPr>
        <w:t xml:space="preserve"> like iron siderophore production </w:t>
      </w:r>
      <w:r w:rsidR="0044553F">
        <w:rPr>
          <w:rFonts w:ascii="Times New Roman" w:hAnsi="Times New Roman" w:cs="Times New Roman"/>
          <w:sz w:val="24"/>
          <w:szCs w:val="24"/>
        </w:rPr>
        <w:fldChar w:fldCharType="begin"/>
      </w:r>
      <w:r w:rsidR="001F0E0F">
        <w:rPr>
          <w:rFonts w:ascii="Times New Roman" w:hAnsi="Times New Roman" w:cs="Times New Roman"/>
          <w:sz w:val="24"/>
          <w:szCs w:val="24"/>
        </w:rPr>
        <w:instrText xml:space="preserve"> ADDIN ZOTERO_ITEM CSL_CITATION {"citationID":"DozWdbcO","properties":{"formattedCitation":"(Manck et al. 2022; Butait\\uc0\\u279{} et al. 2017)","plainCitation":"(Manck et al. 2022; Butaitė et al. 2017)","noteIndex":0},"citationItems":[{"id":5913,"uris":["http://zotero.org/users/6128296/items/TQ3D8X6P"],"itemData":{"id":5913,"type":"article-journal","abstract":"Abstract\n            It is now widely accepted that siderophores play a role in marine iron biogeochemical cycling. However, the mechanisms by which siderophores affect the availability of iron from specific sources and the resulting significance of these processes on iron biogeochemical cycling as a whole have remained largely untested. In this study, we develop a model system for testing the effects of siderophore production on iron bioavailability using the marine copiotroph Alteromonas macleodii ATCC 27126. Through the generation of the knockout cell line ΔasbB::kmr, which lacks siderophore biosynthetic capabilities, we demonstrate that the production of the siderophore petrobactin enables the acquisition of iron from mineral sources and weaker iron-ligand complexes. Notably, the utilization of lithogenic iron, such as that from atmospheric dust, indicates a significant role for siderophores in the incorporation of new iron into marine systems. We have also detected petrobactin, a photoreactive siderophore, directly from seawater in the mid-latitudes of the North Pacific and have identified the biosynthetic pathway for petrobactin in bacterial metagenome-assembled genomes widely distributed across the global ocean. Together, these results improve our mechanistic understanding of the role of siderophore production in iron biogeochemical cycling in the marine environment wherein iron speciation, bioavailability, and residence time can be directly influenced by microbial activities.","container-title":"The ISME Journal","DOI":"10.1038/s41396-021-01065-y","ISSN":"1751-7362, 1751-7370","issue":"2","language":"en","page":"358-369","source":"DOI.org (Crossref)","title":"Petrobactin, a siderophore produced by &lt;i&gt;Alteromonas&lt;/i&gt; , mediates community iron acquisition in the global ocean","volume":"16","author":[{"family":"Manck","given":""},{"family":"Park","given":"Jiwoon"},{"family":"Tully","given":"Benjamin J"},{"family":"Poire","given":"Alfonso M"},{"family":"Bundy","given":"Randelle M"},{"family":"Dupont","given":"Christopher L"},{"family":"Barbeau","given":"Katherine A"}],"issued":{"date-parts":[["2022",2,1]]}}},{"id":6776,"uris":["http://zotero.org/users/6128296/items/BDENKUX3"],"itemData":{"id":6776,"type":"article-journal","abstract":"Abstract\n            \n              All social organisms experience dilemmas between cooperators performing group-beneficial actions and cheats selfishly exploiting these actions. Although bacteria have become model organisms to study social dilemmas in laboratory systems, we know little about their relevance in natural communities. Here, we show that social interactions mediated by a single shareable compound necessary for growth (the iron-scavenging pyoverdine) have important consequences for competitive dynamics in soil and pond communities of\n              Pseudomonas\n              bacteria. We find that pyoverdine non- and low-producers co-occur in many natural communities. While non-producers have genes coding for multiple pyoverdine receptors and are able to exploit compatible heterologous pyoverdines from other community members, producers differ in the pyoverdine types they secrete, offering protection against exploitation from non-producers with incompatible receptors. Our findings indicate that there is both selection for cheating and cheating resistance, which could drive antagonistic co-evolution and diversification in natural bacterial communities.","container-title":"Nature Communications","DOI":"10.1038/s41467-017-00509-4","ISSN":"2041-1723","issue":"1","journalAbbreviation":"Nat Commun","language":"en","page":"414","source":"DOI.org (Crossref)","title":"Siderophore cheating and cheating resistance shape competition for iron in soil and freshwater Pseudomonas communities","volume":"8","author":[{"family":"Butaitė","given":"Elena"},{"family":"Baumgartner","given":"Michael"},{"family":"Wyder","given":"Stefan"},{"family":"Kümmerli","given":"Rolf"}],"issued":{"date-parts":[["2017",9,4]]}}}],"schema":"https://github.com/citation-style-language/schema/raw/master/csl-citation.json"} </w:instrText>
      </w:r>
      <w:r w:rsidR="0044553F">
        <w:rPr>
          <w:rFonts w:ascii="Times New Roman" w:hAnsi="Times New Roman" w:cs="Times New Roman"/>
          <w:sz w:val="24"/>
          <w:szCs w:val="24"/>
        </w:rPr>
        <w:fldChar w:fldCharType="separate"/>
      </w:r>
      <w:r w:rsidR="001F0E0F" w:rsidRPr="001F0E0F">
        <w:rPr>
          <w:rFonts w:ascii="Times New Roman" w:hAnsi="Times New Roman" w:cs="Times New Roman"/>
          <w:sz w:val="24"/>
        </w:rPr>
        <w:t xml:space="preserve">(Manck </w:t>
      </w:r>
      <w:r w:rsidR="00183222" w:rsidRPr="00183222">
        <w:rPr>
          <w:rFonts w:ascii="Times New Roman" w:hAnsi="Times New Roman" w:cs="Times New Roman"/>
          <w:i/>
          <w:iCs/>
          <w:sz w:val="24"/>
          <w:szCs w:val="24"/>
        </w:rPr>
        <w:t>et al</w:t>
      </w:r>
      <w:r w:rsidR="001F0E0F" w:rsidRPr="001F0E0F">
        <w:rPr>
          <w:rFonts w:ascii="Times New Roman" w:hAnsi="Times New Roman" w:cs="Times New Roman"/>
          <w:sz w:val="24"/>
        </w:rPr>
        <w:t xml:space="preserve">. 2022; </w:t>
      </w:r>
      <w:proofErr w:type="spellStart"/>
      <w:r w:rsidR="001F0E0F" w:rsidRPr="001F0E0F">
        <w:rPr>
          <w:rFonts w:ascii="Times New Roman" w:hAnsi="Times New Roman" w:cs="Times New Roman"/>
          <w:sz w:val="24"/>
        </w:rPr>
        <w:t>Butaitė</w:t>
      </w:r>
      <w:proofErr w:type="spellEnd"/>
      <w:r w:rsidR="001F0E0F" w:rsidRPr="001F0E0F">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1F0E0F" w:rsidRPr="001F0E0F">
        <w:rPr>
          <w:rFonts w:ascii="Times New Roman" w:hAnsi="Times New Roman" w:cs="Times New Roman"/>
          <w:sz w:val="24"/>
        </w:rPr>
        <w:t>. 2017)</w:t>
      </w:r>
      <w:r w:rsidR="0044553F">
        <w:rPr>
          <w:rFonts w:ascii="Times New Roman" w:hAnsi="Times New Roman" w:cs="Times New Roman"/>
          <w:sz w:val="24"/>
          <w:szCs w:val="24"/>
        </w:rPr>
        <w:fldChar w:fldCharType="end"/>
      </w:r>
      <w:r w:rsidR="00400A93">
        <w:rPr>
          <w:rFonts w:ascii="Times New Roman" w:hAnsi="Times New Roman" w:cs="Times New Roman"/>
          <w:sz w:val="24"/>
          <w:szCs w:val="24"/>
        </w:rPr>
        <w:t xml:space="preserve">. Cheater microbes are selected against </w:t>
      </w:r>
      <w:r w:rsidR="007B56D4">
        <w:rPr>
          <w:rFonts w:ascii="Times New Roman" w:hAnsi="Times New Roman" w:cs="Times New Roman"/>
          <w:sz w:val="24"/>
          <w:szCs w:val="24"/>
        </w:rPr>
        <w:t xml:space="preserve">due to lack of a necessary function, </w:t>
      </w:r>
      <w:r w:rsidR="00400A93">
        <w:rPr>
          <w:rFonts w:ascii="Times New Roman" w:hAnsi="Times New Roman" w:cs="Times New Roman"/>
          <w:sz w:val="24"/>
          <w:szCs w:val="24"/>
        </w:rPr>
        <w:t xml:space="preserve">but survive due to the lower cost </w:t>
      </w:r>
      <w:r w:rsidR="007B56D4">
        <w:rPr>
          <w:rFonts w:ascii="Times New Roman" w:hAnsi="Times New Roman" w:cs="Times New Roman"/>
          <w:sz w:val="24"/>
          <w:szCs w:val="24"/>
        </w:rPr>
        <w:t xml:space="preserve">living while successfully </w:t>
      </w:r>
      <w:r w:rsidR="00400A93">
        <w:rPr>
          <w:rFonts w:ascii="Times New Roman" w:hAnsi="Times New Roman" w:cs="Times New Roman"/>
          <w:sz w:val="24"/>
          <w:szCs w:val="24"/>
        </w:rPr>
        <w:t>cheatin</w:t>
      </w:r>
      <w:r w:rsidR="007B56D4">
        <w:rPr>
          <w:rFonts w:ascii="Times New Roman" w:hAnsi="Times New Roman" w:cs="Times New Roman"/>
          <w:sz w:val="24"/>
          <w:szCs w:val="24"/>
        </w:rPr>
        <w:t>g</w:t>
      </w:r>
      <w:r w:rsidR="00400A93">
        <w:rPr>
          <w:rFonts w:ascii="Times New Roman" w:hAnsi="Times New Roman" w:cs="Times New Roman"/>
          <w:sz w:val="24"/>
          <w:szCs w:val="24"/>
        </w:rPr>
        <w:t xml:space="preserve"> </w:t>
      </w:r>
      <w:r w:rsidR="007B56D4">
        <w:rPr>
          <w:rFonts w:ascii="Times New Roman" w:hAnsi="Times New Roman" w:cs="Times New Roman"/>
          <w:sz w:val="24"/>
          <w:szCs w:val="24"/>
        </w:rPr>
        <w:t>off of others that have this</w:t>
      </w:r>
      <w:r w:rsidR="00400A93">
        <w:rPr>
          <w:rFonts w:ascii="Times New Roman" w:hAnsi="Times New Roman" w:cs="Times New Roman"/>
          <w:sz w:val="24"/>
          <w:szCs w:val="24"/>
        </w:rPr>
        <w:t xml:space="preserve"> function </w:t>
      </w:r>
      <w:r w:rsidR="00400A93">
        <w:rPr>
          <w:rFonts w:ascii="Times New Roman" w:hAnsi="Times New Roman" w:cs="Times New Roman"/>
          <w:sz w:val="24"/>
          <w:szCs w:val="24"/>
        </w:rPr>
        <w:fldChar w:fldCharType="begin"/>
      </w:r>
      <w:r w:rsidR="00094B39">
        <w:rPr>
          <w:rFonts w:ascii="Times New Roman" w:hAnsi="Times New Roman" w:cs="Times New Roman"/>
          <w:sz w:val="24"/>
          <w:szCs w:val="24"/>
        </w:rPr>
        <w:instrText xml:space="preserve"> ADDIN ZOTERO_ITEM CSL_CITATION {"citationID":"RPIZ77Tz","properties":{"formattedCitation":"(Allison 2005; Morris, Papoulis, and Lenski 2014; Butait\\uc0\\u279{} et al. 2017; Adkins-Jablonsky et al. 2021)","plainCitation":"(Allison 2005; Morris, Papoulis, and Lenski 2014; Butaitė et al. 2017; Adkins-Jablonsky et al. 2021)","noteIndex":0},"citationItems":[{"id":75,"uris":["http://zotero.org/users/6128296/items/PQA9SED3"],"itemData":{"id":75,"type":"article-journal","abstract":"Extracellular enzymes allow microbes to acquire carbon and nutrients from complex molecules and catalyse the rate-limiting step in nutrient mineralization. Because the factors regulating enzyme production are poorly understood, I used a simulation model to examine how competition, nutrient availability and spatial structure affect microbial growth and enzyme synthesis. In simulations where enzyme-producing microbes competed with cheaters (who do not synthesize enzymes but take-up product), higher enzyme costs favoured cheaters, while lower rates of enzyme diffusion favoured producers. Cheaters and producers coexisted in highly organized spatial patterns at intermediate enzyme costs and diffusion rates. Simulations with varying nutrient inputs showed that nitrogen supply can limit carbon mineralization, microbial growth and enzyme production because of the nitrogen-demanding stoichiometry of enzymes (C : N ¼ c. 3.5 : 1). These results suggest that competition from cheaters, slow diffusion and nitrogen limitation may constrain microbial foraging and the enzymatic decomposition of complex compounds in natural environments.","container-title":"Ecology Letters","DOI":"10.1111/j.1461-0248.2005.00756.x","ISSN":"1461023X, 14610248","issue":"6","language":"en","page":"626-635","source":"DOI.org (Crossref)","title":"Cheaters, diffusion and nutrients constrain decomposition by microbial enzymes in spatially structured environments: Constraints on enzymatic decomposition","title-short":"Cheaters, diffusion and nutrients constrain decomposition by microbial enzymes in spatially structured environments","volume":"8","author":[{"family":"Allison","given":""}],"issued":{"date-parts":[["2005",4,12]]}}},{"id":809,"uris":["http://zotero.org/users/6128296/items/24U3N932"],"itemData":{"id":809,"type":"article-journal","container-title":"Evolution","DOI":"10.1111/evo.12485","ISSN":"00143820","issue":"10","journalAbbreviation":"Evolution","language":"en","page":"2960-2971","source":"DOI.org (Crossref)","title":"COEXISTENCE OF EVOLVING BACTERIA STABILIZED BY A SHARED BLACK QUEEN FUNCTION: EXPERIMENTAL EVOLUTION OF A BLACK QUEEN COMMUNITY","title-short":"COEXISTENCE OF EVOLVING BACTERIA STABILIZED BY A SHARED BLACK QUEEN FUNCTION","volume":"68","author":[{"family":"Morris","given":""},{"family":"Papoulis","given":"Spiridon E."},{"family":"Lenski","given":"Richard E."}],"issued":{"date-parts":[["2014",10]]}}},{"id":6776,"uris":["http://zotero.org/users/6128296/items/BDENKUX3"],"itemData":{"id":6776,"type":"article-journal","abstract":"Abstract\n            \n              All social organisms experience dilemmas between cooperators performing group-beneficial actions and cheats selfishly exploiting these actions. Although bacteria have become model organisms to study social dilemmas in laboratory systems, we know little about their relevance in natural communities. Here, we show that social interactions mediated by a single shareable compound necessary for growth (the iron-scavenging pyoverdine) have important consequences for competitive dynamics in soil and pond communities of\n              Pseudomonas\n              bacteria. We find that pyoverdine non- and low-producers co-occur in many natural communities. While non-producers have genes coding for multiple pyoverdine receptors and are able to exploit compatible heterologous pyoverdines from other community members, producers differ in the pyoverdine types they secrete, offering protection against exploitation from non-producers with incompatible receptors. Our findings indicate that there is both selection for cheating and cheating resistance, which could drive antagonistic co-evolution and diversification in natural bacterial communities.","container-title":"Nature Communications","DOI":"10.1038/s41467-017-00509-4","ISSN":"2041-1723","issue":"1","journalAbbreviation":"Nat Commun","language":"en","page":"414","source":"DOI.org (Crossref)","title":"Siderophore cheating and cheating resistance shape competition for iron in soil and freshwater Pseudomonas communities","volume":"8","author":[{"family":"Butaitė","given":"Elena"},{"family":"Baumgartner","given":"Michael"},{"family":"Wyder","given":"Stefan"},{"family":"Kümmerli","given":"Rolf"}],"issued":{"date-parts":[["2017",9,4]]}}},{"id":4119,"uris":["http://zotero.org/users/6128296/items/BJU4STXQ"],"itemData":{"id":4119,"type":"article-journal","abstract":"Significance\n            Natural microbial communities are often deeply interdependent despite being locked in competition over a small number of limiting resources. While there are theories about how evolution can generate these dependencies, less is known about how responsibility for different tasks is assigned in a community. Here, we show that even small differences in costs paid by a species for performing a vital but “leaky” function can lead to one species consistently evolving into the sole “helper” for the entire community. We suggest that this process is analogous to the human economic principle of comparative advantage, selecting for efficient divisions of labor in microbial marketplaces.\n          , \n            \n              Many biological functions are leaky, and organisms that perform them contribute some of their products to a community “marketplace” in which nonperforming individuals may compete for them. Leaky functions are partitioned unequally in microbial communities, and the evolutionary forces determining which species perform them and which become beneficiaries are poorly understood. Here, we demonstrate that the market principle of comparative advantage determines the distribution of a leaky antibiotic resistance gene in an environment occupied by two “species”—strains of\n              Escherichia coli\n              growing on mutually exclusive resources and thus occupying separate niches. Communities comprised of antibiotic-resistant cells were rapidly invaded by sensitive cells of both types. While the two phenotypes coexisted stably for 500 generations, in 15/18 replicates, antibiotic sensitivity became fixed in one species. Fixation always occurred in the same species despite both species being genetically identical except for their niche-defining mutation. In the absence of antibiotic, the fitness cost of resistance was identical in both species. However, the intrinsic resistance of the species that ultimately became the sole helper was significantly lower, and thus its reward for expressing the resistance gene was higher. Opportunity cost of resistance, not absolute cost or efficiency of antibiotic removal, determined which species became the helper, consistent with the economic theory of comparative advantage. We present a model that suggests that this market-like dynamic is a general property of Black Queen systems and, in communities dependent on multiple leaky functions, could lead to the spontaneous development of an equitable and efficient division of labor.","container-title":"Proceedings of the National Academy of Sciences","DOI":"10.1073/pnas.2109813118","ISSN":"0027-8424, 1091-6490","issue":"39","journalAbbreviation":"Proc. Natl. Acad. Sci. U.S.A.","language":"en","page":"e2109813118","source":"DOI.org (Crossref)","title":"Market forces determine the distribution of a leaky function in a simple microbial community","volume":"118","author":[{"family":"Adkins-Jablonsky","given":""},{"family":"Clark","given":"Colleen M."},{"family":"Papoulis","given":"Spiridon E."},{"family":"Kuhl","given":"Matthew D."},{"family":"Morris","given":"J. Jeffrey"}],"issued":{"date-parts":[["2021",9,28]]}}}],"schema":"https://github.com/citation-style-language/schema/raw/master/csl-citation.json"} </w:instrText>
      </w:r>
      <w:r w:rsidR="00400A93">
        <w:rPr>
          <w:rFonts w:ascii="Times New Roman" w:hAnsi="Times New Roman" w:cs="Times New Roman"/>
          <w:sz w:val="24"/>
          <w:szCs w:val="24"/>
        </w:rPr>
        <w:fldChar w:fldCharType="separate"/>
      </w:r>
      <w:r w:rsidR="00094B39" w:rsidRPr="00094B39">
        <w:rPr>
          <w:rFonts w:ascii="Times New Roman" w:hAnsi="Times New Roman" w:cs="Times New Roman"/>
          <w:sz w:val="24"/>
        </w:rPr>
        <w:t xml:space="preserve">(Allison 2005; Morris, Papoulis, and Lenski 2014; </w:t>
      </w:r>
      <w:proofErr w:type="spellStart"/>
      <w:r w:rsidR="00094B39" w:rsidRPr="00094B39">
        <w:rPr>
          <w:rFonts w:ascii="Times New Roman" w:hAnsi="Times New Roman" w:cs="Times New Roman"/>
          <w:sz w:val="24"/>
        </w:rPr>
        <w:t>Butaitė</w:t>
      </w:r>
      <w:proofErr w:type="spellEnd"/>
      <w:r w:rsidR="00094B39" w:rsidRPr="00094B39">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094B39" w:rsidRPr="00094B39">
        <w:rPr>
          <w:rFonts w:ascii="Times New Roman" w:hAnsi="Times New Roman" w:cs="Times New Roman"/>
          <w:sz w:val="24"/>
        </w:rPr>
        <w:t xml:space="preserve">. 2017; Adkins-Jablonsky </w:t>
      </w:r>
      <w:r w:rsidR="00183222" w:rsidRPr="00183222">
        <w:rPr>
          <w:rFonts w:ascii="Times New Roman" w:hAnsi="Times New Roman" w:cs="Times New Roman"/>
          <w:i/>
          <w:iCs/>
          <w:sz w:val="24"/>
          <w:szCs w:val="24"/>
        </w:rPr>
        <w:t>et al</w:t>
      </w:r>
      <w:r w:rsidR="00094B39" w:rsidRPr="00094B39">
        <w:rPr>
          <w:rFonts w:ascii="Times New Roman" w:hAnsi="Times New Roman" w:cs="Times New Roman"/>
          <w:sz w:val="24"/>
        </w:rPr>
        <w:t>. 2021)</w:t>
      </w:r>
      <w:r w:rsidR="00400A93">
        <w:rPr>
          <w:rFonts w:ascii="Times New Roman" w:hAnsi="Times New Roman" w:cs="Times New Roman"/>
          <w:sz w:val="24"/>
          <w:szCs w:val="24"/>
        </w:rPr>
        <w:fldChar w:fldCharType="end"/>
      </w:r>
      <w:r w:rsidR="00400A93">
        <w:rPr>
          <w:rFonts w:ascii="Times New Roman" w:hAnsi="Times New Roman" w:cs="Times New Roman"/>
          <w:sz w:val="24"/>
          <w:szCs w:val="24"/>
        </w:rPr>
        <w:t>.</w:t>
      </w:r>
      <w:r w:rsidR="007B56D4">
        <w:rPr>
          <w:rFonts w:ascii="Times New Roman" w:hAnsi="Times New Roman" w:cs="Times New Roman"/>
          <w:sz w:val="24"/>
          <w:szCs w:val="24"/>
        </w:rPr>
        <w:t xml:space="preserve"> </w:t>
      </w:r>
      <w:r w:rsidR="00947807">
        <w:rPr>
          <w:rFonts w:ascii="Times New Roman" w:hAnsi="Times New Roman" w:cs="Times New Roman"/>
          <w:sz w:val="24"/>
          <w:szCs w:val="24"/>
        </w:rPr>
        <w:t>Nutrient restricted environments select</w:t>
      </w:r>
      <w:r w:rsidR="007B56D4">
        <w:rPr>
          <w:rFonts w:ascii="Times New Roman" w:hAnsi="Times New Roman" w:cs="Times New Roman"/>
          <w:sz w:val="24"/>
          <w:szCs w:val="24"/>
        </w:rPr>
        <w:t xml:space="preserve"> for the </w:t>
      </w:r>
      <w:r w:rsidR="00400A93">
        <w:rPr>
          <w:rFonts w:ascii="Times New Roman" w:hAnsi="Times New Roman" w:cs="Times New Roman"/>
          <w:sz w:val="24"/>
          <w:szCs w:val="24"/>
        </w:rPr>
        <w:t xml:space="preserve">leakiness of </w:t>
      </w:r>
      <w:r w:rsidR="00947807">
        <w:rPr>
          <w:rFonts w:ascii="Times New Roman" w:hAnsi="Times New Roman" w:cs="Times New Roman"/>
          <w:sz w:val="24"/>
          <w:szCs w:val="24"/>
        </w:rPr>
        <w:t>in some</w:t>
      </w:r>
      <w:r w:rsidR="007B56D4">
        <w:rPr>
          <w:rFonts w:ascii="Times New Roman" w:hAnsi="Times New Roman" w:cs="Times New Roman"/>
          <w:sz w:val="24"/>
          <w:szCs w:val="24"/>
        </w:rPr>
        <w:t xml:space="preserve"> </w:t>
      </w:r>
      <w:r w:rsidR="00400A93">
        <w:rPr>
          <w:rFonts w:ascii="Times New Roman" w:hAnsi="Times New Roman" w:cs="Times New Roman"/>
          <w:sz w:val="24"/>
          <w:szCs w:val="24"/>
        </w:rPr>
        <w:t xml:space="preserve">functions </w:t>
      </w:r>
      <w:r w:rsidR="00400A93">
        <w:rPr>
          <w:rFonts w:ascii="Times New Roman" w:hAnsi="Times New Roman" w:cs="Times New Roman"/>
          <w:sz w:val="24"/>
          <w:szCs w:val="24"/>
        </w:rPr>
        <w:fldChar w:fldCharType="begin"/>
      </w:r>
      <w:r w:rsidR="00400A93">
        <w:rPr>
          <w:rFonts w:ascii="Times New Roman" w:hAnsi="Times New Roman" w:cs="Times New Roman"/>
          <w:sz w:val="24"/>
          <w:szCs w:val="24"/>
        </w:rPr>
        <w:instrText xml:space="preserve"> ADDIN ZOTERO_ITEM CSL_CITATION {"citationID":"up2kK7k9","properties":{"formattedCitation":"(Sexton and Schuster 2017)","plainCitation":"(Sexton and Schuster 2017)","noteIndex":0},"citationItems":[{"id":6777,"uris":["http://zotero.org/users/6128296/items/63DJ7ZG3"],"itemData":{"id":6777,"type":"article-journal","abstract":"Abstract\n            \n              Cooperative behaviors provide a collective benefit, but are considered costly for the individual. Here, we report that these costs vary dramatically in different contexts and have opposing effects on the selection for non-cooperating cheaters. We investigate a prominent example of bacterial cooperation, the secretion of the peptide siderophore pyoverdine by\n              Pseudomonas aeruginosa\n              , under different nutrient-limiting conditions. Using metabolic modeling, we show that pyoverdine incurs a fitness cost only when its building blocks carbon or nitrogen are growth-limiting and are diverted from cellular biomass production. We confirm this result experimentally with a continuous-culture approach. We show that pyoverdine non-producers (cheaters) enjoy a large fitness advantage in co-culture with producers (cooperators) and spread to high frequency when limited by carbon, but not when limited by phosphorus. The principle of nutrient-dependent fitness costs has implications for the stability of cooperation in pathogenic and non-pathogenic environments, in biotechnological applications, and beyond the microbial realm.","container-title":"Nature Communications","DOI":"10.1038/s41467-017-00222-2","ISSN":"2041-1723","issue":"1","journalAbbreviation":"Nat Commun","language":"en","page":"230","source":"DOI.org (Crossref)","title":"Nutrient limitation determines the fitness of cheaters in bacterial siderophore cooperation","volume":"8","author":[{"family":"Sexton","given":"D. Joseph"},{"family":"Schuster","given":"Martin"}],"issued":{"date-parts":[["2017",8,10]]}}}],"schema":"https://github.com/citation-style-language/schema/raw/master/csl-citation.json"} </w:instrText>
      </w:r>
      <w:r w:rsidR="00400A93">
        <w:rPr>
          <w:rFonts w:ascii="Times New Roman" w:hAnsi="Times New Roman" w:cs="Times New Roman"/>
          <w:sz w:val="24"/>
          <w:szCs w:val="24"/>
        </w:rPr>
        <w:fldChar w:fldCharType="separate"/>
      </w:r>
      <w:r w:rsidR="00400A93">
        <w:rPr>
          <w:rFonts w:ascii="Times New Roman" w:hAnsi="Times New Roman" w:cs="Times New Roman"/>
          <w:noProof/>
          <w:sz w:val="24"/>
          <w:szCs w:val="24"/>
        </w:rPr>
        <w:t>(Sexton and Schuster 2017)</w:t>
      </w:r>
      <w:r w:rsidR="00400A93">
        <w:rPr>
          <w:rFonts w:ascii="Times New Roman" w:hAnsi="Times New Roman" w:cs="Times New Roman"/>
          <w:sz w:val="24"/>
          <w:szCs w:val="24"/>
        </w:rPr>
        <w:fldChar w:fldCharType="end"/>
      </w:r>
      <w:r w:rsidR="007B56D4">
        <w:rPr>
          <w:rFonts w:ascii="Times New Roman" w:hAnsi="Times New Roman" w:cs="Times New Roman"/>
          <w:sz w:val="24"/>
          <w:szCs w:val="24"/>
        </w:rPr>
        <w:t xml:space="preserve"> and </w:t>
      </w:r>
      <w:r w:rsidR="00947807">
        <w:rPr>
          <w:rFonts w:ascii="Times New Roman" w:hAnsi="Times New Roman" w:cs="Times New Roman"/>
          <w:sz w:val="24"/>
          <w:szCs w:val="24"/>
        </w:rPr>
        <w:t xml:space="preserve">the </w:t>
      </w:r>
      <w:r w:rsidR="0044553F">
        <w:rPr>
          <w:rFonts w:ascii="Times New Roman" w:hAnsi="Times New Roman" w:cs="Times New Roman"/>
          <w:sz w:val="24"/>
          <w:szCs w:val="24"/>
        </w:rPr>
        <w:t xml:space="preserve">presence of leaky functions may </w:t>
      </w:r>
      <w:r w:rsidR="007B56D4">
        <w:rPr>
          <w:rFonts w:ascii="Times New Roman" w:hAnsi="Times New Roman" w:cs="Times New Roman"/>
          <w:sz w:val="24"/>
          <w:szCs w:val="24"/>
        </w:rPr>
        <w:t>significantly</w:t>
      </w:r>
      <w:r w:rsidR="0044553F">
        <w:rPr>
          <w:rFonts w:ascii="Times New Roman" w:hAnsi="Times New Roman" w:cs="Times New Roman"/>
          <w:sz w:val="24"/>
          <w:szCs w:val="24"/>
        </w:rPr>
        <w:t xml:space="preserve"> impact community </w:t>
      </w:r>
      <w:r w:rsidR="005252E9">
        <w:rPr>
          <w:rFonts w:ascii="Times New Roman" w:hAnsi="Times New Roman" w:cs="Times New Roman"/>
          <w:sz w:val="24"/>
          <w:szCs w:val="24"/>
        </w:rPr>
        <w:t>competition</w:t>
      </w:r>
      <w:r w:rsidR="0044553F">
        <w:rPr>
          <w:rFonts w:ascii="Times New Roman" w:hAnsi="Times New Roman" w:cs="Times New Roman"/>
          <w:sz w:val="24"/>
          <w:szCs w:val="24"/>
        </w:rPr>
        <w:t xml:space="preserve"> </w:t>
      </w:r>
      <w:r w:rsidR="007B56D4">
        <w:rPr>
          <w:rFonts w:ascii="Times New Roman" w:hAnsi="Times New Roman" w:cs="Times New Roman"/>
          <w:sz w:val="24"/>
          <w:szCs w:val="24"/>
        </w:rPr>
        <w:t xml:space="preserve">and </w:t>
      </w:r>
      <w:r w:rsidR="005252E9">
        <w:rPr>
          <w:rFonts w:ascii="Times New Roman" w:hAnsi="Times New Roman" w:cs="Times New Roman"/>
          <w:sz w:val="24"/>
          <w:szCs w:val="24"/>
        </w:rPr>
        <w:t>community</w:t>
      </w:r>
      <w:r w:rsidR="007B56D4">
        <w:rPr>
          <w:rFonts w:ascii="Times New Roman" w:hAnsi="Times New Roman" w:cs="Times New Roman"/>
          <w:sz w:val="24"/>
          <w:szCs w:val="24"/>
        </w:rPr>
        <w:t xml:space="preserve"> physical structure </w:t>
      </w:r>
      <w:r w:rsidR="007B56D4">
        <w:rPr>
          <w:rFonts w:ascii="Times New Roman" w:hAnsi="Times New Roman" w:cs="Times New Roman"/>
          <w:sz w:val="24"/>
          <w:szCs w:val="24"/>
        </w:rPr>
        <w:fldChar w:fldCharType="begin"/>
      </w:r>
      <w:r w:rsidR="005252E9">
        <w:rPr>
          <w:rFonts w:ascii="Times New Roman" w:hAnsi="Times New Roman" w:cs="Times New Roman"/>
          <w:sz w:val="24"/>
          <w:szCs w:val="24"/>
        </w:rPr>
        <w:instrText xml:space="preserve"> ADDIN ZOTERO_ITEM CSL_CITATION {"citationID":"6QYzSWCt","properties":{"formattedCitation":"(Estrela, Morris, and Kerr 2016; Wang et al. 2021)","plainCitation":"(Estrela, Morris, and Kerr 2016; Wang et al. 2021)","noteIndex":0},"citationItems":[{"id":1594,"uris":["http://zotero.org/users/6128296/items/EJ4LKEQB"],"itemData":{"id":1594,"type":"article-journal","abstract":"Microbes perform many costly biological functions that beneﬁt themselves, and may also beneﬁt neighbouring cells. Losing the ability to perform such functions can be advantageous due to cost savings, but when they are essential for growth, organisms become dependent on ecological partners to compensate for those losses. When multiple functions may be lost, the ecological outcomes are potentially diverse, including independent organisms only; oneway dependency, where one partner performs all functions and others none; or mutual interdependency where partners perform complementary essential functions. What drives these different outcomes? We develop a model where organisms perform ‘leaky’ functions that provide both private and public beneﬁts to explore the consequences of privatization level, costs and essentiality on inﬂuencing these outcomes. We show that mutual interdependency is favoured at intermediate levels of privatization for a broad range of conditions. One-way dependency, in contrast, is only favoured when privatization is low and loss-of-function beneﬁts are accelerating. Our results suggest an interplay between privatization level and shape of beneﬁts from loss in driving microbial dependencies. Given the ubiquity of microbial functions that are inevitably leaked and the ease of mutational inactivation, our ﬁndings may help to explain why microbial interdependencies are common in nature.","container-title":"Environmental Microbiology","DOI":"10.1111/1462-2920.13028","ISSN":"14622912","issue":"5","journalAbbreviation":"Environ Microbiol","language":"en","page":"1415-1427","source":"DOI.org (Crossref)","title":"Private benefits and metabolic conflicts shape the emergence of microbial interdependencies: The origins of microbial interdependencies","title-short":"Private benefits and metabolic conflicts shape the emergence of microbial interdependencies","volume":"18","author":[{"family":"Estrela","given":""},{"family":"Morris","given":"J. Jeffrey"},{"family":"Kerr","given":"Benjamin"}],"issued":{"date-parts":[["2016",5]]}}},{"id":4446,"uris":["http://zotero.org/users/6128296/items/IW8A9ZPR"],"itemData":{"id":4446,"type":"article-journal","abstract":"Microbes release a wide variety of metabolites to the environment that beneﬁt the whole population, called public goods. Public goods sharing drives adaptive function loss, and allows the rise of metabolic cross-feeding. However, how public goods sharing governs the succession of communities over evolutionary time scales remains unclear. To resolve this issue, we constructed an individual-based model, where an autonomous population that possessed functions to produce three essential public goods, was allowed to randomly lose functions. Simulations revealed that function loss genotypes could evolve from the autonomous ancestor, driven by the selﬁsh public production trade-off at the individual level. These genotypes could then automatically develop to three possible types of interdependent patterns: complete functional division, one-way dependency, and asymmetric functional complementation, which were inﬂuenced by function cost and function redundancy. In addition, we found random evolutionary events, i.e., the priority and the relative spatial positioning of genotype emergence, are also important in governing community assembly. Moreover, communities occupied by interdependent patterns exhibited better resistance to environmental perturbation, suggesting such patterns are selectively favored. Our work integrates ecological interactions with evolution dynamics, providing a new perspective to explain how reductive evolution shapes microbial interdependencies and governs the succession of communities.","container-title":"The ISME Journal","DOI":"10.1038/s41396-020-00858-x","ISSN":"1751-7362, 1751-7370","issue":"5","language":"en","page":"1387-1401","source":"DOI.org (Crossref)","title":"Selfishness driving reductive evolution shapes interdependent patterns in spatially structured microbial communities","volume":"15","author":[{"family":"Wang","given":""},{"family":"Liu","given":"Xiaonan"},{"family":"Nie","given":"Yong"},{"family":"Wu","given":"Xiao-Lei"}],"issued":{"date-parts":[["2021",5,1]]}}}],"schema":"https://github.com/citation-style-language/schema/raw/master/csl-citation.json"} </w:instrText>
      </w:r>
      <w:r w:rsidR="007B56D4">
        <w:rPr>
          <w:rFonts w:ascii="Times New Roman" w:hAnsi="Times New Roman" w:cs="Times New Roman"/>
          <w:sz w:val="24"/>
          <w:szCs w:val="24"/>
        </w:rPr>
        <w:fldChar w:fldCharType="separate"/>
      </w:r>
      <w:r w:rsidR="005252E9">
        <w:rPr>
          <w:rFonts w:ascii="Times New Roman" w:hAnsi="Times New Roman" w:cs="Times New Roman"/>
          <w:noProof/>
          <w:sz w:val="24"/>
          <w:szCs w:val="24"/>
        </w:rPr>
        <w:t xml:space="preserve">(Estrela, Morris, and Kerr 2016; Wang </w:t>
      </w:r>
      <w:r w:rsidR="00183222" w:rsidRPr="00183222">
        <w:rPr>
          <w:rFonts w:ascii="Times New Roman" w:hAnsi="Times New Roman" w:cs="Times New Roman"/>
          <w:i/>
          <w:iCs/>
          <w:sz w:val="24"/>
          <w:szCs w:val="24"/>
        </w:rPr>
        <w:t>et al</w:t>
      </w:r>
      <w:r w:rsidR="005252E9">
        <w:rPr>
          <w:rFonts w:ascii="Times New Roman" w:hAnsi="Times New Roman" w:cs="Times New Roman"/>
          <w:noProof/>
          <w:sz w:val="24"/>
          <w:szCs w:val="24"/>
        </w:rPr>
        <w:t>. 2021)</w:t>
      </w:r>
      <w:r w:rsidR="007B56D4">
        <w:rPr>
          <w:rFonts w:ascii="Times New Roman" w:hAnsi="Times New Roman" w:cs="Times New Roman"/>
          <w:sz w:val="24"/>
          <w:szCs w:val="24"/>
        </w:rPr>
        <w:fldChar w:fldCharType="end"/>
      </w:r>
      <w:r w:rsidR="007B56D4">
        <w:rPr>
          <w:rFonts w:ascii="Times New Roman" w:hAnsi="Times New Roman" w:cs="Times New Roman"/>
          <w:sz w:val="24"/>
          <w:szCs w:val="24"/>
        </w:rPr>
        <w:t>.</w:t>
      </w:r>
      <w:r w:rsidR="005252E9">
        <w:rPr>
          <w:rFonts w:ascii="Times New Roman" w:hAnsi="Times New Roman" w:cs="Times New Roman"/>
          <w:sz w:val="24"/>
          <w:szCs w:val="24"/>
        </w:rPr>
        <w:t xml:space="preserve"> </w:t>
      </w:r>
      <w:r w:rsidR="005252E9" w:rsidRPr="007A4B22">
        <w:rPr>
          <w:rFonts w:ascii="Times New Roman" w:hAnsi="Times New Roman" w:cs="Times New Roman"/>
          <w:sz w:val="24"/>
          <w:szCs w:val="24"/>
        </w:rPr>
        <w:t>H</w:t>
      </w:r>
      <w:r w:rsidR="005252E9" w:rsidRPr="007A4B22">
        <w:rPr>
          <w:rFonts w:ascii="Times New Roman" w:hAnsi="Times New Roman" w:cs="Times New Roman"/>
          <w:sz w:val="24"/>
          <w:szCs w:val="24"/>
          <w:vertAlign w:val="subscript"/>
        </w:rPr>
        <w:t>2</w:t>
      </w:r>
      <w:r w:rsidR="005252E9" w:rsidRPr="007A4B22">
        <w:rPr>
          <w:rFonts w:ascii="Times New Roman" w:hAnsi="Times New Roman" w:cs="Times New Roman"/>
          <w:sz w:val="24"/>
          <w:szCs w:val="24"/>
        </w:rPr>
        <w:t>O</w:t>
      </w:r>
      <w:r w:rsidR="005252E9" w:rsidRPr="007A4B22">
        <w:rPr>
          <w:rFonts w:ascii="Times New Roman" w:hAnsi="Times New Roman" w:cs="Times New Roman"/>
          <w:sz w:val="24"/>
          <w:szCs w:val="24"/>
          <w:vertAlign w:val="subscript"/>
        </w:rPr>
        <w:t>2</w:t>
      </w:r>
      <w:r w:rsidR="005252E9">
        <w:rPr>
          <w:rFonts w:ascii="Times New Roman" w:hAnsi="Times New Roman" w:cs="Times New Roman"/>
          <w:sz w:val="24"/>
          <w:szCs w:val="24"/>
          <w:vertAlign w:val="subscript"/>
        </w:rPr>
        <w:t xml:space="preserve"> </w:t>
      </w:r>
      <w:r w:rsidR="00947807">
        <w:rPr>
          <w:rFonts w:ascii="Times New Roman" w:hAnsi="Times New Roman" w:cs="Times New Roman"/>
          <w:sz w:val="24"/>
          <w:szCs w:val="24"/>
        </w:rPr>
        <w:t>detoxification is notably among the leaky function group</w:t>
      </w:r>
      <w:r w:rsidR="00947807" w:rsidRPr="00947807">
        <w:rPr>
          <w:rFonts w:ascii="Times New Roman" w:hAnsi="Times New Roman" w:cs="Times New Roman"/>
          <w:sz w:val="24"/>
          <w:szCs w:val="24"/>
        </w:rPr>
        <w:t xml:space="preserve"> </w:t>
      </w:r>
      <w:r w:rsidR="00947807">
        <w:rPr>
          <w:rFonts w:ascii="Times New Roman" w:hAnsi="Times New Roman" w:cs="Times New Roman"/>
          <w:sz w:val="24"/>
          <w:szCs w:val="24"/>
        </w:rPr>
        <w:t xml:space="preserve">and has been experimentally shown to augment microbial interactions </w:t>
      </w:r>
      <w:r w:rsidR="00947807">
        <w:rPr>
          <w:rFonts w:ascii="Times New Roman" w:hAnsi="Times New Roman" w:cs="Times New Roman"/>
          <w:sz w:val="24"/>
          <w:szCs w:val="24"/>
        </w:rPr>
        <w:fldChar w:fldCharType="begin"/>
      </w:r>
      <w:r w:rsidR="00BE17BE">
        <w:rPr>
          <w:rFonts w:ascii="Times New Roman" w:hAnsi="Times New Roman" w:cs="Times New Roman"/>
          <w:sz w:val="24"/>
          <w:szCs w:val="24"/>
        </w:rPr>
        <w:instrText xml:space="preserve"> ADDIN ZOTERO_ITEM CSL_CITATION {"citationID":"TuaV7x9S","properties":{"formattedCitation":"(Omar et al. 2022; Morris 2015; Zinser 2018a; Kim et al. 2016; 2021; Purkan et al. 2010)","plainCitation":"(Omar et al. 2022; Morris 2015; Zinser 2018a; Kim et al. 2016; 2021; Purkan et al. 2010)","noteIndex":0},"citationItems":[{"id":2246,"uris":["http://zotero.org/users/6128296/items/CA9EXVYE"],"itemData":{"id":2246,"type":"article-journal","abstract":"Marine phytoplankton vary widely in size across taxa, and in cell suspension densities\nacross habitats and growth states. Cell suspension density and total biovolume determine the\nbulk influence of a phytoplankton community upon its environment. Cell suspension density also\ndetermines the intercellular spacings separating phytoplankton cells from each other, or from cooccurring\nbacterioplankton. Intercellular spacing then determines the mean diffusion paths for\nexchanges of solutes among co-occurring cells. Marine phytoplankton and bacterioplankton both\nproduce and scavenge reactive oxygen species (ROS), to maintain intracellular ROS homeostasis\nto support their cellular processes, while limiting damaging reactions. Among ROS, hydrogen\nperoxide (H2O2) has relatively low reactivity, long intracellular and extracellular lifetimes, and\nreadily crosses cell membranes. Our objective was to quantify how cells can influence other cells\nvia diffusional interactions, using H2O2 as a case study. To visualize and constrain potentials for\ncell-to-cell exchanges of H2O2, we simulated the decrease of [H2O2] outwards from representative\nphytoplankton taxa maintaining internal [H2O2] above representative seawater [H2O2]. [H2O2]\ngradients outwards from static cell surfaces were dominated by volumetric dilution, with only a\nnegligible influence from decay. The simulated [H2O2] fell to background [H2O2] within ~3.1  m\nfrom a Prochlorococcus cell surface, but extended outwards 90  m from a diatom cell surface. More\nrapid decays of other, less stable ROS, would lower these threshold distances. Bacterioplankton\nlowered simulated local [H2O2] below background only out to 1.2  m from the surface of a static\ncell, even though bacterioplankton collectively act to influence seawater ROS. These small diffusional\nspheres around cells mean that direct cell-to-cell exchange of H2O2 is unlikely in oligotrophic habits\nwith widely spaced, small cells; moderate in eutrophic habits with shorter cell-to-cell spacing; but\nextensive within phytoplankton colonies.","container-title":"Microorganisms 2022","DOI":"https://doi.org/10.3390/ microorganisms10040821","issue":"821","title":"Diffusional Interactions among Marine Phytoplankton and Bacterioplankton: Modelling H2O2 as a Case Study","volume":"10","author":[{"family":"Omar","given":""},{"family":"Prášil","given":"Ondrej"},{"family":"McCain","given":"Scott"},{"family":"Campbell","given":"Douglas"}],"issued":{"date-parts":[["2022",4,15]]}}},{"id":4042,"uris":["http://zotero.org/users/6128296/items/CSSF4USS"],"itemData":{"id":4042,"type":"article-journal","container-title":"Trends in Genetics","DOI":"10.1016/j.tig.2015.05.004","ISSN":"01689525","issue":"8","journalAbbreviation":"Trends in Genetics","language":"en","page":"475-482","source":"DOI.org (Crossref)","title":"Black Queen evolution: the role of leakiness in structuring microbial communities","title-short":"Black Queen evolution","volume":"31","author":[{"family":"Morris","given":""}],"issued":{"date-parts":[["2015",8]]}}},{"id":133,"uris":["http://zotero.org/users/6128296/items/RGJ6RK2K"],"itemData":{"id":133,"type":"article-journal","abstract":"Hydrogen peroxide (HOOH) is a reactive oxygen species, derived from molecular oxygen, that is capable of damaging microbial cells. Surprisingly, the HOOH defence systems of some aerobes in the oxygenated marine environments are critically depleted, relative to model aerobes. For instance, the gene encoding catalase is absent in the numerically dominant photosynthetic cyanobacterium, Prochlorococcus. Accordingly, Prochlorococcus is highly susceptible to HOOH when exposed as pure cultures. Pure cultures do not exist in the marine environment, however. Catalase-positive community members can remove HOOH from the seawater medium, thus lowering the threat to Prochlorococcus and any other member that likewise lacks their own catalase. This cross-protection may constitute a loosely defined symbiosis, whereby the catalase-positive helper cells may benefit through the acquisition of nutrients released by the beneficiaries such as Prochlorococcus. Other members of the community that may be helped by the catalase-positive cells may include some lineages of Synechococcus – the sister genus of Prochlorococcus – as well as some lineages of SAR11 and ammonia oxidizing archaea and bacteria. The co-occurrence of catalase-positive and -negative members suggests that cross-protection from HOOH-mediated oxidative stress may play an important role in the construction of the marine microbial community.","container-title":"Environmental Microbiology Reports","DOI":"10.1111/1758-2229.12625","ISSN":"17582229","issue":"4","journalAbbreviation":"Environmental Microbiology Reports","language":"en","page":"399-411","source":"DOI.org (Crossref)","title":"Cross-protection from hydrogen peroxide by helper microbes: the impacts on the cyanobacterium &lt;i&gt;Prochlorococcus&lt;/i&gt; and other beneficiaries in marine communities: HOOH and cross-protection","title-short":"Cross-protection from hydrogen peroxide by helper microbes","volume":"10","author":[{"family":"Zinser","given":""}],"issued":{"date-parts":[["2018",8]]}}},{"id":3314,"uris":["http://zotero.org/users/6128296/items/A5PP8TJJ"],"itemData":{"id":3314,"type":"article-journal","abstract":"Significance\n            \n              Ammonia-oxidizing archaea (AOA) are major players in global nitrogen cycling, but the AOA carbon-nutrition paradigm is poorly understood. Once considered strict autotrophs, AOA also have been reported to assimilate organic carbon. We used a marine AOA isolate to test hypotheses about the role of fixed carbon in AOA nutrition. Results were confirmed with tests with four additional marine and terrestrial AOA. We discovered that α-keto acids (pyruvate, oxaloacetate) were not directly incorporated into AOA cells. Instead, the α-keto acids functioned as chemical scavengers that detoxified intracellularly produced H\n              2\n              O\n              2\n              during ammonia oxidation. H\n              2\n              O\n              2\n              toxicity was also counteracted by co-inoculating the AOA with bacteria harboring catalases. Thus, H\n              2\n              O\n              2\n              toxicity in AOA may be an evolutionary force controlling AOA communities and global ammonia cycling.\n            \n          , \n            \n              Ammonia-oxidizing archaea (AOA), that is, members of the\n              Thaumarchaeota\n              phylum, occur ubiquitously in the environment and are of major significance for global nitrogen cycling. However, controls on cell growth and organic carbon assimilation by AOA are poorly understood. We isolated an ammonia-oxidizing archaeon (designated strain DDS1) from seawater and used this organism to study the physiology of ammonia oxidation. These findings were confirmed using four additional\n              Thaumarchaeota\n              strains from both marine and terrestrial habitats. Ammonia oxidation by strain DDS1 was enhanced in coculture with other bacteria, as well as in artificial seawater media supplemented with α-keto acids (e.g., pyruvate, oxaloacetate). α-Keto acid-enhanced activity of AOA has previously been interpreted as evidence of mixotrophy. However, assays for heterotrophic growth indicated that incorporation of pyruvate into archaeal membrane lipids was negligible. Lipid carbon atoms were, instead, derived from dissolved inorganic carbon, indicating strict autotrophic growth. α-Keto acids spontaneously detoxify H\n              2\n              O\n              2\n              via a nonenzymatic decarboxylation reaction, suggesting a role of α-keto acids as H\n              2\n              O\n              2\n              scavengers. Indeed, agents that also scavenge H\n              2\n              O\n              2\n              , such as dimethylthiourea and catalase, replaced the α-keto acid requirement, enhancing growth of strain DDS1. In fact, in the absence of α-keto acids, strain DDS1 and other AOA isolates were shown to endogenously produce H\n              2\n              O\n              2\n              (up to </w:instrText>
      </w:r>
      <w:r w:rsidR="00BE17BE">
        <w:rPr>
          <w:rFonts w:ascii="Cambria Math" w:hAnsi="Cambria Math" w:cs="Cambria Math"/>
          <w:sz w:val="24"/>
          <w:szCs w:val="24"/>
        </w:rPr>
        <w:instrText>∼</w:instrText>
      </w:r>
      <w:r w:rsidR="00BE17BE">
        <w:rPr>
          <w:rFonts w:ascii="Times New Roman" w:hAnsi="Times New Roman" w:cs="Times New Roman"/>
          <w:sz w:val="24"/>
          <w:szCs w:val="24"/>
        </w:rPr>
        <w:instrText xml:space="preserve">4.5 μM), which was inhibitory to growth. Genomic analyses indicated catalase genes are largely absent in the AOA. Our results indicate that AOA broadly feature strict autotrophic nutrition and implicate H\n              2\n              O\n              2\n              as an important factor determining the activity, evolution, and community ecology of AOA ecotypes.","container-title":"Proceedings of the National Academy of Sciences","DOI":"10.1073/pnas.1605501113","ISSN":"0027-8424, 1091-6490","issue":"28","journalAbbreviation":"Proc. Natl. Acad. Sci. U.S.A.","language":"en","page":"7888-7893","source":"DOI.org (Crossref)","title":"Hydrogen peroxide detoxification is a key mechanism for growth of ammonia-oxidizing archaea","volume":"113","author":[{"family":"Kim","given":""},{"family":"Park","given":"Soo-Je"},{"family":"Sinninghe Damsté","given":"Jaap S."},{"family":"Schouten","given":"Stefan"},{"family":"Rijpstra","given":"W. Irene C."},{"family":"Jung","given":"Man-Young"},{"family":"Kim","given":"So-Jeong"},{"family":"Gwak","given":"Joo-Han"},{"family":"Hong","given":"Heeji"},{"family":"Si","given":"Ok-Ja"},{"family":"Lee","given":"SangHoon"},{"family":"Madsen","given":"Eugene L."},{"family":"Rhee","given":"Sung-Keun"}],"issued":{"date-parts":[["2016",7,12]]}}},{"id":3316,"uris":["http://zotero.org/users/6128296/items/74ELT9AC"],"itemData":{"id":3316,"type":"article-journal","abstract":"Microcystis aeruginosa, an important cyanobloom-forming cyanobacterium, is sensitive to the high light intensity and consequent oxidative stress. Based on our genomic and transcriptomic analyses of H2O2-treated cells, many genes involved in photosynthesis, Calvin cycle, and microcystin synthesis were downregulated, whereas several toxin-antitoxin genes, DNA repair genes, and H2O2-defense systems such as peroxiredoxins and glutathione synthesis were upregulated. Axenic M. aeruginosa was then co-cultured with synthetic bacterial communities collected from 15 different freshwater samples with exhibiting different degrees of H2O2-production and catalase activities. Our analyses indicated that H2O2-resistant bacterial communities favored the growth and photosyn­ thetic activity of M. aeruginosa cells under either H2O2 treatment or high light conditions. Nanopore-based bacterial community analyses indicated that these growth-promoting effects were likely attributable to a high proportion of Alphaproteobacteria (e.g., Brevundimonas and Ochrobactrum species), which protected M. aeruginosa cells from H2O2 toxicity. Further, these bacterial communities exhibited higher catalase activity levels and faster O2 production rates upon H2O2 detoxification. Taken together, our findings newly suggest that the occurrence of catalase-less M. aeruginosa blooms is largely influenced by the surrounding microbiota during high light and organic-rich conditions.","container-title":"Water Research","DOI":"10.1016/j.watres.2021.117784","ISSN":"00431354","journalAbbreviation":"Water Research","language":"en","page":"117784","source":"DOI.org (Crossref)","title":"Linkage between bacterial community-mediated hydrogen peroxide detoxification and the growth of Microcystis aeruginosa","volume":"207","author":[{"family":"Kim","given":""},{"family":"Kim","given":"Wonjae"},{"family":"Lee","given":"Yunho"},{"family":"Park","given":"Woojun"}],"issued":{"date-parts":[["2021",12]]}}},{"id":2163,"uris":["http://zotero.org/users/6128296/items/96FVN3A4"],"itemData":{"id":2163,"type":"article-journal","abstract":"Isoniazid (INH) resistance in M. tuberculosis has been associated with predominantly mutation in katG encoding catalase/peroxidase and few mutations in inhA, ahpC, kasA genes. KatG is an enzyme in M. tuberculosis which enables generating isoniazid susceptibility and plays a central role in the development of isoniazid resistance. Some clinical isolates of M. tuberculosis from TB patients showed multi drug-resistant strains, but underlying resistance to isoniazid had not been characterized yet. This research wants to know the variant profile of katG gene in two clinical isolates of INH-resistant M. tuberculosis strains (L21 and R9). The katG gene (2.2 kb) of these isolates had been amplified by PCR technique, then were cloned in pGem®T and characterized by sequencing technique. Molecular characterization of the both katG genes showed the each katG having five variant nucleotides toward its wild type. The profile of variants in katG L21 and R 9 were T898C; G1388T; T1997C; C2035T; G2203(deletion); and G944C; A1205G; G1537(deletion); C1808T; T2142C respectively. Inactive catalase/peroxidase which will be produced by inframe translation of katG gene in the both clinical isolates is assumed as prime causative of resistance appearance to isoniazid in these clinical isolates.","container-title":"Proceedings of the Third International Conference on Mathematics and Natural Sciences","language":"en","page":"9","source":"Zotero","title":"Mutation of katG Gene In Mycobacterium tuberculosis That Promoting inactive of Catalase/Peroxidase Leads to Isoniazid Resistance","author":[{"family":"Purkan","given":""},{"family":"Ihsanawati","given":""},{"family":"Retnoningrum","given":""},{"family":"Natalia","given":""},{"family":"Noer","given":""}],"issued":{"date-parts":[["2010"]]}}}],"schema":"https://github.com/citation-style-language/schema/raw/master/csl-citation.json"} </w:instrText>
      </w:r>
      <w:r w:rsidR="00947807">
        <w:rPr>
          <w:rFonts w:ascii="Times New Roman" w:hAnsi="Times New Roman" w:cs="Times New Roman"/>
          <w:sz w:val="24"/>
          <w:szCs w:val="24"/>
        </w:rPr>
        <w:fldChar w:fldCharType="separate"/>
      </w:r>
      <w:r w:rsidR="00BE17BE">
        <w:rPr>
          <w:rFonts w:ascii="Times New Roman" w:hAnsi="Times New Roman" w:cs="Times New Roman"/>
          <w:noProof/>
          <w:sz w:val="24"/>
          <w:szCs w:val="24"/>
        </w:rPr>
        <w:t xml:space="preserve">(Omar </w:t>
      </w:r>
      <w:r w:rsidR="00183222" w:rsidRPr="00183222">
        <w:rPr>
          <w:rFonts w:ascii="Times New Roman" w:hAnsi="Times New Roman" w:cs="Times New Roman"/>
          <w:i/>
          <w:iCs/>
          <w:sz w:val="24"/>
          <w:szCs w:val="24"/>
        </w:rPr>
        <w:t>et al</w:t>
      </w:r>
      <w:r w:rsidR="00BE17BE">
        <w:rPr>
          <w:rFonts w:ascii="Times New Roman" w:hAnsi="Times New Roman" w:cs="Times New Roman"/>
          <w:noProof/>
          <w:sz w:val="24"/>
          <w:szCs w:val="24"/>
        </w:rPr>
        <w:t xml:space="preserve">. 2022; Morris 2015; Zinser 2018a; Kim </w:t>
      </w:r>
      <w:r w:rsidR="00183222" w:rsidRPr="00183222">
        <w:rPr>
          <w:rFonts w:ascii="Times New Roman" w:hAnsi="Times New Roman" w:cs="Times New Roman"/>
          <w:i/>
          <w:iCs/>
          <w:sz w:val="24"/>
          <w:szCs w:val="24"/>
        </w:rPr>
        <w:t>et al</w:t>
      </w:r>
      <w:r w:rsidR="00BE17BE">
        <w:rPr>
          <w:rFonts w:ascii="Times New Roman" w:hAnsi="Times New Roman" w:cs="Times New Roman"/>
          <w:noProof/>
          <w:sz w:val="24"/>
          <w:szCs w:val="24"/>
        </w:rPr>
        <w:t xml:space="preserve">. 2016; 2021; Purkan </w:t>
      </w:r>
      <w:r w:rsidR="00183222" w:rsidRPr="00183222">
        <w:rPr>
          <w:rFonts w:ascii="Times New Roman" w:hAnsi="Times New Roman" w:cs="Times New Roman"/>
          <w:i/>
          <w:iCs/>
          <w:sz w:val="24"/>
          <w:szCs w:val="24"/>
        </w:rPr>
        <w:t>et al</w:t>
      </w:r>
      <w:r w:rsidR="00BE17BE">
        <w:rPr>
          <w:rFonts w:ascii="Times New Roman" w:hAnsi="Times New Roman" w:cs="Times New Roman"/>
          <w:noProof/>
          <w:sz w:val="24"/>
          <w:szCs w:val="24"/>
        </w:rPr>
        <w:t>. 2010)</w:t>
      </w:r>
      <w:r w:rsidR="00947807">
        <w:rPr>
          <w:rFonts w:ascii="Times New Roman" w:hAnsi="Times New Roman" w:cs="Times New Roman"/>
          <w:sz w:val="24"/>
          <w:szCs w:val="24"/>
        </w:rPr>
        <w:fldChar w:fldCharType="end"/>
      </w:r>
      <w:r w:rsidR="00947807">
        <w:rPr>
          <w:rFonts w:ascii="Times New Roman" w:hAnsi="Times New Roman" w:cs="Times New Roman"/>
          <w:sz w:val="24"/>
          <w:szCs w:val="24"/>
        </w:rPr>
        <w:t>.</w:t>
      </w:r>
      <w:r w:rsidR="00191E9F">
        <w:rPr>
          <w:rFonts w:ascii="Times New Roman" w:hAnsi="Times New Roman" w:cs="Times New Roman"/>
          <w:sz w:val="24"/>
          <w:szCs w:val="24"/>
        </w:rPr>
        <w:t xml:space="preserve"> </w:t>
      </w:r>
      <w:r w:rsidRPr="003609FB">
        <w:rPr>
          <w:rFonts w:ascii="Times New Roman" w:hAnsi="Times New Roman" w:cs="Times New Roman"/>
          <w:sz w:val="24"/>
          <w:szCs w:val="24"/>
        </w:rPr>
        <w:t>In this Chapter, we</w:t>
      </w:r>
      <w:r w:rsidR="00BE17BE">
        <w:rPr>
          <w:rFonts w:ascii="Times New Roman" w:hAnsi="Times New Roman" w:cs="Times New Roman"/>
          <w:sz w:val="24"/>
          <w:szCs w:val="24"/>
        </w:rPr>
        <w:t xml:space="preserve"> add to this</w:t>
      </w:r>
      <w:r w:rsidRPr="003609FB">
        <w:rPr>
          <w:rFonts w:ascii="Times New Roman" w:hAnsi="Times New Roman" w:cs="Times New Roman"/>
          <w:sz w:val="24"/>
          <w:szCs w:val="24"/>
        </w:rPr>
        <w:t xml:space="preserve"> </w:t>
      </w:r>
      <w:r w:rsidR="00191E9F" w:rsidRPr="003609FB">
        <w:rPr>
          <w:rFonts w:ascii="Times New Roman" w:hAnsi="Times New Roman" w:cs="Times New Roman"/>
          <w:sz w:val="24"/>
          <w:szCs w:val="24"/>
        </w:rPr>
        <w:t>study</w:t>
      </w:r>
      <w:r w:rsidR="00BE17BE">
        <w:rPr>
          <w:rFonts w:ascii="Times New Roman" w:hAnsi="Times New Roman" w:cs="Times New Roman"/>
          <w:sz w:val="24"/>
          <w:szCs w:val="24"/>
        </w:rPr>
        <w:t xml:space="preserve"> through a computational analysis of</w:t>
      </w:r>
      <w:r w:rsidRPr="003609FB">
        <w:rPr>
          <w:rFonts w:ascii="Times New Roman" w:hAnsi="Times New Roman" w:cs="Times New Roman"/>
          <w:sz w:val="24"/>
          <w:szCs w:val="24"/>
        </w:rPr>
        <w:t xml:space="preserve"> how the leakiness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w:t>
      </w:r>
      <w:r w:rsidR="00BE17BE">
        <w:rPr>
          <w:rFonts w:ascii="Times New Roman" w:hAnsi="Times New Roman" w:cs="Times New Roman"/>
          <w:sz w:val="24"/>
          <w:szCs w:val="24"/>
        </w:rPr>
        <w:t xml:space="preserve"> and</w:t>
      </w:r>
      <w:r w:rsidRPr="003609FB">
        <w:rPr>
          <w:rFonts w:ascii="Times New Roman" w:hAnsi="Times New Roman" w:cs="Times New Roman"/>
          <w:sz w:val="24"/>
          <w:szCs w:val="24"/>
        </w:rPr>
        <w:t xml:space="preserve"> impacts microbial community structure using previously </w:t>
      </w:r>
      <w:r w:rsidR="00094B39">
        <w:rPr>
          <w:rFonts w:ascii="Times New Roman" w:hAnsi="Times New Roman" w:cs="Times New Roman"/>
          <w:sz w:val="24"/>
          <w:szCs w:val="24"/>
        </w:rPr>
        <w:t xml:space="preserve">(Chapter 2) </w:t>
      </w:r>
      <w:r w:rsidRPr="003609FB">
        <w:rPr>
          <w:rFonts w:ascii="Times New Roman" w:hAnsi="Times New Roman" w:cs="Times New Roman"/>
          <w:sz w:val="24"/>
          <w:szCs w:val="24"/>
        </w:rPr>
        <w:t xml:space="preserve">recovered </w:t>
      </w:r>
      <w:r w:rsidR="00BE17BE" w:rsidRPr="00BE17BE">
        <w:rPr>
          <w:rFonts w:ascii="Times" w:hAnsi="Times" w:cs="Times New Roman"/>
          <w:i/>
          <w:iCs/>
          <w:color w:val="000000" w:themeColor="text1"/>
          <w:sz w:val="24"/>
          <w:szCs w:val="24"/>
        </w:rPr>
        <w:t>Prochlorococcu</w:t>
      </w:r>
      <w:r w:rsidR="00BE17BE">
        <w:rPr>
          <w:rFonts w:ascii="Times" w:hAnsi="Times" w:cs="Times New Roman"/>
          <w:i/>
          <w:iCs/>
          <w:color w:val="000000" w:themeColor="text1"/>
          <w:sz w:val="24"/>
          <w:szCs w:val="24"/>
        </w:rPr>
        <w:t>s</w:t>
      </w:r>
      <w:r w:rsidR="00BE17BE">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00BE17BE">
        <w:rPr>
          <w:rFonts w:ascii="Times New Roman" w:hAnsi="Times New Roman" w:cs="Times New Roman"/>
          <w:i/>
          <w:iCs/>
          <w:sz w:val="24"/>
          <w:szCs w:val="24"/>
        </w:rPr>
        <w:t xml:space="preserve">, </w:t>
      </w:r>
      <w:r w:rsidR="00BE17BE" w:rsidRPr="00BE17BE">
        <w:rPr>
          <w:rFonts w:ascii="Times New Roman" w:hAnsi="Times New Roman" w:cs="Times New Roman"/>
          <w:sz w:val="24"/>
          <w:szCs w:val="24"/>
        </w:rPr>
        <w:t>and heterotrophic bacteria</w:t>
      </w:r>
      <w:r w:rsidR="00BE17BE">
        <w:rPr>
          <w:rFonts w:ascii="Times New Roman" w:hAnsi="Times New Roman" w:cs="Times New Roman"/>
          <w:i/>
          <w:iCs/>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BE17BE">
        <w:rPr>
          <w:rFonts w:ascii="Times New Roman" w:hAnsi="Times New Roman" w:cs="Times New Roman"/>
          <w:sz w:val="24"/>
          <w:szCs w:val="24"/>
        </w:rPr>
        <w:t xml:space="preserve">parameter </w:t>
      </w:r>
      <w:r w:rsidRPr="003609FB">
        <w:rPr>
          <w:rFonts w:ascii="Times New Roman" w:hAnsi="Times New Roman" w:cs="Times New Roman"/>
          <w:sz w:val="24"/>
          <w:szCs w:val="24"/>
        </w:rPr>
        <w:t xml:space="preserve">values.  </w:t>
      </w:r>
    </w:p>
    <w:p w14:paraId="4C3D5C1F" w14:textId="38741820" w:rsidR="00A02D97" w:rsidRPr="003609FB" w:rsidRDefault="00A02D97"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While both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grow in the oligotrophic gyres, they differ markedly in predicted biogeography </w:t>
      </w:r>
      <w:r w:rsidR="0091670F"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{"citationID":"q1fDYD7W","properties":{"formattedCitation":"(Flombaum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91670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Flombaum</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2013)</w:t>
      </w:r>
      <w:r w:rsidR="0091670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They differ both in temperature optima as well as depth profiles due to nutrient availability </w:t>
      </w:r>
      <w:r w:rsidR="0091670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{"citationID":"C0p97qq4","properties":{"formattedCitation":"(Partensky, Blanchot, and Vaulot 1999)","plainCitation":"(Partensky, Blanchot, and Vaulot 1999)","noteIndex":0},"citationItems":[{"id":4251,"uris":["http://zotero.org/users/6128296/items/KSAT33BJ"],"itemData":{"id":4251,"type":"article-journal","container-title":"Bulletin-Institut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review.\"","author":[{"family":"Partensky","given":""},{"family":"Blanchot","given":"Jean"},{"family":"Vaulot","given":"D"}],"issued":{"date-parts":[["1999"]]}}}],"schema":"https://github.com/citation-style-language/schema/raw/master/csl-citation.json"} </w:instrText>
      </w:r>
      <w:r w:rsidR="0091670F"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w:t>
      </w:r>
      <w:r w:rsidR="0091670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Both genera are composed of large pangenomes </w:t>
      </w:r>
      <w:r w:rsidR="0091670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{"citationID":"bGRrc2Na","properties":{"formattedCitation":"(Delmont and Eren 2018; Ahlgren and Rocap 2012; Sohm et al. 2016; Babi\\uc0\\u263{} et al. 2017)","plainCitation":"(Delmont and Eren 2018; Ahlgren and Rocap 2012; Sohm et al. 2016; Babić et al. 2017)","noteIndex":0},"citationItems":[{"id":1778,"uris":["http://zotero.org/users/6128296/items/DKAEGIVJ"],"itemData":{"id":1778,"type":"article-journal","abstract":"Pangenomes offer detailed characterizations of core and accessory genes found in a set of closely related microbial genomes, generally by clustering genes based on sequence homology. In comparison, metagenomes facilitate highly resolved investigations of the relative distribution of microbial genomes and individual genes across environments through read recruitment analyses. Combining these complementary approaches can yield unique insights into the functional basis of microbial niche partitioning and fitness, however, advanced software solutions are lacking. Here we present an integrated analysis and visualization strategy that provides an interactive and reproducible framework to generate pangenomes and to study them in conjunction with metagenomes. To investigate its utility, we applied this strategy to a Prochlorococcus pangenome in the context of a large-scale marine metagenomic survey. The resulting Prochlorococcus metapangenome revealed remarkable differential abundance patterns between very closely related isolates that belonged to the same phylogenetic cluster and that differed by only a small number of gene clusters in the pangenome. While the relationships between these genomes based on gene clusters correlated with their environmental distribution patterns, phylogenetic analyses using marker genes or concatenated single-copy core genes did not recapitulate these patterns. The metapangenome also revealed a small set of core genes that mostly occurred in hypervariable genomic islands of the Prochlorococcus populations, which systematically lacked read recruitment from surface ocean metagenomes. Notably, these core gene clusters were all linked to sugar metabolism, suggesting potential benefits to Prochlorococcus from a high sequence diversity of sugar metabolism genes. The rapidly growing number of microbial genomes and increasing availability of environmental metagenomes provide new opportunities to investigate the functioning and the ecology of microbial populations, and metapangenomes can provide unique insights for any taxon and biome for which genomic and sufficiently deep metagenomic data are available.","container-title":"PeerJ","DOI":"10.7717/peerj.4320","ISSN":"2167-8359","language":"en","page":"e4320","source":"DOI.org (Crossref)","title":"Linking pangenomes and metagenomes: the &lt;i&gt;Prochlorococcus&lt;/i&gt; metapangenome","title-short":"Linking pangenomes and metagenomes","volume":"6","author":[{"family":"Delmont","given":""},{"family":"Eren","given":"A. Murat"}],"issued":{"date-parts":[["2018",1,25]]}}},{"id":4142,"uris":["http://zotero.org/users/6128296/items/2L53NAY6"],"itemData":{"id":4142,"type":"article-journal","abstract":"Marine Synechococcus is a globally signiﬁcant genus of cyanobacteria that is comprised of multiple genetic lineages or clades. These clades are thought to represent ecologically distinct units, or ecotypes. Because multiple clades often co-occur together in the oceans, Synechococcus are ideal microbes to explore how closely related bacterial taxa within the same functional guild of organisms co-exist and partition marine habitats. Here we sequenced multiple gene loci from cultured strains to conﬁrm the congruency of clade classiﬁcations between the 16S–23S rDNA internally transcribed spacer (ITS), 16S rDNA, narB, ntcA, and rpoC1 loci commonly used in Synechococcus diversity studies. We designed quantitative PCR (qPCR) assays that target the ITS for 10 Synechococcus clades, including four clades, XV, XVI, CRD1, and CRD2, not covered by previous assays employing other loci. Our new qPCR assays are very sensitive and speciﬁc, detecting down to tens of cells per ml. Application of these qPCR assays to ﬁeld samples from the northwest Atlantic showed clear shifts in Synechococcus community composition across a coastal to open-ocean transect. Consistent with previous studies, clades I and IV dominated cold, coastal Synechococcus communities. Clades II and X were abundant at the two warmer, off-shore stations, and at all stations multiple Synechococcus clades co-occurred. qPCR assays developed here provide valuable tools to further explore the dynamics of microbial community structure and the mechanisms of co-existence.","container-title":"Frontiers in Microbiology","DOI":"10.3389/fmicb.2012.00213","ISSN":"1664-302X","journalAbbreviation":"Front. Microbio.","language":"en","source":"DOI.org (Crossref)","title":"Diversity and Distribution of Marine Synechococcus: Multiple Gene Phylogenies for Consensus Classification and Development of qPCR Assays for Sensitive Measurement of Clades in the Ocean","title-short":"Diversity and Distribution of Marine Synechococcus","URL":"http://journal.frontiersin.org/article/10.3389/fmicb.2012.00213/abstract","volume":"3","author":[{"family":"Ahlgren","given":""},{"family":"Rocap","given":"Gabrielle"}],"accessed":{"date-parts":[["2024",2,2]]},"issued":{"date-parts":[["2012"]]}}},{"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A"},{"family":"Rocap","given":"Gabrielle"}],"issued":{"date-parts":[["2016",2]]}}},{"id":3049,"uris":["http://zotero.org/users/6128296/items/NZC36C4B"],"itemData":{"id":3049,"type":"article-journal","abstract":"Adriatic, the northernmost part of the Mediterranean Sea, due its oligotrophy, topography, and hydrology dynamics, and complex circulation patterns, was suggested as an important study site for rapid climatology impacts. Its southern part is mainly oligotrophic and dominated by picophytoplankton, with cyanobacteria as main representatives. Diversity and distribution patterns of different Prochlorococcus ecotypes were investigated by molecular tools and ﬂow cytometry during the winter convection event in the southern Adriatic (BIOTA winter cruise; February/March 2015). Phylogenetic diversity based on clone libraries of the 16S–23S ribosomal DNA ITS region, as well as ﬂow cytometry (histograms of red ﬂuorescence), indicated presence of 2 different Prochlorococcus in the Adriatic. HLI, as a typical clade for Mediterranean Sea, was likewise found to be dominant Prochlorococcus in the Adriatic, followed by less abundant LLI clade. In addition, Prochlorococcus were found to cooccur with diverse Synechococcus population (53% and 47% of obtained ITS sequences, respectively). Different Prochlorococcus ecotypes had similar patterns of vertical distribution, predominantly occupying upper 100 m depth layer, but their distribution was clearly affected by the heterogeneity of hydrological conditions, nitrogen concentration and temperature along vertical and horizontal sampling points. Different studies pointed out that, as a consequence of climate changes, serious alteration of biological and ecological patterns are already taking place Therefore, understanding of the distribution and abundance of picophytoplankton in Adriatic, being still limited, is much needed baseline for predicting possible biogeochemical impact of future environmental changes. © 2017 Elsevier B.V. All rights reserved.","container-title":"Marine Genomics","DOI":"10.1016/j.margen.2017.05.014","ISSN":"18747787","journalAbbreviation":"Marine Genomics","language":"en","page":"3-11","source":"DOI.org (Crossref)","title":"Distribution and diversity of marine picocyanobacteria community: Targeting of Prochlorococcus ecotypes in winter conditions (southern Adriatic Sea)","title-short":"Distribution and diversity of marine picocyanobacteria community","volume":"36","author":[{"family":"Babić","given":""},{"family":"Petrić","given":"Ines"},{"family":"Bosak","given":"Sunčica"},{"family":"Mihanović","given":"Hrvoje"},{"family":"Dupčić Radić","given":"Iris"},{"family":"Ljubešić","given":"Zrinka"}],"issued":{"date-parts":[["2017",12]]}}}],"schema":"https://github.com/citation-style-language/schema/raw/master/csl-citation.json"} </w:instrText>
      </w:r>
      <w:r w:rsidR="0091670F"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(Delmont and Eren 2018; Ahlgren and Rocap 2012; Sohm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2016; Babić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2017)</w:t>
      </w:r>
      <w:r w:rsidR="0091670F" w:rsidRPr="003609FB">
        <w:rPr>
          <w:rFonts w:ascii="Times New Roman" w:hAnsi="Times New Roman" w:cs="Times New Roman"/>
          <w:sz w:val="24"/>
          <w:szCs w:val="24"/>
        </w:rPr>
        <w:fldChar w:fldCharType="end"/>
      </w:r>
      <w:r w:rsidR="0091670F"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that are divided into coexistent ecotypes </w:t>
      </w:r>
      <w:r w:rsidR="0091670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{"citationID":"atX2TRtR","properties":{"formattedCitation":"(Garczarek et al. 2007; Sohm et al. 2016)","plainCitation":"(Garczarek et al. 2007; Sohm et al. 2016)","noteIndex":0},"citationItems":[{"id":3224,"uris":["http://zotero.org/users/6128296/items/QGVHX36E"],"itemData":{"id":3224,"type":"article-journal","abstract":"Natural populations of the marine cyanobacterium Prochlorococcus exist as two main ecotypes, inhabiting different layers of the ocean’s photic zone. These socalled high light- (HL-) and low light (LL-) adapted ecotypes are both physiologically and genetically distinct. HL strains can be separated into two major clades (HLI and HLII), whereas LL strains are more diverse. Here, we used several molecular techniques to study the genetic diversity of natural Prochlorococcus populations during the Prosope cruise in the Mediterranean Sea in the summer of 1999. Using a dot blot hybridization technique, we found that HLI was the dominant HL group and was conﬁned to the upper mixed layer. In contrast, LL ecotypes were only found below the thermocline. Secondly, a restriction fragment length polymorphism analysis of PCR-ampliﬁed pcb genes (encoding the major light-harvesting proteins of Prochlorococcus) suggested that there were at least four genetically different ecotypes, occupying distinct but overlapping light niches in the photic zone. At comparable depths, similar banding patterns were observed throughout the sampled area, suggesting a horizontal homogenization of ecotypes. Nevertheless, environmental pcb gene sequences retrieved from different depths at two stations proved all different at the nucleotide level, suggesting a large genetic microdiversity within those ecotypes.","container-title":"FEMS Microbiology Ecology","DOI":"10.1111/j.1574-6941.2007.00297.x","ISSN":"01686496, 15746941","issue":"2","language":"en","page":"189-206","source":"DOI.org (Crossref)","title":"High vertical and low horizontal diversity of Prochlorococcus ecotypes in the Mediterranean Sea in summer: Diversity of Prochlorococcus in the Mediterranean Sea","title-short":"High vertical and low horizontal diversity of Prochlorococcus ecotypes in the Mediterranean Sea in summer","volume":"60","author":[{"family":"Garczarek","given":""},{"family":"Dufresne","given":"Alexis"},{"family":"Rousvoal","given":"Sylvie"},{"family":"West","given":"Nyree J."},{"family":"Mazard","given":"Sophie"},{"family":"Marie","given":"Dominique"},{"family":"Claustre","given":"HervÃ©"},{"family":"Raimbault","given":"Patrick"},{"family":"Post","given":"Anton F."},{"family":"Scanlan","given":"David J."},{"family":"Partensky","given":"FrÃ©dÃ©ric"}],"issued":{"date-parts":[["2007",5]]}}},{"id":227,"uris":["http://zotero.org/users/6128296/items/NGMVWDDF"],"itemData":{"id":227,"type":"article-journal","container-title":"The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A"},{"family":"Rocap","given":"Gabrielle"}],"issued":{"date-parts":[["2016",2]]}}}],"schema":"https://github.com/citation-style-language/schema/raw/master/csl-citation.json"} </w:instrText>
      </w:r>
      <w:r w:rsidR="0091670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Garczarek</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2007; Sohm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2016)</w:t>
      </w:r>
      <w:r w:rsidR="0091670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with these microbial sisters grouped into traits regarding </w:t>
      </w:r>
      <w:r w:rsidR="00075BDE">
        <w:rPr>
          <w:rFonts w:ascii="Times New Roman" w:hAnsi="Times New Roman" w:cs="Times New Roman"/>
          <w:sz w:val="24"/>
          <w:szCs w:val="24"/>
        </w:rPr>
        <w:t>ammonium (</w:t>
      </w:r>
      <w:r w:rsidRPr="003609FB">
        <w:rPr>
          <w:rFonts w:ascii="Times New Roman" w:hAnsi="Times New Roman" w:cs="Times New Roman"/>
          <w:sz w:val="24"/>
          <w:szCs w:val="24"/>
        </w:rPr>
        <w:t>N</w:t>
      </w:r>
      <w:r w:rsidR="00075BDE">
        <w:rPr>
          <w:rFonts w:ascii="Times New Roman" w:hAnsi="Times New Roman" w:cs="Times New Roman"/>
          <w:sz w:val="24"/>
          <w:szCs w:val="24"/>
        </w:rPr>
        <w:t xml:space="preserve">) </w:t>
      </w:r>
      <w:r w:rsidRPr="003609FB">
        <w:rPr>
          <w:rFonts w:ascii="Times New Roman" w:hAnsi="Times New Roman" w:cs="Times New Roman"/>
          <w:sz w:val="24"/>
          <w:szCs w:val="24"/>
        </w:rPr>
        <w:t xml:space="preserve">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075BDE">
        <w:rPr>
          <w:rFonts w:ascii="Times New Roman" w:hAnsi="Times New Roman" w:cs="Times New Roman"/>
          <w:sz w:val="24"/>
          <w:szCs w:val="24"/>
          <w:vertAlign w:val="subscript"/>
        </w:rPr>
        <w:t xml:space="preserve"> </w:t>
      </w:r>
      <w:r w:rsidR="00075BDE">
        <w:rPr>
          <w:rFonts w:ascii="Times New Roman" w:hAnsi="Times New Roman" w:cs="Times New Roman"/>
          <w:sz w:val="24"/>
          <w:szCs w:val="24"/>
        </w:rPr>
        <w:t>(H)</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generally can access more different nitrogen species than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r w:rsidR="00B77E43"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{"citationID":"6iv2AlTx","properties":{"formattedCitation":"(Moore et al. 2002)","plainCitation":"(Moore et al. 2002)","noteIndex":0},"citationItems":[{"id":111,"uris":["http://zotero.org/users/6128296/items/NFYCB9MW"],"itemData":{"id":111,"type":"article-journal","abstract":"Prochlorococcus is the most abundant phytoplankter throughout the photic zone in stratiﬁed marine waters and experiences distinct gradients of light and nitrogen nutrition. Physiologically and genetically distinct Prochlorococcus ecotypes partition the water column: high-B/A (low-light adapted) ecotypes are generally restricted to the deep euphotic zone near or at the nitracline. Low-B/A (high-light adapted) ecotypes predominate in, but are not limited to, NOϪ3 -depleted surface waters, where they outnumber coexisting Synechococcus populations. The niche partitioning by different Prochlorococcus ecotypes begs the question of whether they also differ in their nitrogen (N) utilization physiology, especially with respect to NO3Ϫ utilization. To explore this possibility, we studied the capabilities of different Prochlorococcus and Synechococcus strains to grow on a variety of N sources. We found that all the isolates grew well on NHϩ4 and all were capable of urea utilization, occasionally at a lower growth rate. None of the Prochlorococcus isolates were able to grow with NOϪ3 . Four high-B/A Prochlorococcus isolates grew on NO2Ϫ, but all others did not. Whole genome analysis of the low-B/A Prochlorococcus MED4 revealed that the genes required for NOϪ3 uptake and reduction were absent. The genome of the high-B/A Prochlorococcus MIT 9313 also lacked the NO3Ϫ utilization genes but has homologs of genes required for NO2Ϫ utilization consistent with its physiology and ecology. Thus, the utilization of different N sources in the marine environment is partitioned among closely related ecotypes, each with adaptations optimized for the environment where these sources are available.","container-title":"Limnology and Oceanography","DOI":"10.4319/lo.2002.47.4.0989","ISSN":"00243590","issue":"4","journalAbbreviation":"Limnol. Oceanogr.","language":"en","page":"989-996","source":"DOI.org (Crossref)","title":"Utilization of different nitrogen sources by the marine cyanobacteria &lt;i&gt;Prochlorococcus&lt;/i&gt; and &lt;i&gt;Synechococcus&lt;/i&gt;","volume":"47","author":[{"family":"Moore","given":""},{"family":"Post","given":"Anton F."},{"family":"Rocap","given":"Gabrielle"},{"family":"Chisholm","given":"Sallie W."}],"issued":{"date-parts":[["2002",7]]}}}],"schema":"https://github.com/citation-style-language/schema/raw/master/csl-citation.json"} </w:instrText>
      </w:r>
      <w:r w:rsidR="00B77E4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(Moore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2002)</w:t>
      </w:r>
      <w:r w:rsidR="00B77E4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yet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 streamlined size is accredited with its superior nutrient affinity for ammonium </w:t>
      </w:r>
      <w:r w:rsidR="00B77E43"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{"citationID":"BaOtbd5s","properties":{"formattedCitation":"(Bentkowski, Van Oosterhout, and Mock 2015; Garcia-Fernandez, de Marsac, and Diez 2004)","plainCitation":"(Bentkowski, Van Oosterhout, and Mock 2015; Garcia-Fernandez, de Marsac, and Diez 2004)","noteIndex":0},"citationItems":[{"id":1153,"uris":["http://zotero.org/users/6128296/items/KZTBXNWE"],"itemData":{"id":1153,"type":"article-journal","abstract":"Temporal variability in ecosystems signiﬁcantly impacts species diversity and ecosystem productivity and therefore the evolution of organisms. Different levels of environmental perturbations such as seasonal ﬂuctuations, natural disasters, and global change have different impacts on organisms and therefore their ability to acclimatize and adapt. Thus, to understand how organisms evolve under different perturbations is a key for predicting how environmental change will impact species diversity and ecosystem productivity. Here, we developed a computer simulation utilizing the individual-based model approach to investigate genome size evolution of a haploid, clonal and free-living prokaryotic population across different levels of environmental perturbations. Our results show that a greater variability of the environment resulted in genomes with a larger number of genes. Environmental perturbations were more effectively buffered by populations of individuals with relatively large genomes. Unpredictable changes of the environment led to a series of population bottlenecks followed by adaptive radiations. Our model shows that the evolution of genome size is indirectly driven by the temporal variability of the environment. This complements the effects of natural selection directly acting on genome optimization. Furthermore, species that have evolved in relatively stable environments may face the greatest risk of extinction under global change as genome streamlining genetically constrains their ability to acclimatize to the new environmental conditions, unless mechanisms of genetic diversiﬁcation such as horizontal gene transfer will enrich their gene pool and therefore their potential to adapt.","container-title":"Genome Biology and Evolution","DOI":"10.1093/gbe/evv148","ISSN":"1759-6653","issue":"8","journalAbbreviation":"Genome Biol Evol","language":"en","page":"2344-2351","source":"DOI.org (Crossref)","title":"A Model of Genome Size Evolution for Prokaryotes in Stable and Fluctuating Environments","volume":"7","author":[{"family":"Bentkowski","given":""},{"family":"Van Oosterhout","given":"Cock"},{"family":"Mock","given":"Thomas"}],"issued":{"date-parts":[["2015",8]]}}},{"id":92,"uris":["http://zotero.org/users/6128296/items/NBRTUMCT"],"itemData":{"id":92,"type":"article-journal","container-title":"Microbiology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T.","non-dropping-particle":"de"},{"family":"Diez","given":"J."}],"issued":{"date-parts":[["2004",12,1]]}}}],"schema":"https://github.com/citation-style-language/schema/raw/master/csl-citation.json"} </w:instrText>
      </w:r>
      <w:r w:rsidR="00B77E4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(Bentkowski, Van Oosterhout, and Mock 2015; Garcia-Fernandez, de Marsac, and Diez 2004)</w:t>
      </w:r>
      <w:r w:rsidR="00B77E43" w:rsidRPr="003609FB">
        <w:rPr>
          <w:rFonts w:ascii="Times New Roman" w:hAnsi="Times New Roman" w:cs="Times New Roman"/>
          <w:sz w:val="24"/>
          <w:szCs w:val="24"/>
        </w:rPr>
        <w:fldChar w:fldCharType="end"/>
      </w:r>
      <w:r w:rsidR="00B77E43"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The genetic differentiation of utilization capabilities in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have been well documented, however </w:t>
      </w:r>
      <w:r w:rsidR="00191E9F">
        <w:rPr>
          <w:rFonts w:ascii="Times New Roman" w:hAnsi="Times New Roman" w:cs="Times New Roman"/>
          <w:sz w:val="24"/>
          <w:szCs w:val="24"/>
        </w:rPr>
        <w:t xml:space="preserve">it was recently, 2023 with </w:t>
      </w:r>
      <w:r w:rsidRPr="003609FB">
        <w:rPr>
          <w:rFonts w:ascii="Times New Roman" w:hAnsi="Times New Roman" w:cs="Times New Roman"/>
          <w:sz w:val="24"/>
          <w:szCs w:val="24"/>
        </w:rPr>
        <w:t xml:space="preserve">Masuda </w:t>
      </w:r>
      <w:r w:rsidR="00183222" w:rsidRPr="00183222">
        <w:rPr>
          <w:rFonts w:ascii="Times New Roman" w:hAnsi="Times New Roman" w:cs="Times New Roman"/>
          <w:i/>
          <w:iCs/>
          <w:sz w:val="24"/>
          <w:szCs w:val="24"/>
        </w:rPr>
        <w:t>et al</w:t>
      </w:r>
      <w:r w:rsidRPr="00801344">
        <w:rPr>
          <w:rFonts w:ascii="Times New Roman" w:hAnsi="Times New Roman" w:cs="Times New Roman"/>
          <w:i/>
          <w:iCs/>
          <w:sz w:val="24"/>
          <w:szCs w:val="24"/>
        </w:rPr>
        <w:t xml:space="preserve"> </w:t>
      </w:r>
      <w:r w:rsidR="00191E9F">
        <w:rPr>
          <w:rFonts w:ascii="Times New Roman" w:hAnsi="Times New Roman" w:cs="Times New Roman"/>
          <w:sz w:val="24"/>
          <w:szCs w:val="24"/>
        </w:rPr>
        <w:t>, that it was</w:t>
      </w:r>
      <w:r w:rsidRPr="003609FB">
        <w:rPr>
          <w:rFonts w:ascii="Times New Roman" w:hAnsi="Times New Roman" w:cs="Times New Roman"/>
          <w:sz w:val="24"/>
          <w:szCs w:val="24"/>
        </w:rPr>
        <w:t xml:space="preserve"> quantitively </w:t>
      </w:r>
      <w:r w:rsidR="00191E9F" w:rsidRPr="003609FB">
        <w:rPr>
          <w:rFonts w:ascii="Times New Roman" w:hAnsi="Times New Roman" w:cs="Times New Roman"/>
          <w:sz w:val="24"/>
          <w:szCs w:val="24"/>
        </w:rPr>
        <w:t>c</w:t>
      </w:r>
      <w:r w:rsidR="00191E9F">
        <w:rPr>
          <w:rFonts w:ascii="Times New Roman" w:hAnsi="Times New Roman" w:cs="Times New Roman"/>
          <w:sz w:val="24"/>
          <w:szCs w:val="24"/>
        </w:rPr>
        <w:t xml:space="preserve">onfirmed </w:t>
      </w:r>
      <w:r w:rsidRPr="003609FB">
        <w:rPr>
          <w:rFonts w:ascii="Times New Roman" w:hAnsi="Times New Roman" w:cs="Times New Roman"/>
          <w:sz w:val="24"/>
          <w:szCs w:val="24"/>
        </w:rPr>
        <w:t xml:space="preserve">that </w:t>
      </w:r>
      <w:r w:rsidR="00691B65" w:rsidRPr="00691B65">
        <w:rPr>
          <w:rFonts w:ascii="Times New Roman" w:hAnsi="Times New Roman" w:cs="Times New Roman"/>
          <w:i/>
          <w:iCs/>
          <w:sz w:val="24"/>
          <w:szCs w:val="24"/>
        </w:rPr>
        <w:t>Prochlorococcus</w:t>
      </w:r>
      <w:r w:rsidR="0017484D">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strains may coexist </w:t>
      </w:r>
      <w:r w:rsidR="00191E9F">
        <w:rPr>
          <w:rFonts w:ascii="Times New Roman" w:hAnsi="Times New Roman" w:cs="Times New Roman"/>
          <w:sz w:val="24"/>
          <w:szCs w:val="24"/>
        </w:rPr>
        <w:t>by using</w:t>
      </w:r>
      <w:r w:rsidRPr="003609FB">
        <w:rPr>
          <w:rFonts w:ascii="Times New Roman" w:hAnsi="Times New Roman" w:cs="Times New Roman"/>
          <w:sz w:val="24"/>
          <w:szCs w:val="24"/>
        </w:rPr>
        <w:t xml:space="preserve"> ammonium </w:t>
      </w:r>
      <w:r w:rsidR="00191E9F">
        <w:rPr>
          <w:rFonts w:ascii="Times New Roman" w:hAnsi="Times New Roman" w:cs="Times New Roman"/>
          <w:sz w:val="24"/>
          <w:szCs w:val="24"/>
        </w:rPr>
        <w:t xml:space="preserve">or </w:t>
      </w:r>
      <w:r w:rsidRPr="003609FB">
        <w:rPr>
          <w:rFonts w:ascii="Times New Roman" w:hAnsi="Times New Roman" w:cs="Times New Roman"/>
          <w:sz w:val="24"/>
          <w:szCs w:val="24"/>
        </w:rPr>
        <w:t>nitr</w:t>
      </w:r>
      <w:r w:rsidR="00375175" w:rsidRPr="003609FB">
        <w:rPr>
          <w:rFonts w:ascii="Times New Roman" w:hAnsi="Times New Roman" w:cs="Times New Roman"/>
          <w:sz w:val="24"/>
          <w:szCs w:val="24"/>
        </w:rPr>
        <w:t>i</w:t>
      </w:r>
      <w:r w:rsidRPr="003609FB">
        <w:rPr>
          <w:rFonts w:ascii="Times New Roman" w:hAnsi="Times New Roman" w:cs="Times New Roman"/>
          <w:sz w:val="24"/>
          <w:szCs w:val="24"/>
        </w:rPr>
        <w:t>te/nitrate</w:t>
      </w:r>
      <w:r w:rsidR="00191E9F">
        <w:rPr>
          <w:rFonts w:ascii="Times New Roman" w:hAnsi="Times New Roman" w:cs="Times New Roman"/>
          <w:sz w:val="24"/>
          <w:szCs w:val="24"/>
        </w:rPr>
        <w:t xml:space="preserve"> as their main nitrogenous nutrient in the oligotrophic surface ocean </w:t>
      </w:r>
      <w:r w:rsidR="00412F5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{"citationID":"4SiujDgO","properties":{"formattedCitation":"(Masuda et al. 2023)","plainCitation":"(Masuda et al. 2023)","noteIndex":0},"citationItems":[{"id":3707,"uris":["http://zotero.org/users/6128296/items/LYVJQAKR"],"itemData":{"id":3707,"type":"article-journal","abstract":"Prochlorococcus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Ying"}],"issued":{"date-parts":[["2023",8,17]]}}}],"schema":"https://github.com/citation-style-language/schema/raw/master/csl-citation.json"} </w:instrText>
      </w:r>
      <w:r w:rsidR="00412F5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(Masuda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2023)</w:t>
      </w:r>
      <w:r w:rsidR="00412F5A" w:rsidRPr="003609FB">
        <w:rPr>
          <w:rFonts w:ascii="Times New Roman" w:hAnsi="Times New Roman" w:cs="Times New Roman"/>
          <w:sz w:val="24"/>
          <w:szCs w:val="24"/>
        </w:rPr>
        <w:fldChar w:fldCharType="end"/>
      </w:r>
      <w:r w:rsidR="00412F5A" w:rsidRPr="003609FB">
        <w:rPr>
          <w:rFonts w:ascii="Times New Roman" w:hAnsi="Times New Roman" w:cs="Times New Roman"/>
          <w:sz w:val="24"/>
          <w:szCs w:val="24"/>
        </w:rPr>
        <w:t>.</w:t>
      </w:r>
      <w:r w:rsidR="00801344">
        <w:rPr>
          <w:rFonts w:ascii="Times New Roman" w:hAnsi="Times New Roman" w:cs="Times New Roman"/>
          <w:sz w:val="24"/>
          <w:szCs w:val="24"/>
        </w:rPr>
        <w:t xml:space="preserve"> </w:t>
      </w:r>
      <w:r w:rsidR="009D6CDA" w:rsidRPr="003609FB">
        <w:rPr>
          <w:rFonts w:ascii="Times New Roman" w:hAnsi="Times New Roman" w:cs="Times New Roman"/>
          <w:sz w:val="24"/>
          <w:szCs w:val="24"/>
        </w:rPr>
        <w:t>However,</w:t>
      </w:r>
      <w:r w:rsidRPr="003609FB">
        <w:rPr>
          <w:rFonts w:ascii="Times New Roman" w:hAnsi="Times New Roman" w:cs="Times New Roman"/>
          <w:sz w:val="24"/>
          <w:szCs w:val="24"/>
        </w:rPr>
        <w:t xml:space="preserve"> this,</w:t>
      </w:r>
      <w:r w:rsidR="00375175" w:rsidRPr="003609FB">
        <w:rPr>
          <w:rFonts w:ascii="Times New Roman" w:hAnsi="Times New Roman" w:cs="Times New Roman"/>
          <w:sz w:val="24"/>
          <w:szCs w:val="24"/>
        </w:rPr>
        <w:t xml:space="preserve"> and prior,</w:t>
      </w:r>
      <w:r w:rsidR="00412F5A" w:rsidRPr="003609FB">
        <w:rPr>
          <w:rFonts w:ascii="Times New Roman" w:hAnsi="Times New Roman" w:cs="Times New Roman"/>
          <w:sz w:val="24"/>
          <w:szCs w:val="24"/>
        </w:rPr>
        <w:t xml:space="preserve"> global, models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12F5A" w:rsidRPr="003609FB">
        <w:rPr>
          <w:rFonts w:ascii="Times New Roman" w:hAnsi="Times New Roman" w:cs="Times New Roman"/>
          <w:sz w:val="24"/>
          <w:szCs w:val="24"/>
        </w:rPr>
        <w:t>fail to</w:t>
      </w:r>
      <w:r w:rsidRPr="003609FB">
        <w:rPr>
          <w:rFonts w:ascii="Times New Roman" w:hAnsi="Times New Roman" w:cs="Times New Roman"/>
          <w:sz w:val="24"/>
          <w:szCs w:val="24"/>
        </w:rPr>
        <w:t xml:space="preserve"> </w:t>
      </w:r>
      <w:r w:rsidR="00412F5A" w:rsidRPr="003609FB">
        <w:rPr>
          <w:rFonts w:ascii="Times New Roman" w:hAnsi="Times New Roman" w:cs="Times New Roman"/>
          <w:sz w:val="24"/>
          <w:szCs w:val="24"/>
        </w:rPr>
        <w:t xml:space="preserve">incorporate the documented </w:t>
      </w:r>
      <w:r w:rsidRPr="003609FB">
        <w:rPr>
          <w:rFonts w:ascii="Times New Roman" w:hAnsi="Times New Roman" w:cs="Times New Roman"/>
          <w:sz w:val="24"/>
          <w:szCs w:val="24"/>
        </w:rPr>
        <w:t xml:space="preserve">differences in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regarding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412F5A" w:rsidRPr="003609FB">
        <w:rPr>
          <w:rFonts w:ascii="Times New Roman" w:hAnsi="Times New Roman" w:cs="Times New Roman"/>
          <w:sz w:val="24"/>
          <w:szCs w:val="24"/>
        </w:rPr>
        <w:t xml:space="preserve"> in laboratory cultures </w:t>
      </w:r>
      <w:r w:rsidR="00B77E43"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{"citationID":"Trf0ShAC","properties":{"formattedCitation":"(Morris et al. 2011)","plainCitation":"(Morris et al. 2011)","noteIndex":0},"citationItems":[{"id":113,"uris":["http://zotero.org/users/6128296/items/PIIBXCZZ"],"itemData":{"id":113,"type":"article-journal","abstract":"The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B77E43"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w:t>
      </w:r>
      <w:r w:rsidR="00B77E43"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 regime based solely on differential nutrient utilization is neglectful of other known differences between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particularly their differential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responses, which have been extensively documented experimentally in laboratory culture. </w:t>
      </w:r>
    </w:p>
    <w:p w14:paraId="58C91A50" w14:textId="1913772B" w:rsidR="00A02D97" w:rsidRPr="003609FB" w:rsidRDefault="00A02D97"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Our previous (Chapter 2) model used a simple Monod-based representation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to quantify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effects on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and</w:t>
      </w:r>
      <w:r w:rsidR="00187D41">
        <w:rPr>
          <w:rFonts w:ascii="Times New Roman" w:hAnsi="Times New Roman" w:cs="Times New Roman"/>
          <w:sz w:val="24"/>
          <w:szCs w:val="24"/>
        </w:rPr>
        <w:t xml:space="preserve"> heterotrophic</w:t>
      </w:r>
      <w:r w:rsidRPr="003609FB">
        <w:rPr>
          <w:rFonts w:ascii="Times New Roman" w:hAnsi="Times New Roman" w:cs="Times New Roman"/>
          <w:sz w:val="24"/>
          <w:szCs w:val="24"/>
        </w:rPr>
        <w:t xml:space="preserve"> bacterial ‘helper</w:t>
      </w:r>
      <w:r w:rsidR="00490E61">
        <w:rPr>
          <w:rFonts w:ascii="Times New Roman" w:hAnsi="Times New Roman" w:cs="Times New Roman"/>
          <w:sz w:val="24"/>
          <w:szCs w:val="24"/>
        </w:rPr>
        <w:t>.</w:t>
      </w:r>
      <w:r w:rsidRPr="003609FB">
        <w:rPr>
          <w:rFonts w:ascii="Times New Roman" w:hAnsi="Times New Roman" w:cs="Times New Roman"/>
          <w:sz w:val="24"/>
          <w:szCs w:val="24"/>
        </w:rPr>
        <w:t xml:space="preserve">’ Though found almost ubiquitously with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412F5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{"citationID":"dvwdkgir","properties":{"formattedCitation":"(Partensky, Hess, and Vaulot 1999; Flombaum et al. 2013)","plainCitation":"(Partensky, Hess, and Vaulot 1999; Flombaum et al. 2013)","noteIndex":0},"citationItems":[{"id":4143,"uris":["http://zotero.org/users/6128296/items/D6ZNXNHI"],"itemData":{"id":4143,"type":"article-journal","abstract":"SUMMARY\n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412F5A"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w:t>
      </w:r>
      <w:proofErr w:type="spellStart"/>
      <w:r w:rsidR="009D7443">
        <w:rPr>
          <w:rFonts w:ascii="Times New Roman" w:hAnsi="Times New Roman" w:cs="Times New Roman"/>
          <w:sz w:val="24"/>
          <w:szCs w:val="24"/>
        </w:rPr>
        <w:t>Partensky</w:t>
      </w:r>
      <w:proofErr w:type="spellEnd"/>
      <w:r w:rsidR="009D7443">
        <w:rPr>
          <w:rFonts w:ascii="Times New Roman" w:hAnsi="Times New Roman" w:cs="Times New Roman"/>
          <w:sz w:val="24"/>
          <w:szCs w:val="24"/>
        </w:rPr>
        <w:t xml:space="preserve">, Hess, and </w:t>
      </w:r>
      <w:proofErr w:type="spellStart"/>
      <w:r w:rsidR="009D7443">
        <w:rPr>
          <w:rFonts w:ascii="Times New Roman" w:hAnsi="Times New Roman" w:cs="Times New Roman"/>
          <w:sz w:val="24"/>
          <w:szCs w:val="24"/>
        </w:rPr>
        <w:t>Vaulot</w:t>
      </w:r>
      <w:proofErr w:type="spellEnd"/>
      <w:r w:rsidR="009D7443">
        <w:rPr>
          <w:rFonts w:ascii="Times New Roman" w:hAnsi="Times New Roman" w:cs="Times New Roman"/>
          <w:sz w:val="24"/>
          <w:szCs w:val="24"/>
        </w:rPr>
        <w:t xml:space="preserve"> 1999; </w:t>
      </w:r>
      <w:proofErr w:type="spellStart"/>
      <w:r w:rsidR="009D7443">
        <w:rPr>
          <w:rFonts w:ascii="Times New Roman" w:hAnsi="Times New Roman" w:cs="Times New Roman"/>
          <w:sz w:val="24"/>
          <w:szCs w:val="24"/>
        </w:rPr>
        <w:t>Flombaum</w:t>
      </w:r>
      <w:proofErr w:type="spellEnd"/>
      <w:r w:rsidR="009D744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2013)</w:t>
      </w:r>
      <w:r w:rsidR="00412F5A" w:rsidRPr="003609FB">
        <w:rPr>
          <w:rFonts w:ascii="Times New Roman" w:hAnsi="Times New Roman" w:cs="Times New Roman"/>
          <w:sz w:val="24"/>
          <w:szCs w:val="24"/>
        </w:rPr>
        <w:fldChar w:fldCharType="end"/>
      </w:r>
      <w:r w:rsidR="00412F5A"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is not the most effective helper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w:t>
      </w:r>
      <w:r w:rsidR="004F1F85">
        <w:rPr>
          <w:rFonts w:ascii="Times New Roman" w:hAnsi="Times New Roman" w:cs="Times New Roman"/>
          <w:sz w:val="24"/>
          <w:szCs w:val="24"/>
        </w:rPr>
        <w:t xml:space="preserve"> a </w:t>
      </w:r>
      <w:proofErr w:type="spellStart"/>
      <w:r w:rsidR="004F1F85">
        <w:rPr>
          <w:rFonts w:ascii="Times New Roman" w:hAnsi="Times New Roman" w:cs="Times New Roman"/>
          <w:sz w:val="24"/>
          <w:szCs w:val="24"/>
        </w:rPr>
        <w:t>picobacterial</w:t>
      </w:r>
      <w:proofErr w:type="spellEnd"/>
      <w:r w:rsidR="004F1F85">
        <w:rPr>
          <w:rFonts w:ascii="Times New Roman" w:hAnsi="Times New Roman" w:cs="Times New Roman"/>
          <w:sz w:val="24"/>
          <w:szCs w:val="24"/>
        </w:rPr>
        <w:t xml:space="preserve"> heterotroph,</w:t>
      </w:r>
      <w:r w:rsidRPr="004F1F85">
        <w:rPr>
          <w:rFonts w:ascii="Times New Roman" w:hAnsi="Times New Roman" w:cs="Times New Roman"/>
          <w:i/>
          <w:iCs/>
          <w:sz w:val="24"/>
          <w:szCs w:val="24"/>
        </w:rPr>
        <w:t xml:space="preserve"> </w:t>
      </w:r>
      <w:proofErr w:type="spellStart"/>
      <w:r w:rsidRPr="004F1F85">
        <w:rPr>
          <w:rFonts w:ascii="Times New Roman" w:hAnsi="Times New Roman" w:cs="Times New Roman"/>
          <w:i/>
          <w:iCs/>
          <w:sz w:val="24"/>
          <w:szCs w:val="24"/>
        </w:rPr>
        <w:t>Alteromonas</w:t>
      </w:r>
      <w:proofErr w:type="spellEnd"/>
      <w:r w:rsidR="004F1F85">
        <w:rPr>
          <w:rFonts w:ascii="Times New Roman" w:hAnsi="Times New Roman" w:cs="Times New Roman"/>
          <w:i/>
          <w:iCs/>
          <w:sz w:val="24"/>
          <w:szCs w:val="24"/>
        </w:rPr>
        <w:t>,</w:t>
      </w:r>
      <w:r w:rsidRPr="003609FB">
        <w:rPr>
          <w:rFonts w:ascii="Times New Roman" w:hAnsi="Times New Roman" w:cs="Times New Roman"/>
          <w:sz w:val="24"/>
          <w:szCs w:val="24"/>
        </w:rPr>
        <w:t xml:space="preserve"> provides more effective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w:t>
      </w:r>
      <w:r w:rsidR="004D59A1" w:rsidRPr="003609FB">
        <w:rPr>
          <w:rFonts w:ascii="Times New Roman" w:hAnsi="Times New Roman" w:cs="Times New Roman"/>
          <w:sz w:val="24"/>
          <w:szCs w:val="24"/>
        </w:rPr>
        <w:t>Thus,</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detoxification efficacy and its contribution as a marine community impactor is uncertain. The interesting tradeoff between the differential ammonium affinity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has been implicated in allowing for coexistence between these two organisms</w:t>
      </w:r>
      <w:r w:rsidR="00EF5727" w:rsidRPr="003609FB">
        <w:rPr>
          <w:rFonts w:ascii="Times New Roman" w:hAnsi="Times New Roman" w:cs="Times New Roman"/>
          <w:sz w:val="24"/>
          <w:szCs w:val="24"/>
        </w:rPr>
        <w:t xml:space="preserve"> </w:t>
      </w:r>
      <w:r w:rsidR="00EF5727"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{"citationID":"VKbNWIBi","properties":{"formattedCitation":"(Morris, Lenski, and Zinser 2012; Morris 2015)","plainCitation":"(Morris, Lenski, and Zinser 2012; Morris 2015)","noteIndex":0},"citationItems":[{"id":114,"uris":["http://zotero.org/users/6128296/items/RAQDXC7K"],"itemData":{"id":114,"type":"article-journal","abstract":"Reductive genomic evolution, driven by genetic drift, is common in endosymbiotic bacteria. Genome reduction is less common in free-living organisms, but it has occurred in the numerically dominant open-ocean bacterioplankton Prochlorococcus and “Candidatus Pelagibacter,” and in these cases the reduction appears to be driven by natural selection rather than drift. Gene loss in free-living organisms may leave them dependent on cooccurring microbes for lost metabolic functions. We present the Black Queen Hypothesis (BQH), a novel theory of reductive evolution that explains how selection leads to such dependencies; its name refers to the queen of spades in the game Hearts, where the usual strategy is to avoid taking this card. Gene loss can provide a selective advantage by conserving an organism’s limiting resources, provided the gene’s function is dispensable. Many vital genetic functions are leaky, thereby unavoidably producing public goods that are available to the entire community. Such leaky functions are thus dispensable for individuals, provided they are not lost entirely from the community. The BQH predicts that the loss of a costly, leaky function is selectively favored at the individual level and will proceed until the production of public goods is just sufﬁcient to support the equilibrium community; at that point, the beneﬁt of any further loss would be offset by the cost. Evolution in accordance with the BQH thus generates “beneﬁciaries” of reduced genomic content that are dependent on leaky “helpers,” and it may explain the observed nonuniversality of prototrophy, stress resistance, and other cellular functions in the microbial world.","container-title":"mBio","DOI":"10.1128/mBio.00036-12","ISSN":"2150-7511","issue":"2","journalAbbreviation":"mBio","language":"en","page":"e00036-12","source":"DOI.org (Crossref)","title":"The Black Queen Hypothesis: Evolution of Dependencies through Adaptive Gene Loss","title-short":"The Black Queen Hypothesis","volume":"3","author":[{"family":"Morris","given":""},{"family":"Lenski","given":"Richard E."},{"family":"Zinser","given":"Erik R."}],"issued":{"date-parts":[["2012",3,23]]}}},{"id":4042,"uris":["http://zotero.org/users/6128296/items/CSSF4USS"],"itemData":{"id":4042,"type":"article-journal","container-title":"Trends in Genetics","DOI":"10.1016/j.tig.2015.05.004","ISSN":"01689525","issue":"8","journalAbbreviation":"Trends in Genetics","language":"en","page":"475-482","source":"DOI.org (Crossref)","title":"Black Queen evolution: the role of leakiness in structuring microbial communities","title-short":"Black Queen evolution","volume":"31","author":[{"family":"Morris","given":""}],"issued":{"date-parts":[["2015",8]]}}}],"schema":"https://github.com/citation-style-language/schema/raw/master/csl-citation.json"} </w:instrText>
      </w:r>
      <w:r w:rsidR="00EF572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(Morris, Lenski, and Zinser 2012; Morris 2015)</w:t>
      </w:r>
      <w:r w:rsidR="00EF572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Using monoculture parameters isolated in Chapter 2, we assess the quantitative intuition </w:t>
      </w:r>
      <w:r w:rsidRPr="003609FB">
        <w:rPr>
          <w:rFonts w:ascii="Times New Roman" w:hAnsi="Times New Roman" w:cs="Times New Roman"/>
          <w:sz w:val="24"/>
          <w:szCs w:val="24"/>
        </w:rPr>
        <w:lastRenderedPageBreak/>
        <w:t xml:space="preserve">for how protection against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along with resource competition, may influence</w:t>
      </w:r>
      <w:r w:rsidR="00091184">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801344">
        <w:rPr>
          <w:rFonts w:ascii="Times New Roman" w:hAnsi="Times New Roman" w:cs="Times New Roman"/>
          <w:sz w:val="24"/>
          <w:szCs w:val="24"/>
        </w:rPr>
        <w:t xml:space="preserve"> </w:t>
      </w:r>
      <w:r w:rsidR="00091184">
        <w:rPr>
          <w:rFonts w:ascii="Times New Roman" w:hAnsi="Times New Roman" w:cs="Times New Roman"/>
          <w:sz w:val="24"/>
          <w:szCs w:val="24"/>
        </w:rPr>
        <w:t>within</w:t>
      </w:r>
      <w:r w:rsidR="00801344">
        <w:rPr>
          <w:rFonts w:ascii="Times New Roman" w:hAnsi="Times New Roman" w:cs="Times New Roman"/>
          <w:sz w:val="24"/>
          <w:szCs w:val="24"/>
        </w:rPr>
        <w:t xml:space="preserve"> an </w:t>
      </w:r>
      <w:proofErr w:type="gramStart"/>
      <w:r w:rsidR="00801344" w:rsidRPr="00801344">
        <w:rPr>
          <w:rFonts w:ascii="Times New Roman" w:hAnsi="Times New Roman" w:cs="Times New Roman"/>
          <w:i/>
          <w:iCs/>
          <w:sz w:val="24"/>
          <w:szCs w:val="24"/>
        </w:rPr>
        <w:t>in silico</w:t>
      </w:r>
      <w:proofErr w:type="gramEnd"/>
      <w:r w:rsidR="00801344" w:rsidRPr="00801344">
        <w:rPr>
          <w:rFonts w:ascii="Times New Roman" w:hAnsi="Times New Roman" w:cs="Times New Roman"/>
          <w:i/>
          <w:iCs/>
          <w:sz w:val="24"/>
          <w:szCs w:val="24"/>
        </w:rPr>
        <w:t xml:space="preserve"> </w:t>
      </w:r>
      <w:r w:rsidR="00801344">
        <w:rPr>
          <w:rFonts w:ascii="Times New Roman" w:hAnsi="Times New Roman" w:cs="Times New Roman"/>
          <w:sz w:val="24"/>
          <w:szCs w:val="24"/>
        </w:rPr>
        <w:t>competition framework</w:t>
      </w:r>
      <w:r w:rsidRPr="003609FB">
        <w:rPr>
          <w:rFonts w:ascii="Times New Roman" w:hAnsi="Times New Roman" w:cs="Times New Roman"/>
          <w:sz w:val="24"/>
          <w:szCs w:val="24"/>
        </w:rPr>
        <w:t xml:space="preserve">. </w:t>
      </w:r>
      <w:r w:rsidR="00D17B15" w:rsidRPr="003609FB">
        <w:rPr>
          <w:rFonts w:ascii="Times New Roman" w:hAnsi="Times New Roman" w:cs="Times New Roman"/>
          <w:sz w:val="24"/>
          <w:szCs w:val="24"/>
        </w:rPr>
        <w:t>Competition and cooperation</w:t>
      </w:r>
      <w:r w:rsidRPr="003609FB">
        <w:rPr>
          <w:rFonts w:ascii="Times New Roman" w:hAnsi="Times New Roman" w:cs="Times New Roman"/>
          <w:sz w:val="24"/>
          <w:szCs w:val="24"/>
        </w:rPr>
        <w:t xml:space="preserve"> </w:t>
      </w:r>
      <w:r w:rsidR="00D17B15" w:rsidRPr="003609FB">
        <w:rPr>
          <w:rFonts w:ascii="Times New Roman" w:hAnsi="Times New Roman" w:cs="Times New Roman"/>
          <w:sz w:val="24"/>
          <w:szCs w:val="24"/>
        </w:rPr>
        <w:t>are</w:t>
      </w:r>
      <w:r w:rsidRPr="003609FB">
        <w:rPr>
          <w:rFonts w:ascii="Times New Roman" w:hAnsi="Times New Roman" w:cs="Times New Roman"/>
          <w:sz w:val="24"/>
          <w:szCs w:val="24"/>
        </w:rPr>
        <w:t xml:space="preserve"> notoriously difficult to </w:t>
      </w:r>
      <w:r w:rsidR="00D17B15" w:rsidRPr="003609FB">
        <w:rPr>
          <w:rFonts w:ascii="Times New Roman" w:hAnsi="Times New Roman" w:cs="Times New Roman"/>
          <w:sz w:val="24"/>
          <w:szCs w:val="24"/>
        </w:rPr>
        <w:t>detangle</w:t>
      </w:r>
      <w:r w:rsidRPr="003609FB">
        <w:rPr>
          <w:rFonts w:ascii="Times New Roman" w:hAnsi="Times New Roman" w:cs="Times New Roman"/>
          <w:sz w:val="24"/>
          <w:szCs w:val="24"/>
        </w:rPr>
        <w:t xml:space="preserve">, and </w:t>
      </w:r>
      <w:r w:rsidR="00D17B15" w:rsidRPr="003609FB">
        <w:rPr>
          <w:rFonts w:ascii="Times New Roman" w:hAnsi="Times New Roman" w:cs="Times New Roman"/>
          <w:sz w:val="24"/>
          <w:szCs w:val="24"/>
        </w:rPr>
        <w:t xml:space="preserve">the fact that </w:t>
      </w:r>
      <w:r w:rsidRPr="003609FB">
        <w:rPr>
          <w:rFonts w:ascii="Times New Roman" w:hAnsi="Times New Roman" w:cs="Times New Roman"/>
          <w:sz w:val="24"/>
          <w:szCs w:val="24"/>
        </w:rPr>
        <w:t>interrelatedness of organism can either hinder or help cooperation activities</w:t>
      </w:r>
      <w:r w:rsidR="00D17B15" w:rsidRPr="003609FB">
        <w:rPr>
          <w:rFonts w:ascii="Times New Roman" w:hAnsi="Times New Roman" w:cs="Times New Roman"/>
          <w:sz w:val="24"/>
          <w:szCs w:val="24"/>
        </w:rPr>
        <w:t xml:space="preserve"> further muddles microbial studies</w:t>
      </w:r>
      <w:r w:rsidRPr="003609FB">
        <w:rPr>
          <w:rFonts w:ascii="Times New Roman" w:hAnsi="Times New Roman" w:cs="Times New Roman"/>
          <w:sz w:val="24"/>
          <w:szCs w:val="24"/>
        </w:rPr>
        <w:t xml:space="preserve"> </w:t>
      </w:r>
      <w:r w:rsidR="00D17B1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{"citationID":"QOzZCzFe","properties":{"formattedCitation":"(West et al. 2006; Wiens 1977; Beckett and Weitz 2017)","plainCitation":"(West et al. 2006; Wiens 1977; Beckett and Weitz 2017)","noteIndex":0},"citationItems":[{"id":121,"uris":["http://zotero.org/users/6128296/items/XB5QQKGE"],"itemData":{"id":121,"type":"article-journal","abstract":"Microorganisms communicate and cooperate to perform a wide range of multicellular behaviours, such as dispersal, nutrient acquisition, biofilm formation and quorum sensing. Microbiologists are rapidly gaining a greater understanding of the molecular mechanisms involved in these behaviours, and the underlying genetic regulation. Such behaviours are also interesting from the perspective of social evolution — why do microorganisms engage in these behaviours given that cooperative individuals can be exploited by selfish cheaters, who gain the benefit of cooperation without paying their share of the cost? There is great potential for interdisciplinary research in this fledgling field of sociomicrobiology, but a limiting factor is the lack of effective communication of social evolution theory to microbiologists. Here, we provide a conceptual overview of the different mechanisms through which cooperative behaviours can be stabilized, emphasizing the aspects most relevant to microorganisms, the novel problems that microorganisms pose and the new insights that can be gained from applying evolutionary theory to microorganisms.","container-title":"Nature Reviews Microbiology","DOI":"10.1038/nrmicro1461","ISSN":"1740-1526, 1740-1534","issue":"8","journalAbbreviation":"Nat Rev Microbiol","language":"en","page":"597-607","source":"DOI.org (Crossref)","title":"Social evolution theory for microorganisms","volume":"4","author":[{"family":"West","given":""},{"family":"Griffin","given":"Ashleigh S."},{"family":"Gardner","given":"Andy"},{"family":"Diggle","given":"Stephen P."}],"issued":{"date-parts":[["2006",8]]}}},{"id":4744,"uris":["http://zotero.org/users/6128296/items/WH6HLJUP"],"itemData":{"id":4744,"type":"article-journal","container-title":"American Scientist","issue":"5","page":"590–97","title":"On Competition and Variable Environments: Populations May Experience ‘Ecological Crunches’ in Variable Climates, Nullifying the Assumptions of Competition Theory and Limiting the Usefulness of Short-Term Studies of Population Patterns.","volume":"65","author":[{"family":"Wiens","given":""}],"issued":{"date-parts":[["1977"]]}}},{"id":652,"uris":["http://zotero.org/users/6128296/items/W7F4YVXY"],"itemData":{"id":652,"type":"article-journal","abstract":"The dilution method is the principal tool used to infer in situ microzooplankton grazing rates. However, grazing is the only mortality process considered in the theoretical model underlying the interpretation of dilution method experiments. Here we evaluate the robustness of mortality estimates inferred from dilution experiments when there is concurrent niche competition amongst phytoplankton. Using a combination of mathematical analysis and numerical simulations, we find that grazing rates may be overestimated—the degree of overestimation is related to the importance of niche competition relative to microzooplankton grazing. In response, we propose a conceptual method to disentangle the effects of niche competition and grazing by diluting out microzooplankton, but not phytoplankton. Our theoretical results suggest this revised “Z-dilution” method can robustly infer grazing mortality, regardless of the dominant phytoplankton mortality driver in our system. Further, we show it is possible to independently estimate both grazing mortality and niche competition if the classical and Z-dilution methods can be used in tandem. We discuss the significance of these results for quantifying phytoplankton mortality rates; and the feasibility of implementing the Z-dilution method in practice, whether in model systems or in complex communities with overlap in the size distributions of phytoplankton and microzooplankton.","container-title":"PLOS ONE","DOI":"10.1371/journal.pone.0177517","ISSN":"1932-6203","issue":"5","journalAbbreviation":"PLoS ONE","language":"en","page":"e0177517","source":"DOI.org (Crossref)","title":"Disentangling niche competition from grazing mortality in phytoplankton dilution experiments","volume":"12","author":[{"family":"Beckett","given":""},{"family":"Weitz","given":"Joshua S."}],"editor":[{"family":"Dam","given":"Hans G."}],"issued":{"date-parts":[["2017",5,15]]}}}],"schema":"https://github.com/citation-style-language/schema/raw/master/csl-citation.json"} </w:instrText>
      </w:r>
      <w:r w:rsidR="00D17B1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(West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2006; Wiens 1977; Beckett and Weitz 2017)</w:t>
      </w:r>
      <w:r w:rsidR="00D17B15"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Armstrong and McGhee </w:t>
      </w:r>
      <w:r w:rsidR="00343E5A" w:rsidRPr="003609FB">
        <w:rPr>
          <w:rFonts w:ascii="Times New Roman" w:hAnsi="Times New Roman" w:cs="Times New Roman"/>
          <w:sz w:val="24"/>
          <w:szCs w:val="24"/>
        </w:rPr>
        <w:t>(</w:t>
      </w:r>
      <w:r w:rsidRPr="003609FB">
        <w:rPr>
          <w:rFonts w:ascii="Times New Roman" w:hAnsi="Times New Roman" w:cs="Times New Roman"/>
          <w:sz w:val="24"/>
          <w:szCs w:val="24"/>
        </w:rPr>
        <w:t>1980</w:t>
      </w:r>
      <w:r w:rsidR="00343E5A" w:rsidRPr="003609FB">
        <w:rPr>
          <w:rFonts w:ascii="Times New Roman" w:hAnsi="Times New Roman" w:cs="Times New Roman"/>
          <w:sz w:val="24"/>
          <w:szCs w:val="24"/>
        </w:rPr>
        <w:t>)</w:t>
      </w:r>
      <w:r w:rsidRPr="003609FB">
        <w:rPr>
          <w:rFonts w:ascii="Times New Roman" w:hAnsi="Times New Roman" w:cs="Times New Roman"/>
          <w:sz w:val="24"/>
          <w:szCs w:val="24"/>
        </w:rPr>
        <w:t xml:space="preserve"> as well as Tilman </w:t>
      </w:r>
      <w:r w:rsidR="00343E5A" w:rsidRPr="003609FB">
        <w:rPr>
          <w:rFonts w:ascii="Times New Roman" w:hAnsi="Times New Roman" w:cs="Times New Roman"/>
          <w:sz w:val="24"/>
          <w:szCs w:val="24"/>
        </w:rPr>
        <w:t>(</w:t>
      </w:r>
      <w:r w:rsidRPr="003609FB">
        <w:rPr>
          <w:rFonts w:ascii="Times New Roman" w:hAnsi="Times New Roman" w:cs="Times New Roman"/>
          <w:sz w:val="24"/>
          <w:szCs w:val="24"/>
        </w:rPr>
        <w:t>198</w:t>
      </w:r>
      <w:r w:rsidR="00343E5A" w:rsidRPr="003609FB">
        <w:rPr>
          <w:rFonts w:ascii="Times New Roman" w:hAnsi="Times New Roman" w:cs="Times New Roman"/>
          <w:sz w:val="24"/>
          <w:szCs w:val="24"/>
        </w:rPr>
        <w:t>2)</w:t>
      </w:r>
      <w:r w:rsidR="00D17B1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showed that multiple species can survive on one resource with additional external forcings from the environment </w:t>
      </w:r>
      <w:r w:rsidR="00D17B1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{"citationID":"CQl1HjHI","properties":{"formattedCitation":"(Armstrong and McGehee 1980; Tilman 1982)","plainCitation":"(Armstrong and McGehee 1980; Tilman 1982)","noteIndex":0},"citationItems":[{"id":77,"uris":["http://zotero.org/users/6128296/items/6XSUJZRT"],"itemData":{"id":77,"type":"article-journal","abstract":"Koch (1974b) was the first to point out via computer simulation that two species could coexist on one biotic resource. This coexistence occurred along what appeared to be a periodic orbit, not at an equilibrium point. The coexistence of two species on one biotic resource was later confirmed analytically (McGehee and Armstrong 1977) and expanded to the case of n species coexisting on one biotic resource (Zicarelli 1975). In this section we provide insight into the mechanism behind this coexistence. We will present an intuitive look at why the coexistence depends both on the nonlinearity of the growth functions ui and on the lack of system equilibrium. Those who desire complete proofs should consult the papers of McGehee and Armstrong (1977) and Zicarelli (1975).","container-title":"Am. Nat. 1980.","language":"en","page":"151-170","source":"Zotero","title":"Competitive Exclusion","volume":"Vol. 115,","author":[{"family":"Armstrong","given":""},{"family":"McGehee","given":"Richard"}],"issued":{"date-parts":[["1980"]]}}},{"id":1560,"uris":["http://zotero.org/users/6128296/items/77X327JA"],"itemData":{"id":1560,"type":"book","title":"Resource Competition and Community Structure.","volume":"Volume 17","author":[{"family":"Tilman","given":""}],"issued":{"date-parts":[["1982"]]}}}],"schema":"https://github.com/citation-style-language/schema/raw/master/csl-citation.json"} </w:instrText>
      </w:r>
      <w:r w:rsidR="00D17B1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(Armstrong and McGehee 1980; Tilman 1982)</w:t>
      </w:r>
      <w:r w:rsidR="00D17B15"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With the relative closeness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we expect them to operate similarly in a nutrient model as they share a fair amount of base cell machinery for processing the nutrients that they can both acquire </w:t>
      </w:r>
      <w:r w:rsidR="00C7361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{"citationID":"k7n3VIr8","properties":{"formattedCitation":"(Garcia-Fernandez, de Marsac, and Diez 2004; Baer et al. 2017)","plainCitation":"(Garcia-Fernandez, de Marsac, and Diez 2004; Baer et al. 2017)","noteIndex":0},"citationItems":[{"id":92,"uris":["http://zotero.org/users/6128296/items/NBRTUMCT"],"itemData":{"id":92,"type":"article-journal","container-title":"Microbiology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T.","non-dropping-particle":"de"},{"family":"Diez","given":"J."}],"issued":{"date-parts":[["2004",12,1]]}}},{"id":1776,"uris":["http://zotero.org/users/6128296/items/JHG3UUIV"],"itemData":{"id":1776,"type":"article-journal","abstract":"In the North Atlantic Ocean, we found that natural populations of Prochlorococcus adhered to Redfield ratio dimensions when comparing cell quotas of carbon to nitrogen, but had flexible composition under nutrient and light stress, allowing for a broad range of cellular carbon- and nitrogen-to-phosphorus ratios. Synechococcus populations also exhibited a wide range of elemental stoichiometry, including carbon-to-nitrogen ratios and increased their carbonto-phosphorus ratios in response to low dissolved phosphorus availability. Small eukaryotic populations tended to have lower carbon-to-phosphorus ratios than single cell cyanobacterial groups, with the exception of one group of samples, which highlights the importance of community composition when determining how biological diversity influences bulk particle stoichiometry. The ratio of dissolved nitrogen:phosphorus fluxes into the euphotic zone was not correlated to nitrogen:phosphorus cellular quotas. The lack of a homeostatic relationship implies that other mechanisms, such as species-specific adaptation to oligotrophic phosphorus concentrations, control elemental particle ratios.","container-title":"Environmental Microbiology","DOI":"10.1111/1462-2920.13672","ISSN":"14622912","issue":"4","journalAbbreviation":"Environ Microbiol","language":"en","page":"1568-1583","source":"DOI.org (Crossref)","title":"Stoichiometry of &lt;i&gt;Prochlorococcus, Synechococcus&lt;/i&gt; , and small eukaryotic populations in the western North Atlantic Ocean: Taxon-specific stoichiometry of phytoplankton","title-short":"Stoichiometry of &lt;i&gt;Prochlorococcus, Synechococcus&lt;/i&gt; , and small eukaryotic populations in the western North Atlantic Ocean","volume":"19","author":[{"family":"Baer","given":""},{"family":"Lomas","given":"Michael W."},{"family":"Terpis","given":"Kristina X."},{"family":"Mouginot","given":"Céline"},{"family":"Martiny","given":"Adam C."}],"issued":{"date-parts":[["2017",4]]}}}],"schema":"https://github.com/citation-style-language/schema/raw/master/csl-citation.json"} </w:instrText>
      </w:r>
      <w:r w:rsidR="00C7361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(Garcia-Fernandez, de Marsac, and Diez 2004; Baer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Bacterial helper interactions are initially ignored to evaluate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only effects on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biogeography. The model is first used to investigate how P and S, </w:t>
      </w:r>
      <w:r w:rsidR="00691B65" w:rsidRPr="00691B65">
        <w:rPr>
          <w:rFonts w:ascii="Times New Roman" w:hAnsi="Times New Roman" w:cs="Times New Roman"/>
          <w:i/>
          <w:iCs/>
          <w:sz w:val="24"/>
          <w:szCs w:val="24"/>
        </w:rPr>
        <w:t>Prochlorococcus</w:t>
      </w:r>
      <w:r w:rsidR="00AF637F">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analogous</w:t>
      </w:r>
      <w:r w:rsidR="00FC4010" w:rsidRPr="003609FB">
        <w:rPr>
          <w:rFonts w:ascii="Times New Roman" w:hAnsi="Times New Roman" w:cs="Times New Roman"/>
          <w:sz w:val="24"/>
          <w:szCs w:val="24"/>
        </w:rPr>
        <w:t xml:space="preserve"> in our </w:t>
      </w:r>
      <w:proofErr w:type="gramStart"/>
      <w:r w:rsidR="00FC4010" w:rsidRPr="00801344">
        <w:rPr>
          <w:rFonts w:ascii="Times New Roman" w:hAnsi="Times New Roman" w:cs="Times New Roman"/>
          <w:i/>
          <w:iCs/>
          <w:sz w:val="24"/>
          <w:szCs w:val="24"/>
        </w:rPr>
        <w:t>in silico</w:t>
      </w:r>
      <w:proofErr w:type="gramEnd"/>
      <w:r w:rsidR="00FC4010" w:rsidRPr="003609FB">
        <w:rPr>
          <w:rFonts w:ascii="Times New Roman" w:hAnsi="Times New Roman" w:cs="Times New Roman"/>
          <w:sz w:val="24"/>
          <w:szCs w:val="24"/>
        </w:rPr>
        <w:t xml:space="preserve"> analyses</w:t>
      </w:r>
      <w:r w:rsidRPr="003609FB">
        <w:rPr>
          <w:rFonts w:ascii="Times New Roman" w:hAnsi="Times New Roman" w:cs="Times New Roman"/>
          <w:sz w:val="24"/>
          <w:szCs w:val="24"/>
        </w:rPr>
        <w:t xml:space="preserve">, would compete for a single nutrient with the previously determined (Chapter </w:t>
      </w:r>
      <w:r w:rsidR="00FC4010" w:rsidRPr="003609FB">
        <w:rPr>
          <w:rFonts w:ascii="Times New Roman" w:hAnsi="Times New Roman" w:cs="Times New Roman"/>
          <w:sz w:val="24"/>
          <w:szCs w:val="24"/>
        </w:rPr>
        <w:t>2</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susceptibilities. Second, we consider how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damage impacts P and S as inhibition of one species via ‘external lethal inhibiter’ that does not affect the other species has been found to promote stable coexistence on a single nutrient when another other species is not susceptible </w:t>
      </w:r>
      <w:r w:rsidR="00C7361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{"citationID":"NTIJROcI","properties":{"formattedCitation":"(Bar et al. 2020; Tilman 1982; Lenski and Hattingh 1986)","plainCitation":"(Bar et al. 2020; Tilman 1982; Lenski and Hattingh 1986)","noteIndex":0},"citationItems":[{"id":3055,"uris":["http://zotero.org/users/6128296/items/KRQDKLED"],"itemData":{"id":3055,"type":"article-journal","abstract":"The inhibition is an important phenomenon, which promotes the stable coexistence of species, in the chemostat. Here, we study a model of two microbial species in a chemostat competing for a single resource in the presence of an external lethal inhibitor. The model is a four-dimensional system of ordinary diﬀerential equations. We give a complete analysis for the existence and local stability of all steady states. We describe the bifurcation diagram which gives the behavior of the system with respect to the operating parameters represented by the dilution rate and the input concentrations of the substrate and the inhibitor. This diagram, is very useful to understand the model from both the mathematical and biological points of view.","container-title":"Discrete &amp; Continuous Dynamical Systems - B","DOI":"10.3934/dcdsb.2019203","ISSN":"1553-524X","issue":"6","language":"en","page":"2093-2120","source":"DOI.org (Crossref)","title":"The operating diagram for a model of competition in a chemostat with an external lethal inhibitor","volume":"25","author":[{"family":"Bar","given":""},{"family":"Sari","given":"Tewfik"},{"literal":",Université AbouBakr Belkaid, LSDA, Tlemcen, Algérie"},{"literal":",ITAP, Univ Montpellier, Irstea, Montpellier SupAgro, Montpellier, France"}],"issued":{"date-parts":[["2020"]]}}},{"id":1560,"uris":["http://zotero.org/users/6128296/items/77X327JA"],"itemData":{"id":1560,"type":"book","title":"Resource Competition and Community Structure.","volume":"Volume 17","author":[{"family":"Tilman","given":""}],"issued":{"date-parts":[["1982"]]}}},{"id":3704,"uris":["http://zotero.org/users/6128296/items/TATE9JBT"],"itemData":{"id":3704,"type":"article-journal","abstract":"We present a continuous time model of the dynamics of two species competing for a single limiting resource in the presence of a substance that inhibits the growth of one of the species. Resource and inhibitor are both derived from external sources. These inputs, and all other model parameters, are assumed to be constant in space and time. There exist conditions that permit the stable coexistence of the competitors, provided that (i) the sensitive species is more efficient in exploiting the limiting resource, and (ii) the resistant species removes the inhibitor from the environment. There exists a subset of these conditions wherein the sensitive species can become established if and only if the resistant species is already established. If the resistant species does not remove the inhibitor from the environment, then coexistence of sensitive and resistant species is structurally unstable. If theres~'~tantspecies produces the inhibitor, then coexistence is dynamically unstable. We review several studies of bacterial competition in the presence of antibiotics that support these conclusions.","container-title":"Journal of Theoretical Biology","DOI":"10.1016/S0022-5193(86)80226-0","ISSN":"00225193","issue":"1","journalAbbreviation":"Journal of Theoretical Biology","language":"en","page":"83-93","source":"DOI.org (Crossref)","title":"Coexistence of two competitors on one resource and one inhibitor: A chemostat model based on bacteria and antibiotics","title-short":"Coexistence of two competitors on one resource and one inhibitor","volume":"122","author":[{"family":"Lenski","given":""},{"family":"Hattingh","given":"Susan E."}],"issued":{"date-parts":[["1986",9]]}}}],"schema":"https://github.com/citation-style-language/schema/raw/master/csl-citation.json"} </w:instrText>
      </w:r>
      <w:r w:rsidR="00C7361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(Bar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2020; Tilman 1982; Lenski and Hattingh 1986)</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1520C150" w14:textId="45F228DC" w:rsidR="00824996" w:rsidRDefault="00A02D97" w:rsidP="00B05979">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We then include bacterial helper interactions, with </w:t>
      </w:r>
      <w:proofErr w:type="spellStart"/>
      <w:r w:rsidRPr="00801344">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as a model heterotrophic </w:t>
      </w:r>
      <w:r w:rsidR="00094B39">
        <w:rPr>
          <w:rFonts w:ascii="Times New Roman" w:hAnsi="Times New Roman" w:cs="Times New Roman"/>
          <w:sz w:val="24"/>
          <w:szCs w:val="24"/>
        </w:rPr>
        <w:t xml:space="preserve">bacterial </w:t>
      </w:r>
      <w:r w:rsidRPr="003609FB">
        <w:rPr>
          <w:rFonts w:ascii="Times New Roman" w:hAnsi="Times New Roman" w:cs="Times New Roman"/>
          <w:sz w:val="24"/>
          <w:szCs w:val="24"/>
        </w:rPr>
        <w:t>helper</w:t>
      </w:r>
      <w:r w:rsidR="00094B39">
        <w:rPr>
          <w:rFonts w:ascii="Times New Roman" w:hAnsi="Times New Roman" w:cs="Times New Roman"/>
          <w:sz w:val="24"/>
          <w:szCs w:val="24"/>
        </w:rPr>
        <w:t xml:space="preserve">, ‘B’, </w:t>
      </w:r>
      <w:r w:rsidRPr="003609FB">
        <w:rPr>
          <w:rFonts w:ascii="Times New Roman" w:hAnsi="Times New Roman" w:cs="Times New Roman"/>
          <w:sz w:val="24"/>
          <w:szCs w:val="24"/>
        </w:rPr>
        <w:t xml:space="preserve"> </w:t>
      </w:r>
      <w:r w:rsidR="00C7361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{"citationID":"J7pVWI2f","properties":{"formattedCitation":"(Biller, Coe, et al. 2015; Hennon et al. 2018)","plainCitation":"(Biller, Coe, et al. 2015; Hennon et al. 2018)","noteIndex":0},"citationItems":[{"id":1978,"uris":["http://zotero.org/users/6128296/items/383RAQMP"],"itemData":{"id":1978,"type":"article-journal","container-title":"Genome Announcements","DOI":"10.1128/genomeA.00967-15","ISSN":"2169-8287","issue":"4","journalAbbreviation":"Genome Announc.","language":"en","page":"e00967-15, /ga/3/4/e00967-15.atom","source":"DOI.org (Crossref)","title":"Draft Genome Sequence of &lt;i&gt;Alteromonas macleodii&lt;/i&gt; Strain MIT1002, Isolated from an Enrichment Culture of the Marine Cyanobacterium &lt;i&gt;Prochlorococcus&lt;/i&gt;","volume":"3","author":[{"family":"Biller","given":""},{"family":"Coe","given":"Allison"},{"family":"Martin-Cuadrado","given":"Ana-Belen"},{"family":"Chisholm","given":"Sallie W."}],"issued":{"date-parts":[["2015",8,27]]}}},{"id":96,"uris":["http://zotero.org/users/6128296/items/FLR3U54M"],"itemData":{"id":96,"type":"article-journal","container-title":"The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T"}],"issued":{"date-parts":[["2018",2]]}}}],"schema":"https://github.com/citation-style-language/schema/raw/master/csl-citation.json"} </w:instrText>
      </w:r>
      <w:r w:rsidR="00C7361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Coe,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Hennon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2018)</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DB7C3E" w:rsidRPr="003609FB">
        <w:rPr>
          <w:rFonts w:ascii="Times New Roman" w:hAnsi="Times New Roman" w:cs="Times New Roman"/>
          <w:sz w:val="24"/>
          <w:szCs w:val="24"/>
        </w:rPr>
        <w:t>t</w:t>
      </w:r>
      <w:r w:rsidRPr="003609FB">
        <w:rPr>
          <w:rFonts w:ascii="Times New Roman" w:hAnsi="Times New Roman" w:cs="Times New Roman"/>
          <w:sz w:val="24"/>
          <w:szCs w:val="24"/>
        </w:rPr>
        <w:t>o evaluate how a two vs</w:t>
      </w:r>
      <w:r w:rsidR="0076692E">
        <w:rPr>
          <w:rFonts w:ascii="Times New Roman" w:hAnsi="Times New Roman" w:cs="Times New Roman"/>
          <w:sz w:val="24"/>
          <w:szCs w:val="24"/>
        </w:rPr>
        <w:t>.</w:t>
      </w:r>
      <w:r w:rsidRPr="003609FB">
        <w:rPr>
          <w:rFonts w:ascii="Times New Roman" w:hAnsi="Times New Roman" w:cs="Times New Roman"/>
          <w:sz w:val="24"/>
          <w:szCs w:val="24"/>
        </w:rPr>
        <w:t xml:space="preserve"> three microbe community impacts the outcomes of a single nutrient system. Using appropriate model forcings to explore environmental and biological stimuli, differential stable community structures in oligotrophic systems are recovered. </w:t>
      </w:r>
      <w:proofErr w:type="spellStart"/>
      <w:r w:rsidRPr="00801344">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is </w:t>
      </w:r>
      <w:r w:rsidR="00801344">
        <w:rPr>
          <w:rFonts w:ascii="Times New Roman" w:hAnsi="Times New Roman" w:cs="Times New Roman"/>
          <w:sz w:val="24"/>
          <w:szCs w:val="24"/>
        </w:rPr>
        <w:t xml:space="preserve">a </w:t>
      </w:r>
      <w:r w:rsidRPr="003609FB">
        <w:rPr>
          <w:rFonts w:ascii="Times New Roman" w:hAnsi="Times New Roman" w:cs="Times New Roman"/>
          <w:sz w:val="24"/>
          <w:szCs w:val="24"/>
        </w:rPr>
        <w:t xml:space="preserve">prevalent </w:t>
      </w:r>
      <w:r w:rsidR="00C73617" w:rsidRPr="003609FB">
        <w:rPr>
          <w:rFonts w:ascii="Times New Roman" w:hAnsi="Times New Roman" w:cs="Times New Roman"/>
          <w:sz w:val="24"/>
          <w:szCs w:val="24"/>
        </w:rPr>
        <w:fldChar w:fldCharType="begin"/>
      </w:r>
      <w:r w:rsidR="00922909">
        <w:rPr>
          <w:rFonts w:ascii="Times New Roman" w:hAnsi="Times New Roman" w:cs="Times New Roman" w:hint="eastAsia"/>
          <w:sz w:val="24"/>
          <w:szCs w:val="24"/>
        </w:rPr>
        <w:instrText xml:space="preserve"> ADDIN ZOTERO_ITEM CSL_CITATION {"citationID":"UoUoyReQ","properties":{"formattedCitation":"(Garc\\uc0\\u237{}a\\uc0\\u8208{}Mart\\uc0\\u237{}nez et al. 2002; Ivars\\uc0\\u8208{}Mart\\uc0\\u237{}nez et al. 2008)","plainCitation":"(García</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 et al. 2002; Ivars</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 et al. 2008)","noteIndex":0},"citationItems":[{"id":5914,"uris":["http://zotero.org/users/6128296/items/RHGL9TLJ"],"itemData":{"id":5914,"type":"article-journal","abstract":"The presence, prevalence and variability of microorganisms re</w:instrText>
      </w:r>
      <w:r w:rsidR="00922909">
        <w:rPr>
          <w:rFonts w:ascii="Times New Roman" w:hAnsi="Times New Roman" w:cs="Times New Roman"/>
          <w:sz w:val="24"/>
          <w:szCs w:val="24"/>
        </w:rPr>
        <w:instrText>lated to the species Alteromonas macleodii, a well known culturable g-Proteobacterium, has been studied in different seawater samples from diverse geographical locations, in both the Northern and Southern hemispheres, and tested with two molecular techniques (rRNA hybridization and gene cloning and sequencing). Results show that A. macleodii -like microorganisms are present in high proportions in North Atlantic and, especially, Mediterranean waters, being higher at deep samples and particle-associated fractions, in agreement with previous ﬁndings. In contrast, Southern samples (all from very cold areas near Antarctica) presented no signiﬁcant hybridization signals. The analysis of the ribosomal ITS (16S-23S internal transcribed spacers) revealed that A. macleodii-like microorganisms from Mediterranean, North Atlantic, Caribbean and Red Sea waters differed in both size and sequence, mostly depending on their geographical origin, with Mediterranean and North Atlantic clones clustering into two main groups whereas Caribbean and Red Sea clones appeared separated.","container-title":"Environmental Microbiology","DOI":"10.1046/j.1462-2920.2002.00255.x","ISSN":"1462-2912, 1462-2920","issue":"1","journalAbbreviation":"Environmental Microbiology","language":"en","</w:instrText>
      </w:r>
      <w:r w:rsidR="00922909">
        <w:rPr>
          <w:rFonts w:ascii="Times New Roman" w:hAnsi="Times New Roman" w:cs="Times New Roman" w:hint="eastAsia"/>
          <w:sz w:val="24"/>
          <w:szCs w:val="24"/>
        </w:rPr>
        <w:instrText xml:space="preserve">page":"42-50","source":"DOI.org (Crossref)","title":"Prevalence and microdiversity of &lt;i&gt;Alteromonas macleodii&lt;/i&gt; </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like microorganisms in different oceanic regions","volume":"4","author":[{"family":"García</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Martínez","given":""},{"family":"Acinas","given":"Silvia G."},{"family":"Massana","given":"Ramon"},{"family":"Rodríguez</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Valera","given":"Francisco"}],"issued":{"date-parts":[["2002",1]]}}},{"id":5929,"uris":["http://zotero.org/users/6128296/items/2YKC96NB"],"itemData":{"id":5929,"type":"article-journal</w:instrText>
      </w:r>
      <w:r w:rsidR="00922909">
        <w:rPr>
          <w:rFonts w:ascii="Times New Roman" w:hAnsi="Times New Roman" w:cs="Times New Roman"/>
          <w:sz w:val="24"/>
          <w:szCs w:val="24"/>
        </w:rPr>
        <w:instrText>","abstract":"Twenty-three isolates of the widely distributed marine bacteria Alteromonas macleodii have been analysed by multilocus sequence analysis combined with phylogenetic and multivariate statistical analyses. The strains originated from the Pacific Ocean, Mediterranean Sea, English Channel, Black Sea and Thailand. Using the nucleotide sequences of nine loci for each of the 23 isolates, a robust identification was achieved of different clades within the single species. Strains generally clustered with the depth in the water column from which the isolate originated. Strains also showed more recombination with isolates from the same vicinity, suggesting that genetic exchange plays a role in diversification of planktonic marine prokaryotes. This study thus shows for the first time for a large set of isolates of a species of planktonic marine prokaryotes that multilocus sequence analysis overcomes the problems associated with the analysis of individual marker genes or presence of extensive recombination events. It can thus achieve intraspecific identification to the level of genotypes and, by comparison with relevant environmental data, ecotypes.","container-title":"Molecular Ecology","DOI":"10.1111/j.1365-294X.2008.03883.x","ISSN":"0962-1083, 1365-294X","issue":"18","journalAbbreviation":"Molecular Ecology","language":"en","page":"4092-4106","source":"DOI.org (Crossref)","title":"Biogeography of the ubiquitous marine bacterium &lt;i&gt;Alteromonas macleodii&lt;/i&gt; determined by multilocus sequence analysis","v</w:instrText>
      </w:r>
      <w:r w:rsidR="00922909">
        <w:rPr>
          <w:rFonts w:ascii="Times New Roman" w:hAnsi="Times New Roman" w:cs="Times New Roman" w:hint="eastAsia"/>
          <w:sz w:val="24"/>
          <w:szCs w:val="24"/>
        </w:rPr>
        <w:instrText>olume":"17","author":[{"family":"Ivars</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Martínez","given":""},{"family":"D</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Auria","given":"Giuseppe"},{"family":"Rodríguez</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Valera","given":"Francisco"},{"family":"Sánchez</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Porro","given":"Cristina"},{"family":"Ventosa","given":"Antonio"},{"family":"Joint","</w:instrText>
      </w:r>
      <w:r w:rsidR="00922909">
        <w:rPr>
          <w:rFonts w:ascii="Times New Roman" w:hAnsi="Times New Roman" w:cs="Times New Roman"/>
          <w:sz w:val="24"/>
          <w:szCs w:val="24"/>
        </w:rPr>
        <w:instrText xml:space="preserve">given":"Ian"},{"family":"Mühling","given":"Martin"}],"issued":{"date-parts":[["2008",9]]}}}],"schema":"https://github.com/citation-style-language/schema/raw/master/csl-citation.json"} </w:instrText>
      </w:r>
      <w:r w:rsidR="00C73617"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(García‐Martínez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xml:space="preserve">. 2002; Ivars‐Martínez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2008)</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w:t>
      </w:r>
      <w:r w:rsidR="0076692E">
        <w:rPr>
          <w:rFonts w:ascii="Times New Roman" w:hAnsi="Times New Roman" w:cs="Times New Roman"/>
          <w:sz w:val="24"/>
          <w:szCs w:val="24"/>
        </w:rPr>
        <w:t xml:space="preserve">an </w:t>
      </w:r>
      <w:r w:rsidRPr="003609FB">
        <w:rPr>
          <w:rFonts w:ascii="Times New Roman" w:hAnsi="Times New Roman" w:cs="Times New Roman"/>
          <w:sz w:val="24"/>
          <w:szCs w:val="24"/>
        </w:rPr>
        <w:t>active member of the marine community</w:t>
      </w:r>
      <w:r w:rsidR="00C73617" w:rsidRPr="003609FB">
        <w:rPr>
          <w:rFonts w:ascii="Times New Roman" w:hAnsi="Times New Roman" w:cs="Times New Roman"/>
          <w:sz w:val="24"/>
          <w:szCs w:val="24"/>
        </w:rPr>
        <w:t xml:space="preserve"> </w:t>
      </w:r>
      <w:r w:rsidR="00C7361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{"citationID":"zTWKVMqw","properties":{"formattedCitation":"(Henr\\uc0\\u237{}quez-Castillo et al. 2022)","plainCitation":"(Henríquez-Castillo et al. 2022)","noteIndex":0},"citationItems":[{"id":5923,"uris":["http://zotero.org/users/6128296/items/88JRG2YD"],"itemData":{"id":5923,"type":"article-journal","abstract":"Gammaproteobacteria of the genus\n              Alteromonas\n              are prominent members of pelagic marine microbial communities, playing critical roles in the aerobic degradation of particulate organic matter. Comparative genomic studies of these microorganisms have mainly focused on the metabolic and genomic plasticity of strains isolated primarily from oxygenated environments. In this study, we show that\n              Alteromonas\n              significantly contribute to marine microbial communities from suboxic waters ([O\n              2\n              ] &amp;lt; 5 uM) in both the free-living (FL) and particle-attached (PA) fractions, but considerably decrease in abundance in the anoxic waters. The highest proportion of\n              Alteromonas\n              transcripts was found within the secondary fluorescence maximum (SFM) of Oxygen Minimum Zones (OMZs). This metatranscriptomic information suggests an\n              in situ\n              coupling of\n              Alteromonas\n              iron (Fe) and carbon metabolisms, and a relevant role of the glyoxylate cycle across the different layers of the OMZs. This study demonstrates that\n              Alteromonas\n              is an abundant and active member of the OMZ microbial communities, with a potentially significant impact on the carbon cycling in these ecosystems. These results provide valuable environmental evidence to support previous culture-based studies assessing the physiology and ecology of these ubiquitous marine heterotrophs under low-oxygen conditions.","container-title":"Frontiers in Marine Science","DOI":"10.3389/fmars.2022.993667","ISSN":"2296-7745","journalAbbreviation":"Front. Mar. Sci.","language":"en","page":"993667","source":"DOI.org (Crossref)","title":"Metaomics unveils the contribution of Alteromonas bacteria to carbon cycling in marine oxygen minimum zones","volume":"9","author":[{"family":"Henríquez-Castillo","given":""},{"family":"Plominsky","given":"Alvaro M."},{"family":"Ramírez-Flandes","given":"Salvador"},{"family":"Bertagnolli","given":"Anthony D."},{"family":"Stewart","given":"Frank J."},{"family":"Ulloa","given":"Osvaldo"}],"issued":{"date-parts":[["2022",9,20]]}}}],"schema":"https://github.com/citation-style-language/schema/raw/master/csl-citation.json"} </w:instrText>
      </w:r>
      <w:r w:rsidR="00C73617"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(Henríquez-Castillo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2022)</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It is equipped to survive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with </w:t>
      </w:r>
      <w:r w:rsidR="0076692E">
        <w:rPr>
          <w:rFonts w:ascii="Times New Roman" w:hAnsi="Times New Roman" w:cs="Times New Roman"/>
          <w:sz w:val="24"/>
          <w:szCs w:val="24"/>
        </w:rPr>
        <w:t xml:space="preserve">an active copy of </w:t>
      </w:r>
      <w:r w:rsidRPr="003609FB">
        <w:rPr>
          <w:rFonts w:ascii="Times New Roman" w:hAnsi="Times New Roman" w:cs="Times New Roman"/>
          <w:sz w:val="24"/>
          <w:szCs w:val="24"/>
        </w:rPr>
        <w:t xml:space="preserve">catalase </w:t>
      </w:r>
      <w:r w:rsidR="00C7361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{"citationID":"V3LFbyjV","properties":{"formattedCitation":"(Morris et al. 2016; Wietz et al. 2022)","plainCitation":"(Morris et al. 2016; Wietz et al. 2022)","noteIndex":0},"citationItems":[{"id":1698,"uris":["http://zotero.org/users/6128296/items/EVC4QN3I"],"itemData":{"id":1698,"type":"article-journal","container-title":"Journal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R."}],"issued":{"date-parts":[["2016",8]]}}},{"id":5927,"uris":["http://zotero.org/users/6128296/items/6EDJNA37"],"itemData":{"id":5927,"type":"article-journal","abstract":"Alteromonas macleodii is a marine heterotrophic bacterium with widespread distribution − from temperate to tropical oceans, and from surface to deep waters. Strains of A. macleodii exhibit considerable genomic and metabolic variability, and can grow rapidly on diverse organic compounds. A. macleodii is a model organism for the study of population genomics, physiological adaptations and microbial interactions, with individual genomes encoding diverse phenotypic traits influenced by recombination and horizontal gene transfer.","container-title":"Microbiology","DOI":"10.1099/mic.0.001236","ISSN":"1350-0872, 1465-2080","issue":"11","language":"en","source":"DOI.org (Crossref)","title":"Microbe Profile: Alteromonas macleodii − a widespread, fast-responding, ‘interactive’ marine bacterium","title-short":"Microbe Profile","URL":"https://www.microbiologyresearch.org/content/journal/micro/10.1099/mic.0.001236","volume":"168","author":[{"family":"Wietz","given":""},{"family":"López-Pérez","given":"Mario"},{"family":"Sher","given":"Daniel"},{"family":"Biller","given":"Steven J."},{"family":"Rodriguez-Valera","given":"Francisco"}],"accessed":{"date-parts":[["2024",3,26]]},"issued":{"date-parts":[["2022",11,30]]}}}],"schema":"https://github.com/citation-style-language/schema/raw/master/csl-citation.json"} </w:instrText>
      </w:r>
      <w:r w:rsidR="00C7361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2016; Wietz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as well as different metabolism and iron acquisition </w:t>
      </w:r>
      <w:r w:rsidR="00801344">
        <w:rPr>
          <w:rFonts w:ascii="Times New Roman" w:hAnsi="Times New Roman" w:cs="Times New Roman"/>
          <w:sz w:val="24"/>
          <w:szCs w:val="24"/>
        </w:rPr>
        <w:t>(iron</w:t>
      </w:r>
      <w:r w:rsidR="002D4B1E">
        <w:rPr>
          <w:rFonts w:ascii="Times New Roman" w:hAnsi="Times New Roman" w:cs="Times New Roman"/>
          <w:sz w:val="24"/>
          <w:szCs w:val="24"/>
        </w:rPr>
        <w:t xml:space="preserve"> is a common</w:t>
      </w:r>
      <w:r w:rsidRPr="003609FB">
        <w:rPr>
          <w:rFonts w:ascii="Times New Roman" w:hAnsi="Times New Roman" w:cs="Times New Roman"/>
          <w:sz w:val="24"/>
          <w:szCs w:val="24"/>
        </w:rPr>
        <w:t xml:space="preserve"> base metals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cycling enzymes </w:t>
      </w:r>
      <w:r w:rsidR="00C7361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{"citationID":"Ui4QbjY4","properties":{"formattedCitation":"(Chelikani, Fita, and Loewen 2004; Ighodaro and Akinloye 2018)","plainCitation":"(Chelikani, Fita, and Loewen 2004; Ighodaro and Akinloye 2018)","noteIndex":0},"citationItems":[{"id":3139,"uris":["http://zotero.org/users/6128296/items/TTNFG3TL"],"itemData":{"id":3139,"type":"article-journal","abstract":"Abstract. More than 300 catalase sequences are now available, divided among monofunctional catalases (&gt; 225), bifunctional catalase-peroxidases (&gt; 50) and manganese-containing catalases (&gt; 25). When combined with the recent appearance of crystal structures from at least two representatives from each of these groups (nine from the monofunctional catalases), valuable insights into the catalatic reaction mechanism in its various forms and into catalase evolution have been gained. The structures have revealed an unusually large number of modifiCMLS, Cell. Mol. Life Sci. 61 (2004) 192 – 208 1420-682X/04/020192-17 DOI 10.1007/s00018-003-3206-5 © Birkhäuser Verlag, Basel, 2004 CMLS Cellular and Molecular Life Sciences cations unique to catalases, a result of interacting with reactive oxygen species. Biochemical and physiological characterization of catalases from many different organisms has revealed a surprisingly wide range of catalatic efficiencies, despite similar sequences. Catalase gene expression in micro-organisms generally is controlled either by sensors of reactive oxygen species or by growth phase regulons, although the detailed mechanisms vary considerably.","container-title":"Cellular and Molecular Life Sciences (CMLS)","DOI":"10.1007/s00018-003-3206-5","ISSN":"1420-682X, 1420-9071","issue":"2","journalAbbreviation":"Cellular and Molecular Life Sciences (CMLS)","language":"en","page":"192-208","source":"DOI.org (Crossref)","title":"Diversity of structures and properties among catalases","volume":"61","author":[{"family":"Chelikani","given":""},{"family":"Fita","given":"I."},{"family":"Loewen","given":"P. C."}],"issued":{"date-parts":[["2004",1,1]]}}},{"id":6674,"uris":["http://zotero.org/users/6128296/items/2CU4WY5C"],"itemData":{"id":6674,"type":"article-journal","abstract":"The body encloses a complex antioxidant defence grid that relies on endogenous enzymatic and nonenzymatic antioxidants. These molecules collectively act against free radicals to resist their damaging effects to vital biomolecules and ultimately body tissues. Based on their response to general free radical invasion, they can be categorized into ﬁrst, second, third and even fourth line defense antioxidants. The role and effectiveness of the ﬁrst line defense antioxidants which basically include superoxide dismutase (SOD), catalase (CAT) and glutathione peroxidase (GPX) is important and indispensable in the entire defense strategy of antioxidants, especially in reference to super oxide anion radical (*O2) which is perpetually generated in normal body metabolism, particularly through the mitochondrial energy production pathway (MEPP). A lot has been published concerning antioxidants and their signiﬁcance in preventing oxidative stress and the attendant cellular damage, howbeit with paucity of awareness on the fundamental role of SOD, CAT and GPX. The present review tends to articulate important information on SOD, CAT and GPX as ﬁrst line defense antioxidant enzymes.","container-title":"Alexandria Journal of Medicine","DOI":"10.1016/j.ajme.2017.09.001","ISSN":"2090-5068, 2090-5076","issue":"4","journalAbbreviation":"Alexandria Journal of Medicine","language":"en","page":"287-293","source":"DOI.org (Crossref)","title":"First line defence antioxidants-superoxide dismutase (SOD), catalase (CAT) and glutathione peroxidase (GPX): Their fundamental role in the entire antioxidant defence grid","title-short":"First line defence antioxidants-superoxide dismutase (SOD), catalase (CAT) and glutathione peroxidase (GPX)","volume":"54","author":[{"family":"Ighodaro","given":""},{"family":"Akinloye","given":""}],"issued":{"date-parts":[["2018",12,1]]}}}],"schema":"https://github.com/citation-style-language/schema/raw/master/csl-citation.json"} </w:instrText>
      </w:r>
      <w:r w:rsidR="00C7361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Chelikani</w:t>
      </w:r>
      <w:proofErr w:type="spellEnd"/>
      <w:r w:rsidR="006C2922">
        <w:rPr>
          <w:rFonts w:ascii="Times New Roman" w:hAnsi="Times New Roman" w:cs="Times New Roman"/>
          <w:sz w:val="24"/>
          <w:szCs w:val="24"/>
        </w:rPr>
        <w:t xml:space="preserve">, Fita, and Loewen 2004; Ighodaro and </w:t>
      </w:r>
      <w:proofErr w:type="spellStart"/>
      <w:r w:rsidR="006C2922">
        <w:rPr>
          <w:rFonts w:ascii="Times New Roman" w:hAnsi="Times New Roman" w:cs="Times New Roman"/>
          <w:sz w:val="24"/>
          <w:szCs w:val="24"/>
        </w:rPr>
        <w:t>Akinloye</w:t>
      </w:r>
      <w:proofErr w:type="spellEnd"/>
      <w:r w:rsidR="006C2922">
        <w:rPr>
          <w:rFonts w:ascii="Times New Roman" w:hAnsi="Times New Roman" w:cs="Times New Roman"/>
          <w:sz w:val="24"/>
          <w:szCs w:val="24"/>
        </w:rPr>
        <w:t xml:space="preserve"> 2018)</w:t>
      </w:r>
      <w:r w:rsidR="00C7361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than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or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Thus</w:t>
      </w:r>
      <w:r w:rsidR="00DB7C3E" w:rsidRPr="003609FB">
        <w:rPr>
          <w:rFonts w:ascii="Times New Roman" w:hAnsi="Times New Roman" w:cs="Times New Roman"/>
          <w:sz w:val="24"/>
          <w:szCs w:val="24"/>
        </w:rPr>
        <w:t>,</w:t>
      </w:r>
      <w:r w:rsidRPr="003609FB">
        <w:rPr>
          <w:rFonts w:ascii="Times New Roman" w:hAnsi="Times New Roman" w:cs="Times New Roman"/>
          <w:sz w:val="24"/>
          <w:szCs w:val="24"/>
        </w:rPr>
        <w:t xml:space="preserve"> how bacterial detoxification </w:t>
      </w:r>
      <w:r w:rsidR="004D59A1" w:rsidRPr="003609FB">
        <w:rPr>
          <w:rFonts w:ascii="Times New Roman" w:hAnsi="Times New Roman" w:cs="Times New Roman"/>
          <w:sz w:val="24"/>
          <w:szCs w:val="24"/>
        </w:rPr>
        <w:t xml:space="preserve">affects </w:t>
      </w:r>
      <w:r w:rsidRPr="003609FB">
        <w:rPr>
          <w:rFonts w:ascii="Times New Roman" w:hAnsi="Times New Roman" w:cs="Times New Roman"/>
          <w:sz w:val="24"/>
          <w:szCs w:val="24"/>
        </w:rPr>
        <w:t xml:space="preserve">competition between the two cyanobacteria for a single nutrient is also evaluated. Figure 3.1 described the overall competitive framework used to evaluate the possible ramifications of </w:t>
      </w:r>
    </w:p>
    <w:p w14:paraId="06AD7E35" w14:textId="77E16223" w:rsidR="00E138AB" w:rsidRPr="003609FB" w:rsidRDefault="00E138AB" w:rsidP="00AB2160">
      <w:pPr>
        <w:spacing w:line="360" w:lineRule="auto"/>
        <w:rPr>
          <w:rFonts w:ascii="Times New Roman" w:hAnsi="Times New Roman" w:cs="Times New Roman"/>
          <w:sz w:val="24"/>
          <w:szCs w:val="24"/>
        </w:rPr>
      </w:pPr>
    </w:p>
    <w:tbl>
      <w:tblPr>
        <w:tblStyle w:val="TableGrid"/>
        <w:tblW w:w="92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E138AB" w:rsidRPr="003609FB" w14:paraId="5BAA2B14" w14:textId="77777777" w:rsidTr="003D069F">
        <w:trPr>
          <w:trHeight w:val="5993"/>
          <w:jc w:val="center"/>
        </w:trPr>
        <w:tc>
          <w:tcPr>
            <w:tcW w:w="9270" w:type="dxa"/>
          </w:tcPr>
          <w:p w14:paraId="55BD5672" w14:textId="0EFB2D2F" w:rsidR="00492FBC" w:rsidRPr="003609FB" w:rsidRDefault="00175721" w:rsidP="00A842C8">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36AA77" wp14:editId="13640E27">
                  <wp:extent cx="5652655" cy="3779520"/>
                  <wp:effectExtent l="0" t="0" r="5715" b="0"/>
                  <wp:docPr id="2059388823" name="Picture 2059388823"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23" name="Picture 2059388823" descr="A diagram of a diagram&#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53516" cy="3780096"/>
                          </a:xfrm>
                          <a:prstGeom prst="rect">
                            <a:avLst/>
                          </a:prstGeom>
                        </pic:spPr>
                      </pic:pic>
                    </a:graphicData>
                  </a:graphic>
                </wp:inline>
              </w:drawing>
            </w:r>
          </w:p>
        </w:tc>
      </w:tr>
    </w:tbl>
    <w:p w14:paraId="3DE45ACF" w14:textId="27C4ADC8" w:rsidR="00850088" w:rsidRDefault="00492FBC" w:rsidP="00511118">
      <w:pPr>
        <w:pStyle w:val="Caption"/>
      </w:pPr>
      <w:bookmarkStart w:id="42" w:name="_Toc173148378"/>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1</w:t>
      </w:r>
      <w:r w:rsidR="00000000">
        <w:rPr>
          <w:noProof/>
        </w:rPr>
        <w:fldChar w:fldCharType="end"/>
      </w:r>
      <w:r>
        <w:t xml:space="preserve"> </w:t>
      </w:r>
      <w:r w:rsidRPr="00387870">
        <w:t xml:space="preserve">Parameters impacting </w:t>
      </w:r>
      <w:r w:rsidRPr="00492FBC">
        <w:rPr>
          <w:i/>
          <w:iCs/>
        </w:rPr>
        <w:t>Prochlorococcus</w:t>
      </w:r>
      <w:r w:rsidRPr="00387870">
        <w:t xml:space="preserve"> and </w:t>
      </w:r>
      <w:proofErr w:type="spellStart"/>
      <w:r w:rsidRPr="00492FBC">
        <w:rPr>
          <w:i/>
          <w:iCs/>
        </w:rPr>
        <w:t>Synechococcus</w:t>
      </w:r>
      <w:proofErr w:type="spellEnd"/>
      <w:r w:rsidRPr="00387870">
        <w:t xml:space="preserve"> growing on ammonium in </w:t>
      </w:r>
      <w:r w:rsidR="00F52F1E" w:rsidRPr="003609FB">
        <w:t>H</w:t>
      </w:r>
      <w:r w:rsidR="00F52F1E" w:rsidRPr="00351FC4">
        <w:rPr>
          <w:vertAlign w:val="subscript"/>
        </w:rPr>
        <w:t>2</w:t>
      </w:r>
      <w:r w:rsidR="00F52F1E" w:rsidRPr="003609FB">
        <w:t>O</w:t>
      </w:r>
      <w:r w:rsidR="00F52F1E" w:rsidRPr="00351FC4">
        <w:rPr>
          <w:vertAlign w:val="subscript"/>
        </w:rPr>
        <w:t>2</w:t>
      </w:r>
      <w:r>
        <w:rPr>
          <w:vertAlign w:val="subscript"/>
        </w:rPr>
        <w:t xml:space="preserve">. </w:t>
      </w:r>
      <w:proofErr w:type="gramStart"/>
      <w:r w:rsidR="0088400F" w:rsidRPr="0088400F">
        <w:t>Schematic</w:t>
      </w:r>
      <w:proofErr w:type="gramEnd"/>
      <w:r w:rsidR="0088400F" w:rsidRPr="0088400F">
        <w:t xml:space="preserve"> showing overall model formulation of the ODEs </w:t>
      </w:r>
      <w:r w:rsidR="008E7F6B">
        <w:t>shows</w:t>
      </w:r>
      <w:r w:rsidR="0088400F" w:rsidRPr="0088400F">
        <w:t xml:space="preserve"> two microbes, </w:t>
      </w:r>
      <w:r w:rsidR="0088400F" w:rsidRPr="00A71D63">
        <w:rPr>
          <w:i/>
          <w:iCs/>
        </w:rPr>
        <w:t>Prochlorococcus</w:t>
      </w:r>
      <w:r w:rsidR="0088400F" w:rsidRPr="0088400F">
        <w:t xml:space="preserve"> (Pro) and </w:t>
      </w:r>
      <w:proofErr w:type="spellStart"/>
      <w:r w:rsidR="0088400F" w:rsidRPr="00A71D63">
        <w:rPr>
          <w:i/>
          <w:iCs/>
        </w:rPr>
        <w:t>Synechococcus</w:t>
      </w:r>
      <w:proofErr w:type="spellEnd"/>
      <w:r w:rsidR="0088400F" w:rsidRPr="0088400F">
        <w:t xml:space="preserve"> (Syn) grow from a singular </w:t>
      </w:r>
      <w:r w:rsidR="000A502F" w:rsidRPr="0088400F">
        <w:t>ammonium</w:t>
      </w:r>
      <w:r w:rsidR="0088400F" w:rsidRPr="0088400F">
        <w:t xml:space="preserve"> pool (N) with external H</w:t>
      </w:r>
      <w:r w:rsidR="0088400F" w:rsidRPr="00A71D63">
        <w:rPr>
          <w:vertAlign w:val="subscript"/>
        </w:rPr>
        <w:t>2</w:t>
      </w:r>
      <w:r w:rsidR="0088400F" w:rsidRPr="0088400F">
        <w:t>O</w:t>
      </w:r>
      <w:r w:rsidR="0088400F" w:rsidRPr="00A71D63">
        <w:rPr>
          <w:vertAlign w:val="subscript"/>
        </w:rPr>
        <w:t>2</w:t>
      </w:r>
      <w:r w:rsidR="0088400F" w:rsidRPr="0088400F">
        <w:t xml:space="preserve"> </w:t>
      </w:r>
      <w:r w:rsidR="00A71D63">
        <w:t xml:space="preserve">(H) </w:t>
      </w:r>
      <w:r w:rsidR="0088400F" w:rsidRPr="0088400F">
        <w:t>production.</w:t>
      </w:r>
      <w:r w:rsidR="000B22B0">
        <w:t xml:space="preserve"> </w:t>
      </w:r>
      <w:r w:rsidR="0088400F" w:rsidRPr="0088400F">
        <w:t xml:space="preserve">The </w:t>
      </w:r>
      <w:r w:rsidR="0015395F">
        <w:t xml:space="preserve">heterotrophic </w:t>
      </w:r>
      <w:r w:rsidR="0088400F" w:rsidRPr="0088400F">
        <w:t xml:space="preserve">bacterial helper </w:t>
      </w:r>
      <w:r w:rsidR="0015395F">
        <w:t xml:space="preserve">(B) </w:t>
      </w:r>
      <w:r w:rsidR="0088400F" w:rsidRPr="0088400F">
        <w:t xml:space="preserve">does not compete for ammonium here. Parameters (symbols) control the flux (arrows) between measurable pools of P, S, N, and H. </w:t>
      </w:r>
      <w:r w:rsidR="006D4EED" w:rsidRPr="0088400F">
        <w:t>Differential</w:t>
      </w:r>
      <w:r w:rsidR="0088400F" w:rsidRPr="0088400F">
        <w:t xml:space="preserve"> inclusion of H</w:t>
      </w:r>
      <w:r w:rsidR="0088400F" w:rsidRPr="000A502F">
        <w:rPr>
          <w:vertAlign w:val="subscript"/>
        </w:rPr>
        <w:t>2</w:t>
      </w:r>
      <w:r w:rsidR="0088400F" w:rsidRPr="0088400F">
        <w:t>O</w:t>
      </w:r>
      <w:r w:rsidR="0088400F" w:rsidRPr="000A502F">
        <w:rPr>
          <w:vertAlign w:val="subscript"/>
        </w:rPr>
        <w:t>2</w:t>
      </w:r>
      <w:r w:rsidR="0088400F" w:rsidRPr="0088400F">
        <w:t xml:space="preserve"> parameters within this framework allows this model to evaluate how 4 scenarios (cases) impact the competitive advantage of these microbes over one another (a microbial Thunderdome).</w:t>
      </w:r>
      <w:bookmarkEnd w:id="42"/>
      <w:r w:rsidR="0088400F" w:rsidRPr="0088400F">
        <w:t xml:space="preserve">   </w:t>
      </w:r>
    </w:p>
    <w:p w14:paraId="469AE627" w14:textId="77777777" w:rsidR="00B05979" w:rsidRDefault="00B05979" w:rsidP="003A364A">
      <w:pPr>
        <w:pStyle w:val="Heading2"/>
        <w:spacing w:line="360" w:lineRule="auto"/>
      </w:pPr>
    </w:p>
    <w:p w14:paraId="1A0CDCCB" w14:textId="77777777" w:rsidR="00B05979" w:rsidRDefault="00B05979" w:rsidP="003A364A">
      <w:pPr>
        <w:pStyle w:val="Heading2"/>
        <w:spacing w:line="360" w:lineRule="auto"/>
      </w:pPr>
    </w:p>
    <w:p w14:paraId="25A97121" w14:textId="77777777" w:rsidR="00A842C8" w:rsidRDefault="00A842C8" w:rsidP="00A842C8"/>
    <w:p w14:paraId="0C5C044A" w14:textId="77777777" w:rsidR="00A842C8" w:rsidRPr="00A842C8" w:rsidRDefault="00A842C8" w:rsidP="00A842C8"/>
    <w:p w14:paraId="512B2EC5" w14:textId="00AE2EE3" w:rsidR="00F17DAA" w:rsidRDefault="00F17DAA" w:rsidP="00F17DAA">
      <w:pPr>
        <w:pStyle w:val="Caption"/>
      </w:pPr>
      <w:r w:rsidRPr="003609FB">
        <w:lastRenderedPageBreak/>
        <w:t>differential H</w:t>
      </w:r>
      <w:r w:rsidRPr="00351FC4">
        <w:rPr>
          <w:vertAlign w:val="subscript"/>
        </w:rPr>
        <w:t>2</w:t>
      </w:r>
      <w:r w:rsidRPr="003609FB">
        <w:t>O</w:t>
      </w:r>
      <w:r w:rsidRPr="00351FC4">
        <w:rPr>
          <w:vertAlign w:val="subscript"/>
        </w:rPr>
        <w:t>2</w:t>
      </w:r>
      <w:r w:rsidRPr="003609FB">
        <w:t xml:space="preserve"> trait occurrence within a nutrient competition framework based on parameters from monoculture assessment of </w:t>
      </w:r>
      <w:r w:rsidRPr="00691B65">
        <w:rPr>
          <w:i/>
          <w:iCs/>
        </w:rPr>
        <w:t>Prochlorococcus</w:t>
      </w:r>
      <w:r w:rsidRPr="003609FB">
        <w:t xml:space="preserve"> and </w:t>
      </w:r>
      <w:proofErr w:type="spellStart"/>
      <w:r w:rsidRPr="00691B65">
        <w:rPr>
          <w:i/>
          <w:iCs/>
        </w:rPr>
        <w:t>Synechococcus</w:t>
      </w:r>
      <w:proofErr w:type="spellEnd"/>
      <w:r w:rsidRPr="003609FB">
        <w:t>.</w:t>
      </w:r>
    </w:p>
    <w:p w14:paraId="0DE3C047" w14:textId="709B6D1C" w:rsidR="00B05979" w:rsidRPr="00B05979" w:rsidRDefault="003A364A" w:rsidP="00B05979">
      <w:pPr>
        <w:pStyle w:val="Heading2"/>
        <w:spacing w:line="360" w:lineRule="auto"/>
      </w:pPr>
      <w:bookmarkStart w:id="43" w:name="_Toc173250031"/>
      <w:r w:rsidRPr="003609FB">
        <w:t>Methods</w:t>
      </w:r>
      <w:bookmarkEnd w:id="43"/>
      <w:r w:rsidRPr="003609FB">
        <w:t xml:space="preserve"> </w:t>
      </w:r>
    </w:p>
    <w:p w14:paraId="64DA7676" w14:textId="21F44BC3" w:rsidR="008E7F6B" w:rsidRPr="003609FB" w:rsidRDefault="003A364A" w:rsidP="003A364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We developed a coculture model that builds from Chapter 2 parameters but adds source and basal sink terms to N, representing ammonium. This ammonium, which both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their close relative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can access at differing degrees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{"citationID":"G8z9AMXG","properties":{"formattedCitation":"(Garcia-Fernandez, de Marsac, and Diez 2004; Masuda et al. 2023)","plainCitation":"(Garcia-Fernandez, de Marsac, and Diez 2004; Masuda et al. 2023)","noteIndex":0},"citationItems":[{"id":92,"uris":["http://zotero.org/users/6128296/items/NBRTUMCT"],"itemData":{"id":92,"type":"article-journal","container-title":"Microbiology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(Garcia-Fernandez, de Marsac, and Diez 2004; Masuda </w:t>
      </w:r>
      <w:r w:rsidR="00183222" w:rsidRPr="00183222">
        <w:rPr>
          <w:rFonts w:ascii="Times New Roman" w:hAnsi="Times New Roman" w:cs="Times New Roman"/>
          <w:i/>
          <w:iCs/>
          <w:sz w:val="24"/>
          <w:szCs w:val="24"/>
        </w:rPr>
        <w:t>et al</w:t>
      </w:r>
      <w:r>
        <w:rPr>
          <w:rFonts w:ascii="Times New Roman" w:hAnsi="Times New Roman" w:cs="Times New Roman"/>
          <w:sz w:val="24"/>
          <w:szCs w:val="24"/>
        </w:rPr>
        <w:t>. 2023)</w:t>
      </w:r>
      <w:r w:rsidRPr="003609FB">
        <w:rPr>
          <w:rFonts w:ascii="Times New Roman" w:hAnsi="Times New Roman" w:cs="Times New Roman"/>
          <w:sz w:val="24"/>
          <w:szCs w:val="24"/>
        </w:rPr>
        <w:fldChar w:fldCharType="end"/>
      </w:r>
      <w:r w:rsidR="00B05979">
        <w:rPr>
          <w:rFonts w:ascii="Times New Roman" w:hAnsi="Times New Roman" w:cs="Times New Roman"/>
          <w:sz w:val="24"/>
          <w:szCs w:val="24"/>
        </w:rPr>
        <w:t>, serves as the only N term in this system</w:t>
      </w:r>
      <w:r w:rsidRPr="003609FB">
        <w:rPr>
          <w:rFonts w:ascii="Times New Roman" w:hAnsi="Times New Roman" w:cs="Times New Roman"/>
          <w:sz w:val="24"/>
          <w:szCs w:val="24"/>
        </w:rPr>
        <w:t xml:space="preserve">. This single nutrient system, along with </w:t>
      </w:r>
      <w:r w:rsidR="00AB311B">
        <w:rPr>
          <w:rFonts w:ascii="Times New Roman" w:hAnsi="Times New Roman" w:cs="Times New Roman"/>
          <w:sz w:val="24"/>
          <w:szCs w:val="24"/>
        </w:rPr>
        <w:t>only two plankton</w:t>
      </w:r>
      <w:r w:rsidRPr="003609FB">
        <w:rPr>
          <w:rFonts w:ascii="Times New Roman" w:hAnsi="Times New Roman" w:cs="Times New Roman"/>
          <w:sz w:val="24"/>
          <w:szCs w:val="24"/>
        </w:rPr>
        <w:t xml:space="preserve"> with different ammonium (and eventually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traits) allows for the examination of</w:t>
      </w:r>
      <w:r w:rsidR="00AB311B">
        <w:rPr>
          <w:rFonts w:ascii="Times New Roman" w:hAnsi="Times New Roman" w:cs="Times New Roman"/>
          <w:sz w:val="24"/>
          <w:szCs w:val="24"/>
        </w:rPr>
        <w:t xml:space="preserve"> growth and detoxification tradeoffs in a </w:t>
      </w:r>
      <w:r w:rsidR="00B05979">
        <w:rPr>
          <w:rFonts w:ascii="Times New Roman" w:hAnsi="Times New Roman" w:cs="Times New Roman"/>
          <w:sz w:val="24"/>
          <w:szCs w:val="24"/>
        </w:rPr>
        <w:t>simple yet</w:t>
      </w:r>
      <w:r w:rsidR="00AB311B">
        <w:rPr>
          <w:rFonts w:ascii="Times New Roman" w:hAnsi="Times New Roman" w:cs="Times New Roman"/>
          <w:sz w:val="24"/>
          <w:szCs w:val="24"/>
        </w:rPr>
        <w:t xml:space="preserve"> </w:t>
      </w:r>
      <w:proofErr w:type="gramStart"/>
      <w:r w:rsidR="00AB311B">
        <w:rPr>
          <w:rFonts w:ascii="Times New Roman" w:hAnsi="Times New Roman" w:cs="Times New Roman"/>
          <w:sz w:val="24"/>
          <w:szCs w:val="24"/>
        </w:rPr>
        <w:t>quantitate</w:t>
      </w:r>
      <w:proofErr w:type="gramEnd"/>
      <w:r w:rsidR="00AB311B">
        <w:rPr>
          <w:rFonts w:ascii="Times New Roman" w:hAnsi="Times New Roman" w:cs="Times New Roman"/>
          <w:sz w:val="24"/>
          <w:szCs w:val="24"/>
        </w:rPr>
        <w:t xml:space="preserve"> way. </w:t>
      </w:r>
      <w:r w:rsidR="00B05979">
        <w:rPr>
          <w:rFonts w:ascii="Times New Roman" w:hAnsi="Times New Roman" w:cs="Times New Roman"/>
          <w:sz w:val="24"/>
          <w:szCs w:val="24"/>
        </w:rPr>
        <w:t>Thus,</w:t>
      </w:r>
      <w:r w:rsidR="00AB311B">
        <w:rPr>
          <w:rFonts w:ascii="Times New Roman" w:hAnsi="Times New Roman" w:cs="Times New Roman"/>
          <w:sz w:val="24"/>
          <w:szCs w:val="24"/>
        </w:rPr>
        <w:t xml:space="preserve"> allowing for the analysis of</w:t>
      </w:r>
      <w:r w:rsidRPr="003609FB">
        <w:rPr>
          <w:rFonts w:ascii="Times New Roman" w:hAnsi="Times New Roman" w:cs="Times New Roman"/>
          <w:sz w:val="24"/>
          <w:szCs w:val="24"/>
        </w:rPr>
        <w:t xml:space="preser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sidR="00AB311B">
        <w:rPr>
          <w:rFonts w:ascii="Times New Roman" w:hAnsi="Times New Roman" w:cs="Times New Roman"/>
          <w:sz w:val="24"/>
          <w:szCs w:val="24"/>
        </w:rPr>
        <w:t xml:space="preserve">and </w:t>
      </w:r>
      <w:proofErr w:type="spellStart"/>
      <w:r w:rsidR="00AB311B" w:rsidRPr="00AB311B">
        <w:rPr>
          <w:rFonts w:ascii="Times" w:hAnsi="Times" w:cs="Times New Roman"/>
          <w:i/>
          <w:iCs/>
          <w:color w:val="000000" w:themeColor="text1"/>
          <w:sz w:val="24"/>
          <w:szCs w:val="24"/>
        </w:rPr>
        <w:t>Synechococcus</w:t>
      </w:r>
      <w:proofErr w:type="spellEnd"/>
      <w:r w:rsidR="00AB311B">
        <w:rPr>
          <w:rFonts w:ascii="Times New Roman" w:hAnsi="Times New Roman" w:cs="Times New Roman"/>
          <w:sz w:val="24"/>
          <w:szCs w:val="24"/>
        </w:rPr>
        <w:t xml:space="preserve"> </w:t>
      </w:r>
      <w:r w:rsidRPr="003609FB">
        <w:rPr>
          <w:rFonts w:ascii="Times New Roman" w:hAnsi="Times New Roman" w:cs="Times New Roman"/>
          <w:sz w:val="24"/>
          <w:szCs w:val="24"/>
        </w:rPr>
        <w:t>dynamics from a community lens</w:t>
      </w:r>
      <w:r w:rsidR="00AB311B">
        <w:rPr>
          <w:rFonts w:ascii="Times New Roman" w:hAnsi="Times New Roman" w:cs="Times New Roman"/>
          <w:sz w:val="24"/>
          <w:szCs w:val="24"/>
        </w:rPr>
        <w:t xml:space="preserve"> while isolating the influences of </w:t>
      </w:r>
      <w:r w:rsidR="00AB311B" w:rsidRPr="003609FB">
        <w:rPr>
          <w:rFonts w:ascii="Times New Roman" w:hAnsi="Times New Roman" w:cs="Times New Roman"/>
          <w:sz w:val="24"/>
          <w:szCs w:val="24"/>
        </w:rPr>
        <w:t>H</w:t>
      </w:r>
      <w:r w:rsidR="00AB311B" w:rsidRPr="00351FC4">
        <w:rPr>
          <w:rFonts w:ascii="Times New Roman" w:hAnsi="Times New Roman" w:cs="Times New Roman"/>
          <w:sz w:val="24"/>
          <w:szCs w:val="24"/>
          <w:vertAlign w:val="subscript"/>
        </w:rPr>
        <w:t>2</w:t>
      </w:r>
      <w:r w:rsidR="00AB311B" w:rsidRPr="003609FB">
        <w:rPr>
          <w:rFonts w:ascii="Times New Roman" w:hAnsi="Times New Roman" w:cs="Times New Roman"/>
          <w:sz w:val="24"/>
          <w:szCs w:val="24"/>
        </w:rPr>
        <w:t>O</w:t>
      </w:r>
      <w:r w:rsidR="00AB311B" w:rsidRPr="00351FC4">
        <w:rPr>
          <w:rFonts w:ascii="Times New Roman" w:hAnsi="Times New Roman" w:cs="Times New Roman"/>
          <w:sz w:val="24"/>
          <w:szCs w:val="24"/>
          <w:vertAlign w:val="subscript"/>
        </w:rPr>
        <w:t>2</w:t>
      </w:r>
      <w:r w:rsidR="00AB311B">
        <w:rPr>
          <w:rFonts w:ascii="Times New Roman" w:hAnsi="Times New Roman" w:cs="Times New Roman"/>
          <w:sz w:val="24"/>
          <w:szCs w:val="24"/>
          <w:vertAlign w:val="subscript"/>
        </w:rPr>
        <w:t xml:space="preserve"> </w:t>
      </w:r>
      <w:r w:rsidR="00AB311B">
        <w:rPr>
          <w:rFonts w:ascii="Times New Roman" w:hAnsi="Times New Roman" w:cs="Times New Roman"/>
          <w:sz w:val="24"/>
          <w:szCs w:val="24"/>
        </w:rPr>
        <w:t>and nitrogen on this community</w:t>
      </w:r>
      <w:r w:rsidRPr="003609FB">
        <w:rPr>
          <w:rFonts w:ascii="Times New Roman" w:hAnsi="Times New Roman" w:cs="Times New Roman"/>
          <w:sz w:val="24"/>
          <w:szCs w:val="24"/>
        </w:rPr>
        <w:t xml:space="preserve">. Because this model was built in a stepwise </w:t>
      </w:r>
      <w:proofErr w:type="gramStart"/>
      <w:r w:rsidRPr="003609FB">
        <w:rPr>
          <w:rFonts w:ascii="Times New Roman" w:hAnsi="Times New Roman" w:cs="Times New Roman"/>
          <w:sz w:val="24"/>
          <w:szCs w:val="24"/>
        </w:rPr>
        <w:t>manor</w:t>
      </w:r>
      <w:proofErr w:type="gramEnd"/>
      <w:r w:rsidRPr="003609FB">
        <w:rPr>
          <w:rFonts w:ascii="Times New Roman" w:hAnsi="Times New Roman" w:cs="Times New Roman"/>
          <w:sz w:val="24"/>
          <w:szCs w:val="24"/>
        </w:rPr>
        <w:t xml:space="preserve">, this took only slight augmentation of monoculture parameters to bring new control to its ability for hypothesis testing. Using three cases of a competition model, we assess how the parameters modeled in monoculture may influence long term community structure within a two - microbe system. Specifically, cases evaluate if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damage is deadly </w:t>
      </w:r>
      <w:r w:rsidRPr="006D4EED">
        <w:rPr>
          <w:rFonts w:ascii="Times New Roman" w:hAnsi="Times New Roman" w:cs="Times New Roman"/>
          <w:i/>
          <w:iCs/>
          <w:sz w:val="24"/>
          <w:szCs w:val="24"/>
        </w:rPr>
        <w:t>in situ</w:t>
      </w:r>
      <w:r w:rsidRPr="003609FB">
        <w:rPr>
          <w:rFonts w:ascii="Times New Roman" w:hAnsi="Times New Roman" w:cs="Times New Roman"/>
          <w:sz w:val="24"/>
          <w:szCs w:val="24"/>
        </w:rPr>
        <w:t xml:space="preserve">, if said damage is ameliorated by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what bacterial detoxification adds to that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 a community situation. </w:t>
      </w:r>
    </w:p>
    <w:p w14:paraId="4B6FDD78" w14:textId="6A5B2AC5" w:rsidR="007C3D31" w:rsidRPr="007C3D31" w:rsidRDefault="00531865" w:rsidP="007C3D31">
      <w:pPr>
        <w:pStyle w:val="Heading3"/>
        <w:spacing w:line="360" w:lineRule="auto"/>
      </w:pPr>
      <w:bookmarkStart w:id="44" w:name="_Toc173250032"/>
      <w:r w:rsidRPr="003609FB">
        <w:t>Model</w:t>
      </w:r>
      <w:bookmarkEnd w:id="44"/>
      <w:r w:rsidRPr="003609FB">
        <w:t xml:space="preserve"> </w:t>
      </w:r>
    </w:p>
    <w:p w14:paraId="30B48D8A" w14:textId="15925677" w:rsidR="00347E7F" w:rsidRDefault="00531865" w:rsidP="0014357D">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A competition system (</w:t>
      </w:r>
      <w:r w:rsidR="00E72854" w:rsidRPr="003609FB">
        <w:rPr>
          <w:rFonts w:ascii="Times New Roman" w:hAnsi="Times New Roman" w:cs="Times New Roman"/>
          <w:sz w:val="24"/>
          <w:szCs w:val="24"/>
        </w:rPr>
        <w:t>Dynamic Model Equation Set: E</w:t>
      </w:r>
      <w:r w:rsidRPr="003609FB">
        <w:rPr>
          <w:rFonts w:ascii="Times New Roman" w:hAnsi="Times New Roman" w:cs="Times New Roman"/>
          <w:sz w:val="24"/>
          <w:szCs w:val="24"/>
        </w:rPr>
        <w:t xml:space="preserve">quations </w:t>
      </w:r>
      <w:r w:rsidR="00E72854" w:rsidRPr="003609FB">
        <w:rPr>
          <w:rFonts w:ascii="Times New Roman" w:hAnsi="Times New Roman" w:cs="Times New Roman"/>
          <w:sz w:val="24"/>
          <w:szCs w:val="24"/>
        </w:rPr>
        <w:t>3.</w:t>
      </w:r>
      <w:r w:rsidRPr="003609FB">
        <w:rPr>
          <w:rFonts w:ascii="Times New Roman" w:hAnsi="Times New Roman" w:cs="Times New Roman"/>
          <w:sz w:val="24"/>
          <w:szCs w:val="24"/>
        </w:rPr>
        <w:t>1-</w:t>
      </w:r>
      <w:r w:rsidR="00E72854" w:rsidRPr="003609FB">
        <w:rPr>
          <w:rFonts w:ascii="Times New Roman" w:hAnsi="Times New Roman" w:cs="Times New Roman"/>
          <w:sz w:val="24"/>
          <w:szCs w:val="24"/>
        </w:rPr>
        <w:t>3.</w:t>
      </w:r>
      <w:r w:rsidRPr="003609FB">
        <w:rPr>
          <w:rFonts w:ascii="Times New Roman" w:hAnsi="Times New Roman" w:cs="Times New Roman"/>
          <w:sz w:val="24"/>
          <w:szCs w:val="24"/>
        </w:rPr>
        <w:t xml:space="preserve">5) of ordinary differential equations (ODEs) is used to model the population dynamics of cyanobacteria in a range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conditions. Special cases of this full system of ODEs were used to show differential community permutations possible from environmentally relevant (Chapter 2) parameter</w:t>
      </w:r>
      <w:r w:rsidR="00E138AB">
        <w:rPr>
          <w:rFonts w:ascii="Times New Roman" w:hAnsi="Times New Roman" w:cs="Times New Roman"/>
          <w:sz w:val="24"/>
          <w:szCs w:val="24"/>
        </w:rPr>
        <w:t>s, visualized in Figure 3.2,</w:t>
      </w:r>
      <w:r w:rsidRPr="003609FB">
        <w:rPr>
          <w:rFonts w:ascii="Times New Roman" w:hAnsi="Times New Roman" w:cs="Times New Roman"/>
          <w:sz w:val="24"/>
          <w:szCs w:val="24"/>
        </w:rPr>
        <w:t xml:space="preserve"> inclusion according to our methods schematic (Figure </w:t>
      </w:r>
      <w:r w:rsidR="00A02D97" w:rsidRPr="003609FB">
        <w:rPr>
          <w:rFonts w:ascii="Times New Roman" w:hAnsi="Times New Roman" w:cs="Times New Roman"/>
          <w:sz w:val="24"/>
          <w:szCs w:val="24"/>
        </w:rPr>
        <w:t>3.</w:t>
      </w:r>
      <w:r w:rsidRPr="003609FB">
        <w:rPr>
          <w:rFonts w:ascii="Times New Roman" w:hAnsi="Times New Roman" w:cs="Times New Roman"/>
          <w:sz w:val="24"/>
          <w:szCs w:val="24"/>
        </w:rPr>
        <w:t xml:space="preserve">1).  All computer code is provided in a GitHub repository: </w:t>
      </w:r>
      <w:hyperlink r:id="rId38" w:history="1">
        <w:r w:rsidR="00347E7F" w:rsidRPr="003D069F">
          <w:rPr>
            <w:rStyle w:val="Hyperlink"/>
            <w:rFonts w:ascii="Times New Roman" w:hAnsi="Times New Roman" w:cs="Times New Roman"/>
            <w:color w:val="auto"/>
            <w:sz w:val="24"/>
            <w:szCs w:val="24"/>
          </w:rPr>
          <w:t>https://github.com/DKMcCullough/Pro_vs_Syn</w:t>
        </w:r>
      </w:hyperlink>
      <w:r w:rsidR="004409D7" w:rsidRPr="003D069F">
        <w:rPr>
          <w:rStyle w:val="Hyperlink"/>
          <w:rFonts w:ascii="Times New Roman" w:hAnsi="Times New Roman" w:cs="Times New Roman"/>
          <w:color w:val="auto"/>
          <w:sz w:val="24"/>
          <w:szCs w:val="24"/>
        </w:rPr>
        <w:t>.</w:t>
      </w:r>
    </w:p>
    <w:p w14:paraId="3030548B" w14:textId="77777777" w:rsidR="0014357D" w:rsidRDefault="0014357D" w:rsidP="0014357D">
      <w:pPr>
        <w:spacing w:line="360" w:lineRule="auto"/>
        <w:ind w:firstLine="720"/>
        <w:rPr>
          <w:rFonts w:ascii="Times New Roman" w:hAnsi="Times New Roman" w:cs="Times New Roman"/>
          <w:sz w:val="24"/>
          <w:szCs w:val="24"/>
        </w:rPr>
      </w:pPr>
    </w:p>
    <w:p w14:paraId="18204B28" w14:textId="77777777" w:rsidR="007C3D31" w:rsidRDefault="007C3D31" w:rsidP="0014357D">
      <w:pPr>
        <w:spacing w:line="360" w:lineRule="auto"/>
        <w:ind w:firstLine="720"/>
        <w:rPr>
          <w:rFonts w:ascii="Times New Roman" w:hAnsi="Times New Roman" w:cs="Times New Roman"/>
          <w:sz w:val="24"/>
          <w:szCs w:val="24"/>
        </w:rPr>
      </w:pPr>
    </w:p>
    <w:p w14:paraId="1207FEDB" w14:textId="77777777" w:rsidR="007C3D31" w:rsidRPr="003609FB" w:rsidRDefault="007C3D31" w:rsidP="0014357D">
      <w:pPr>
        <w:spacing w:line="360" w:lineRule="auto"/>
        <w:ind w:firstLine="720"/>
        <w:rPr>
          <w:rFonts w:ascii="Times New Roman" w:hAnsi="Times New Roman" w:cs="Times New Roman"/>
          <w:sz w:val="24"/>
          <w:szCs w:val="24"/>
        </w:rPr>
      </w:pPr>
    </w:p>
    <w:tbl>
      <w:tblPr>
        <w:tblStyle w:val="TableGrid"/>
        <w:tblpPr w:leftFromText="180" w:rightFromText="180" w:vertAnchor="text" w:tblpY="1"/>
        <w:tblOverlap w:val="never"/>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9"/>
        <w:gridCol w:w="992"/>
      </w:tblGrid>
      <w:tr w:rsidR="00531865" w:rsidRPr="00E31311" w14:paraId="6AE3790F" w14:textId="77777777" w:rsidTr="0014357D">
        <w:trPr>
          <w:trHeight w:val="80"/>
        </w:trPr>
        <w:tc>
          <w:tcPr>
            <w:tcW w:w="8579" w:type="dxa"/>
          </w:tcPr>
          <w:p w14:paraId="6A465539" w14:textId="666E3FF4" w:rsidR="00531865" w:rsidRPr="00E31311" w:rsidRDefault="00E72854" w:rsidP="00AB2160">
            <w:pPr>
              <w:spacing w:line="360" w:lineRule="auto"/>
              <w:jc w:val="center"/>
              <w:rPr>
                <w:rFonts w:ascii="Times New Roman" w:hAnsi="Times New Roman" w:cs="Times New Roman"/>
                <w:sz w:val="20"/>
                <w:szCs w:val="20"/>
              </w:rPr>
            </w:pPr>
            <w:r w:rsidRPr="009A7E8A">
              <w:rPr>
                <w:rFonts w:ascii="Times New Roman" w:hAnsi="Times New Roman" w:cs="Times New Roman"/>
                <w:sz w:val="24"/>
                <w:szCs w:val="24"/>
              </w:rPr>
              <w:t xml:space="preserve">Dynamic </w:t>
            </w:r>
            <w:r w:rsidR="002C1B55">
              <w:rPr>
                <w:rFonts w:ascii="Times New Roman" w:hAnsi="Times New Roman" w:cs="Times New Roman"/>
                <w:sz w:val="24"/>
                <w:szCs w:val="24"/>
              </w:rPr>
              <w:t>Competition</w:t>
            </w:r>
            <w:r w:rsidR="007A0C9E">
              <w:rPr>
                <w:rFonts w:ascii="Times New Roman" w:hAnsi="Times New Roman" w:cs="Times New Roman"/>
                <w:sz w:val="24"/>
                <w:szCs w:val="24"/>
              </w:rPr>
              <w:t xml:space="preserve"> </w:t>
            </w:r>
            <w:r w:rsidRPr="009A7E8A">
              <w:rPr>
                <w:rFonts w:ascii="Times New Roman" w:hAnsi="Times New Roman" w:cs="Times New Roman"/>
                <w:sz w:val="24"/>
                <w:szCs w:val="24"/>
              </w:rPr>
              <w:t>Model Equation Set</w:t>
            </w:r>
          </w:p>
        </w:tc>
        <w:tc>
          <w:tcPr>
            <w:tcW w:w="992" w:type="dxa"/>
          </w:tcPr>
          <w:p w14:paraId="27405AAD" w14:textId="77777777" w:rsidR="00531865" w:rsidRPr="00E31311" w:rsidRDefault="00531865" w:rsidP="00AB2160">
            <w:pPr>
              <w:spacing w:line="360" w:lineRule="auto"/>
              <w:rPr>
                <w:rFonts w:ascii="Times New Roman" w:hAnsi="Times New Roman" w:cs="Times New Roman"/>
                <w:sz w:val="20"/>
                <w:szCs w:val="20"/>
              </w:rPr>
            </w:pPr>
          </w:p>
        </w:tc>
      </w:tr>
      <w:tr w:rsidR="00531865" w:rsidRPr="00E31311" w14:paraId="524FB875" w14:textId="77777777" w:rsidTr="0014357D">
        <w:trPr>
          <w:trHeight w:val="1123"/>
        </w:trPr>
        <w:tc>
          <w:tcPr>
            <w:tcW w:w="8579" w:type="dxa"/>
          </w:tcPr>
          <w:p w14:paraId="33A828F7" w14:textId="15C28D3C" w:rsidR="00531865" w:rsidRPr="00E31311" w:rsidRDefault="0014357D" w:rsidP="00AB2160">
            <w:pPr>
              <w:spacing w:line="360" w:lineRule="auto"/>
              <w:rPr>
                <w:rFonts w:ascii="Times New Roman" w:hAnsi="Times New Roman" w:cs="Times New Roman"/>
                <w:sz w:val="20"/>
                <w:szCs w:val="20"/>
              </w:rPr>
            </w:pPr>
            <w:r w:rsidRPr="00E31311">
              <w:rPr>
                <w:rFonts w:ascii="Times New Roman" w:hAnsi="Times New Roman" w:cs="Times New Roman"/>
                <w:noProof/>
                <w:sz w:val="20"/>
                <w:szCs w:val="20"/>
              </w:rPr>
              <mc:AlternateContent>
                <mc:Choice Requires="wps">
                  <w:drawing>
                    <wp:anchor distT="0" distB="0" distL="114300" distR="114300" simplePos="0" relativeHeight="251643904" behindDoc="0" locked="0" layoutInCell="1" allowOverlap="1" wp14:anchorId="3EFB5AE0" wp14:editId="40C3155B">
                      <wp:simplePos x="0" y="0"/>
                      <wp:positionH relativeFrom="column">
                        <wp:posOffset>837496</wp:posOffset>
                      </wp:positionH>
                      <wp:positionV relativeFrom="paragraph">
                        <wp:posOffset>610606</wp:posOffset>
                      </wp:positionV>
                      <wp:extent cx="65405" cy="315595"/>
                      <wp:effectExtent l="1905" t="0" r="12700" b="12700"/>
                      <wp:wrapNone/>
                      <wp:docPr id="98" name="Left Brace 98"/>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05F34" id="Left Brace 98" o:spid="_x0000_s1026" type="#_x0000_t87" style="position:absolute;margin-left:65.95pt;margin-top:48.1pt;width:5.15pt;height:24.85pt;rotation:-9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46976" behindDoc="0" locked="0" layoutInCell="1" allowOverlap="1" wp14:anchorId="6DF88631" wp14:editId="718E4890">
                      <wp:simplePos x="0" y="0"/>
                      <wp:positionH relativeFrom="column">
                        <wp:posOffset>1806537</wp:posOffset>
                      </wp:positionH>
                      <wp:positionV relativeFrom="paragraph">
                        <wp:posOffset>559362</wp:posOffset>
                      </wp:positionV>
                      <wp:extent cx="65405" cy="315595"/>
                      <wp:effectExtent l="1905" t="0" r="12700" b="12700"/>
                      <wp:wrapNone/>
                      <wp:docPr id="104" name="Left Brace 104"/>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0F164" id="Left Brace 104" o:spid="_x0000_s1026" type="#_x0000_t87" style="position:absolute;margin-left:142.25pt;margin-top:44.05pt;width:5.15pt;height:24.85pt;rotation:-9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37760" behindDoc="0" locked="0" layoutInCell="1" allowOverlap="1" wp14:anchorId="580286FB" wp14:editId="39819363">
                      <wp:simplePos x="0" y="0"/>
                      <wp:positionH relativeFrom="column">
                        <wp:posOffset>4324725</wp:posOffset>
                      </wp:positionH>
                      <wp:positionV relativeFrom="paragraph">
                        <wp:posOffset>371909</wp:posOffset>
                      </wp:positionV>
                      <wp:extent cx="103505" cy="859155"/>
                      <wp:effectExtent l="3175" t="0" r="13970" b="13970"/>
                      <wp:wrapNone/>
                      <wp:docPr id="72" name="Left Brace 72"/>
                      <wp:cNvGraphicFramePr/>
                      <a:graphic xmlns:a="http://schemas.openxmlformats.org/drawingml/2006/main">
                        <a:graphicData uri="http://schemas.microsoft.com/office/word/2010/wordprocessingShape">
                          <wps:wsp>
                            <wps:cNvSpPr/>
                            <wps:spPr>
                              <a:xfrm rot="5400000" flipH="1">
                                <a:off x="0" y="0"/>
                                <a:ext cx="103505" cy="85915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48442" id="Left Brace 72" o:spid="_x0000_s1026" type="#_x0000_t87" style="position:absolute;margin-left:340.55pt;margin-top:29.3pt;width:8.15pt;height:67.65pt;rotation:-90;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" adj="217"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40832" behindDoc="0" locked="0" layoutInCell="1" allowOverlap="1" wp14:anchorId="1A88D921" wp14:editId="0EC2B247">
                      <wp:simplePos x="0" y="0"/>
                      <wp:positionH relativeFrom="column">
                        <wp:posOffset>2926275</wp:posOffset>
                      </wp:positionH>
                      <wp:positionV relativeFrom="paragraph">
                        <wp:posOffset>382270</wp:posOffset>
                      </wp:positionV>
                      <wp:extent cx="103613" cy="859611"/>
                      <wp:effectExtent l="3175" t="0" r="13970" b="13970"/>
                      <wp:wrapNone/>
                      <wp:docPr id="96" name="Left Brace 96"/>
                      <wp:cNvGraphicFramePr/>
                      <a:graphic xmlns:a="http://schemas.openxmlformats.org/drawingml/2006/main">
                        <a:graphicData uri="http://schemas.microsoft.com/office/word/2010/wordprocessingShape">
                          <wps:wsp>
                            <wps:cNvSpPr/>
                            <wps:spPr>
                              <a:xfrm rot="5400000" flipH="1">
                                <a:off x="0" y="0"/>
                                <a:ext cx="103613" cy="859611"/>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551CC" id="Left Brace 96" o:spid="_x0000_s1026" type="#_x0000_t87" style="position:absolute;margin-left:230.4pt;margin-top:30.1pt;width:8.15pt;height:67.7pt;rotation:-90;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" adj="217" strokecolor="black [3200]" strokeweight="1pt">
                      <v:stroke joinstyle="miter"/>
                    </v:shape>
                  </w:pict>
                </mc:Fallback>
              </mc:AlternateContent>
            </w:r>
          </w:p>
          <w:p w14:paraId="6C7887EB" w14:textId="3C5048F3" w:rsidR="00531865" w:rsidRPr="0014357D" w:rsidRDefault="00531865" w:rsidP="0014357D">
            <w:pPr>
              <w:spacing w:line="360" w:lineRule="auto"/>
              <w:rPr>
                <w:rFonts w:ascii="Times New Roman" w:hAnsi="Times New Roman" w:cs="Times New Roman"/>
                <w:sz w:val="20"/>
                <w:szCs w:val="20"/>
              </w:rPr>
            </w:pPr>
            <m:oMathPara>
              <m:oMathParaPr>
                <m:jc m:val="left"/>
              </m:oMathParaPr>
              <m:oMath>
                <m:r>
                  <w:rPr>
                    <w:rFonts w:ascii="Cambria Math" w:hAnsi="Cambria Math" w:cs="Times New Roman"/>
                    <w:sz w:val="20"/>
                    <w:szCs w:val="20"/>
                  </w:rPr>
                  <m:t xml:space="preserve">   </m:t>
                </m:r>
                <m:f>
                  <m:fPr>
                    <m:ctrlPr>
                      <w:rPr>
                        <w:rFonts w:ascii="Cambria Math" w:hAnsi="Cambria Math" w:cs="Times New Roman"/>
                        <w:i/>
                        <w:sz w:val="20"/>
                        <w:szCs w:val="20"/>
                      </w:rPr>
                    </m:ctrlPr>
                  </m:fPr>
                  <m:num>
                    <m:r>
                      <w:rPr>
                        <w:rFonts w:ascii="Cambria Math" w:hAnsi="Cambria Math" w:cs="Times New Roman"/>
                        <w:sz w:val="20"/>
                        <w:szCs w:val="20"/>
                      </w:rPr>
                      <m:t>dN</m:t>
                    </m:r>
                  </m:num>
                  <m:den>
                    <m:r>
                      <w:rPr>
                        <w:rFonts w:ascii="Cambria Math" w:hAnsi="Cambria Math" w:cs="Times New Roman"/>
                        <w:sz w:val="20"/>
                        <w:szCs w:val="20"/>
                      </w:rPr>
                      <m:t>dt</m:t>
                    </m:r>
                  </m:den>
                </m:f>
                <m:r>
                  <w:rPr>
                    <w:rFonts w:ascii="Cambria Math" w:hAnsi="Cambria Math" w:cs="Times New Roman"/>
                    <w:sz w:val="20"/>
                    <w:szCs w:val="20"/>
                  </w:rPr>
                  <m:t xml:space="preserve"> </m:t>
                </m:r>
                <m:r>
                  <m:rPr>
                    <m:aln/>
                  </m:rPr>
                  <w:rPr>
                    <w:rFonts w:ascii="Cambria Math" w:hAnsi="Cambria Math" w:cs="Times New Roman"/>
                    <w:sz w:val="20"/>
                    <w:szCs w:val="20"/>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N</m:t>
                    </m:r>
                  </m:sub>
                </m:sSub>
                <m:r>
                  <m:rPr>
                    <m:sty m:val="p"/>
                  </m:rPr>
                  <w:rPr>
                    <w:rFonts w:ascii="Cambria Math" w:hAnsi="Cambria Math" w:cs="Times New Roman"/>
                    <w:sz w:val="24"/>
                    <w:szCs w:val="24"/>
                  </w:rPr>
                  <m:t xml:space="preserve"> </m:t>
                </m:r>
                <m:r>
                  <m:rPr>
                    <m:sty m:val="p"/>
                  </m:rPr>
                  <w:rPr>
                    <w:rFonts w:ascii="Cambria Math" w:hAnsi="Cambria Math" w:cs="Times New Roman"/>
                    <w:sz w:val="20"/>
                    <w:szCs w:val="20"/>
                  </w:rPr>
                  <m:t xml:space="preserve">            </m:t>
                </m:r>
                <m:r>
                  <w:rPr>
                    <w:rFonts w:ascii="Cambria Math" w:hAnsi="Cambria Math" w:cs="Times New Roman"/>
                    <w:sz w:val="20"/>
                    <w:szCs w:val="20"/>
                  </w:rPr>
                  <m:t xml:space="preserve">-       </m:t>
                </m:r>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r>
                      <w:rPr>
                        <w:rFonts w:ascii="Cambria Math" w:hAnsi="Cambria Math" w:cs="Times New Roman"/>
                        <w:sz w:val="20"/>
                        <w:szCs w:val="20"/>
                      </w:rPr>
                      <m:t>N</m:t>
                    </m:r>
                  </m:sub>
                </m:sSub>
                <m:r>
                  <w:rPr>
                    <w:rFonts w:ascii="Cambria Math" w:hAnsi="Cambria Math" w:cs="Times New Roman"/>
                    <w:sz w:val="20"/>
                    <w:szCs w:val="20"/>
                  </w:rPr>
                  <m:t xml:space="preserve">N         -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 xml:space="preserve"> μ</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r>
                      <w:rPr>
                        <w:rFonts w:ascii="Cambria Math" w:hAnsi="Cambria Math" w:cs="Times New Roman"/>
                        <w:sz w:val="20"/>
                        <w:szCs w:val="20"/>
                      </w:rPr>
                      <m:t>N</m:t>
                    </m:r>
                  </m:num>
                  <m:den>
                    <m:r>
                      <w:rPr>
                        <w:rFonts w:ascii="Cambria Math" w:hAnsi="Cambria Math" w:cs="Times New Roman"/>
                        <w:sz w:val="20"/>
                        <w:szCs w:val="20"/>
                      </w:rPr>
                      <m:t xml:space="preserve">N+ </m:t>
                    </m:r>
                    <m:sSub>
                      <m:sSubPr>
                        <m:ctrlPr>
                          <w:rPr>
                            <w:rFonts w:ascii="Cambria Math" w:hAnsi="Cambria Math" w:cs="Times New Roman"/>
                            <w:sz w:val="20"/>
                            <w:szCs w:val="20"/>
                          </w:rPr>
                        </m:ctrlPr>
                      </m:sSubPr>
                      <m:e>
                        <m:r>
                          <m:rPr>
                            <m:sty m:val="p"/>
                          </m:rPr>
                          <w:rPr>
                            <w:rFonts w:ascii="Cambria Math" w:hAnsi="Cambria Math" w:cs="Times New Roman"/>
                            <w:sz w:val="20"/>
                            <w:szCs w:val="20"/>
                          </w:rPr>
                          <m:t>ks</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den>
                </m:f>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 xml:space="preserve">       -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 xml:space="preserve"> μ</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r>
                      <w:rPr>
                        <w:rFonts w:ascii="Cambria Math" w:hAnsi="Cambria Math" w:cs="Times New Roman"/>
                        <w:sz w:val="20"/>
                        <w:szCs w:val="20"/>
                      </w:rPr>
                      <m:t>N</m:t>
                    </m:r>
                  </m:num>
                  <m:den>
                    <m:r>
                      <w:rPr>
                        <w:rFonts w:ascii="Cambria Math" w:hAnsi="Cambria Math" w:cs="Times New Roman"/>
                        <w:sz w:val="20"/>
                        <w:szCs w:val="20"/>
                      </w:rPr>
                      <m:t xml:space="preserve">      N+ </m:t>
                    </m:r>
                    <m:sSub>
                      <m:sSubPr>
                        <m:ctrlPr>
                          <w:rPr>
                            <w:rFonts w:ascii="Cambria Math" w:hAnsi="Cambria Math" w:cs="Times New Roman"/>
                            <w:sz w:val="20"/>
                            <w:szCs w:val="20"/>
                          </w:rPr>
                        </m:ctrlPr>
                      </m:sSubPr>
                      <m:e>
                        <m:r>
                          <m:rPr>
                            <m:sty m:val="p"/>
                          </m:rPr>
                          <w:rPr>
                            <w:rFonts w:ascii="Cambria Math" w:hAnsi="Cambria Math" w:cs="Times New Roman"/>
                            <w:sz w:val="20"/>
                            <w:szCs w:val="20"/>
                          </w:rPr>
                          <m:t>ks</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den>
                </m:f>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m:t>
                </m:r>
              </m:oMath>
            </m:oMathPara>
          </w:p>
          <w:p w14:paraId="6703451E" w14:textId="66676250" w:rsidR="00531865" w:rsidRPr="00E31311" w:rsidRDefault="00531865"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 xml:space="preserve">        </w:t>
            </w:r>
            <w:r w:rsidR="00C968E8" w:rsidRPr="00E31311">
              <w:rPr>
                <w:rFonts w:ascii="Times New Roman" w:hAnsi="Times New Roman" w:cs="Times New Roman"/>
                <w:sz w:val="20"/>
                <w:szCs w:val="20"/>
              </w:rPr>
              <w:t xml:space="preserve">     </w:t>
            </w:r>
            <w:r w:rsidRPr="00E31311">
              <w:rPr>
                <w:rFonts w:ascii="Times New Roman" w:hAnsi="Times New Roman" w:cs="Times New Roman"/>
                <w:sz w:val="20"/>
                <w:szCs w:val="20"/>
              </w:rPr>
              <w:t xml:space="preserve">Abiotic N supply           abiotic N decay    </w:t>
            </w:r>
            <w:r w:rsidR="0082316B">
              <w:rPr>
                <w:rFonts w:ascii="Times New Roman" w:hAnsi="Times New Roman" w:cs="Times New Roman"/>
                <w:sz w:val="20"/>
                <w:szCs w:val="20"/>
              </w:rPr>
              <w:t>P</w:t>
            </w:r>
            <w:r w:rsidRPr="00E31311">
              <w:rPr>
                <w:rFonts w:ascii="Times New Roman" w:hAnsi="Times New Roman" w:cs="Times New Roman"/>
                <w:sz w:val="20"/>
                <w:szCs w:val="20"/>
              </w:rPr>
              <w:t xml:space="preserve"> uptake/use of</w:t>
            </w:r>
            <w:r w:rsidR="0082316B">
              <w:rPr>
                <w:rFonts w:ascii="Times New Roman" w:hAnsi="Times New Roman" w:cs="Times New Roman"/>
                <w:sz w:val="20"/>
                <w:szCs w:val="20"/>
              </w:rPr>
              <w:t xml:space="preserve"> N </w:t>
            </w:r>
            <w:r w:rsidRPr="00E31311">
              <w:rPr>
                <w:rFonts w:ascii="Times New Roman" w:hAnsi="Times New Roman" w:cs="Times New Roman"/>
                <w:sz w:val="20"/>
                <w:szCs w:val="20"/>
              </w:rPr>
              <w:t xml:space="preserve"> </w:t>
            </w:r>
            <w:r w:rsidR="0082316B">
              <w:rPr>
                <w:rFonts w:ascii="Times New Roman" w:hAnsi="Times New Roman" w:cs="Times New Roman"/>
                <w:sz w:val="20"/>
                <w:szCs w:val="20"/>
              </w:rPr>
              <w:t xml:space="preserve">            S</w:t>
            </w:r>
            <w:r w:rsidRPr="00E31311">
              <w:rPr>
                <w:rFonts w:ascii="Times New Roman" w:hAnsi="Times New Roman" w:cs="Times New Roman"/>
                <w:sz w:val="20"/>
                <w:szCs w:val="20"/>
              </w:rPr>
              <w:t xml:space="preserve"> uptake/use of N                         </w:t>
            </w:r>
          </w:p>
        </w:tc>
        <w:tc>
          <w:tcPr>
            <w:tcW w:w="992" w:type="dxa"/>
          </w:tcPr>
          <w:p w14:paraId="4F944972" w14:textId="77777777" w:rsidR="00531865" w:rsidRPr="00E31311" w:rsidRDefault="00531865" w:rsidP="00AB2160">
            <w:pPr>
              <w:spacing w:line="360" w:lineRule="auto"/>
              <w:rPr>
                <w:rFonts w:ascii="Times New Roman" w:hAnsi="Times New Roman" w:cs="Times New Roman"/>
                <w:sz w:val="20"/>
                <w:szCs w:val="20"/>
              </w:rPr>
            </w:pPr>
          </w:p>
          <w:p w14:paraId="06D27143" w14:textId="0FDBCA58" w:rsidR="00531865" w:rsidRPr="00E31311" w:rsidRDefault="00531865"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sidR="00E72854" w:rsidRPr="00E31311">
              <w:rPr>
                <w:rFonts w:ascii="Times New Roman" w:hAnsi="Times New Roman" w:cs="Times New Roman"/>
                <w:sz w:val="20"/>
                <w:szCs w:val="20"/>
              </w:rPr>
              <w:t>3.</w:t>
            </w:r>
            <w:r w:rsidRPr="00E31311">
              <w:rPr>
                <w:rFonts w:ascii="Times New Roman" w:hAnsi="Times New Roman" w:cs="Times New Roman"/>
                <w:sz w:val="20"/>
                <w:szCs w:val="20"/>
              </w:rPr>
              <w:t>1)</w:t>
            </w:r>
          </w:p>
        </w:tc>
      </w:tr>
      <w:tr w:rsidR="00531865" w:rsidRPr="00E31311" w14:paraId="70C4DCEC" w14:textId="77777777" w:rsidTr="0014357D">
        <w:trPr>
          <w:trHeight w:val="445"/>
        </w:trPr>
        <w:tc>
          <w:tcPr>
            <w:tcW w:w="8579" w:type="dxa"/>
          </w:tcPr>
          <w:p w14:paraId="57644548" w14:textId="77777777" w:rsidR="00531865" w:rsidRPr="00E31311" w:rsidRDefault="00531865" w:rsidP="00AB2160">
            <w:pPr>
              <w:spacing w:line="360" w:lineRule="auto"/>
              <w:rPr>
                <w:rFonts w:ascii="Times New Roman" w:hAnsi="Times New Roman" w:cs="Times New Roman"/>
                <w:sz w:val="20"/>
                <w:szCs w:val="20"/>
              </w:rPr>
            </w:pPr>
          </w:p>
        </w:tc>
        <w:tc>
          <w:tcPr>
            <w:tcW w:w="992" w:type="dxa"/>
          </w:tcPr>
          <w:p w14:paraId="1669B802" w14:textId="77777777" w:rsidR="00531865" w:rsidRPr="00E31311" w:rsidRDefault="00531865" w:rsidP="00AB2160">
            <w:pPr>
              <w:spacing w:line="360" w:lineRule="auto"/>
              <w:rPr>
                <w:rFonts w:ascii="Times New Roman" w:hAnsi="Times New Roman" w:cs="Times New Roman"/>
                <w:sz w:val="20"/>
                <w:szCs w:val="20"/>
              </w:rPr>
            </w:pPr>
          </w:p>
        </w:tc>
      </w:tr>
      <w:tr w:rsidR="00531865" w:rsidRPr="00E31311" w14:paraId="0815867A" w14:textId="77777777" w:rsidTr="0014357D">
        <w:trPr>
          <w:trHeight w:val="1034"/>
        </w:trPr>
        <w:tc>
          <w:tcPr>
            <w:tcW w:w="8579" w:type="dxa"/>
          </w:tcPr>
          <w:p w14:paraId="35BC5DDA" w14:textId="025E09A0" w:rsidR="00531865" w:rsidRPr="0014357D" w:rsidRDefault="00000000" w:rsidP="0014357D">
            <w:pPr>
              <w:spacing w:line="360" w:lineRule="auto"/>
              <w:jc w:val="both"/>
              <w:rPr>
                <w:rFonts w:ascii="Times New Roman" w:hAnsi="Times New Roman" w:cs="Times New Roman"/>
                <w:sz w:val="20"/>
                <w:szCs w:val="20"/>
              </w:rPr>
            </w:pPr>
            <m:oMathPara>
              <m:oMathParaPr>
                <m:jc m:val="left"/>
              </m:oMathParaPr>
              <m:oMath>
                <m:f>
                  <m:fPr>
                    <m:ctrlPr>
                      <w:rPr>
                        <w:rFonts w:ascii="Cambria Math" w:hAnsi="Cambria Math" w:cs="Times New Roman"/>
                        <w:i/>
                        <w:iCs/>
                        <w:sz w:val="20"/>
                        <w:szCs w:val="20"/>
                      </w:rPr>
                    </m:ctrlPr>
                  </m:fPr>
                  <m:num>
                    <m:r>
                      <w:rPr>
                        <w:rFonts w:ascii="Cambria Math" w:hAnsi="Cambria Math" w:cs="Times New Roman"/>
                        <w:sz w:val="20"/>
                        <w:szCs w:val="20"/>
                      </w:rPr>
                      <m:t>dH</m:t>
                    </m:r>
                  </m:num>
                  <m:den>
                    <m:r>
                      <w:rPr>
                        <w:rFonts w:ascii="Cambria Math" w:hAnsi="Cambria Math" w:cs="Times New Roman"/>
                        <w:sz w:val="20"/>
                        <w:szCs w:val="20"/>
                      </w:rPr>
                      <m:t>dt</m:t>
                    </m:r>
                    <m:r>
                      <m:rPr>
                        <m:sty m:val="p"/>
                      </m:rPr>
                      <w:rPr>
                        <w:rFonts w:ascii="Cambria Math" w:hAnsi="Cambria Math" w:cs="Times New Roman"/>
                        <w:sz w:val="20"/>
                        <w:szCs w:val="20"/>
                      </w:rPr>
                      <m:t> </m:t>
                    </m:r>
                  </m:den>
                </m:f>
                <m:r>
                  <m:rPr>
                    <m:sty m:val="p"/>
                  </m:rPr>
                  <w:rPr>
                    <w:rFonts w:ascii="Cambria Math" w:hAnsi="Cambria Math" w:cs="Times New Roman"/>
                    <w:sz w:val="20"/>
                    <w:szCs w:val="20"/>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 xml:space="preserve">    λ</m:t>
                    </m:r>
                  </m:e>
                  <m:sub>
                    <m:r>
                      <w:rPr>
                        <w:rFonts w:ascii="Cambria Math" w:hAnsi="Cambria Math" w:cs="Times New Roman"/>
                        <w:sz w:val="24"/>
                        <w:szCs w:val="24"/>
                      </w:rPr>
                      <m:t>H</m:t>
                    </m:r>
                  </m:sub>
                </m:sSub>
                <m:r>
                  <m:rPr>
                    <m:sty m:val="p"/>
                  </m:rPr>
                  <w:rPr>
                    <w:rFonts w:ascii="Cambria Math" w:hAnsi="Cambria Math" w:cs="Times New Roman"/>
                    <w:sz w:val="24"/>
                    <w:szCs w:val="24"/>
                  </w:rPr>
                  <m:t xml:space="preserve"> </m:t>
                </m:r>
                <m:r>
                  <m:rPr>
                    <m:sty m:val="p"/>
                  </m:rPr>
                  <w:rPr>
                    <w:rFonts w:ascii="Cambria Math" w:hAnsi="Cambria Math" w:cs="Times New Roman"/>
                    <w:sz w:val="20"/>
                    <w:szCs w:val="20"/>
                  </w:rPr>
                  <m:t xml:space="preserve">       -    </m:t>
                </m:r>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r>
                      <w:rPr>
                        <w:rFonts w:ascii="Cambria Math" w:hAnsi="Cambria Math" w:cs="Times New Roman"/>
                        <w:sz w:val="20"/>
                        <w:szCs w:val="20"/>
                      </w:rPr>
                      <m:t>H</m:t>
                    </m:r>
                  </m:sub>
                </m:sSub>
                <m:r>
                  <w:rPr>
                    <w:rFonts w:ascii="Cambria Math" w:hAnsi="Cambria Math" w:cs="Times New Roman"/>
                    <w:sz w:val="20"/>
                    <w:szCs w:val="20"/>
                  </w:rPr>
                  <m:t xml:space="preserve">H              - </m:t>
                </m:r>
                <m:sSub>
                  <m:sSubPr>
                    <m:ctrlPr>
                      <w:rPr>
                        <w:rFonts w:ascii="Cambria Math" w:hAnsi="Cambria Math" w:cs="Times New Roman"/>
                        <w:i/>
                        <w:iCs/>
                        <w:sz w:val="20"/>
                        <w:szCs w:val="20"/>
                      </w:rPr>
                    </m:ctrlPr>
                  </m:sSubPr>
                  <m:e>
                    <m:r>
                      <w:rPr>
                        <w:rFonts w:ascii="Cambria Math" w:hAnsi="Cambria Math" w:cs="Times New Roman"/>
                        <w:sz w:val="20"/>
                        <w:szCs w:val="20"/>
                      </w:rPr>
                      <m:t xml:space="preserve">           ϕ</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H           - </m:t>
                </m:r>
                <m:sSub>
                  <m:sSubPr>
                    <m:ctrlPr>
                      <w:rPr>
                        <w:rFonts w:ascii="Cambria Math" w:hAnsi="Cambria Math" w:cs="Times New Roman"/>
                        <w:i/>
                        <w:iCs/>
                        <w:sz w:val="20"/>
                        <w:szCs w:val="20"/>
                      </w:rPr>
                    </m:ctrlPr>
                  </m:sSubPr>
                  <m:e>
                    <m:r>
                      <w:rPr>
                        <w:rFonts w:ascii="Cambria Math" w:hAnsi="Cambria Math" w:cs="Times New Roman"/>
                        <w:sz w:val="20"/>
                        <w:szCs w:val="20"/>
                      </w:rPr>
                      <m:t xml:space="preserve">            ϕ</m:t>
                    </m:r>
                  </m:e>
                  <m: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r>
                  <w:rPr>
                    <w:rFonts w:ascii="Cambria Math" w:hAnsi="Cambria Math" w:cs="Times New Roman"/>
                    <w:sz w:val="20"/>
                    <w:szCs w:val="20"/>
                  </w:rPr>
                  <m:t>H</m:t>
                </m:r>
              </m:oMath>
            </m:oMathPara>
          </w:p>
          <w:p w14:paraId="74612749" w14:textId="712247C6" w:rsidR="00531865" w:rsidRPr="00E31311" w:rsidRDefault="0014357D" w:rsidP="0014357D">
            <w:pPr>
              <w:spacing w:line="360" w:lineRule="auto"/>
              <w:rPr>
                <w:rFonts w:ascii="Times New Roman" w:hAnsi="Times New Roman" w:cs="Times New Roman"/>
                <w:sz w:val="20"/>
                <w:szCs w:val="20"/>
              </w:rPr>
            </w:pPr>
            <w:r w:rsidRPr="00E31311">
              <w:rPr>
                <w:rFonts w:ascii="Times New Roman" w:hAnsi="Times New Roman" w:cs="Times New Roman"/>
                <w:noProof/>
                <w:sz w:val="20"/>
                <w:szCs w:val="20"/>
              </w:rPr>
              <mc:AlternateContent>
                <mc:Choice Requires="wps">
                  <w:drawing>
                    <wp:anchor distT="0" distB="0" distL="114300" distR="114300" simplePos="0" relativeHeight="251656192" behindDoc="0" locked="0" layoutInCell="1" allowOverlap="1" wp14:anchorId="26E42EF1" wp14:editId="2176DAD4">
                      <wp:simplePos x="0" y="0"/>
                      <wp:positionH relativeFrom="column">
                        <wp:posOffset>4363915</wp:posOffset>
                      </wp:positionH>
                      <wp:positionV relativeFrom="paragraph">
                        <wp:posOffset>-382956</wp:posOffset>
                      </wp:positionV>
                      <wp:extent cx="84602" cy="630163"/>
                      <wp:effectExtent l="0" t="6032" r="11112" b="11113"/>
                      <wp:wrapNone/>
                      <wp:docPr id="60" name="Left Brace 60"/>
                      <wp:cNvGraphicFramePr/>
                      <a:graphic xmlns:a="http://schemas.openxmlformats.org/drawingml/2006/main">
                        <a:graphicData uri="http://schemas.microsoft.com/office/word/2010/wordprocessingShape">
                          <wps:wsp>
                            <wps:cNvSpPr/>
                            <wps:spPr>
                              <a:xfrm rot="5400000" flipH="1">
                                <a:off x="0" y="0"/>
                                <a:ext cx="84602" cy="630163"/>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3FBFA" id="Left Brace 60" o:spid="_x0000_s1026" type="#_x0000_t87" style="position:absolute;margin-left:343.6pt;margin-top:-30.15pt;width:6.65pt;height:49.6pt;rotation:-90;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" adj="242"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09060C7E" wp14:editId="645F422E">
                      <wp:simplePos x="0" y="0"/>
                      <wp:positionH relativeFrom="column">
                        <wp:posOffset>3107849</wp:posOffset>
                      </wp:positionH>
                      <wp:positionV relativeFrom="paragraph">
                        <wp:posOffset>-402658</wp:posOffset>
                      </wp:positionV>
                      <wp:extent cx="84455" cy="629920"/>
                      <wp:effectExtent l="0" t="6032" r="11112" b="11113"/>
                      <wp:wrapNone/>
                      <wp:docPr id="56" name="Left Brace 56"/>
                      <wp:cNvGraphicFramePr/>
                      <a:graphic xmlns:a="http://schemas.openxmlformats.org/drawingml/2006/main">
                        <a:graphicData uri="http://schemas.microsoft.com/office/word/2010/wordprocessingShape">
                          <wps:wsp>
                            <wps:cNvSpPr/>
                            <wps:spPr>
                              <a:xfrm rot="5400000" flipH="1">
                                <a:off x="0" y="0"/>
                                <a:ext cx="84455" cy="62992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F46D5" id="Left Brace 56" o:spid="_x0000_s1026" type="#_x0000_t87" style="position:absolute;margin-left:244.7pt;margin-top:-31.7pt;width:6.65pt;height:49.6pt;rotation:-9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" adj="241"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50048" behindDoc="0" locked="0" layoutInCell="1" allowOverlap="1" wp14:anchorId="3E428ABC" wp14:editId="4497FAF6">
                      <wp:simplePos x="0" y="0"/>
                      <wp:positionH relativeFrom="column">
                        <wp:posOffset>1885507</wp:posOffset>
                      </wp:positionH>
                      <wp:positionV relativeFrom="paragraph">
                        <wp:posOffset>-227671</wp:posOffset>
                      </wp:positionV>
                      <wp:extent cx="65405" cy="315595"/>
                      <wp:effectExtent l="1905" t="0" r="12700" b="12700"/>
                      <wp:wrapNone/>
                      <wp:docPr id="55" name="Left Brace 55"/>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09D09" id="Left Brace 55" o:spid="_x0000_s1026" type="#_x0000_t87" style="position:absolute;margin-left:148.45pt;margin-top:-17.95pt;width:5.15pt;height:24.85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53120" behindDoc="0" locked="0" layoutInCell="1" allowOverlap="1" wp14:anchorId="16694A11" wp14:editId="2BA70FCA">
                      <wp:simplePos x="0" y="0"/>
                      <wp:positionH relativeFrom="column">
                        <wp:posOffset>837076</wp:posOffset>
                      </wp:positionH>
                      <wp:positionV relativeFrom="paragraph">
                        <wp:posOffset>-212228</wp:posOffset>
                      </wp:positionV>
                      <wp:extent cx="65405" cy="315595"/>
                      <wp:effectExtent l="1905" t="0" r="12700" b="12700"/>
                      <wp:wrapNone/>
                      <wp:docPr id="54" name="Left Brace 54"/>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A6C89" id="Left Brace 54" o:spid="_x0000_s1026" type="#_x0000_t87" style="position:absolute;margin-left:65.9pt;margin-top:-16.7pt;width:5.15pt;height:24.85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" adj="373" strokecolor="black [3200]" strokeweight="1pt">
                      <v:stroke joinstyle="miter"/>
                    </v:shape>
                  </w:pict>
                </mc:Fallback>
              </mc:AlternateContent>
            </w:r>
            <w:r w:rsidR="00C95546" w:rsidRPr="00E31311">
              <w:rPr>
                <w:rFonts w:ascii="Times New Roman" w:hAnsi="Times New Roman" w:cs="Times New Roman"/>
                <w:sz w:val="20"/>
                <w:szCs w:val="20"/>
              </w:rPr>
              <w:t xml:space="preserve">                 </w:t>
            </w:r>
            <w:r w:rsidR="0082316B">
              <w:rPr>
                <w:rFonts w:ascii="Times New Roman" w:hAnsi="Times New Roman" w:cs="Times New Roman"/>
                <w:sz w:val="20"/>
                <w:szCs w:val="20"/>
              </w:rPr>
              <w:t xml:space="preserve"> </w:t>
            </w:r>
            <w:r w:rsidR="00C95546" w:rsidRPr="00E31311">
              <w:rPr>
                <w:rFonts w:ascii="Times New Roman" w:hAnsi="Times New Roman" w:cs="Times New Roman"/>
                <w:sz w:val="20"/>
                <w:szCs w:val="20"/>
              </w:rPr>
              <w:t xml:space="preserve"> </w:t>
            </w:r>
            <w:r w:rsidR="0082316B">
              <w:rPr>
                <w:rFonts w:ascii="Times New Roman" w:hAnsi="Times New Roman" w:cs="Times New Roman"/>
                <w:sz w:val="20"/>
                <w:szCs w:val="20"/>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E31311">
              <w:rPr>
                <w:rFonts w:ascii="Times New Roman" w:hAnsi="Times New Roman" w:cs="Times New Roman"/>
                <w:sz w:val="20"/>
                <w:szCs w:val="20"/>
              </w:rPr>
              <w:t xml:space="preserve"> supply       </w:t>
            </w:r>
            <w:r w:rsidR="00C95546" w:rsidRPr="00E31311">
              <w:rPr>
                <w:rFonts w:ascii="Times New Roman" w:hAnsi="Times New Roman" w:cs="Times New Roman"/>
                <w:sz w:val="20"/>
                <w:szCs w:val="20"/>
              </w:rPr>
              <w:t xml:space="preserve">      </w:t>
            </w:r>
            <w:r w:rsidR="00531865" w:rsidRPr="00E31311">
              <w:rPr>
                <w:rFonts w:ascii="Times New Roman" w:hAnsi="Times New Roman" w:cs="Times New Roman"/>
                <w:sz w:val="20"/>
                <w:szCs w:val="20"/>
              </w:rPr>
              <w:t xml:space="preserve">abiotic decay          </w:t>
            </w:r>
            <w:r w:rsidR="00C95546" w:rsidRPr="00E31311">
              <w:rPr>
                <w:rFonts w:ascii="Times New Roman" w:hAnsi="Times New Roman" w:cs="Times New Roman"/>
                <w:sz w:val="20"/>
                <w:szCs w:val="20"/>
              </w:rPr>
              <w:t xml:space="preserve">  </w:t>
            </w:r>
            <w:r w:rsidR="00531865" w:rsidRPr="00E31311">
              <w:rPr>
                <w:rFonts w:ascii="Times New Roman" w:hAnsi="Times New Roman" w:cs="Times New Roman"/>
                <w:sz w:val="20"/>
                <w:szCs w:val="20"/>
              </w:rPr>
              <w:t xml:space="preserve">detox via Syn         </w:t>
            </w:r>
            <w:r w:rsidR="00C95546" w:rsidRPr="00E31311">
              <w:rPr>
                <w:rFonts w:ascii="Times New Roman" w:hAnsi="Times New Roman" w:cs="Times New Roman"/>
                <w:sz w:val="20"/>
                <w:szCs w:val="20"/>
              </w:rPr>
              <w:t xml:space="preserve"> </w:t>
            </w:r>
            <w:r w:rsidR="00531865" w:rsidRPr="00E31311">
              <w:rPr>
                <w:rFonts w:ascii="Times New Roman" w:hAnsi="Times New Roman" w:cs="Times New Roman"/>
                <w:sz w:val="20"/>
                <w:szCs w:val="20"/>
              </w:rPr>
              <w:t xml:space="preserve">  detox via Bacteria</w:t>
            </w:r>
          </w:p>
        </w:tc>
        <w:tc>
          <w:tcPr>
            <w:tcW w:w="992" w:type="dxa"/>
          </w:tcPr>
          <w:p w14:paraId="4E2D1474" w14:textId="77777777" w:rsidR="00531865" w:rsidRPr="00E31311" w:rsidRDefault="00531865" w:rsidP="00AB2160">
            <w:pPr>
              <w:spacing w:line="360" w:lineRule="auto"/>
              <w:rPr>
                <w:rFonts w:ascii="Times New Roman" w:hAnsi="Times New Roman" w:cs="Times New Roman"/>
                <w:sz w:val="20"/>
                <w:szCs w:val="20"/>
              </w:rPr>
            </w:pPr>
          </w:p>
          <w:p w14:paraId="32768693" w14:textId="3752CA73" w:rsidR="00531865" w:rsidRPr="00E31311" w:rsidRDefault="00531865"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sidR="00E72854" w:rsidRPr="00E31311">
              <w:rPr>
                <w:rFonts w:ascii="Times New Roman" w:hAnsi="Times New Roman" w:cs="Times New Roman"/>
                <w:sz w:val="20"/>
                <w:szCs w:val="20"/>
              </w:rPr>
              <w:t>3.</w:t>
            </w:r>
            <w:r w:rsidRPr="00E31311">
              <w:rPr>
                <w:rFonts w:ascii="Times New Roman" w:hAnsi="Times New Roman" w:cs="Times New Roman"/>
                <w:sz w:val="20"/>
                <w:szCs w:val="20"/>
              </w:rPr>
              <w:t>2)</w:t>
            </w:r>
          </w:p>
        </w:tc>
      </w:tr>
      <w:tr w:rsidR="00531865" w:rsidRPr="00E31311" w14:paraId="6E67A253" w14:textId="77777777" w:rsidTr="0014357D">
        <w:trPr>
          <w:trHeight w:val="1570"/>
        </w:trPr>
        <w:tc>
          <w:tcPr>
            <w:tcW w:w="8579" w:type="dxa"/>
          </w:tcPr>
          <w:p w14:paraId="48966559" w14:textId="59801615" w:rsidR="00531865" w:rsidRPr="0014357D" w:rsidRDefault="0014357D" w:rsidP="0014357D">
            <w:pPr>
              <w:spacing w:line="360" w:lineRule="auto"/>
              <w:rPr>
                <w:rFonts w:ascii="Times New Roman" w:hAnsi="Times New Roman" w:cs="Times New Roman"/>
                <w:sz w:val="20"/>
                <w:szCs w:val="20"/>
              </w:rPr>
            </w:pPr>
            <w:r w:rsidRPr="00E31311">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17001FD7" wp14:editId="584615A3">
                      <wp:simplePos x="0" y="0"/>
                      <wp:positionH relativeFrom="column">
                        <wp:posOffset>3821442</wp:posOffset>
                      </wp:positionH>
                      <wp:positionV relativeFrom="paragraph">
                        <wp:posOffset>253831</wp:posOffset>
                      </wp:positionV>
                      <wp:extent cx="91440" cy="798195"/>
                      <wp:effectExtent l="2222" t="0" r="12383" b="12382"/>
                      <wp:wrapNone/>
                      <wp:docPr id="62" name="Left Brace 62"/>
                      <wp:cNvGraphicFramePr/>
                      <a:graphic xmlns:a="http://schemas.openxmlformats.org/drawingml/2006/main">
                        <a:graphicData uri="http://schemas.microsoft.com/office/word/2010/wordprocessingShape">
                          <wps:wsp>
                            <wps:cNvSpPr/>
                            <wps:spPr>
                              <a:xfrm rot="5400000" flipH="1">
                                <a:off x="0" y="0"/>
                                <a:ext cx="91440" cy="7981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8190B" id="Left Brace 62" o:spid="_x0000_s1026" type="#_x0000_t87" style="position:absolute;margin-left:300.9pt;margin-top:20pt;width:7.2pt;height:62.85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" adj="206"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74624" behindDoc="0" locked="0" layoutInCell="1" allowOverlap="1" wp14:anchorId="403CAF89" wp14:editId="670A1AE0">
                      <wp:simplePos x="0" y="0"/>
                      <wp:positionH relativeFrom="column">
                        <wp:posOffset>2520098</wp:posOffset>
                      </wp:positionH>
                      <wp:positionV relativeFrom="paragraph">
                        <wp:posOffset>485401</wp:posOffset>
                      </wp:positionV>
                      <wp:extent cx="57785" cy="340360"/>
                      <wp:effectExtent l="0" t="1587" r="16827" b="16828"/>
                      <wp:wrapNone/>
                      <wp:docPr id="61" name="Left Brace 61"/>
                      <wp:cNvGraphicFramePr/>
                      <a:graphic xmlns:a="http://schemas.openxmlformats.org/drawingml/2006/main">
                        <a:graphicData uri="http://schemas.microsoft.com/office/word/2010/wordprocessingShape">
                          <wps:wsp>
                            <wps:cNvSpPr/>
                            <wps:spPr>
                              <a:xfrm rot="16200000">
                                <a:off x="0" y="0"/>
                                <a:ext cx="57785" cy="34036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0ED9F" id="Left Brace 61" o:spid="_x0000_s1026" type="#_x0000_t87" style="position:absolute;margin-left:198.45pt;margin-top:38.2pt;width:4.55pt;height:26.8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" adj="306"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6CC1F6C1" wp14:editId="6FE47505">
                      <wp:simplePos x="0" y="0"/>
                      <wp:positionH relativeFrom="column">
                        <wp:posOffset>1237523</wp:posOffset>
                      </wp:positionH>
                      <wp:positionV relativeFrom="paragraph">
                        <wp:posOffset>290512</wp:posOffset>
                      </wp:positionV>
                      <wp:extent cx="91783" cy="798462"/>
                      <wp:effectExtent l="2222" t="0" r="12383" b="12382"/>
                      <wp:wrapNone/>
                      <wp:docPr id="63" name="Left Brace 63"/>
                      <wp:cNvGraphicFramePr/>
                      <a:graphic xmlns:a="http://schemas.openxmlformats.org/drawingml/2006/main">
                        <a:graphicData uri="http://schemas.microsoft.com/office/word/2010/wordprocessingShape">
                          <wps:wsp>
                            <wps:cNvSpPr/>
                            <wps:spPr>
                              <a:xfrm rot="5400000" flipH="1">
                                <a:off x="0" y="0"/>
                                <a:ext cx="91783" cy="798462"/>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BEC9F" id="Left Brace 63" o:spid="_x0000_s1026" type="#_x0000_t87" style="position:absolute;margin-left:97.45pt;margin-top:22.85pt;width:7.25pt;height:62.85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" adj="207" strokecolor="black [3200]" strokeweight="1pt">
                      <v:stroke joinstyle="miter"/>
                    </v:shape>
                  </w:pict>
                </mc:Fallback>
              </mc:AlternateContent>
            </w:r>
            <w:r w:rsidR="00531865" w:rsidRPr="00E31311">
              <w:rPr>
                <w:rFonts w:ascii="Times New Roman" w:hAnsi="Times New Roman" w:cs="Times New Roman"/>
                <w:sz w:val="20"/>
                <w:szCs w:val="20"/>
              </w:rPr>
              <w:br/>
            </w:r>
            <m:oMathPara>
              <m:oMathParaPr>
                <m:jc m:val="left"/>
              </m:oMathParaPr>
              <m:oMath>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num>
                  <m:den>
                    <m:r>
                      <w:rPr>
                        <w:rFonts w:ascii="Cambria Math" w:hAnsi="Cambria Math" w:cs="Times New Roman"/>
                        <w:sz w:val="20"/>
                        <w:szCs w:val="20"/>
                      </w:rPr>
                      <m:t>dt</m:t>
                    </m:r>
                  </m:den>
                </m:f>
                <m:r>
                  <w:rPr>
                    <w:rFonts w:ascii="Cambria Math" w:hAnsi="Cambria Math" w:cs="Times New Roman"/>
                    <w:sz w:val="20"/>
                    <w:szCs w:val="20"/>
                  </w:rPr>
                  <m:t xml:space="preserve">            </m:t>
                </m:r>
                <m:r>
                  <m:rPr>
                    <m:aln/>
                  </m:rPr>
                  <w:rPr>
                    <w:rFonts w:ascii="Cambria Math" w:hAnsi="Cambria Math" w:cs="Times New Roman"/>
                    <w:sz w:val="20"/>
                    <w:szCs w:val="20"/>
                  </w:rPr>
                  <m:t xml:space="preserve">=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 xml:space="preserve"> μ</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r>
                      <w:rPr>
                        <w:rFonts w:ascii="Cambria Math" w:hAnsi="Cambria Math" w:cs="Times New Roman"/>
                        <w:sz w:val="20"/>
                        <w:szCs w:val="20"/>
                      </w:rPr>
                      <m:t>N</m:t>
                    </m:r>
                  </m:num>
                  <m:den>
                    <m:r>
                      <w:rPr>
                        <w:rFonts w:ascii="Cambria Math" w:hAnsi="Cambria Math" w:cs="Times New Roman"/>
                        <w:sz w:val="20"/>
                        <w:szCs w:val="20"/>
                      </w:rPr>
                      <m:t xml:space="preserve">N+ </m:t>
                    </m:r>
                    <m:sSub>
                      <m:sSubPr>
                        <m:ctrlPr>
                          <w:rPr>
                            <w:rFonts w:ascii="Cambria Math" w:hAnsi="Cambria Math" w:cs="Times New Roman"/>
                            <w:sz w:val="20"/>
                            <w:szCs w:val="20"/>
                          </w:rPr>
                        </m:ctrlPr>
                      </m:sSubPr>
                      <m:e>
                        <m:r>
                          <m:rPr>
                            <m:sty m:val="p"/>
                          </m:rPr>
                          <w:rPr>
                            <w:rFonts w:ascii="Cambria Math" w:hAnsi="Cambria Math" w:cs="Times New Roman"/>
                            <w:sz w:val="20"/>
                            <w:szCs w:val="20"/>
                          </w:rPr>
                          <m:t>ks</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den>
                </m:f>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Sub>
                  <m:sSubPr>
                    <m:ctrlPr>
                      <w:rPr>
                        <w:rFonts w:ascii="Cambria Math" w:hAnsi="Cambria Math" w:cs="Times New Roman"/>
                        <w:sz w:val="20"/>
                        <w:szCs w:val="20"/>
                      </w:rPr>
                    </m:ctrlPr>
                  </m:sSubPr>
                  <m:e>
                    <m:r>
                      <m:rPr>
                        <m:sty m:val="p"/>
                      </m:rPr>
                      <w:rPr>
                        <w:rFonts w:ascii="Cambria Math" w:hAnsi="Cambria Math" w:cs="Times New Roman"/>
                        <w:sz w:val="20"/>
                        <w:szCs w:val="20"/>
                      </w:rPr>
                      <m:t xml:space="preserve">             -                k</m:t>
                    </m:r>
                  </m:e>
                  <m:sub>
                    <m:sSub>
                      <m:sSubPr>
                        <m:ctrlPr>
                          <w:rPr>
                            <w:rFonts w:ascii="Cambria Math" w:hAnsi="Cambria Math" w:cs="Times New Roman"/>
                            <w:sz w:val="20"/>
                            <w:szCs w:val="20"/>
                          </w:rPr>
                        </m:ctrlPr>
                      </m:sSubPr>
                      <m:e>
                        <m:r>
                          <w:rPr>
                            <w:rFonts w:ascii="Cambria Math" w:hAnsi="Cambria Math" w:cs="Times New Roman"/>
                            <w:sz w:val="20"/>
                            <w:szCs w:val="20"/>
                          </w:rPr>
                          <m:t>d</m:t>
                        </m:r>
                        <m:r>
                          <m:rPr>
                            <m:sty m:val="p"/>
                          </m:rPr>
                          <w:rPr>
                            <w:rFonts w:ascii="Cambria Math" w:hAnsi="Cambria Math" w:cs="Times New Roman"/>
                            <w:sz w:val="20"/>
                            <w:szCs w:val="20"/>
                          </w:rPr>
                          <m:t>am</m:t>
                        </m:r>
                      </m:e>
                      <m: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sub>
                    </m:sSub>
                  </m:sub>
                </m:sSub>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H</m:t>
                </m:r>
              </m:oMath>
            </m:oMathPara>
          </w:p>
          <w:p w14:paraId="35CDC425" w14:textId="45ED2C5E" w:rsidR="00531865" w:rsidRPr="00E31311" w:rsidRDefault="00531865" w:rsidP="0014357D">
            <w:pPr>
              <w:spacing w:line="360" w:lineRule="auto"/>
              <w:rPr>
                <w:rFonts w:ascii="Times New Roman" w:hAnsi="Times New Roman" w:cs="Times New Roman"/>
                <w:sz w:val="20"/>
                <w:szCs w:val="20"/>
              </w:rPr>
            </w:pPr>
            <w:r w:rsidRPr="00E31311">
              <w:rPr>
                <w:rFonts w:ascii="Times New Roman" w:hAnsi="Times New Roman" w:cs="Times New Roman"/>
                <w:sz w:val="20"/>
                <w:szCs w:val="20"/>
              </w:rPr>
              <w:t xml:space="preserve">                            Growth</w:t>
            </w:r>
            <w:r w:rsidR="008F1C14">
              <w:rPr>
                <w:rFonts w:ascii="Times New Roman" w:hAnsi="Times New Roman" w:cs="Times New Roman"/>
                <w:sz w:val="20"/>
                <w:szCs w:val="20"/>
              </w:rPr>
              <w:t xml:space="preserve"> of P on</w:t>
            </w:r>
            <w:r w:rsidRPr="00E31311">
              <w:rPr>
                <w:rFonts w:ascii="Times New Roman" w:hAnsi="Times New Roman" w:cs="Times New Roman"/>
                <w:sz w:val="20"/>
                <w:szCs w:val="20"/>
              </w:rPr>
              <w:t xml:space="preserve"> </w:t>
            </w:r>
            <w:proofErr w:type="spellStart"/>
            <w:r w:rsidRPr="00E31311">
              <w:rPr>
                <w:rFonts w:ascii="Times New Roman" w:hAnsi="Times New Roman" w:cs="Times New Roman"/>
                <w:sz w:val="20"/>
                <w:szCs w:val="20"/>
              </w:rPr>
              <w:t>N</w:t>
            </w:r>
            <w:proofErr w:type="spellEnd"/>
            <w:r w:rsidRPr="00E31311">
              <w:rPr>
                <w:rFonts w:ascii="Times New Roman" w:hAnsi="Times New Roman" w:cs="Times New Roman"/>
                <w:sz w:val="20"/>
                <w:szCs w:val="20"/>
              </w:rPr>
              <w:t xml:space="preserve">              </w:t>
            </w:r>
            <w:r w:rsidR="0014357D">
              <w:rPr>
                <w:rFonts w:ascii="Times New Roman" w:hAnsi="Times New Roman" w:cs="Times New Roman"/>
                <w:sz w:val="20"/>
                <w:szCs w:val="20"/>
              </w:rPr>
              <w:t xml:space="preserve">innate cell </w:t>
            </w:r>
            <w:r w:rsidRPr="00E31311">
              <w:rPr>
                <w:rFonts w:ascii="Times New Roman" w:hAnsi="Times New Roman" w:cs="Times New Roman"/>
                <w:sz w:val="20"/>
                <w:szCs w:val="20"/>
              </w:rPr>
              <w:t>d</w:t>
            </w:r>
            <w:r w:rsidR="0014357D">
              <w:rPr>
                <w:rFonts w:ascii="Times New Roman" w:hAnsi="Times New Roman" w:cs="Times New Roman"/>
                <w:sz w:val="20"/>
                <w:szCs w:val="20"/>
              </w:rPr>
              <w:t>eath</w:t>
            </w:r>
            <w:r w:rsidRPr="00E31311">
              <w:rPr>
                <w:rFonts w:ascii="Times New Roman" w:hAnsi="Times New Roman" w:cs="Times New Roman"/>
                <w:sz w:val="20"/>
                <w:szCs w:val="20"/>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E31311">
              <w:rPr>
                <w:rFonts w:ascii="Times New Roman" w:hAnsi="Times New Roman" w:cs="Times New Roman"/>
                <w:sz w:val="20"/>
                <w:szCs w:val="20"/>
              </w:rPr>
              <w:t xml:space="preserve"> -based cell loss </w:t>
            </w:r>
          </w:p>
        </w:tc>
        <w:tc>
          <w:tcPr>
            <w:tcW w:w="992" w:type="dxa"/>
          </w:tcPr>
          <w:p w14:paraId="31EA855A" w14:textId="77777777" w:rsidR="00531865" w:rsidRPr="00E31311" w:rsidRDefault="00531865" w:rsidP="00AB2160">
            <w:pPr>
              <w:spacing w:line="360" w:lineRule="auto"/>
              <w:rPr>
                <w:rFonts w:ascii="Times New Roman" w:hAnsi="Times New Roman" w:cs="Times New Roman"/>
                <w:sz w:val="20"/>
                <w:szCs w:val="20"/>
              </w:rPr>
            </w:pPr>
          </w:p>
          <w:p w14:paraId="0D0A933B" w14:textId="77777777" w:rsidR="00531865" w:rsidRPr="00E31311" w:rsidRDefault="00531865" w:rsidP="00AB2160">
            <w:pPr>
              <w:spacing w:line="360" w:lineRule="auto"/>
              <w:rPr>
                <w:rFonts w:ascii="Times New Roman" w:hAnsi="Times New Roman" w:cs="Times New Roman"/>
                <w:sz w:val="20"/>
                <w:szCs w:val="20"/>
              </w:rPr>
            </w:pPr>
          </w:p>
          <w:p w14:paraId="69BF077D" w14:textId="32B72A09" w:rsidR="00531865" w:rsidRPr="00E31311" w:rsidRDefault="00531865"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sidR="00E72854" w:rsidRPr="00E31311">
              <w:rPr>
                <w:rFonts w:ascii="Times New Roman" w:hAnsi="Times New Roman" w:cs="Times New Roman"/>
                <w:sz w:val="20"/>
                <w:szCs w:val="20"/>
              </w:rPr>
              <w:t>3.</w:t>
            </w:r>
            <w:r w:rsidRPr="00E31311">
              <w:rPr>
                <w:rFonts w:ascii="Times New Roman" w:hAnsi="Times New Roman" w:cs="Times New Roman"/>
                <w:sz w:val="20"/>
                <w:szCs w:val="20"/>
              </w:rPr>
              <w:t>3)</w:t>
            </w:r>
          </w:p>
          <w:p w14:paraId="608F2412" w14:textId="77777777" w:rsidR="00531865" w:rsidRPr="00E31311" w:rsidRDefault="00531865" w:rsidP="00AB2160">
            <w:pPr>
              <w:spacing w:line="360" w:lineRule="auto"/>
              <w:rPr>
                <w:rFonts w:ascii="Times New Roman" w:hAnsi="Times New Roman" w:cs="Times New Roman"/>
                <w:sz w:val="20"/>
                <w:szCs w:val="20"/>
              </w:rPr>
            </w:pPr>
          </w:p>
        </w:tc>
      </w:tr>
      <w:tr w:rsidR="00531865" w:rsidRPr="00E31311" w14:paraId="082F0067" w14:textId="77777777" w:rsidTr="0014357D">
        <w:trPr>
          <w:trHeight w:val="1570"/>
        </w:trPr>
        <w:tc>
          <w:tcPr>
            <w:tcW w:w="8579" w:type="dxa"/>
          </w:tcPr>
          <w:p w14:paraId="471ED731" w14:textId="79D97DED" w:rsidR="00531865" w:rsidRPr="008F1C14" w:rsidRDefault="008F1C14" w:rsidP="0014357D">
            <w:pPr>
              <w:spacing w:line="360" w:lineRule="auto"/>
              <w:rPr>
                <w:rFonts w:ascii="Times New Roman" w:hAnsi="Times New Roman" w:cs="Times New Roman"/>
                <w:sz w:val="20"/>
                <w:szCs w:val="20"/>
              </w:rPr>
            </w:pPr>
            <w:r w:rsidRPr="00E31311">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1A28030A" wp14:editId="4352AD99">
                      <wp:simplePos x="0" y="0"/>
                      <wp:positionH relativeFrom="column">
                        <wp:posOffset>1304285</wp:posOffset>
                      </wp:positionH>
                      <wp:positionV relativeFrom="paragraph">
                        <wp:posOffset>282899</wp:posOffset>
                      </wp:positionV>
                      <wp:extent cx="103506" cy="739408"/>
                      <wp:effectExtent l="0" t="317" r="10477" b="10478"/>
                      <wp:wrapNone/>
                      <wp:docPr id="505051009" name="Left Brace 505051009"/>
                      <wp:cNvGraphicFramePr/>
                      <a:graphic xmlns:a="http://schemas.openxmlformats.org/drawingml/2006/main">
                        <a:graphicData uri="http://schemas.microsoft.com/office/word/2010/wordprocessingShape">
                          <wps:wsp>
                            <wps:cNvSpPr/>
                            <wps:spPr>
                              <a:xfrm rot="5400000" flipH="1">
                                <a:off x="0" y="0"/>
                                <a:ext cx="103506" cy="739408"/>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B66FB" id="Left Brace 505051009" o:spid="_x0000_s1026" type="#_x0000_t87" style="position:absolute;margin-left:102.7pt;margin-top:22.3pt;width:8.15pt;height:58.2pt;rotation:-9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" adj="252"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63936C64" wp14:editId="232BB3A8">
                      <wp:simplePos x="0" y="0"/>
                      <wp:positionH relativeFrom="column">
                        <wp:posOffset>2664367</wp:posOffset>
                      </wp:positionH>
                      <wp:positionV relativeFrom="paragraph">
                        <wp:posOffset>468642</wp:posOffset>
                      </wp:positionV>
                      <wp:extent cx="65405" cy="315595"/>
                      <wp:effectExtent l="1905" t="0" r="12700" b="12700"/>
                      <wp:wrapNone/>
                      <wp:docPr id="505051008" name="Left Brace 505051008"/>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D12FB" id="Left Brace 505051008" o:spid="_x0000_s1026" type="#_x0000_t87" style="position:absolute;margin-left:209.8pt;margin-top:36.9pt;width:5.15pt;height:24.8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" adj="373" strokecolor="black [3200]" strokeweight="1pt">
                      <v:stroke joinstyle="miter"/>
                    </v:shape>
                  </w:pict>
                </mc:Fallback>
              </mc:AlternateContent>
            </w:r>
            <w:r w:rsidR="00531865" w:rsidRPr="00E31311">
              <w:rPr>
                <w:rFonts w:ascii="Times New Roman" w:hAnsi="Times New Roman" w:cs="Times New Roman"/>
                <w:sz w:val="20"/>
                <w:szCs w:val="20"/>
              </w:rPr>
              <w:br/>
            </w:r>
            <m:oMathPara>
              <m:oMathParaPr>
                <m:jc m:val="left"/>
              </m:oMathParaPr>
              <m:oMath>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m:t>
                    </m:r>
                  </m:num>
                  <m:den>
                    <m:r>
                      <w:rPr>
                        <w:rFonts w:ascii="Cambria Math" w:hAnsi="Cambria Math" w:cs="Times New Roman"/>
                        <w:sz w:val="20"/>
                        <w:szCs w:val="20"/>
                      </w:rPr>
                      <m:t>dt</m:t>
                    </m:r>
                  </m:den>
                </m:f>
                <m:r>
                  <w:rPr>
                    <w:rFonts w:ascii="Cambria Math" w:hAnsi="Cambria Math" w:cs="Times New Roman"/>
                    <w:sz w:val="20"/>
                    <w:szCs w:val="20"/>
                  </w:rPr>
                  <m:t xml:space="preserve">         </m:t>
                </m:r>
                <m:r>
                  <m:rPr>
                    <m:aln/>
                  </m:rPr>
                  <w:rPr>
                    <w:rFonts w:ascii="Cambria Math" w:hAnsi="Cambria Math" w:cs="Times New Roman"/>
                    <w:sz w:val="20"/>
                    <w:szCs w:val="20"/>
                  </w:rPr>
                  <m:t xml:space="preserve">=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 xml:space="preserve"> μ</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r>
                      <w:rPr>
                        <w:rFonts w:ascii="Cambria Math" w:hAnsi="Cambria Math" w:cs="Times New Roman"/>
                        <w:sz w:val="20"/>
                        <w:szCs w:val="20"/>
                      </w:rPr>
                      <m:t>N</m:t>
                    </m:r>
                  </m:num>
                  <m:den>
                    <m:r>
                      <w:rPr>
                        <w:rFonts w:ascii="Cambria Math" w:hAnsi="Cambria Math" w:cs="Times New Roman"/>
                        <w:sz w:val="20"/>
                        <w:szCs w:val="20"/>
                      </w:rPr>
                      <m:t xml:space="preserve">N+ </m:t>
                    </m:r>
                    <m:sSub>
                      <m:sSubPr>
                        <m:ctrlPr>
                          <w:rPr>
                            <w:rFonts w:ascii="Cambria Math" w:hAnsi="Cambria Math" w:cs="Times New Roman"/>
                            <w:sz w:val="20"/>
                            <w:szCs w:val="20"/>
                          </w:rPr>
                        </m:ctrlPr>
                      </m:sSubPr>
                      <m:e>
                        <m:r>
                          <m:rPr>
                            <m:sty m:val="p"/>
                          </m:rPr>
                          <w:rPr>
                            <w:rFonts w:ascii="Cambria Math" w:hAnsi="Cambria Math" w:cs="Times New Roman"/>
                            <w:sz w:val="20"/>
                            <w:szCs w:val="20"/>
                          </w:rPr>
                          <m:t>ks</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den>
                </m:f>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r>
                  <w:rPr>
                    <w:rFonts w:ascii="Cambria Math" w:hAnsi="Cambria Math" w:cs="Times New Roman"/>
                    <w:sz w:val="20"/>
                    <w:szCs w:val="20"/>
                  </w:rPr>
                  <m:t xml:space="preserve">                </m:t>
                </m:r>
              </m:oMath>
            </m:oMathPara>
          </w:p>
          <w:p w14:paraId="77D892A0" w14:textId="77777777" w:rsidR="008F1C14" w:rsidRDefault="00531865" w:rsidP="008F1C14">
            <w:pPr>
              <w:spacing w:line="360" w:lineRule="auto"/>
              <w:rPr>
                <w:rFonts w:ascii="Times New Roman" w:hAnsi="Times New Roman" w:cs="Times New Roman"/>
                <w:sz w:val="20"/>
                <w:szCs w:val="20"/>
              </w:rPr>
            </w:pPr>
            <w:r w:rsidRPr="00E31311">
              <w:rPr>
                <w:rFonts w:ascii="Times New Roman" w:hAnsi="Times New Roman" w:cs="Times New Roman"/>
                <w:sz w:val="20"/>
                <w:szCs w:val="20"/>
              </w:rPr>
              <w:t xml:space="preserve">           </w:t>
            </w:r>
            <w:r w:rsidR="00C95546" w:rsidRPr="00E31311">
              <w:rPr>
                <w:rFonts w:ascii="Times New Roman" w:hAnsi="Times New Roman" w:cs="Times New Roman"/>
                <w:sz w:val="20"/>
                <w:szCs w:val="20"/>
              </w:rPr>
              <w:t xml:space="preserve">                  </w:t>
            </w:r>
            <w:r w:rsidR="008F1C14" w:rsidRPr="00E31311">
              <w:rPr>
                <w:rFonts w:ascii="Times New Roman" w:hAnsi="Times New Roman" w:cs="Times New Roman"/>
                <w:sz w:val="20"/>
                <w:szCs w:val="20"/>
              </w:rPr>
              <w:t>Growth</w:t>
            </w:r>
            <w:r w:rsidR="008F1C14">
              <w:rPr>
                <w:rFonts w:ascii="Times New Roman" w:hAnsi="Times New Roman" w:cs="Times New Roman"/>
                <w:sz w:val="20"/>
                <w:szCs w:val="20"/>
              </w:rPr>
              <w:t xml:space="preserve"> of S on</w:t>
            </w:r>
            <w:r w:rsidR="008F1C14" w:rsidRPr="00E31311">
              <w:rPr>
                <w:rFonts w:ascii="Times New Roman" w:hAnsi="Times New Roman" w:cs="Times New Roman"/>
                <w:sz w:val="20"/>
                <w:szCs w:val="20"/>
              </w:rPr>
              <w:t xml:space="preserve"> </w:t>
            </w:r>
            <w:proofErr w:type="spellStart"/>
            <w:r w:rsidR="008F1C14" w:rsidRPr="00E31311">
              <w:rPr>
                <w:rFonts w:ascii="Times New Roman" w:hAnsi="Times New Roman" w:cs="Times New Roman"/>
                <w:sz w:val="20"/>
                <w:szCs w:val="20"/>
              </w:rPr>
              <w:t>N</w:t>
            </w:r>
            <w:proofErr w:type="spellEnd"/>
            <w:r w:rsidR="008F1C14" w:rsidRPr="00E31311">
              <w:rPr>
                <w:rFonts w:ascii="Times New Roman" w:hAnsi="Times New Roman" w:cs="Times New Roman"/>
                <w:sz w:val="20"/>
                <w:szCs w:val="20"/>
              </w:rPr>
              <w:t xml:space="preserve">              </w:t>
            </w:r>
            <w:r w:rsidR="008F1C14">
              <w:rPr>
                <w:rFonts w:ascii="Times New Roman" w:hAnsi="Times New Roman" w:cs="Times New Roman"/>
                <w:sz w:val="20"/>
                <w:szCs w:val="20"/>
              </w:rPr>
              <w:t xml:space="preserve">innate cell </w:t>
            </w:r>
            <w:r w:rsidR="008F1C14" w:rsidRPr="00E31311">
              <w:rPr>
                <w:rFonts w:ascii="Times New Roman" w:hAnsi="Times New Roman" w:cs="Times New Roman"/>
                <w:sz w:val="20"/>
                <w:szCs w:val="20"/>
              </w:rPr>
              <w:t>d</w:t>
            </w:r>
            <w:r w:rsidR="008F1C14">
              <w:rPr>
                <w:rFonts w:ascii="Times New Roman" w:hAnsi="Times New Roman" w:cs="Times New Roman"/>
                <w:sz w:val="20"/>
                <w:szCs w:val="20"/>
              </w:rPr>
              <w:t>eath</w:t>
            </w:r>
            <w:r w:rsidR="008F1C14" w:rsidRPr="00E31311">
              <w:rPr>
                <w:rFonts w:ascii="Times New Roman" w:hAnsi="Times New Roman" w:cs="Times New Roman"/>
                <w:sz w:val="20"/>
                <w:szCs w:val="20"/>
              </w:rPr>
              <w:t xml:space="preserve">          </w:t>
            </w:r>
          </w:p>
          <w:p w14:paraId="34040792" w14:textId="2BB91E9F" w:rsidR="00492FBC" w:rsidRDefault="008F1C14" w:rsidP="008F1C14">
            <w:pPr>
              <w:spacing w:line="360" w:lineRule="auto"/>
              <w:rPr>
                <w:rFonts w:ascii="Times New Roman" w:hAnsi="Times New Roman" w:cs="Times New Roman"/>
                <w:sz w:val="20"/>
                <w:szCs w:val="20"/>
              </w:rPr>
            </w:pPr>
            <w:r w:rsidRPr="00E31311">
              <w:rPr>
                <w:rFonts w:ascii="Times New Roman" w:hAnsi="Times New Roman" w:cs="Times New Roman"/>
                <w:sz w:val="20"/>
                <w:szCs w:val="20"/>
              </w:rPr>
              <w:t xml:space="preserve"> </w:t>
            </w:r>
            <w:r w:rsidRPr="00E31311">
              <w:rPr>
                <w:rFonts w:ascii="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7B064E17" wp14:editId="0A64535E">
                      <wp:simplePos x="0" y="0"/>
                      <wp:positionH relativeFrom="column">
                        <wp:posOffset>1762867</wp:posOffset>
                      </wp:positionH>
                      <wp:positionV relativeFrom="paragraph">
                        <wp:posOffset>18416</wp:posOffset>
                      </wp:positionV>
                      <wp:extent cx="103505" cy="1341045"/>
                      <wp:effectExtent l="3810" t="0" r="14605" b="14605"/>
                      <wp:wrapNone/>
                      <wp:docPr id="67" name="Left Brace 67"/>
                      <wp:cNvGraphicFramePr/>
                      <a:graphic xmlns:a="http://schemas.openxmlformats.org/drawingml/2006/main">
                        <a:graphicData uri="http://schemas.microsoft.com/office/word/2010/wordprocessingShape">
                          <wps:wsp>
                            <wps:cNvSpPr/>
                            <wps:spPr>
                              <a:xfrm rot="5400000" flipH="1">
                                <a:off x="0" y="0"/>
                                <a:ext cx="103505" cy="134104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D339E" id="Left Brace 67" o:spid="_x0000_s1026" type="#_x0000_t87" style="position:absolute;margin-left:138.8pt;margin-top:1.45pt;width:8.15pt;height:105.6pt;rotation:-9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" adj="139" strokecolor="black [3200]" strokeweight="1pt">
                      <v:stroke joinstyle="miter"/>
                    </v:shape>
                  </w:pict>
                </mc:Fallback>
              </mc:AlternateContent>
            </w:r>
          </w:p>
          <w:p w14:paraId="23B1C8F8" w14:textId="07665242" w:rsidR="00492FBC" w:rsidRPr="008F1C14" w:rsidRDefault="00000000" w:rsidP="00AB2160">
            <w:pPr>
              <w:spacing w:line="360" w:lineRule="auto"/>
              <w:rPr>
                <w:rFonts w:ascii="Times New Roman" w:hAnsi="Times New Roman" w:cs="Times New Roman"/>
                <w:sz w:val="20"/>
                <w:szCs w:val="20"/>
              </w:rPr>
            </w:pPr>
            <m:oMathPara>
              <m:oMathParaPr>
                <m:jc m:val="left"/>
              </m:oMathParaPr>
              <m:oMath>
                <m:f>
                  <m:fPr>
                    <m:ctrlPr>
                      <w:rPr>
                        <w:rFonts w:ascii="Cambria Math" w:hAnsi="Cambria Math" w:cs="Times New Roman"/>
                        <w:i/>
                        <w:sz w:val="20"/>
                        <w:szCs w:val="20"/>
                      </w:rPr>
                    </m:ctrlPr>
                  </m:fPr>
                  <m:num>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num>
                  <m:den>
                    <m:r>
                      <w:rPr>
                        <w:rFonts w:ascii="Cambria Math" w:hAnsi="Cambria Math" w:cs="Times New Roman"/>
                        <w:sz w:val="20"/>
                        <w:szCs w:val="20"/>
                      </w:rPr>
                      <m:t>dt</m:t>
                    </m:r>
                  </m:den>
                </m:f>
                <m:r>
                  <w:rPr>
                    <w:rFonts w:ascii="Cambria Math" w:hAnsi="Cambria Math" w:cs="Times New Roman"/>
                    <w:sz w:val="20"/>
                    <w:szCs w:val="20"/>
                  </w:rPr>
                  <m:t xml:space="preserve">             </m:t>
                </m:r>
                <m:r>
                  <m:rPr>
                    <m:aln/>
                  </m:rP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 xml:space="preserve"> μ</m:t>
                    </m:r>
                  </m:e>
                  <m: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r>
                  <w:rPr>
                    <w:rFonts w:ascii="Cambria Math" w:hAnsi="Cambria Math" w:cs="Times New Roman"/>
                    <w:sz w:val="20"/>
                    <w:szCs w:val="20"/>
                  </w:rPr>
                  <m:t xml:space="preserve">          -    </m:t>
                </m:r>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sub>
                </m:sSub>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oMath>
            </m:oMathPara>
          </w:p>
          <w:p w14:paraId="756B247B" w14:textId="46D8043E" w:rsidR="00AB67C4" w:rsidRPr="00E31311" w:rsidRDefault="0082316B" w:rsidP="00AB2160">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r w:rsidRPr="00E31311">
              <w:rPr>
                <w:rFonts w:ascii="Times New Roman" w:hAnsi="Times New Roman" w:cs="Times New Roman"/>
                <w:sz w:val="20"/>
                <w:szCs w:val="20"/>
              </w:rPr>
              <w:t xml:space="preserve">Growth </w:t>
            </w:r>
            <w:r>
              <w:rPr>
                <w:rFonts w:ascii="Times New Roman" w:hAnsi="Times New Roman" w:cs="Times New Roman"/>
                <w:sz w:val="20"/>
                <w:szCs w:val="20"/>
              </w:rPr>
              <w:t>and death of heterotrophic bacteria</w:t>
            </w:r>
            <w:r w:rsidRPr="00E31311">
              <w:rPr>
                <w:rFonts w:ascii="Times New Roman" w:hAnsi="Times New Roman" w:cs="Times New Roman"/>
                <w:sz w:val="20"/>
                <w:szCs w:val="20"/>
              </w:rPr>
              <w:t xml:space="preserve">                    </w:t>
            </w:r>
          </w:p>
        </w:tc>
        <w:tc>
          <w:tcPr>
            <w:tcW w:w="992" w:type="dxa"/>
          </w:tcPr>
          <w:p w14:paraId="2A637660" w14:textId="77777777" w:rsidR="00531865" w:rsidRPr="00E31311" w:rsidRDefault="00531865" w:rsidP="00AB2160">
            <w:pPr>
              <w:spacing w:line="360" w:lineRule="auto"/>
              <w:rPr>
                <w:rFonts w:ascii="Times New Roman" w:hAnsi="Times New Roman" w:cs="Times New Roman"/>
                <w:sz w:val="20"/>
                <w:szCs w:val="20"/>
              </w:rPr>
            </w:pPr>
          </w:p>
          <w:p w14:paraId="44C105BC" w14:textId="77777777" w:rsidR="00531865" w:rsidRPr="00E31311" w:rsidRDefault="00531865" w:rsidP="00AB2160">
            <w:pPr>
              <w:spacing w:line="360" w:lineRule="auto"/>
              <w:rPr>
                <w:rFonts w:ascii="Times New Roman" w:hAnsi="Times New Roman" w:cs="Times New Roman"/>
                <w:sz w:val="20"/>
                <w:szCs w:val="20"/>
              </w:rPr>
            </w:pPr>
          </w:p>
          <w:p w14:paraId="3C05D45D" w14:textId="6ABA9A91" w:rsidR="00531865" w:rsidRPr="00E31311" w:rsidRDefault="00531865" w:rsidP="00AB2160">
            <w:pPr>
              <w:spacing w:line="360" w:lineRule="auto"/>
              <w:rPr>
                <w:rFonts w:ascii="Times New Roman" w:hAnsi="Times New Roman" w:cs="Times New Roman"/>
                <w:sz w:val="20"/>
                <w:szCs w:val="20"/>
              </w:rPr>
            </w:pPr>
            <w:r w:rsidRPr="00E31311">
              <w:rPr>
                <w:rFonts w:ascii="Times New Roman" w:hAnsi="Times New Roman" w:cs="Times New Roman"/>
                <w:sz w:val="20"/>
                <w:szCs w:val="20"/>
              </w:rPr>
              <w:t>(</w:t>
            </w:r>
            <w:r w:rsidR="00E72854" w:rsidRPr="00E31311">
              <w:rPr>
                <w:rFonts w:ascii="Times New Roman" w:hAnsi="Times New Roman" w:cs="Times New Roman"/>
                <w:sz w:val="20"/>
                <w:szCs w:val="20"/>
              </w:rPr>
              <w:t>3.</w:t>
            </w:r>
            <w:r w:rsidRPr="00E31311">
              <w:rPr>
                <w:rFonts w:ascii="Times New Roman" w:hAnsi="Times New Roman" w:cs="Times New Roman"/>
                <w:sz w:val="20"/>
                <w:szCs w:val="20"/>
              </w:rPr>
              <w:t>4)</w:t>
            </w:r>
          </w:p>
          <w:p w14:paraId="31307E4E" w14:textId="77777777" w:rsidR="0082316B" w:rsidRDefault="0082316B" w:rsidP="00AB2160">
            <w:pPr>
              <w:spacing w:line="360" w:lineRule="auto"/>
              <w:rPr>
                <w:rFonts w:ascii="Times New Roman" w:hAnsi="Times New Roman" w:cs="Times New Roman"/>
                <w:sz w:val="20"/>
                <w:szCs w:val="20"/>
              </w:rPr>
            </w:pPr>
          </w:p>
          <w:p w14:paraId="0405F1DF" w14:textId="77777777" w:rsidR="0082316B" w:rsidRDefault="0082316B" w:rsidP="00AB2160">
            <w:pPr>
              <w:spacing w:line="360" w:lineRule="auto"/>
              <w:rPr>
                <w:rFonts w:ascii="Times New Roman" w:hAnsi="Times New Roman" w:cs="Times New Roman"/>
                <w:sz w:val="20"/>
                <w:szCs w:val="20"/>
              </w:rPr>
            </w:pPr>
          </w:p>
          <w:p w14:paraId="46B0D02C" w14:textId="6297ACFA" w:rsidR="00531865" w:rsidRPr="00E31311" w:rsidRDefault="0082316B" w:rsidP="008F1C14">
            <w:pPr>
              <w:spacing w:line="360" w:lineRule="auto"/>
              <w:rPr>
                <w:rFonts w:ascii="Times New Roman" w:hAnsi="Times New Roman" w:cs="Times New Roman"/>
                <w:sz w:val="20"/>
                <w:szCs w:val="20"/>
              </w:rPr>
            </w:pPr>
            <w:r w:rsidRPr="00E31311">
              <w:rPr>
                <w:rFonts w:ascii="Times New Roman" w:hAnsi="Times New Roman" w:cs="Times New Roman"/>
                <w:sz w:val="20"/>
                <w:szCs w:val="20"/>
              </w:rPr>
              <w:t>(3.</w:t>
            </w:r>
            <w:r>
              <w:rPr>
                <w:rFonts w:ascii="Times New Roman" w:hAnsi="Times New Roman" w:cs="Times New Roman"/>
                <w:sz w:val="20"/>
                <w:szCs w:val="20"/>
              </w:rPr>
              <w:t>5</w:t>
            </w:r>
            <w:r w:rsidRPr="00E31311">
              <w:rPr>
                <w:rFonts w:ascii="Times New Roman" w:hAnsi="Times New Roman" w:cs="Times New Roman"/>
                <w:sz w:val="20"/>
                <w:szCs w:val="20"/>
              </w:rPr>
              <w:t>)</w:t>
            </w:r>
          </w:p>
        </w:tc>
      </w:tr>
    </w:tbl>
    <w:p w14:paraId="396C5192" w14:textId="77777777" w:rsidR="00307822" w:rsidRDefault="00307822" w:rsidP="008F1C14">
      <w:pPr>
        <w:spacing w:line="360" w:lineRule="auto"/>
        <w:ind w:firstLine="720"/>
        <w:rPr>
          <w:rFonts w:ascii="Times New Roman" w:hAnsi="Times New Roman" w:cs="Times New Roman"/>
          <w:sz w:val="24"/>
          <w:szCs w:val="24"/>
        </w:rPr>
      </w:pPr>
    </w:p>
    <w:p w14:paraId="6E556938" w14:textId="77777777" w:rsidR="00F17DAA" w:rsidRDefault="00F17DAA" w:rsidP="00CC6FC0">
      <w:pPr>
        <w:spacing w:line="360" w:lineRule="auto"/>
        <w:ind w:firstLine="720"/>
        <w:rPr>
          <w:rFonts w:ascii="Times New Roman" w:hAnsi="Times New Roman" w:cs="Times New Roman"/>
          <w:sz w:val="24"/>
          <w:szCs w:val="24"/>
        </w:rPr>
      </w:pPr>
    </w:p>
    <w:p w14:paraId="1ABAC279" w14:textId="4684C3B9" w:rsidR="00E74993" w:rsidRDefault="00492FBC" w:rsidP="00CC6FC0">
      <w:pPr>
        <w:spacing w:line="360" w:lineRule="auto"/>
        <w:ind w:firstLine="720"/>
        <w:rPr>
          <w:rFonts w:ascii="Times New Roman" w:hAnsi="Times New Roman" w:cs="Times New Roman"/>
          <w:sz w:val="24"/>
          <w:szCs w:val="24"/>
        </w:rPr>
      </w:pPr>
      <w:r w:rsidRPr="00492FBC">
        <w:rPr>
          <w:rFonts w:ascii="Times New Roman" w:hAnsi="Times New Roman" w:cs="Times New Roman"/>
          <w:sz w:val="24"/>
          <w:szCs w:val="24"/>
        </w:rPr>
        <w:lastRenderedPageBreak/>
        <w:t>The dynamics of a dissolved ammonium (N, nmol mL</w:t>
      </w:r>
      <w:r w:rsidRPr="001905FA">
        <w:rPr>
          <w:rFonts w:ascii="Times New Roman" w:hAnsi="Times New Roman" w:cs="Times New Roman"/>
          <w:sz w:val="24"/>
          <w:szCs w:val="24"/>
          <w:vertAlign w:val="superscript"/>
        </w:rPr>
        <w:t>-1</w:t>
      </w:r>
      <w:r w:rsidRPr="00492FBC">
        <w:rPr>
          <w:rFonts w:ascii="Times New Roman" w:hAnsi="Times New Roman" w:cs="Times New Roman"/>
          <w:sz w:val="24"/>
          <w:szCs w:val="24"/>
        </w:rPr>
        <w:t>), catalase negative or positive phytoplankton analogues (Prochlorococcus (P</w:t>
      </w:r>
      <w:r w:rsidRPr="001905FA">
        <w:rPr>
          <w:rFonts w:ascii="Times New Roman" w:hAnsi="Times New Roman" w:cs="Times New Roman"/>
          <w:sz w:val="24"/>
          <w:szCs w:val="24"/>
          <w:vertAlign w:val="subscript"/>
        </w:rPr>
        <w:t>i</w:t>
      </w:r>
      <w:r w:rsidRPr="00492FBC">
        <w:rPr>
          <w:rFonts w:ascii="Times New Roman" w:hAnsi="Times New Roman" w:cs="Times New Roman"/>
          <w:sz w:val="24"/>
          <w:szCs w:val="24"/>
        </w:rPr>
        <w:t>, cells mL</w:t>
      </w:r>
      <w:r w:rsidRPr="001905FA">
        <w:rPr>
          <w:rFonts w:ascii="Times New Roman" w:hAnsi="Times New Roman" w:cs="Times New Roman"/>
          <w:sz w:val="24"/>
          <w:szCs w:val="24"/>
          <w:vertAlign w:val="superscript"/>
        </w:rPr>
        <w:t>-1</w:t>
      </w:r>
      <w:r w:rsidRPr="00492FBC">
        <w:rPr>
          <w:rFonts w:ascii="Times New Roman" w:hAnsi="Times New Roman" w:cs="Times New Roman"/>
          <w:sz w:val="24"/>
          <w:szCs w:val="24"/>
        </w:rPr>
        <w:t xml:space="preserve">) and </w:t>
      </w:r>
      <w:proofErr w:type="spellStart"/>
      <w:r w:rsidRPr="00492FBC">
        <w:rPr>
          <w:rFonts w:ascii="Times New Roman" w:hAnsi="Times New Roman" w:cs="Times New Roman"/>
          <w:sz w:val="24"/>
          <w:szCs w:val="24"/>
        </w:rPr>
        <w:t>Synechococcus</w:t>
      </w:r>
      <w:proofErr w:type="spellEnd"/>
      <w:r w:rsidRPr="00492FBC">
        <w:rPr>
          <w:rFonts w:ascii="Times New Roman" w:hAnsi="Times New Roman" w:cs="Times New Roman"/>
          <w:sz w:val="24"/>
          <w:szCs w:val="24"/>
        </w:rPr>
        <w:t xml:space="preserve"> (S</w:t>
      </w:r>
      <w:r w:rsidRPr="001905FA">
        <w:rPr>
          <w:rFonts w:ascii="Times New Roman" w:hAnsi="Times New Roman" w:cs="Times New Roman"/>
          <w:sz w:val="24"/>
          <w:szCs w:val="24"/>
          <w:vertAlign w:val="subscript"/>
        </w:rPr>
        <w:t>i</w:t>
      </w:r>
      <w:r w:rsidRPr="00492FBC">
        <w:rPr>
          <w:rFonts w:ascii="Times New Roman" w:hAnsi="Times New Roman" w:cs="Times New Roman"/>
          <w:sz w:val="24"/>
          <w:szCs w:val="24"/>
        </w:rPr>
        <w:t>, cells mL</w:t>
      </w:r>
      <w:r w:rsidRPr="003F15F7">
        <w:rPr>
          <w:rFonts w:ascii="Times New Roman" w:hAnsi="Times New Roman" w:cs="Times New Roman"/>
          <w:sz w:val="24"/>
          <w:szCs w:val="24"/>
          <w:vertAlign w:val="superscript"/>
        </w:rPr>
        <w:t>-1</w:t>
      </w:r>
      <w:r w:rsidRPr="00492FBC">
        <w:rPr>
          <w:rFonts w:ascii="Times New Roman" w:hAnsi="Times New Roman" w:cs="Times New Roman"/>
          <w:sz w:val="24"/>
          <w:szCs w:val="24"/>
        </w:rPr>
        <w:t xml:space="preserve">)) as well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492FBC">
        <w:rPr>
          <w:rFonts w:ascii="Times New Roman" w:hAnsi="Times New Roman" w:cs="Times New Roman"/>
          <w:sz w:val="24"/>
          <w:szCs w:val="24"/>
        </w:rPr>
        <w:t xml:space="preserve"> (H, nmol mL</w:t>
      </w:r>
      <w:r w:rsidRPr="001905FA">
        <w:rPr>
          <w:rFonts w:ascii="Times New Roman" w:hAnsi="Times New Roman" w:cs="Times New Roman"/>
          <w:sz w:val="24"/>
          <w:szCs w:val="24"/>
          <w:vertAlign w:val="superscript"/>
        </w:rPr>
        <w:t>-1</w:t>
      </w:r>
      <w:r w:rsidRPr="00492FBC">
        <w:rPr>
          <w:rFonts w:ascii="Times New Roman" w:hAnsi="Times New Roman" w:cs="Times New Roman"/>
          <w:sz w:val="24"/>
          <w:szCs w:val="24"/>
        </w:rPr>
        <w:t>) were modeled with a composite set of coupled ordinary differential equations (</w:t>
      </w:r>
      <w:r w:rsidR="0082316B">
        <w:rPr>
          <w:rFonts w:ascii="Times New Roman" w:hAnsi="Times New Roman" w:cs="Times New Roman"/>
          <w:sz w:val="24"/>
          <w:szCs w:val="24"/>
        </w:rPr>
        <w:t>3.</w:t>
      </w:r>
      <w:r w:rsidRPr="00492FBC">
        <w:rPr>
          <w:rFonts w:ascii="Times New Roman" w:hAnsi="Times New Roman" w:cs="Times New Roman"/>
          <w:sz w:val="24"/>
          <w:szCs w:val="24"/>
        </w:rPr>
        <w:t xml:space="preserve">1-5) shown above. </w:t>
      </w:r>
      <w:r w:rsidR="0082316B">
        <w:rPr>
          <w:rFonts w:ascii="Times New Roman" w:hAnsi="Times New Roman" w:cs="Times New Roman"/>
          <w:sz w:val="24"/>
          <w:szCs w:val="24"/>
        </w:rPr>
        <w:t xml:space="preserve">N is supplied at a rate represented by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N</m:t>
            </m:r>
          </m:sub>
        </m:sSub>
      </m:oMath>
      <w:r w:rsidR="0082316B">
        <w:rPr>
          <w:rFonts w:ascii="Times New Roman" w:hAnsi="Times New Roman" w:cs="Times New Roman"/>
          <w:sz w:val="24"/>
          <w:szCs w:val="24"/>
        </w:rPr>
        <w:t xml:space="preserve"> (or S</w:t>
      </w:r>
      <w:r w:rsidR="0082316B">
        <w:rPr>
          <w:rFonts w:ascii="Times New Roman" w:hAnsi="Times New Roman" w:cs="Times New Roman"/>
          <w:sz w:val="24"/>
          <w:szCs w:val="24"/>
          <w:vertAlign w:val="subscript"/>
        </w:rPr>
        <w:t>N</w:t>
      </w:r>
      <w:r w:rsidR="0082316B">
        <w:rPr>
          <w:rFonts w:ascii="Times New Roman" w:hAnsi="Times New Roman" w:cs="Times New Roman"/>
          <w:sz w:val="24"/>
          <w:szCs w:val="24"/>
        </w:rPr>
        <w:t xml:space="preserve">) and has an abiotic depletion rate represented by </w:t>
      </w:r>
      <m:oMath>
        <m:sSub>
          <m:sSubPr>
            <m:ctrlPr>
              <w:rPr>
                <w:rFonts w:ascii="Cambria Math" w:hAnsi="Cambria Math" w:cs="Times New Roman"/>
                <w:i/>
                <w:iCs/>
                <w:sz w:val="20"/>
                <w:szCs w:val="20"/>
              </w:rPr>
            </m:ctrlPr>
          </m:sSubPr>
          <m:e>
            <m:r>
              <w:rPr>
                <w:rFonts w:ascii="Cambria Math" w:hAnsi="Cambria Math" w:cs="Times New Roman"/>
                <w:sz w:val="20"/>
                <w:szCs w:val="20"/>
              </w:rPr>
              <m:t xml:space="preserve"> δ</m:t>
            </m:r>
          </m:e>
          <m:sub>
            <m:r>
              <w:rPr>
                <w:rFonts w:ascii="Cambria Math" w:hAnsi="Cambria Math" w:cs="Times New Roman"/>
                <w:sz w:val="20"/>
                <w:szCs w:val="20"/>
              </w:rPr>
              <m:t>N</m:t>
            </m:r>
          </m:sub>
        </m:sSub>
      </m:oMath>
      <w:r w:rsidR="0082316B">
        <w:rPr>
          <w:rFonts w:ascii="Times New Roman" w:hAnsi="Times New Roman" w:cs="Times New Roman"/>
          <w:iCs/>
          <w:sz w:val="20"/>
          <w:szCs w:val="20"/>
        </w:rPr>
        <w:t xml:space="preserve"> .</w:t>
      </w:r>
      <w:r w:rsidRPr="00492FBC">
        <w:rPr>
          <w:rFonts w:ascii="Times New Roman" w:hAnsi="Times New Roman" w:cs="Times New Roman"/>
          <w:sz w:val="24"/>
          <w:szCs w:val="24"/>
        </w:rPr>
        <w:t xml:space="preserve">The biotic depletion of N through uptake and growth is based </w:t>
      </w:r>
      <w:r w:rsidR="00953F55">
        <w:rPr>
          <w:rFonts w:ascii="Times New Roman" w:hAnsi="Times New Roman" w:cs="Times New Roman"/>
          <w:sz w:val="24"/>
          <w:szCs w:val="24"/>
        </w:rPr>
        <w:t>on</w:t>
      </w:r>
      <w:r w:rsidRPr="00492FBC">
        <w:rPr>
          <w:rFonts w:ascii="Times New Roman" w:hAnsi="Times New Roman" w:cs="Times New Roman"/>
          <w:sz w:val="24"/>
          <w:szCs w:val="24"/>
        </w:rPr>
        <w:t xml:space="preserve"> Michaelis-Menten (Michaelis and Menten 1913) kinetics with mu, </w:t>
      </w:r>
      <w:proofErr w:type="spellStart"/>
      <w:r w:rsidRPr="00492FBC">
        <w:rPr>
          <w:rFonts w:ascii="Times New Roman" w:hAnsi="Times New Roman" w:cs="Times New Roman"/>
          <w:sz w:val="24"/>
          <w:szCs w:val="24"/>
        </w:rPr>
        <w:t>μ</w:t>
      </w:r>
      <w:r w:rsidRPr="001905FA">
        <w:rPr>
          <w:rFonts w:ascii="Times New Roman" w:hAnsi="Times New Roman" w:cs="Times New Roman"/>
          <w:sz w:val="24"/>
          <w:szCs w:val="24"/>
          <w:vertAlign w:val="subscript"/>
        </w:rPr>
        <w:t>Pi</w:t>
      </w:r>
      <w:proofErr w:type="spellEnd"/>
      <w:r w:rsidR="00073034">
        <w:rPr>
          <w:rFonts w:ascii="Times New Roman" w:hAnsi="Times New Roman" w:cs="Times New Roman"/>
          <w:sz w:val="24"/>
          <w:szCs w:val="24"/>
          <w:vertAlign w:val="subscript"/>
        </w:rPr>
        <w:t xml:space="preserve"> </w:t>
      </w:r>
      <w:r w:rsidRPr="00492FBC">
        <w:rPr>
          <w:rFonts w:ascii="Times New Roman" w:hAnsi="Times New Roman" w:cs="Times New Roman"/>
          <w:sz w:val="24"/>
          <w:szCs w:val="24"/>
        </w:rPr>
        <w:t>, representing the maximum growth rate, and the ratio of N uptake/affinity rate alpha ( α</w:t>
      </w:r>
      <w:r w:rsidRPr="00CB0DDD">
        <w:rPr>
          <w:rFonts w:ascii="Times New Roman" w:hAnsi="Times New Roman" w:cs="Times New Roman"/>
          <w:sz w:val="24"/>
          <w:szCs w:val="24"/>
          <w:vertAlign w:val="subscript"/>
        </w:rPr>
        <w:t>Pi</w:t>
      </w:r>
      <w:r w:rsidRPr="00492FBC">
        <w:rPr>
          <w:rFonts w:ascii="Times New Roman" w:hAnsi="Times New Roman" w:cs="Times New Roman"/>
          <w:sz w:val="24"/>
          <w:szCs w:val="24"/>
        </w:rPr>
        <w:t xml:space="preserve"> ), and  </w:t>
      </w:r>
      <w:proofErr w:type="spellStart"/>
      <w:r w:rsidRPr="00492FBC">
        <w:rPr>
          <w:rFonts w:ascii="Times New Roman" w:hAnsi="Times New Roman" w:cs="Times New Roman"/>
          <w:sz w:val="24"/>
          <w:szCs w:val="24"/>
        </w:rPr>
        <w:t>μ</w:t>
      </w:r>
      <w:r w:rsidRPr="00CB0DDD">
        <w:rPr>
          <w:rFonts w:ascii="Times New Roman" w:hAnsi="Times New Roman" w:cs="Times New Roman"/>
          <w:sz w:val="24"/>
          <w:szCs w:val="24"/>
          <w:vertAlign w:val="subscript"/>
        </w:rPr>
        <w:t>Pi</w:t>
      </w:r>
      <w:proofErr w:type="spellEnd"/>
      <w:r w:rsidR="00073034">
        <w:rPr>
          <w:rFonts w:ascii="Times New Roman" w:hAnsi="Times New Roman" w:cs="Times New Roman"/>
          <w:sz w:val="24"/>
          <w:szCs w:val="24"/>
          <w:vertAlign w:val="subscript"/>
        </w:rPr>
        <w:t xml:space="preserve"> </w:t>
      </w:r>
      <w:r w:rsidRPr="00492FBC">
        <w:rPr>
          <w:rFonts w:ascii="Times New Roman" w:hAnsi="Times New Roman" w:cs="Times New Roman"/>
          <w:sz w:val="24"/>
          <w:szCs w:val="24"/>
        </w:rPr>
        <w:t xml:space="preserve">, as the saturation constant </w:t>
      </w:r>
      <w:proofErr w:type="spellStart"/>
      <w:r w:rsidRPr="00492FBC">
        <w:rPr>
          <w:rFonts w:ascii="Times New Roman" w:hAnsi="Times New Roman" w:cs="Times New Roman"/>
          <w:sz w:val="24"/>
          <w:szCs w:val="24"/>
        </w:rPr>
        <w:t>ks</w:t>
      </w:r>
      <w:r w:rsidR="0082316B">
        <w:rPr>
          <w:rFonts w:ascii="Times New Roman" w:hAnsi="Times New Roman" w:cs="Times New Roman"/>
          <w:sz w:val="24"/>
          <w:szCs w:val="24"/>
          <w:vertAlign w:val="subscript"/>
        </w:rPr>
        <w:t>i</w:t>
      </w:r>
      <w:proofErr w:type="spellEnd"/>
      <w:r w:rsidRPr="00492FBC">
        <w:rPr>
          <w:rFonts w:ascii="Times New Roman" w:hAnsi="Times New Roman" w:cs="Times New Roman"/>
          <w:sz w:val="24"/>
          <w:szCs w:val="24"/>
        </w:rPr>
        <w:t xml:space="preserve"> (Monod 1949; Michaelis and Menten 1913) for both Prochlorococcus  and </w:t>
      </w:r>
      <w:proofErr w:type="spellStart"/>
      <w:r w:rsidRPr="00492FBC">
        <w:rPr>
          <w:rFonts w:ascii="Times New Roman" w:hAnsi="Times New Roman" w:cs="Times New Roman"/>
          <w:sz w:val="24"/>
          <w:szCs w:val="24"/>
        </w:rPr>
        <w:t>Synechococcus</w:t>
      </w:r>
      <w:proofErr w:type="spellEnd"/>
      <w:r w:rsidRPr="00492FBC">
        <w:rPr>
          <w:rFonts w:ascii="Times New Roman" w:hAnsi="Times New Roman" w:cs="Times New Roman"/>
          <w:sz w:val="24"/>
          <w:szCs w:val="24"/>
        </w:rPr>
        <w:t xml:space="preserve"> ODEs. The innate death rate of either cell type in in batch culture, represented as </w:t>
      </w:r>
      <w:proofErr w:type="spellStart"/>
      <w:r w:rsidRPr="00492FBC">
        <w:rPr>
          <w:rFonts w:ascii="Times New Roman" w:hAnsi="Times New Roman" w:cs="Times New Roman"/>
          <w:sz w:val="24"/>
          <w:szCs w:val="24"/>
        </w:rPr>
        <w:t>δ</w:t>
      </w:r>
      <w:proofErr w:type="gramStart"/>
      <w:r w:rsidRPr="001905FA">
        <w:rPr>
          <w:rFonts w:ascii="Times New Roman" w:hAnsi="Times New Roman" w:cs="Times New Roman"/>
          <w:sz w:val="24"/>
          <w:szCs w:val="24"/>
          <w:vertAlign w:val="subscript"/>
        </w:rPr>
        <w:t>P,i</w:t>
      </w:r>
      <w:proofErr w:type="spellEnd"/>
      <w:proofErr w:type="gramEnd"/>
      <w:r w:rsidRPr="001905FA">
        <w:rPr>
          <w:rFonts w:ascii="Times New Roman" w:hAnsi="Times New Roman" w:cs="Times New Roman"/>
          <w:sz w:val="24"/>
          <w:szCs w:val="24"/>
          <w:vertAlign w:val="subscript"/>
        </w:rPr>
        <w:t xml:space="preserve">  </w:t>
      </w:r>
      <w:r w:rsidR="00953F55">
        <w:rPr>
          <w:rFonts w:ascii="Times New Roman" w:hAnsi="Times New Roman" w:cs="Times New Roman"/>
          <w:sz w:val="24"/>
          <w:szCs w:val="24"/>
        </w:rPr>
        <w:t>and</w:t>
      </w:r>
      <w:r w:rsidRPr="00492FBC">
        <w:rPr>
          <w:rFonts w:ascii="Times New Roman" w:hAnsi="Times New Roman" w:cs="Times New Roman"/>
          <w:sz w:val="24"/>
          <w:szCs w:val="24"/>
        </w:rPr>
        <w:t xml:space="preserve"> </w:t>
      </w:r>
      <w:proofErr w:type="spellStart"/>
      <w:r w:rsidRPr="00492FBC">
        <w:rPr>
          <w:rFonts w:ascii="Times New Roman" w:hAnsi="Times New Roman" w:cs="Times New Roman"/>
          <w:sz w:val="24"/>
          <w:szCs w:val="24"/>
        </w:rPr>
        <w:t>δ</w:t>
      </w:r>
      <w:r w:rsidRPr="001905FA">
        <w:rPr>
          <w:rFonts w:ascii="Times New Roman" w:hAnsi="Times New Roman" w:cs="Times New Roman"/>
          <w:sz w:val="24"/>
          <w:szCs w:val="24"/>
          <w:vertAlign w:val="subscript"/>
        </w:rPr>
        <w:t>S,i</w:t>
      </w:r>
      <w:proofErr w:type="spellEnd"/>
      <w:r w:rsidRPr="00492FBC">
        <w:rPr>
          <w:rFonts w:ascii="Times New Roman" w:hAnsi="Times New Roman" w:cs="Times New Roman"/>
          <w:sz w:val="24"/>
          <w:szCs w:val="24"/>
        </w:rPr>
        <w:t>, was set to basal rate of 0.2</w:t>
      </w:r>
      <w:r w:rsidR="00953F55">
        <w:rPr>
          <w:rFonts w:ascii="Times New Roman" w:hAnsi="Times New Roman" w:cs="Times New Roman"/>
          <w:sz w:val="24"/>
          <w:szCs w:val="24"/>
        </w:rPr>
        <w:t xml:space="preserve"> per day</w:t>
      </w:r>
      <w:r w:rsidRPr="00492FBC">
        <w:rPr>
          <w:rFonts w:ascii="Times New Roman" w:hAnsi="Times New Roman" w:cs="Times New Roman"/>
          <w:sz w:val="24"/>
          <w:szCs w:val="24"/>
        </w:rPr>
        <w:t xml:space="preserve"> to encapsulate natural cell death, grazer, and viral predation in culture. </w:t>
      </w:r>
      <w:r w:rsidR="00953F55">
        <w:rPr>
          <w:rFonts w:ascii="Times New Roman" w:hAnsi="Times New Roman" w:cs="Times New Roman"/>
          <w:sz w:val="24"/>
          <w:szCs w:val="24"/>
        </w:rPr>
        <w:t xml:space="preserve">(See monoculture dynamics in growth media for </w:t>
      </w:r>
      <w:proofErr w:type="spellStart"/>
      <w:r w:rsidR="00953F55" w:rsidRPr="00953F55">
        <w:rPr>
          <w:rFonts w:ascii="Times" w:hAnsi="Times" w:cs="Times New Roman"/>
          <w:i/>
          <w:iCs/>
          <w:color w:val="000000" w:themeColor="text1"/>
          <w:sz w:val="24"/>
          <w:szCs w:val="24"/>
        </w:rPr>
        <w:t>Synechococcus</w:t>
      </w:r>
      <w:proofErr w:type="spellEnd"/>
      <w:r w:rsidR="00953F55">
        <w:rPr>
          <w:rFonts w:ascii="Times New Roman" w:hAnsi="Times New Roman" w:cs="Times New Roman"/>
          <w:sz w:val="24"/>
          <w:szCs w:val="24"/>
        </w:rPr>
        <w:t xml:space="preserve"> and </w:t>
      </w:r>
      <w:r w:rsidR="00953F55" w:rsidRPr="00953F55">
        <w:rPr>
          <w:rFonts w:ascii="Times" w:hAnsi="Times" w:cs="Times New Roman"/>
          <w:i/>
          <w:iCs/>
          <w:color w:val="000000" w:themeColor="text1"/>
          <w:sz w:val="24"/>
          <w:szCs w:val="24"/>
        </w:rPr>
        <w:t>Prochlorococcus</w:t>
      </w:r>
      <w:r w:rsidR="00953F55">
        <w:rPr>
          <w:rFonts w:ascii="Times New Roman" w:hAnsi="Times New Roman" w:cs="Times New Roman"/>
          <w:sz w:val="24"/>
          <w:szCs w:val="24"/>
        </w:rPr>
        <w:t xml:space="preserve"> in Chapter 2 for further </w:t>
      </w:r>
      <w:r w:rsidR="00953F55" w:rsidRPr="00492FBC">
        <w:rPr>
          <w:rFonts w:ascii="Times New Roman" w:hAnsi="Times New Roman" w:cs="Times New Roman"/>
          <w:sz w:val="24"/>
          <w:szCs w:val="24"/>
        </w:rPr>
        <w:t>δ</w:t>
      </w:r>
      <w:r w:rsidR="00953F55">
        <w:rPr>
          <w:rFonts w:ascii="Times New Roman" w:hAnsi="Times New Roman" w:cs="Times New Roman"/>
          <w:sz w:val="24"/>
          <w:szCs w:val="24"/>
        </w:rPr>
        <w:t xml:space="preserve"> information.) </w:t>
      </w:r>
      <w:r w:rsidR="003D57D3">
        <w:rPr>
          <w:rFonts w:ascii="Times New Roman" w:hAnsi="Times New Roman" w:cs="Times New Roman"/>
          <w:sz w:val="24"/>
          <w:szCs w:val="24"/>
        </w:rPr>
        <w:t xml:space="preserve">For our </w:t>
      </w:r>
      <w:proofErr w:type="gramStart"/>
      <w:r w:rsidR="003D57D3" w:rsidRPr="009D3D66">
        <w:rPr>
          <w:rFonts w:ascii="Times New Roman" w:hAnsi="Times New Roman" w:cs="Times New Roman"/>
          <w:i/>
          <w:iCs/>
          <w:sz w:val="24"/>
          <w:szCs w:val="24"/>
        </w:rPr>
        <w:t>in silico</w:t>
      </w:r>
      <w:proofErr w:type="gramEnd"/>
      <w:r w:rsidR="003D57D3">
        <w:rPr>
          <w:rFonts w:ascii="Times New Roman" w:hAnsi="Times New Roman" w:cs="Times New Roman"/>
          <w:sz w:val="24"/>
          <w:szCs w:val="24"/>
        </w:rPr>
        <w:t xml:space="preserve"> analysis this </w:t>
      </w:r>
      <w:r w:rsidR="003D57D3" w:rsidRPr="00492FBC">
        <w:rPr>
          <w:rFonts w:ascii="Times New Roman" w:hAnsi="Times New Roman" w:cs="Times New Roman"/>
          <w:sz w:val="24"/>
          <w:szCs w:val="24"/>
        </w:rPr>
        <w:t>δ</w:t>
      </w:r>
      <w:r w:rsidR="003D57D3">
        <w:rPr>
          <w:rFonts w:ascii="Times New Roman" w:hAnsi="Times New Roman" w:cs="Times New Roman"/>
          <w:sz w:val="24"/>
          <w:szCs w:val="24"/>
        </w:rPr>
        <w:t xml:space="preserve"> represents not only death found in monoculture laboratory assays but death imposed from sources not quantified here </w:t>
      </w:r>
      <w:r w:rsidR="003D57D3" w:rsidRPr="003D57D3">
        <w:rPr>
          <w:rFonts w:ascii="Times New Roman" w:hAnsi="Times New Roman" w:cs="Times New Roman"/>
          <w:i/>
          <w:iCs/>
          <w:sz w:val="24"/>
          <w:szCs w:val="24"/>
        </w:rPr>
        <w:t>i.e.</w:t>
      </w:r>
      <w:r w:rsidR="003D57D3">
        <w:rPr>
          <w:rFonts w:ascii="Times New Roman" w:hAnsi="Times New Roman" w:cs="Times New Roman"/>
          <w:sz w:val="24"/>
          <w:szCs w:val="24"/>
        </w:rPr>
        <w:t xml:space="preserve"> viral loss, grazer predation, toxin effects. However, a fully</w:t>
      </w:r>
      <w:r w:rsidRPr="00492FBC">
        <w:rPr>
          <w:rFonts w:ascii="Times New Roman" w:hAnsi="Times New Roman" w:cs="Times New Roman"/>
          <w:sz w:val="24"/>
          <w:szCs w:val="24"/>
        </w:rPr>
        <w:t xml:space="preserve"> combined death term is yet unquantified </w:t>
      </w:r>
      <w:r w:rsidRPr="00CB0DDD">
        <w:rPr>
          <w:rFonts w:ascii="Times New Roman" w:hAnsi="Times New Roman" w:cs="Times New Roman"/>
          <w:i/>
          <w:iCs/>
          <w:sz w:val="24"/>
          <w:szCs w:val="24"/>
        </w:rPr>
        <w:t xml:space="preserve">in </w:t>
      </w:r>
      <w:r w:rsidR="009D3D66" w:rsidRPr="00CB0DDD">
        <w:rPr>
          <w:rFonts w:ascii="Times New Roman" w:hAnsi="Times New Roman" w:cs="Times New Roman"/>
          <w:i/>
          <w:iCs/>
          <w:sz w:val="24"/>
          <w:szCs w:val="24"/>
        </w:rPr>
        <w:t>situ,</w:t>
      </w:r>
      <w:r w:rsidR="003D57D3">
        <w:rPr>
          <w:rFonts w:ascii="Times New Roman" w:hAnsi="Times New Roman" w:cs="Times New Roman"/>
          <w:sz w:val="24"/>
          <w:szCs w:val="24"/>
        </w:rPr>
        <w:t xml:space="preserve"> but</w:t>
      </w:r>
      <w:r w:rsidR="003D57D3" w:rsidRPr="00492FBC">
        <w:rPr>
          <w:rFonts w:ascii="Times New Roman" w:hAnsi="Times New Roman" w:cs="Times New Roman"/>
          <w:sz w:val="24"/>
          <w:szCs w:val="24"/>
        </w:rPr>
        <w:t xml:space="preserve"> literature</w:t>
      </w:r>
      <w:r w:rsidRPr="00492FBC">
        <w:rPr>
          <w:rFonts w:ascii="Times New Roman" w:hAnsi="Times New Roman" w:cs="Times New Roman"/>
          <w:sz w:val="24"/>
          <w:szCs w:val="24"/>
        </w:rPr>
        <w:t xml:space="preserve"> shows that viruses and grazers split death evenly (J A Fuhrman and Noble 1999). </w:t>
      </w:r>
      <w:r w:rsidR="00023681">
        <w:rPr>
          <w:rFonts w:ascii="Times New Roman" w:hAnsi="Times New Roman" w:cs="Times New Roman"/>
          <w:sz w:val="24"/>
          <w:szCs w:val="24"/>
        </w:rPr>
        <w:t>Thus,</w:t>
      </w:r>
      <w:r w:rsidR="003D57D3" w:rsidRPr="00492FBC">
        <w:rPr>
          <w:rFonts w:ascii="Times New Roman" w:hAnsi="Times New Roman" w:cs="Times New Roman"/>
          <w:sz w:val="24"/>
          <w:szCs w:val="24"/>
        </w:rPr>
        <w:t xml:space="preserve"> prior </w:t>
      </w:r>
      <w:r w:rsidR="003D57D3">
        <w:rPr>
          <w:rFonts w:ascii="Times New Roman" w:hAnsi="Times New Roman" w:cs="Times New Roman"/>
          <w:sz w:val="24"/>
          <w:szCs w:val="24"/>
        </w:rPr>
        <w:t xml:space="preserve">modeling in </w:t>
      </w:r>
      <w:r w:rsidR="008C6C6E">
        <w:rPr>
          <w:rFonts w:ascii="Times New Roman" w:hAnsi="Times New Roman" w:cs="Times New Roman"/>
          <w:sz w:val="24"/>
          <w:szCs w:val="24"/>
        </w:rPr>
        <w:t>C</w:t>
      </w:r>
      <w:r w:rsidR="003D57D3">
        <w:rPr>
          <w:rFonts w:ascii="Times New Roman" w:hAnsi="Times New Roman" w:cs="Times New Roman"/>
          <w:sz w:val="24"/>
          <w:szCs w:val="24"/>
        </w:rPr>
        <w:t xml:space="preserve">hapter 2 and literature </w:t>
      </w:r>
      <w:r w:rsidR="003D727C">
        <w:rPr>
          <w:rFonts w:ascii="Times New Roman" w:hAnsi="Times New Roman" w:cs="Times New Roman"/>
          <w:sz w:val="24"/>
          <w:szCs w:val="24"/>
        </w:rPr>
        <w:t>review guides</w:t>
      </w:r>
      <w:r w:rsidR="003D57D3">
        <w:rPr>
          <w:rFonts w:ascii="Times New Roman" w:hAnsi="Times New Roman" w:cs="Times New Roman"/>
          <w:sz w:val="24"/>
          <w:szCs w:val="24"/>
        </w:rPr>
        <w:t xml:space="preserve"> this choice. </w:t>
      </w:r>
      <w:r w:rsidRPr="00492FBC">
        <w:rPr>
          <w:rFonts w:ascii="Times New Roman" w:hAnsi="Times New Roman" w:cs="Times New Roman"/>
          <w:sz w:val="24"/>
          <w:szCs w:val="24"/>
        </w:rPr>
        <w:t>The abiotic H flux is controlled by</w:t>
      </w:r>
      <w:r w:rsidR="0082316B">
        <w:rPr>
          <w:rFonts w:ascii="labda" w:hAnsi="labda" w:cs="Times New Roman"/>
          <w:sz w:val="24"/>
          <w:szCs w:val="24"/>
        </w:rPr>
        <w:t xml:space="preserve"> </w:t>
      </w:r>
      <w:r w:rsidR="0082316B">
        <w:rPr>
          <w:rFonts w:ascii="greek" w:hAnsi="greek"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H</m:t>
            </m:r>
          </m:sub>
        </m:sSub>
      </m:oMath>
      <w:r w:rsidR="0082316B">
        <w:rPr>
          <w:rFonts w:ascii="Times New Roman" w:hAnsi="Times New Roman" w:cs="Times New Roman"/>
          <w:sz w:val="24"/>
          <w:szCs w:val="24"/>
        </w:rPr>
        <w:t xml:space="preserve"> (or </w:t>
      </w:r>
      <w:r w:rsidRPr="00492FBC">
        <w:rPr>
          <w:rFonts w:ascii="Times New Roman" w:hAnsi="Times New Roman" w:cs="Times New Roman"/>
          <w:sz w:val="24"/>
          <w:szCs w:val="24"/>
        </w:rPr>
        <w:t>S</w:t>
      </w:r>
      <w:r w:rsidRPr="00CB0DDD">
        <w:rPr>
          <w:rFonts w:ascii="Times New Roman" w:hAnsi="Times New Roman" w:cs="Times New Roman"/>
          <w:sz w:val="24"/>
          <w:szCs w:val="24"/>
          <w:vertAlign w:val="subscript"/>
        </w:rPr>
        <w:t>H</w:t>
      </w:r>
      <w:r w:rsidRPr="00492FBC">
        <w:rPr>
          <w:rFonts w:ascii="Times New Roman" w:hAnsi="Times New Roman" w:cs="Times New Roman"/>
          <w:sz w:val="24"/>
          <w:szCs w:val="24"/>
        </w:rPr>
        <w:t>,</w:t>
      </w:r>
      <w:r w:rsidR="0082316B">
        <w:rPr>
          <w:rFonts w:ascii="Times New Roman" w:hAnsi="Times New Roman" w:cs="Times New Roman"/>
          <w:sz w:val="24"/>
          <w:szCs w:val="24"/>
        </w:rPr>
        <w:t xml:space="preserve">) the </w:t>
      </w:r>
      <w:r w:rsidRPr="00492FBC">
        <w:rPr>
          <w:rFonts w:ascii="Times New Roman" w:hAnsi="Times New Roman" w:cs="Times New Roman"/>
          <w:sz w:val="24"/>
          <w:szCs w:val="24"/>
        </w:rPr>
        <w:t xml:space="preserve">supply rate of H, and </w:t>
      </w:r>
      <w:proofErr w:type="spellStart"/>
      <w:r w:rsidRPr="00492FBC">
        <w:rPr>
          <w:rFonts w:ascii="Times New Roman" w:hAnsi="Times New Roman" w:cs="Times New Roman"/>
          <w:sz w:val="24"/>
          <w:szCs w:val="24"/>
        </w:rPr>
        <w:t>δ</w:t>
      </w:r>
      <w:r w:rsidRPr="001905FA">
        <w:rPr>
          <w:rFonts w:ascii="Times New Roman" w:hAnsi="Times New Roman" w:cs="Times New Roman"/>
          <w:sz w:val="24"/>
          <w:szCs w:val="24"/>
          <w:vertAlign w:val="subscript"/>
        </w:rPr>
        <w:t>H</w:t>
      </w:r>
      <w:proofErr w:type="spellEnd"/>
      <w:r w:rsidRPr="00492FBC">
        <w:rPr>
          <w:rFonts w:ascii="Times New Roman" w:hAnsi="Times New Roman" w:cs="Times New Roman"/>
          <w:sz w:val="24"/>
          <w:szCs w:val="24"/>
        </w:rPr>
        <w:t xml:space="preserve">, loss rate of H while </w:t>
      </w:r>
      <w:proofErr w:type="spellStart"/>
      <w:r w:rsidRPr="00492FBC">
        <w:rPr>
          <w:rFonts w:ascii="Times New Roman" w:hAnsi="Times New Roman" w:cs="Times New Roman"/>
          <w:sz w:val="24"/>
          <w:szCs w:val="24"/>
        </w:rPr>
        <w:t>ϕ</w:t>
      </w:r>
      <w:r w:rsidR="00FA3DC1">
        <w:rPr>
          <w:rFonts w:ascii="Times New Roman" w:hAnsi="Times New Roman" w:cs="Times New Roman"/>
          <w:sz w:val="24"/>
          <w:szCs w:val="24"/>
          <w:vertAlign w:val="subscript"/>
        </w:rPr>
        <w:t>max,s</w:t>
      </w:r>
      <w:proofErr w:type="spellEnd"/>
      <w:r w:rsidRPr="002543CD">
        <w:rPr>
          <w:rFonts w:ascii="Times New Roman" w:hAnsi="Times New Roman" w:cs="Times New Roman"/>
          <w:sz w:val="24"/>
          <w:szCs w:val="24"/>
          <w:vertAlign w:val="subscript"/>
        </w:rPr>
        <w:t xml:space="preserve"> </w:t>
      </w:r>
      <w:r w:rsidR="002543CD">
        <w:rPr>
          <w:rFonts w:ascii="Times New Roman" w:hAnsi="Times New Roman" w:cs="Times New Roman"/>
          <w:sz w:val="24"/>
          <w:szCs w:val="24"/>
        </w:rPr>
        <w:t>,</w:t>
      </w:r>
      <w:r w:rsidRPr="00492FBC">
        <w:rPr>
          <w:rFonts w:ascii="Times New Roman" w:hAnsi="Times New Roman" w:cs="Times New Roman"/>
          <w:sz w:val="24"/>
          <w:szCs w:val="24"/>
        </w:rPr>
        <w:t xml:space="preserve"> represents the biotic degradation in our system of H via S (or B) </w:t>
      </w:r>
      <w:r w:rsidR="00FA3DC1">
        <w:rPr>
          <w:rFonts w:ascii="Times New Roman" w:hAnsi="Times New Roman" w:cs="Times New Roman"/>
          <w:sz w:val="24"/>
          <w:szCs w:val="24"/>
        </w:rPr>
        <w:t>according</w:t>
      </w:r>
      <w:r w:rsidR="006E222A">
        <w:rPr>
          <w:rFonts w:ascii="Times New Roman" w:hAnsi="Times New Roman" w:cs="Times New Roman"/>
          <w:sz w:val="24"/>
          <w:szCs w:val="24"/>
        </w:rPr>
        <w:t xml:space="preserve"> to</w:t>
      </w:r>
      <w:r w:rsidRPr="00492FBC">
        <w:rPr>
          <w:rFonts w:ascii="Times New Roman" w:hAnsi="Times New Roman" w:cs="Times New Roman"/>
          <w:sz w:val="24"/>
          <w:szCs w:val="24"/>
        </w:rPr>
        <w:t xml:space="preserve"> the </w:t>
      </w:r>
      <w:r w:rsidR="00591D51">
        <w:rPr>
          <w:rFonts w:ascii="Times New Roman" w:hAnsi="Times New Roman" w:cs="Times New Roman"/>
          <w:sz w:val="24"/>
          <w:szCs w:val="24"/>
        </w:rPr>
        <w:t xml:space="preserve">detoxification ability </w:t>
      </w:r>
      <w:r w:rsidR="006E222A">
        <w:rPr>
          <w:rFonts w:ascii="Times New Roman" w:hAnsi="Times New Roman" w:cs="Times New Roman"/>
          <w:sz w:val="24"/>
          <w:szCs w:val="24"/>
        </w:rPr>
        <w:t>of each</w:t>
      </w:r>
      <w:r w:rsidR="004D0607">
        <w:rPr>
          <w:rFonts w:ascii="Times New Roman" w:hAnsi="Times New Roman" w:cs="Times New Roman"/>
          <w:sz w:val="24"/>
          <w:szCs w:val="24"/>
        </w:rPr>
        <w:t xml:space="preserve"> plankton</w:t>
      </w:r>
      <w:r w:rsidR="006E222A">
        <w:rPr>
          <w:rFonts w:ascii="Times New Roman" w:hAnsi="Times New Roman" w:cs="Times New Roman"/>
          <w:sz w:val="24"/>
          <w:szCs w:val="24"/>
        </w:rPr>
        <w:t xml:space="preserve"> </w:t>
      </w:r>
      <w:r w:rsidR="004D0607">
        <w:rPr>
          <w:rFonts w:ascii="Times New Roman" w:hAnsi="Times New Roman" w:cs="Times New Roman"/>
          <w:sz w:val="24"/>
          <w:szCs w:val="24"/>
        </w:rPr>
        <w:t>(</w:t>
      </w:r>
      <w:proofErr w:type="spellStart"/>
      <w:r w:rsidR="004D0607">
        <w:rPr>
          <w:rFonts w:ascii="Times New Roman" w:hAnsi="Times New Roman" w:cs="Times New Roman"/>
          <w:sz w:val="24"/>
          <w:szCs w:val="24"/>
        </w:rPr>
        <w:t>i</w:t>
      </w:r>
      <w:proofErr w:type="spellEnd"/>
      <w:r w:rsidR="004D0607">
        <w:rPr>
          <w:rFonts w:ascii="Times New Roman" w:hAnsi="Times New Roman" w:cs="Times New Roman"/>
          <w:sz w:val="24"/>
          <w:szCs w:val="24"/>
        </w:rPr>
        <w:t xml:space="preserve">) </w:t>
      </w:r>
      <w:r w:rsidR="00591D51">
        <w:rPr>
          <w:rFonts w:ascii="Times New Roman" w:hAnsi="Times New Roman" w:cs="Times New Roman"/>
          <w:sz w:val="24"/>
          <w:szCs w:val="24"/>
        </w:rPr>
        <w:t xml:space="preserve">captured in the </w:t>
      </w:r>
      <m:oMath>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m:t>
        </m:r>
      </m:oMath>
      <w:r w:rsidR="00591D51">
        <w:rPr>
          <w:rFonts w:ascii="Times New Roman" w:hAnsi="Times New Roman" w:cs="Times New Roman"/>
          <w:sz w:val="24"/>
          <w:szCs w:val="24"/>
        </w:rPr>
        <w:t xml:space="preserve">parameter on </w:t>
      </w:r>
      <w:r w:rsidRPr="00492FBC">
        <w:rPr>
          <w:rFonts w:ascii="Times New Roman" w:hAnsi="Times New Roman" w:cs="Times New Roman"/>
          <w:sz w:val="24"/>
          <w:szCs w:val="24"/>
        </w:rPr>
        <w:t xml:space="preserve">Figure 3.2. </w:t>
      </w:r>
      <w:proofErr w:type="spellStart"/>
      <w:proofErr w:type="gramStart"/>
      <w:r w:rsidRPr="00492FBC">
        <w:rPr>
          <w:rFonts w:ascii="Times New Roman" w:hAnsi="Times New Roman" w:cs="Times New Roman"/>
          <w:sz w:val="24"/>
          <w:szCs w:val="24"/>
        </w:rPr>
        <w:t>k</w:t>
      </w:r>
      <w:r w:rsidRPr="001905FA">
        <w:rPr>
          <w:rFonts w:ascii="Times New Roman" w:hAnsi="Times New Roman" w:cs="Times New Roman"/>
          <w:sz w:val="24"/>
          <w:szCs w:val="24"/>
          <w:vertAlign w:val="subscript"/>
        </w:rPr>
        <w:t>dam</w:t>
      </w:r>
      <w:r w:rsidRPr="00492FBC">
        <w:rPr>
          <w:rFonts w:ascii="Times New Roman" w:hAnsi="Times New Roman" w:cs="Times New Roman"/>
          <w:sz w:val="24"/>
          <w:szCs w:val="24"/>
        </w:rPr>
        <w:t>,</w:t>
      </w:r>
      <w:r w:rsidRPr="001905FA">
        <w:rPr>
          <w:rFonts w:ascii="Times New Roman" w:hAnsi="Times New Roman" w:cs="Times New Roman"/>
          <w:sz w:val="24"/>
          <w:szCs w:val="24"/>
          <w:vertAlign w:val="subscript"/>
        </w:rPr>
        <w:t>P</w:t>
      </w:r>
      <w:proofErr w:type="spellEnd"/>
      <w:proofErr w:type="gramEnd"/>
      <w:r w:rsidRPr="00492FBC">
        <w:rPr>
          <w:rFonts w:ascii="Times New Roman" w:hAnsi="Times New Roman" w:cs="Times New Roman"/>
          <w:sz w:val="24"/>
          <w:szCs w:val="24"/>
        </w:rPr>
        <w:t xml:space="preserve">  serves here as a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492FBC">
        <w:rPr>
          <w:rFonts w:ascii="Times New Roman" w:hAnsi="Times New Roman" w:cs="Times New Roman"/>
          <w:sz w:val="24"/>
          <w:szCs w:val="24"/>
        </w:rPr>
        <w:t xml:space="preserve"> - specific cellular damage/loss rate to our cell  population and is implemented on P </w:t>
      </w:r>
      <w:r w:rsidR="00C165B0">
        <w:rPr>
          <w:rFonts w:ascii="Times New Roman" w:hAnsi="Times New Roman" w:cs="Times New Roman"/>
          <w:sz w:val="24"/>
          <w:szCs w:val="24"/>
        </w:rPr>
        <w:t>according to the values on</w:t>
      </w:r>
      <w:r w:rsidRPr="00492FBC">
        <w:rPr>
          <w:rFonts w:ascii="Times New Roman" w:hAnsi="Times New Roman" w:cs="Times New Roman"/>
          <w:sz w:val="24"/>
          <w:szCs w:val="24"/>
        </w:rPr>
        <w:t xml:space="preserve"> Figure 3.2 patterns.  </w:t>
      </w:r>
      <m:oMath>
        <m:sSub>
          <m:sSubPr>
            <m:ctrlPr>
              <w:rPr>
                <w:rFonts w:ascii="Cambria Math" w:hAnsi="Cambria Math"/>
              </w:rPr>
            </m:ctrlPr>
          </m:sSubPr>
          <m:e>
            <m:r>
              <w:rPr>
                <w:rFonts w:ascii="Cambria Math" w:hAnsi="Cambria Math"/>
              </w:rPr>
              <m:t>ϕ</m:t>
            </m:r>
          </m:e>
          <m:sub>
            <m:r>
              <w:rPr>
                <w:rFonts w:ascii="Cambria Math" w:hAnsi="Cambria Math"/>
              </w:rPr>
              <m:t>max,P</m:t>
            </m:r>
          </m:sub>
        </m:sSub>
      </m:oMath>
      <w:r w:rsidR="001905FA">
        <w:rPr>
          <w:rFonts w:ascii="Times New Roman" w:hAnsi="Times New Roman" w:cs="Times New Roman"/>
          <w:sz w:val="24"/>
          <w:szCs w:val="24"/>
        </w:rPr>
        <w:t xml:space="preserve"> </w:t>
      </w:r>
      <w:r w:rsidRPr="00492FBC">
        <w:rPr>
          <w:rFonts w:ascii="Times New Roman" w:hAnsi="Times New Roman" w:cs="Times New Roman"/>
          <w:sz w:val="24"/>
          <w:szCs w:val="24"/>
        </w:rPr>
        <w:t>is negligible here and set to 0 for better constraint on S (</w:t>
      </w:r>
      <w:proofErr w:type="spellStart"/>
      <w:r w:rsidRPr="00492FBC">
        <w:rPr>
          <w:rFonts w:ascii="Times New Roman" w:hAnsi="Times New Roman" w:cs="Times New Roman"/>
          <w:sz w:val="24"/>
          <w:szCs w:val="24"/>
        </w:rPr>
        <w:t>Synechococcus</w:t>
      </w:r>
      <w:proofErr w:type="spellEnd"/>
      <w:r w:rsidRPr="00492FBC">
        <w:rPr>
          <w:rFonts w:ascii="Times New Roman" w:hAnsi="Times New Roman" w:cs="Times New Roman"/>
          <w:sz w:val="24"/>
          <w:szCs w:val="24"/>
        </w:rPr>
        <w:t>) impacts on H pools th</w:t>
      </w:r>
      <w:r w:rsidR="00330510">
        <w:rPr>
          <w:rFonts w:ascii="Times New Roman" w:hAnsi="Times New Roman" w:cs="Times New Roman"/>
          <w:sz w:val="24"/>
          <w:szCs w:val="24"/>
        </w:rPr>
        <w:t>rough</w:t>
      </w:r>
      <w:r w:rsidRPr="00492FBC">
        <w:rPr>
          <w:rFonts w:ascii="Times New Roman" w:hAnsi="Times New Roman" w:cs="Times New Roman"/>
          <w:sz w:val="24"/>
          <w:szCs w:val="24"/>
        </w:rPr>
        <w:t xml:space="preserve"> detoxification. These parameters are explored in ‘non-leaky’ and ‘leaky’ cases of the model described below</w:t>
      </w:r>
      <w:r w:rsidR="00FA3DC1">
        <w:rPr>
          <w:rFonts w:ascii="Times New Roman" w:hAnsi="Times New Roman" w:cs="Times New Roman"/>
          <w:sz w:val="24"/>
          <w:szCs w:val="24"/>
        </w:rPr>
        <w:t>.</w:t>
      </w:r>
    </w:p>
    <w:p w14:paraId="1174EC33" w14:textId="43656925" w:rsidR="00CC6FC0" w:rsidRPr="00F17DAA" w:rsidRDefault="00CC6FC0" w:rsidP="00CC6FC0">
      <w:pPr>
        <w:pStyle w:val="Heading3"/>
        <w:spacing w:line="360" w:lineRule="auto"/>
      </w:pPr>
      <w:bookmarkStart w:id="45" w:name="_Toc173250033"/>
      <w:r w:rsidRPr="003609FB">
        <w:t>Experimental Approach</w:t>
      </w:r>
      <w:bookmarkEnd w:id="45"/>
    </w:p>
    <w:p w14:paraId="02AFE55B" w14:textId="39DE67F9" w:rsidR="00E74993" w:rsidRPr="00CC6FC0" w:rsidRDefault="00CC6FC0" w:rsidP="00CC6FC0">
      <w:pPr>
        <w:spacing w:line="360" w:lineRule="auto"/>
        <w:ind w:firstLine="720"/>
        <w:rPr>
          <w:rFonts w:asciiTheme="majorBidi" w:hAnsiTheme="majorBidi"/>
          <w:sz w:val="24"/>
          <w:szCs w:val="24"/>
        </w:rPr>
      </w:pPr>
      <w:r>
        <w:rPr>
          <w:rFonts w:ascii="Times New Roman" w:hAnsi="Times New Roman" w:cs="Times New Roman"/>
          <w:sz w:val="24"/>
          <w:szCs w:val="24"/>
        </w:rPr>
        <w:t>A fictional set of ‘</w:t>
      </w:r>
      <w:proofErr w:type="gramStart"/>
      <w:r w:rsidRPr="003609FB">
        <w:rPr>
          <w:rFonts w:ascii="Times New Roman" w:hAnsi="Times New Roman" w:cs="Times New Roman"/>
          <w:sz w:val="24"/>
          <w:szCs w:val="24"/>
        </w:rPr>
        <w:t>Non-leaky</w:t>
      </w:r>
      <w:proofErr w:type="gramEnd"/>
      <w:r>
        <w:rPr>
          <w:rFonts w:ascii="Times New Roman" w:hAnsi="Times New Roman" w:cs="Times New Roman"/>
          <w:sz w:val="24"/>
          <w:szCs w:val="24"/>
        </w:rPr>
        <w:t>’</w:t>
      </w:r>
      <w:r w:rsidRPr="003609FB">
        <w:rPr>
          <w:rFonts w:ascii="Times New Roman" w:hAnsi="Times New Roman" w:cs="Times New Roman"/>
          <w:sz w:val="24"/>
          <w:szCs w:val="24"/>
        </w:rPr>
        <w:t xml:space="preserv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detoxification </w:t>
      </w:r>
      <w:r w:rsidRPr="003609FB">
        <w:rPr>
          <w:rFonts w:ascii="Times New Roman" w:hAnsi="Times New Roman" w:cs="Times New Roman"/>
          <w:sz w:val="24"/>
          <w:szCs w:val="24"/>
        </w:rPr>
        <w:t xml:space="preserve">cases </w:t>
      </w:r>
      <w:r>
        <w:rPr>
          <w:rFonts w:ascii="Times New Roman" w:hAnsi="Times New Roman" w:cs="Times New Roman"/>
          <w:sz w:val="24"/>
          <w:szCs w:val="24"/>
        </w:rPr>
        <w:t xml:space="preserve">are set up. This is done </w:t>
      </w:r>
      <w:r w:rsidRPr="003609FB">
        <w:rPr>
          <w:rFonts w:ascii="Times New Roman" w:hAnsi="Times New Roman" w:cs="Times New Roman"/>
          <w:sz w:val="24"/>
          <w:szCs w:val="24"/>
        </w:rPr>
        <w:t>with either</w:t>
      </w:r>
      <w:r>
        <w:rPr>
          <w:rFonts w:ascii="Times New Roman" w:hAnsi="Times New Roman" w:cs="Times New Roman"/>
          <w:sz w:val="24"/>
          <w:szCs w:val="24"/>
        </w:rPr>
        <w:t xml:space="preserve"> supply of H</w:t>
      </w:r>
      <w:r w:rsidRPr="00957FA8">
        <w:rPr>
          <w:rFonts w:ascii="Times New Roman" w:hAnsi="Times New Roman" w:cs="Times New Roman"/>
          <w:sz w:val="24"/>
          <w:szCs w:val="24"/>
          <w:vertAlign w:val="subscript"/>
        </w:rPr>
        <w:t>2</w:t>
      </w:r>
      <w:r>
        <w:rPr>
          <w:rFonts w:ascii="Times New Roman" w:hAnsi="Times New Roman" w:cs="Times New Roman"/>
          <w:sz w:val="24"/>
          <w:szCs w:val="24"/>
        </w:rPr>
        <w:t>O</w:t>
      </w:r>
      <w:r w:rsidRPr="00957FA8">
        <w:rPr>
          <w:rFonts w:ascii="Times New Roman" w:hAnsi="Times New Roman" w:cs="Times New Roman"/>
          <w:sz w:val="24"/>
          <w:szCs w:val="24"/>
          <w:vertAlign w:val="subscript"/>
        </w:rPr>
        <w:t>2</w:t>
      </w:r>
      <w:r>
        <w:rPr>
          <w:rFonts w:ascii="Times New Roman" w:hAnsi="Times New Roman" w:cs="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H</m:t>
            </m:r>
          </m:sub>
        </m:sSub>
        <m:r>
          <w:rPr>
            <w:rFonts w:ascii="Cambria Math" w:hAnsi="Cambria Math"/>
            <w:sz w:val="24"/>
            <w:szCs w:val="24"/>
          </w:rPr>
          <m:t xml:space="preserve"> </m:t>
        </m:r>
      </m:oMath>
      <w:proofErr w:type="gramStart"/>
      <w:r>
        <w:rPr>
          <w:rFonts w:ascii="Times New Roman" w:hAnsi="Times New Roman" w:cs="Times New Roman"/>
          <w:sz w:val="24"/>
          <w:szCs w:val="24"/>
        </w:rPr>
        <w:t xml:space="preserve">or </w:t>
      </w:r>
      <w:r w:rsidRPr="00957FA8">
        <w:rPr>
          <w:rFonts w:asciiTheme="majorBidi" w:hAnsiTheme="majorBidi"/>
          <w:sz w:val="24"/>
          <w:szCs w:val="24"/>
        </w:rPr>
        <w:t xml:space="preserve"> </w:t>
      </w:r>
      <w:r w:rsidRPr="003609FB">
        <w:rPr>
          <w:rFonts w:ascii="Times New Roman" w:hAnsi="Times New Roman" w:cs="Times New Roman"/>
          <w:sz w:val="24"/>
          <w:szCs w:val="24"/>
        </w:rPr>
        <w:t>S</w:t>
      </w:r>
      <w:r w:rsidRPr="003D30EF">
        <w:rPr>
          <w:rFonts w:ascii="Times New Roman" w:hAnsi="Times New Roman" w:cs="Times New Roman"/>
          <w:sz w:val="24"/>
          <w:szCs w:val="24"/>
          <w:vertAlign w:val="subscript"/>
        </w:rPr>
        <w:t>H</w:t>
      </w:r>
      <w:proofErr w:type="gramEnd"/>
      <w:r>
        <w:rPr>
          <w:rFonts w:ascii="Times New Roman" w:hAnsi="Times New Roman" w:cs="Times New Roman"/>
          <w:sz w:val="24"/>
          <w:szCs w:val="24"/>
        </w:rPr>
        <w:t>)</w:t>
      </w:r>
      <w:r>
        <w:rPr>
          <w:rFonts w:asciiTheme="majorBidi" w:hAnsiTheme="majorBidi"/>
          <w:sz w:val="24"/>
          <w:szCs w:val="24"/>
        </w:rPr>
        <w:t xml:space="preserve"> as zero or non-zero. </w:t>
      </w:r>
      <w:r w:rsidRPr="003609FB">
        <w:rPr>
          <w:rFonts w:ascii="Times New Roman" w:hAnsi="Times New Roman" w:cs="Times New Roman"/>
          <w:sz w:val="24"/>
          <w:szCs w:val="24"/>
        </w:rPr>
        <w:t>S</w:t>
      </w:r>
      <w:r w:rsidRPr="003D30EF">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 0 or S</w:t>
      </w:r>
      <w:r w:rsidRPr="003D30EF">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&gt; 0 </w:t>
      </w:r>
      <w:r>
        <w:rPr>
          <w:rFonts w:ascii="Times New Roman" w:hAnsi="Times New Roman" w:cs="Times New Roman"/>
          <w:sz w:val="24"/>
          <w:szCs w:val="24"/>
        </w:rPr>
        <w:t xml:space="preserve">competition outcomes of both cases </w:t>
      </w:r>
      <w:r w:rsidRPr="003609FB">
        <w:rPr>
          <w:rFonts w:ascii="Times New Roman" w:hAnsi="Times New Roman" w:cs="Times New Roman"/>
          <w:sz w:val="24"/>
          <w:szCs w:val="24"/>
        </w:rPr>
        <w:t xml:space="preserve">were evaluated </w:t>
      </w:r>
      <w:r>
        <w:rPr>
          <w:rFonts w:ascii="Times New Roman" w:hAnsi="Times New Roman" w:cs="Times New Roman"/>
          <w:sz w:val="24"/>
          <w:szCs w:val="24"/>
        </w:rPr>
        <w:t>using</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D30EF">
        <w:rPr>
          <w:rFonts w:ascii="Times" w:hAnsi="Times" w:cs="Times New Roman"/>
          <w:i/>
          <w:iCs/>
          <w:color w:val="000000" w:themeColor="text1"/>
          <w:sz w:val="24"/>
          <w:szCs w:val="24"/>
        </w:rPr>
        <w:t>Prochlorococcus</w:t>
      </w:r>
      <w:r>
        <w:rPr>
          <w:rFonts w:ascii="Times New Roman" w:hAnsi="Times New Roman" w:cs="Times New Roman"/>
          <w:sz w:val="24"/>
          <w:szCs w:val="24"/>
        </w:rPr>
        <w:t xml:space="preserve"> (</w:t>
      </w:r>
      <w:r w:rsidRPr="003609FB">
        <w:rPr>
          <w:rFonts w:ascii="Times New Roman" w:hAnsi="Times New Roman" w:cs="Times New Roman"/>
          <w:sz w:val="24"/>
          <w:szCs w:val="24"/>
        </w:rPr>
        <w:t>P</w:t>
      </w:r>
      <w:r>
        <w:rPr>
          <w:rFonts w:ascii="Times New Roman" w:hAnsi="Times New Roman" w:cs="Times New Roman"/>
          <w:sz w:val="24"/>
          <w:szCs w:val="24"/>
        </w:rPr>
        <w:t>)</w:t>
      </w:r>
      <w:r w:rsidRPr="003609FB">
        <w:rPr>
          <w:rFonts w:ascii="Times New Roman" w:hAnsi="Times New Roman" w:cs="Times New Roman"/>
          <w:sz w:val="24"/>
          <w:szCs w:val="24"/>
        </w:rPr>
        <w:t xml:space="preserve"> and </w:t>
      </w:r>
      <w:proofErr w:type="spellStart"/>
      <w:r w:rsidRPr="00146002">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3609FB">
        <w:rPr>
          <w:rFonts w:ascii="Times New Roman" w:hAnsi="Times New Roman" w:cs="Times New Roman"/>
          <w:sz w:val="24"/>
          <w:szCs w:val="24"/>
        </w:rPr>
        <w:t>S</w:t>
      </w:r>
      <w:r>
        <w:rPr>
          <w:rFonts w:ascii="Times New Roman" w:hAnsi="Times New Roman" w:cs="Times New Roman"/>
          <w:sz w:val="24"/>
          <w:szCs w:val="24"/>
        </w:rPr>
        <w:t xml:space="preserve">) analogues’ </w:t>
      </w:r>
      <w:r w:rsidRPr="003609FB">
        <w:rPr>
          <w:rFonts w:ascii="Times New Roman" w:hAnsi="Times New Roman" w:cs="Times New Roman"/>
          <w:sz w:val="24"/>
          <w:szCs w:val="24"/>
        </w:rPr>
        <w:t xml:space="preserve">survival </w:t>
      </w:r>
      <w:r>
        <w:rPr>
          <w:rFonts w:ascii="Times New Roman" w:hAnsi="Times New Roman" w:cs="Times New Roman"/>
          <w:sz w:val="24"/>
          <w:szCs w:val="24"/>
        </w:rPr>
        <w:t xml:space="preserve">patterns </w:t>
      </w:r>
      <w:r w:rsidRPr="003609FB">
        <w:rPr>
          <w:rFonts w:ascii="Times New Roman" w:hAnsi="Times New Roman" w:cs="Times New Roman"/>
          <w:sz w:val="24"/>
          <w:szCs w:val="24"/>
        </w:rPr>
        <w:t xml:space="preserve">after 1 year under either environmental </w:t>
      </w:r>
      <w:r>
        <w:rPr>
          <w:rFonts w:ascii="Times New Roman" w:hAnsi="Times New Roman" w:cs="Times New Roman"/>
          <w:sz w:val="24"/>
          <w:szCs w:val="24"/>
        </w:rPr>
        <w:t>(</w:t>
      </w:r>
      <w:r w:rsidRPr="003609FB">
        <w:rPr>
          <w:rFonts w:ascii="Times New Roman" w:hAnsi="Times New Roman" w:cs="Times New Roman"/>
          <w:sz w:val="24"/>
          <w:szCs w:val="24"/>
        </w:rPr>
        <w:t>S</w:t>
      </w:r>
      <w:r w:rsidRPr="003D30EF">
        <w:rPr>
          <w:rFonts w:ascii="Times New Roman" w:hAnsi="Times New Roman" w:cs="Times New Roman"/>
          <w:sz w:val="24"/>
          <w:szCs w:val="24"/>
          <w:vertAlign w:val="subscript"/>
        </w:rPr>
        <w:t>H</w:t>
      </w:r>
      <w:r>
        <w:rPr>
          <w:rFonts w:ascii="Times New Roman" w:hAnsi="Times New Roman" w:cs="Times New Roman"/>
          <w:sz w:val="24"/>
          <w:szCs w:val="24"/>
        </w:rPr>
        <w:t xml:space="preserve">) </w:t>
      </w:r>
      <w:r w:rsidRPr="003609FB">
        <w:rPr>
          <w:rFonts w:ascii="Times New Roman" w:hAnsi="Times New Roman" w:cs="Times New Roman"/>
          <w:sz w:val="24"/>
          <w:szCs w:val="24"/>
        </w:rPr>
        <w:t>regime. In both scenarios, P and S microbes are specialized for their own survival. P is given a greater nutrient uptake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value but </w:t>
      </w:r>
    </w:p>
    <w:p w14:paraId="63C6D82F" w14:textId="67E6C446" w:rsidR="00492FBC" w:rsidRDefault="00492FBC" w:rsidP="00AB2160">
      <w:pPr>
        <w:spacing w:line="360" w:lineRule="auto"/>
        <w:rPr>
          <w:rFonts w:ascii="Times New Roman" w:hAnsi="Times New Roman" w:cs="Times New Roman"/>
          <w:sz w:val="24"/>
          <w:szCs w:val="24"/>
        </w:rPr>
      </w:pPr>
    </w:p>
    <w:p w14:paraId="3BDEF633" w14:textId="77777777" w:rsidR="00492FBC" w:rsidRDefault="00492FBC" w:rsidP="00AB2160">
      <w:pPr>
        <w:framePr w:h="5875" w:hRule="exact" w:hSpace="180" w:wrap="around" w:vAnchor="text" w:hAnchor="text" w:y="1"/>
        <w:spacing w:line="360" w:lineRule="auto"/>
        <w:suppressOverlap/>
        <w:rPr>
          <w:rFonts w:ascii="Times New Roman" w:hAnsi="Times New Roman" w:cs="Times New Roman"/>
          <w:sz w:val="20"/>
          <w:szCs w:val="20"/>
        </w:rPr>
      </w:pPr>
    </w:p>
    <w:p w14:paraId="1B5F5DF5" w14:textId="6F75841D" w:rsidR="00E40AF0" w:rsidRDefault="00E74993" w:rsidP="00E40AF0">
      <w:pPr>
        <w:keepNext/>
        <w:spacing w:line="360" w:lineRule="auto"/>
      </w:pPr>
      <w:r w:rsidRPr="00E74993">
        <w:rPr>
          <w:noProof/>
        </w:rPr>
        <w:drawing>
          <wp:inline distT="0" distB="0" distL="0" distR="0" wp14:anchorId="0A5A4519" wp14:editId="6CED275C">
            <wp:extent cx="5359400" cy="4413624"/>
            <wp:effectExtent l="0" t="0" r="0" b="6350"/>
            <wp:docPr id="2059388810" name="Picture 2059388810" descr="A graph of different colored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10" name="Picture 2059388810" descr="A graph of different colored dots and numbers&#10;&#10;Description automatically generated"/>
                    <pic:cNvPicPr/>
                  </pic:nvPicPr>
                  <pic:blipFill rotWithShape="1">
                    <a:blip r:embed="rId36"/>
                    <a:srcRect t="11333" r="7715"/>
                    <a:stretch/>
                  </pic:blipFill>
                  <pic:spPr bwMode="auto">
                    <a:xfrm>
                      <a:off x="0" y="0"/>
                      <a:ext cx="5366339" cy="4419338"/>
                    </a:xfrm>
                    <a:prstGeom prst="rect">
                      <a:avLst/>
                    </a:prstGeom>
                    <a:ln>
                      <a:noFill/>
                    </a:ln>
                    <a:extLst>
                      <a:ext uri="{53640926-AAD7-44D8-BBD7-CCE9431645EC}">
                        <a14:shadowObscured xmlns:a14="http://schemas.microsoft.com/office/drawing/2010/main"/>
                      </a:ext>
                    </a:extLst>
                  </pic:spPr>
                </pic:pic>
              </a:graphicData>
            </a:graphic>
          </wp:inline>
        </w:drawing>
      </w:r>
    </w:p>
    <w:p w14:paraId="07EC5D29" w14:textId="31D0B30C" w:rsidR="00BB04FB" w:rsidRPr="00E40AF0" w:rsidRDefault="00E40AF0" w:rsidP="00511118">
      <w:pPr>
        <w:pStyle w:val="Caption"/>
      </w:pPr>
      <w:bookmarkStart w:id="46" w:name="_Toc173148379"/>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2</w:t>
      </w:r>
      <w:r w:rsidR="00000000">
        <w:rPr>
          <w:noProof/>
        </w:rPr>
        <w:fldChar w:fldCharType="end"/>
      </w:r>
      <w:r>
        <w:t xml:space="preserve"> </w:t>
      </w:r>
      <w:r w:rsidR="00BB04FB" w:rsidRPr="00824996">
        <w:t xml:space="preserve">Quantitatively recovered tradeoffs found in the coupling of </w:t>
      </w:r>
      <w:r w:rsidR="00824996" w:rsidRPr="00824996">
        <w:t>H</w:t>
      </w:r>
      <w:r w:rsidR="00824996" w:rsidRPr="00824996">
        <w:rPr>
          <w:vertAlign w:val="subscript"/>
        </w:rPr>
        <w:t>2</w:t>
      </w:r>
      <w:r w:rsidR="00824996" w:rsidRPr="00824996">
        <w:t>O</w:t>
      </w:r>
      <w:r w:rsidR="00824996" w:rsidRPr="00824996">
        <w:rPr>
          <w:vertAlign w:val="subscript"/>
        </w:rPr>
        <w:t>2</w:t>
      </w:r>
      <w:r w:rsidR="00824996" w:rsidRPr="00824996">
        <w:t xml:space="preserve"> detoxification rate (</w:t>
      </w:r>
      <m:oMath>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 </m:t>
        </m:r>
      </m:oMath>
      <w:r w:rsidR="00824996" w:rsidRPr="00824996">
        <w:rPr>
          <w:rFonts w:eastAsiaTheme="minorEastAsia"/>
          <w:iCs/>
          <w:kern w:val="2"/>
        </w:rPr>
        <w:t>mL cell</w:t>
      </w:r>
      <w:r w:rsidR="00824996" w:rsidRPr="00824996">
        <w:rPr>
          <w:rFonts w:eastAsiaTheme="minorEastAsia"/>
          <w:iCs/>
          <w:kern w:val="2"/>
          <w:vertAlign w:val="superscript"/>
        </w:rPr>
        <w:t>-1</w:t>
      </w:r>
      <w:r w:rsidR="00824996" w:rsidRPr="00824996">
        <w:rPr>
          <w:rFonts w:eastAsiaTheme="minorEastAsia"/>
          <w:iCs/>
          <w:kern w:val="2"/>
        </w:rPr>
        <w:t xml:space="preserve"> day</w:t>
      </w:r>
      <w:r w:rsidR="00824996" w:rsidRPr="00824996">
        <w:rPr>
          <w:rFonts w:eastAsiaTheme="minorEastAsia"/>
          <w:iCs/>
          <w:kern w:val="2"/>
          <w:vertAlign w:val="superscript"/>
        </w:rPr>
        <w:t>-1</w:t>
      </w:r>
      <w:r w:rsidR="00824996" w:rsidRPr="00824996">
        <w:t>) and H</w:t>
      </w:r>
      <w:r w:rsidR="00824996" w:rsidRPr="00824996">
        <w:rPr>
          <w:vertAlign w:val="subscript"/>
        </w:rPr>
        <w:t>2</w:t>
      </w:r>
      <w:r w:rsidR="00824996" w:rsidRPr="00824996">
        <w:t>O</w:t>
      </w:r>
      <w:r w:rsidR="00824996" w:rsidRPr="00824996">
        <w:rPr>
          <w:vertAlign w:val="subscript"/>
        </w:rPr>
        <w:t>2</w:t>
      </w:r>
      <w:r w:rsidR="00824996" w:rsidRPr="00824996">
        <w:t xml:space="preserve"> induced rate of cell death (</w:t>
      </w:r>
      <m:oMath>
        <m:sSub>
          <m:sSubPr>
            <m:ctrlPr>
              <w:rPr>
                <w:rFonts w:ascii="Cambria Math" w:hAnsi="Cambria Math"/>
              </w:rPr>
            </m:ctrlPr>
          </m:sSubPr>
          <m:e>
            <m:r>
              <w:rPr>
                <w:rFonts w:ascii="Cambria Math" w:hAnsi="Cambria Math"/>
              </w:rPr>
              <m:t>κ</m:t>
            </m:r>
          </m:e>
          <m:sub>
            <m:r>
              <w:rPr>
                <w:rFonts w:ascii="Cambria Math" w:hAnsi="Cambria Math"/>
              </w:rPr>
              <m:t xml:space="preserve">dam, i </m:t>
            </m:r>
          </m:sub>
        </m:sSub>
        <m:r>
          <w:rPr>
            <w:rFonts w:ascii="Cambria Math" w:hAnsi="Cambria Math"/>
          </w:rPr>
          <m:t xml:space="preserve"> </m:t>
        </m:r>
      </m:oMath>
      <w:r w:rsidR="00824996" w:rsidRPr="00824996">
        <w:t>, mL nmol</w:t>
      </w:r>
      <w:r w:rsidR="00824996" w:rsidRPr="00824996">
        <w:rPr>
          <w:vertAlign w:val="superscript"/>
        </w:rPr>
        <w:t>-1</w:t>
      </w:r>
      <w:r w:rsidR="00824996" w:rsidRPr="00824996">
        <w:t xml:space="preserve"> day</w:t>
      </w:r>
      <w:r w:rsidR="00824996" w:rsidRPr="00824996">
        <w:rPr>
          <w:vertAlign w:val="superscript"/>
        </w:rPr>
        <w:t>1</w:t>
      </w:r>
      <w:r w:rsidR="00824996" w:rsidRPr="00824996">
        <w:t xml:space="preserve">) </w:t>
      </w:r>
      <w:r w:rsidR="00BB04FB" w:rsidRPr="00824996">
        <w:t xml:space="preserve">for different </w:t>
      </w:r>
      <w:r w:rsidR="00FA3DC1">
        <w:t>plankton (</w:t>
      </w:r>
      <w:proofErr w:type="spellStart"/>
      <w:r w:rsidR="00FA3DC1">
        <w:t>i</w:t>
      </w:r>
      <w:proofErr w:type="spellEnd"/>
      <w:r w:rsidR="00FA3DC1">
        <w:t xml:space="preserve">) grown in </w:t>
      </w:r>
      <w:r w:rsidR="00BB04FB" w:rsidRPr="00824996">
        <w:t xml:space="preserve">monoculture batch </w:t>
      </w:r>
      <w:r w:rsidR="00FA3DC1">
        <w:t>conditions</w:t>
      </w:r>
      <w:r w:rsidR="00BB04FB" w:rsidRPr="00824996">
        <w:t xml:space="preserve">. Each symbol represents a single </w:t>
      </w:r>
      <w:r w:rsidR="00FA3DC1">
        <w:t xml:space="preserve">plankton </w:t>
      </w:r>
      <w:r w:rsidR="00BB04FB" w:rsidRPr="00824996">
        <w:t>species</w:t>
      </w:r>
      <w:r w:rsidR="00FA3DC1">
        <w:t xml:space="preserve">, </w:t>
      </w:r>
      <w:proofErr w:type="spellStart"/>
      <w:r w:rsidR="00FA3DC1">
        <w:t>i</w:t>
      </w:r>
      <w:proofErr w:type="spellEnd"/>
      <w:r w:rsidR="00BB04FB" w:rsidRPr="00824996">
        <w:t>.</w:t>
      </w:r>
      <w:bookmarkEnd w:id="46"/>
    </w:p>
    <w:p w14:paraId="2021ABB4" w14:textId="46C4E498" w:rsidR="00BB04FB" w:rsidRDefault="00BB04FB" w:rsidP="00AB2160">
      <w:pPr>
        <w:spacing w:line="360" w:lineRule="auto"/>
        <w:rPr>
          <w:rFonts w:ascii="Times New Roman" w:hAnsi="Times New Roman" w:cs="Times New Roman"/>
          <w:sz w:val="24"/>
          <w:szCs w:val="24"/>
        </w:rPr>
      </w:pPr>
    </w:p>
    <w:p w14:paraId="0A826AA5" w14:textId="48420419" w:rsidR="00BB04FB" w:rsidRDefault="00BB04FB" w:rsidP="00AB2160">
      <w:pPr>
        <w:spacing w:line="360" w:lineRule="auto"/>
        <w:rPr>
          <w:rFonts w:ascii="Times New Roman" w:hAnsi="Times New Roman" w:cs="Times New Roman"/>
          <w:sz w:val="24"/>
          <w:szCs w:val="24"/>
        </w:rPr>
      </w:pPr>
    </w:p>
    <w:p w14:paraId="27A409DA" w14:textId="5B1AB0B5" w:rsidR="00BB04FB" w:rsidRDefault="00BB04FB" w:rsidP="00AB2160">
      <w:pPr>
        <w:spacing w:line="360" w:lineRule="auto"/>
        <w:rPr>
          <w:rFonts w:ascii="Times New Roman" w:hAnsi="Times New Roman" w:cs="Times New Roman"/>
          <w:sz w:val="24"/>
          <w:szCs w:val="24"/>
        </w:rPr>
      </w:pPr>
    </w:p>
    <w:p w14:paraId="6DFB01D2" w14:textId="480B9CA1" w:rsidR="00BB04FB" w:rsidRDefault="00BB04FB" w:rsidP="00AB2160">
      <w:pPr>
        <w:spacing w:line="360" w:lineRule="auto"/>
        <w:rPr>
          <w:rFonts w:ascii="Times New Roman" w:hAnsi="Times New Roman" w:cs="Times New Roman"/>
          <w:sz w:val="24"/>
          <w:szCs w:val="24"/>
        </w:rPr>
      </w:pPr>
    </w:p>
    <w:p w14:paraId="0084958C" w14:textId="7969D327" w:rsidR="00F362A6" w:rsidRDefault="00F362A6" w:rsidP="00AB2160">
      <w:pPr>
        <w:spacing w:line="360" w:lineRule="auto"/>
        <w:rPr>
          <w:rFonts w:ascii="Times New Roman" w:hAnsi="Times New Roman" w:cs="Times New Roman"/>
          <w:sz w:val="24"/>
          <w:szCs w:val="24"/>
        </w:rPr>
      </w:pPr>
    </w:p>
    <w:p w14:paraId="7CCFB315" w14:textId="77777777" w:rsidR="00307822" w:rsidRDefault="00307822" w:rsidP="00AB2160">
      <w:pPr>
        <w:spacing w:line="360" w:lineRule="auto"/>
        <w:rPr>
          <w:rFonts w:ascii="Times New Roman" w:hAnsi="Times New Roman" w:cs="Times New Roman"/>
          <w:sz w:val="24"/>
          <w:szCs w:val="24"/>
        </w:rPr>
      </w:pPr>
    </w:p>
    <w:p w14:paraId="6337043D" w14:textId="4068FC6A" w:rsidR="00824996" w:rsidRPr="00CD5348" w:rsidRDefault="00307822" w:rsidP="00511118">
      <w:pPr>
        <w:pStyle w:val="Caption"/>
        <w:rPr>
          <w:highlight w:val="magenta"/>
        </w:rPr>
      </w:pPr>
      <w:bookmarkStart w:id="47" w:name="_Toc172910639"/>
      <w:r w:rsidRPr="00CD5348">
        <w:t xml:space="preserve">Table </w:t>
      </w:r>
      <w:r w:rsidR="00000000">
        <w:fldChar w:fldCharType="begin"/>
      </w:r>
      <w:r w:rsidR="00000000">
        <w:instrText xml:space="preserve"> SEQ Table \* ARABIC </w:instrText>
      </w:r>
      <w:r w:rsidR="00000000">
        <w:fldChar w:fldCharType="separate"/>
      </w:r>
      <w:r w:rsidRPr="00CD5348">
        <w:t>2</w:t>
      </w:r>
      <w:r w:rsidR="00000000">
        <w:fldChar w:fldCharType="end"/>
      </w:r>
      <w:r w:rsidRPr="00CD5348">
        <w:t xml:space="preserve"> Competition model parameter and variable definitions and units</w:t>
      </w:r>
      <w:bookmarkEnd w:id="47"/>
    </w:p>
    <w:tbl>
      <w:tblPr>
        <w:tblStyle w:val="TableGrid"/>
        <w:tblW w:w="5000" w:type="pct"/>
        <w:jc w:val="center"/>
        <w:tblLook w:val="06A0" w:firstRow="1" w:lastRow="0" w:firstColumn="1" w:lastColumn="0" w:noHBand="1" w:noVBand="1"/>
      </w:tblPr>
      <w:tblGrid>
        <w:gridCol w:w="1570"/>
        <w:gridCol w:w="5472"/>
        <w:gridCol w:w="2239"/>
        <w:gridCol w:w="79"/>
      </w:tblGrid>
      <w:tr w:rsidR="00531865" w:rsidRPr="003609FB" w14:paraId="5A2853AB" w14:textId="77777777" w:rsidTr="003D069F">
        <w:trPr>
          <w:trHeight w:val="267"/>
          <w:jc w:val="center"/>
        </w:trPr>
        <w:tc>
          <w:tcPr>
            <w:tcW w:w="839" w:type="pct"/>
            <w:tcBorders>
              <w:top w:val="single" w:sz="4" w:space="0" w:color="auto"/>
              <w:left w:val="nil"/>
              <w:bottom w:val="single" w:sz="4" w:space="0" w:color="auto"/>
              <w:right w:val="nil"/>
            </w:tcBorders>
          </w:tcPr>
          <w:p w14:paraId="1DFA62EB"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Symbol</w:t>
            </w:r>
          </w:p>
        </w:tc>
        <w:tc>
          <w:tcPr>
            <w:tcW w:w="2923" w:type="pct"/>
            <w:tcBorders>
              <w:top w:val="single" w:sz="4" w:space="0" w:color="auto"/>
              <w:left w:val="nil"/>
              <w:bottom w:val="single" w:sz="4" w:space="0" w:color="auto"/>
              <w:right w:val="nil"/>
            </w:tcBorders>
          </w:tcPr>
          <w:p w14:paraId="29B19B2D"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Description</w:t>
            </w:r>
          </w:p>
        </w:tc>
        <w:tc>
          <w:tcPr>
            <w:tcW w:w="1239" w:type="pct"/>
            <w:gridSpan w:val="2"/>
            <w:tcBorders>
              <w:top w:val="single" w:sz="4" w:space="0" w:color="auto"/>
              <w:left w:val="nil"/>
              <w:bottom w:val="single" w:sz="4" w:space="0" w:color="auto"/>
              <w:right w:val="nil"/>
            </w:tcBorders>
          </w:tcPr>
          <w:p w14:paraId="1D9AE3F8"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Units</w:t>
            </w:r>
          </w:p>
        </w:tc>
      </w:tr>
      <w:tr w:rsidR="00531865" w:rsidRPr="003609FB" w14:paraId="30FDFF77" w14:textId="77777777" w:rsidTr="003D069F">
        <w:trPr>
          <w:gridAfter w:val="1"/>
          <w:wAfter w:w="43" w:type="pct"/>
          <w:trHeight w:val="285"/>
          <w:jc w:val="center"/>
        </w:trPr>
        <w:tc>
          <w:tcPr>
            <w:tcW w:w="839" w:type="pct"/>
            <w:tcBorders>
              <w:top w:val="single" w:sz="4" w:space="0" w:color="auto"/>
              <w:left w:val="nil"/>
              <w:bottom w:val="nil"/>
              <w:right w:val="nil"/>
            </w:tcBorders>
          </w:tcPr>
          <w:p w14:paraId="581EB843" w14:textId="77777777" w:rsidR="00531865" w:rsidRPr="003609FB" w:rsidRDefault="00000000" w:rsidP="00AB2160">
            <w:pPr>
              <w:spacing w:line="360" w:lineRule="auto"/>
              <w:jc w:val="center"/>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m:oMathPara>
          </w:p>
        </w:tc>
        <w:tc>
          <w:tcPr>
            <w:tcW w:w="2923" w:type="pct"/>
            <w:tcBorders>
              <w:top w:val="single" w:sz="4" w:space="0" w:color="auto"/>
              <w:left w:val="nil"/>
              <w:bottom w:val="nil"/>
              <w:right w:val="nil"/>
            </w:tcBorders>
          </w:tcPr>
          <w:p w14:paraId="2D8FC6D2" w14:textId="4DA12E7E"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Max cell growth rate</w:t>
            </w:r>
            <w:r w:rsidR="00A46694">
              <w:rPr>
                <w:rFonts w:ascii="Times New Roman" w:hAnsi="Times New Roman" w:cs="Times New Roman"/>
                <w:sz w:val="24"/>
                <w:szCs w:val="24"/>
              </w:rPr>
              <w:t xml:space="preserve"> of plankton</w:t>
            </w:r>
            <w:r w:rsidR="00A86576">
              <w:rPr>
                <w:rFonts w:ascii="Times New Roman" w:hAnsi="Times New Roman" w:cs="Times New Roman"/>
                <w:sz w:val="24"/>
                <w:szCs w:val="24"/>
              </w:rPr>
              <w:t xml:space="preserve">, </w:t>
            </w:r>
            <w:proofErr w:type="spellStart"/>
            <w:r w:rsidR="00A86576">
              <w:rPr>
                <w:rFonts w:ascii="Times New Roman" w:hAnsi="Times New Roman" w:cs="Times New Roman"/>
                <w:sz w:val="24"/>
                <w:szCs w:val="24"/>
              </w:rPr>
              <w:t>i</w:t>
            </w:r>
            <w:proofErr w:type="spellEnd"/>
            <w:r w:rsidR="00A46694">
              <w:rPr>
                <w:rFonts w:ascii="Times New Roman" w:hAnsi="Times New Roman" w:cs="Times New Roman"/>
                <w:sz w:val="24"/>
                <w:szCs w:val="24"/>
              </w:rPr>
              <w:t xml:space="preserve"> (</w:t>
            </w:r>
            <w:proofErr w:type="gramStart"/>
            <w:r w:rsidR="00A46694">
              <w:rPr>
                <w:rFonts w:ascii="Times New Roman" w:hAnsi="Times New Roman" w:cs="Times New Roman"/>
                <w:sz w:val="24"/>
                <w:szCs w:val="24"/>
              </w:rPr>
              <w:t>S,P</w:t>
            </w:r>
            <w:proofErr w:type="gramEnd"/>
            <w:r w:rsidR="00A46694">
              <w:rPr>
                <w:rFonts w:ascii="Times New Roman" w:hAnsi="Times New Roman" w:cs="Times New Roman"/>
                <w:sz w:val="24"/>
                <w:szCs w:val="24"/>
              </w:rPr>
              <w:t xml:space="preserve"> or B)</w:t>
            </w:r>
          </w:p>
        </w:tc>
        <w:tc>
          <w:tcPr>
            <w:tcW w:w="1196" w:type="pct"/>
            <w:tcBorders>
              <w:top w:val="single" w:sz="4" w:space="0" w:color="auto"/>
              <w:left w:val="nil"/>
              <w:bottom w:val="nil"/>
              <w:right w:val="nil"/>
            </w:tcBorders>
          </w:tcPr>
          <w:p w14:paraId="7FCB3004" w14:textId="77777777" w:rsidR="00531865" w:rsidRPr="003609FB" w:rsidRDefault="00531865"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t>day</w:t>
            </w:r>
            <w:r w:rsidRPr="00347E7F">
              <w:rPr>
                <w:rFonts w:ascii="Times New Roman" w:hAnsi="Times New Roman" w:cs="Times New Roman"/>
                <w:sz w:val="24"/>
                <w:szCs w:val="24"/>
                <w:vertAlign w:val="superscript"/>
              </w:rPr>
              <w:t>-1</w:t>
            </w:r>
            <w:proofErr w:type="gramEnd"/>
          </w:p>
        </w:tc>
      </w:tr>
      <w:tr w:rsidR="00531865" w:rsidRPr="003609FB" w14:paraId="1C76AEE0" w14:textId="77777777" w:rsidTr="003D069F">
        <w:trPr>
          <w:gridAfter w:val="1"/>
          <w:wAfter w:w="43" w:type="pct"/>
          <w:trHeight w:val="285"/>
          <w:jc w:val="center"/>
        </w:trPr>
        <w:tc>
          <w:tcPr>
            <w:tcW w:w="839" w:type="pct"/>
            <w:tcBorders>
              <w:top w:val="nil"/>
              <w:left w:val="nil"/>
              <w:bottom w:val="nil"/>
              <w:right w:val="nil"/>
            </w:tcBorders>
          </w:tcPr>
          <w:p w14:paraId="1B3E555E" w14:textId="77777777" w:rsidR="00531865" w:rsidRPr="003609FB" w:rsidRDefault="00000000" w:rsidP="00AB216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i</m:t>
                    </m:r>
                  </m:sub>
                </m:sSub>
              </m:oMath>
            </m:oMathPara>
          </w:p>
        </w:tc>
        <w:tc>
          <w:tcPr>
            <w:tcW w:w="2923" w:type="pct"/>
            <w:tcBorders>
              <w:top w:val="nil"/>
              <w:left w:val="nil"/>
              <w:bottom w:val="nil"/>
              <w:right w:val="nil"/>
            </w:tcBorders>
          </w:tcPr>
          <w:p w14:paraId="415DC885" w14:textId="53727F60" w:rsidR="00531865" w:rsidRPr="003609FB" w:rsidRDefault="00A86576" w:rsidP="00AB2160">
            <w:pPr>
              <w:spacing w:line="360" w:lineRule="auto"/>
              <w:rPr>
                <w:rFonts w:ascii="Times New Roman" w:hAnsi="Times New Roman" w:cs="Times New Roman"/>
                <w:sz w:val="24"/>
                <w:szCs w:val="24"/>
              </w:rPr>
            </w:pPr>
            <w:r>
              <w:rPr>
                <w:rFonts w:ascii="Times New Roman" w:hAnsi="Times New Roman" w:cs="Times New Roman"/>
                <w:sz w:val="24"/>
                <w:szCs w:val="24"/>
              </w:rPr>
              <w:t>I</w:t>
            </w:r>
            <w:r w:rsidR="00531865" w:rsidRPr="003609FB">
              <w:rPr>
                <w:rFonts w:ascii="Times New Roman" w:hAnsi="Times New Roman" w:cs="Times New Roman"/>
                <w:sz w:val="24"/>
                <w:szCs w:val="24"/>
              </w:rPr>
              <w:t>nnate death rate of plankton</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sidR="00531865" w:rsidRPr="003609FB">
              <w:rPr>
                <w:rFonts w:ascii="Times New Roman" w:hAnsi="Times New Roman" w:cs="Times New Roman"/>
                <w:sz w:val="24"/>
                <w:szCs w:val="24"/>
              </w:rPr>
              <w:t xml:space="preserve"> (S</w:t>
            </w:r>
            <w:r w:rsidR="00A46694">
              <w:rPr>
                <w:rFonts w:ascii="Times New Roman" w:hAnsi="Times New Roman" w:cs="Times New Roman"/>
                <w:sz w:val="24"/>
                <w:szCs w:val="24"/>
              </w:rPr>
              <w:t>,</w:t>
            </w:r>
            <w:r w:rsidR="00531865" w:rsidRPr="003609FB">
              <w:rPr>
                <w:rFonts w:ascii="Times New Roman" w:hAnsi="Times New Roman" w:cs="Times New Roman"/>
                <w:sz w:val="24"/>
                <w:szCs w:val="24"/>
              </w:rPr>
              <w:t xml:space="preserve"> P</w:t>
            </w:r>
            <w:r w:rsidR="00A46694">
              <w:rPr>
                <w:rFonts w:ascii="Times New Roman" w:hAnsi="Times New Roman" w:cs="Times New Roman"/>
                <w:sz w:val="24"/>
                <w:szCs w:val="24"/>
              </w:rPr>
              <w:t>, or B</w:t>
            </w:r>
            <w:r w:rsidR="00531865" w:rsidRPr="003609FB">
              <w:rPr>
                <w:rFonts w:ascii="Times New Roman" w:hAnsi="Times New Roman" w:cs="Times New Roman"/>
                <w:sz w:val="24"/>
                <w:szCs w:val="24"/>
              </w:rPr>
              <w:t>)</w:t>
            </w:r>
          </w:p>
        </w:tc>
        <w:tc>
          <w:tcPr>
            <w:tcW w:w="1196" w:type="pct"/>
            <w:tcBorders>
              <w:top w:val="nil"/>
              <w:left w:val="nil"/>
              <w:bottom w:val="nil"/>
              <w:right w:val="nil"/>
            </w:tcBorders>
          </w:tcPr>
          <w:p w14:paraId="45E27A32" w14:textId="77777777" w:rsidR="00531865" w:rsidRPr="003609FB" w:rsidRDefault="00531865"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t>day</w:t>
            </w:r>
            <w:r w:rsidRPr="00347E7F">
              <w:rPr>
                <w:rFonts w:ascii="Times New Roman" w:hAnsi="Times New Roman" w:cs="Times New Roman"/>
                <w:sz w:val="24"/>
                <w:szCs w:val="24"/>
                <w:vertAlign w:val="superscript"/>
              </w:rPr>
              <w:t>-1</w:t>
            </w:r>
            <w:proofErr w:type="gramEnd"/>
          </w:p>
        </w:tc>
      </w:tr>
      <w:tr w:rsidR="00531865" w:rsidRPr="003609FB" w14:paraId="23122F80" w14:textId="77777777" w:rsidTr="003D069F">
        <w:trPr>
          <w:gridAfter w:val="1"/>
          <w:wAfter w:w="43" w:type="pct"/>
          <w:trHeight w:val="347"/>
          <w:jc w:val="center"/>
        </w:trPr>
        <w:tc>
          <w:tcPr>
            <w:tcW w:w="839" w:type="pct"/>
            <w:tcBorders>
              <w:top w:val="nil"/>
              <w:left w:val="nil"/>
              <w:bottom w:val="nil"/>
              <w:right w:val="nil"/>
            </w:tcBorders>
          </w:tcPr>
          <w:p w14:paraId="101F91A2" w14:textId="77777777" w:rsidR="00531865" w:rsidRPr="003609FB" w:rsidRDefault="00000000" w:rsidP="00AB2160">
            <w:pPr>
              <w:spacing w:line="360" w:lineRule="auto"/>
              <w:jc w:val="center"/>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dam,i</m:t>
                    </m:r>
                  </m:sub>
                </m:sSub>
              </m:oMath>
            </m:oMathPara>
          </w:p>
        </w:tc>
        <w:tc>
          <w:tcPr>
            <w:tcW w:w="2923" w:type="pct"/>
            <w:tcBorders>
              <w:top w:val="nil"/>
              <w:left w:val="nil"/>
              <w:bottom w:val="nil"/>
              <w:right w:val="nil"/>
            </w:tcBorders>
          </w:tcPr>
          <w:p w14:paraId="2622A78E" w14:textId="77777777" w:rsidR="00531865" w:rsidRPr="003609FB" w:rsidRDefault="00531865" w:rsidP="00AB2160">
            <w:pPr>
              <w:spacing w:line="360" w:lineRule="auto"/>
              <w:rPr>
                <w:rFonts w:ascii="Times New Roman" w:hAnsi="Times New Roman" w:cs="Times New Roman"/>
                <w:sz w:val="24"/>
                <w:szCs w:val="24"/>
                <w:highlight w:val="yellow"/>
              </w:rPr>
            </w:pPr>
            <w:r w:rsidRPr="003609FB">
              <w:rPr>
                <w:rFonts w:ascii="Times New Roman" w:hAnsi="Times New Roman" w:cs="Times New Roman"/>
                <w:sz w:val="24"/>
                <w:szCs w:val="24"/>
              </w:rPr>
              <w:t>Hydrogen peroxide specific rate of cell death</w:t>
            </w:r>
          </w:p>
        </w:tc>
        <w:tc>
          <w:tcPr>
            <w:tcW w:w="1196" w:type="pct"/>
            <w:tcBorders>
              <w:top w:val="nil"/>
              <w:left w:val="nil"/>
              <w:bottom w:val="nil"/>
              <w:right w:val="nil"/>
            </w:tcBorders>
          </w:tcPr>
          <w:p w14:paraId="1A82B2CD" w14:textId="408FEC84"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mL nmol</w:t>
            </w:r>
            <w:r w:rsidRPr="00347E7F">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00347E7F" w:rsidRPr="00347E7F">
              <w:rPr>
                <w:rFonts w:ascii="Times New Roman" w:hAnsi="Times New Roman" w:cs="Times New Roman"/>
                <w:sz w:val="24"/>
                <w:szCs w:val="24"/>
                <w:vertAlign w:val="superscript"/>
              </w:rPr>
              <w:t>-</w:t>
            </w:r>
            <w:r w:rsidRPr="00347E7F">
              <w:rPr>
                <w:rFonts w:ascii="Times New Roman" w:hAnsi="Times New Roman" w:cs="Times New Roman"/>
                <w:sz w:val="24"/>
                <w:szCs w:val="24"/>
                <w:vertAlign w:val="superscript"/>
              </w:rPr>
              <w:t>1</w:t>
            </w:r>
          </w:p>
        </w:tc>
      </w:tr>
      <w:tr w:rsidR="00531865" w:rsidRPr="003609FB" w14:paraId="5D0BDFE9" w14:textId="77777777" w:rsidTr="003D069F">
        <w:trPr>
          <w:gridAfter w:val="1"/>
          <w:wAfter w:w="43" w:type="pct"/>
          <w:trHeight w:val="285"/>
          <w:jc w:val="center"/>
        </w:trPr>
        <w:tc>
          <w:tcPr>
            <w:tcW w:w="839" w:type="pct"/>
            <w:tcBorders>
              <w:top w:val="nil"/>
              <w:left w:val="nil"/>
              <w:bottom w:val="nil"/>
              <w:right w:val="nil"/>
            </w:tcBorders>
          </w:tcPr>
          <w:p w14:paraId="0BB510DA" w14:textId="2CA5AEB8" w:rsidR="00531865" w:rsidRPr="003609FB" w:rsidRDefault="00A46694" w:rsidP="00AB2160">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N</m:t>
                  </m:r>
                </m:sub>
              </m:sSub>
            </m:oMath>
            <w:r>
              <w:rPr>
                <w:rFonts w:ascii="Times New Roman" w:hAnsi="Times New Roman" w:cs="Times New Roman"/>
                <w:sz w:val="24"/>
                <w:szCs w:val="24"/>
              </w:rPr>
              <w:t xml:space="preserve"> or </w:t>
            </w:r>
            <w:r w:rsidR="00531865" w:rsidRPr="003609FB">
              <w:rPr>
                <w:rFonts w:ascii="Times New Roman" w:hAnsi="Times New Roman" w:cs="Times New Roman"/>
                <w:sz w:val="24"/>
                <w:szCs w:val="24"/>
              </w:rPr>
              <w:t>S</w:t>
            </w:r>
            <w:r w:rsidR="00531865" w:rsidRPr="00E86E8C">
              <w:rPr>
                <w:rFonts w:ascii="Times New Roman" w:hAnsi="Times New Roman" w:cs="Times New Roman"/>
                <w:sz w:val="24"/>
                <w:szCs w:val="24"/>
                <w:vertAlign w:val="subscript"/>
              </w:rPr>
              <w:t>N</w:t>
            </w:r>
          </w:p>
        </w:tc>
        <w:tc>
          <w:tcPr>
            <w:tcW w:w="2923" w:type="pct"/>
            <w:tcBorders>
              <w:top w:val="nil"/>
              <w:left w:val="nil"/>
              <w:bottom w:val="nil"/>
              <w:right w:val="nil"/>
            </w:tcBorders>
          </w:tcPr>
          <w:p w14:paraId="3C543C62"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Nutrient supply rate</w:t>
            </w:r>
          </w:p>
        </w:tc>
        <w:tc>
          <w:tcPr>
            <w:tcW w:w="1196" w:type="pct"/>
            <w:tcBorders>
              <w:top w:val="nil"/>
              <w:left w:val="nil"/>
              <w:bottom w:val="nil"/>
              <w:right w:val="nil"/>
            </w:tcBorders>
          </w:tcPr>
          <w:p w14:paraId="069D567E" w14:textId="5223C02A" w:rsidR="00531865" w:rsidRPr="003609FB" w:rsidRDefault="00531865" w:rsidP="00AB2160">
            <w:pPr>
              <w:spacing w:line="360" w:lineRule="auto"/>
              <w:rPr>
                <w:rFonts w:ascii="Times New Roman" w:hAnsi="Times New Roman" w:cs="Times New Roman"/>
                <w:sz w:val="24"/>
                <w:szCs w:val="24"/>
              </w:rPr>
            </w:pPr>
            <m:oMath>
              <m:r>
                <w:rPr>
                  <w:rFonts w:ascii="Cambria Math" w:hAnsi="Cambria Math" w:cs="Times New Roman"/>
                  <w:sz w:val="24"/>
                  <w:szCs w:val="24"/>
                </w:rPr>
                <m:t>μ</m:t>
              </m:r>
            </m:oMath>
            <w:r w:rsidRPr="003609FB">
              <w:rPr>
                <w:rFonts w:ascii="Times New Roman" w:hAnsi="Times New Roman" w:cs="Times New Roman"/>
                <w:sz w:val="24"/>
                <w:szCs w:val="24"/>
              </w:rPr>
              <w:t>mol mL</w:t>
            </w:r>
            <w:r w:rsidRPr="00347E7F">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347E7F">
              <w:rPr>
                <w:rFonts w:ascii="Times New Roman" w:hAnsi="Times New Roman" w:cs="Times New Roman"/>
                <w:sz w:val="24"/>
                <w:szCs w:val="24"/>
                <w:vertAlign w:val="superscript"/>
              </w:rPr>
              <w:t>-</w:t>
            </w:r>
            <w:r w:rsidR="00347E7F" w:rsidRPr="00347E7F">
              <w:rPr>
                <w:rFonts w:ascii="Times New Roman" w:hAnsi="Times New Roman" w:cs="Times New Roman"/>
                <w:sz w:val="24"/>
                <w:szCs w:val="24"/>
                <w:vertAlign w:val="superscript"/>
              </w:rPr>
              <w:t>1</w:t>
            </w:r>
          </w:p>
        </w:tc>
      </w:tr>
      <w:tr w:rsidR="00531865" w:rsidRPr="003609FB" w14:paraId="4128B34F" w14:textId="77777777" w:rsidTr="003D069F">
        <w:trPr>
          <w:gridAfter w:val="1"/>
          <w:wAfter w:w="43" w:type="pct"/>
          <w:trHeight w:val="285"/>
          <w:jc w:val="center"/>
        </w:trPr>
        <w:tc>
          <w:tcPr>
            <w:tcW w:w="839" w:type="pct"/>
            <w:tcBorders>
              <w:top w:val="nil"/>
              <w:left w:val="nil"/>
              <w:bottom w:val="nil"/>
              <w:right w:val="nil"/>
            </w:tcBorders>
          </w:tcPr>
          <w:p w14:paraId="2B99DA11" w14:textId="77777777" w:rsidR="00531865" w:rsidRPr="003609FB" w:rsidRDefault="00531865" w:rsidP="00AB2160">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ρ</m:t>
                </m:r>
              </m:oMath>
            </m:oMathPara>
          </w:p>
        </w:tc>
        <w:tc>
          <w:tcPr>
            <w:tcW w:w="2923" w:type="pct"/>
            <w:tcBorders>
              <w:top w:val="nil"/>
              <w:left w:val="nil"/>
              <w:bottom w:val="nil"/>
              <w:right w:val="nil"/>
            </w:tcBorders>
          </w:tcPr>
          <w:p w14:paraId="484F91A5"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Abiotic nutrient loss rate</w:t>
            </w:r>
          </w:p>
        </w:tc>
        <w:tc>
          <w:tcPr>
            <w:tcW w:w="1196" w:type="pct"/>
            <w:tcBorders>
              <w:top w:val="nil"/>
              <w:left w:val="nil"/>
              <w:bottom w:val="nil"/>
              <w:right w:val="nil"/>
            </w:tcBorders>
          </w:tcPr>
          <w:p w14:paraId="2F934E1E" w14:textId="67C6D69A" w:rsidR="00531865" w:rsidRPr="003609FB" w:rsidRDefault="00531865" w:rsidP="00AB2160">
            <w:pPr>
              <w:spacing w:line="360" w:lineRule="auto"/>
              <w:rPr>
                <w:rFonts w:ascii="Times New Roman" w:hAnsi="Times New Roman" w:cs="Times New Roman"/>
                <w:sz w:val="24"/>
                <w:szCs w:val="24"/>
              </w:rPr>
            </w:pPr>
            <m:oMath>
              <m:r>
                <w:rPr>
                  <w:rFonts w:ascii="Cambria Math" w:hAnsi="Cambria Math" w:cs="Times New Roman"/>
                  <w:sz w:val="24"/>
                  <w:szCs w:val="24"/>
                </w:rPr>
                <m:t>μ</m:t>
              </m:r>
            </m:oMath>
            <w:r w:rsidRPr="003609FB">
              <w:rPr>
                <w:rFonts w:ascii="Times New Roman" w:hAnsi="Times New Roman" w:cs="Times New Roman"/>
                <w:sz w:val="24"/>
                <w:szCs w:val="24"/>
              </w:rPr>
              <w:t>mol mL</w:t>
            </w:r>
            <w:r w:rsidRPr="00347E7F">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347E7F">
              <w:rPr>
                <w:rFonts w:ascii="Times New Roman" w:hAnsi="Times New Roman" w:cs="Times New Roman"/>
                <w:sz w:val="24"/>
                <w:szCs w:val="24"/>
                <w:vertAlign w:val="superscript"/>
              </w:rPr>
              <w:t>-</w:t>
            </w:r>
            <w:r w:rsidR="00347E7F" w:rsidRPr="00347E7F">
              <w:rPr>
                <w:rFonts w:ascii="Times New Roman" w:hAnsi="Times New Roman" w:cs="Times New Roman"/>
                <w:sz w:val="24"/>
                <w:szCs w:val="24"/>
                <w:vertAlign w:val="superscript"/>
              </w:rPr>
              <w:t>1</w:t>
            </w:r>
          </w:p>
        </w:tc>
      </w:tr>
      <w:tr w:rsidR="00531865" w:rsidRPr="003609FB" w14:paraId="334C5382" w14:textId="77777777" w:rsidTr="003D069F">
        <w:trPr>
          <w:gridAfter w:val="1"/>
          <w:wAfter w:w="43" w:type="pct"/>
          <w:trHeight w:val="285"/>
          <w:jc w:val="center"/>
        </w:trPr>
        <w:tc>
          <w:tcPr>
            <w:tcW w:w="839" w:type="pct"/>
            <w:tcBorders>
              <w:top w:val="nil"/>
              <w:left w:val="nil"/>
              <w:bottom w:val="nil"/>
              <w:right w:val="nil"/>
            </w:tcBorders>
          </w:tcPr>
          <w:p w14:paraId="5173B271" w14:textId="52D91BE0" w:rsidR="00531865" w:rsidRPr="003609FB" w:rsidRDefault="00000000" w:rsidP="00AB2160">
            <w:pPr>
              <w:spacing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H</m:t>
                  </m:r>
                </m:sub>
              </m:sSub>
            </m:oMath>
            <w:r w:rsidR="00A46694">
              <w:rPr>
                <w:rFonts w:ascii="Times New Roman" w:hAnsi="Times New Roman" w:cs="Times New Roman"/>
                <w:sz w:val="24"/>
                <w:szCs w:val="24"/>
              </w:rPr>
              <w:t xml:space="preserve">  or </w:t>
            </w:r>
            <w:r w:rsidR="00531865" w:rsidRPr="003609FB">
              <w:rPr>
                <w:rFonts w:ascii="Times New Roman" w:hAnsi="Times New Roman" w:cs="Times New Roman"/>
                <w:sz w:val="24"/>
                <w:szCs w:val="24"/>
              </w:rPr>
              <w:t>S</w:t>
            </w:r>
            <w:r w:rsidR="00531865" w:rsidRPr="00E86E8C">
              <w:rPr>
                <w:rFonts w:ascii="Times New Roman" w:hAnsi="Times New Roman" w:cs="Times New Roman"/>
                <w:sz w:val="24"/>
                <w:szCs w:val="24"/>
                <w:vertAlign w:val="subscript"/>
              </w:rPr>
              <w:t>H</w:t>
            </w:r>
          </w:p>
        </w:tc>
        <w:tc>
          <w:tcPr>
            <w:tcW w:w="2923" w:type="pct"/>
            <w:tcBorders>
              <w:top w:val="nil"/>
              <w:left w:val="nil"/>
              <w:bottom w:val="nil"/>
              <w:right w:val="nil"/>
            </w:tcBorders>
          </w:tcPr>
          <w:p w14:paraId="5E918399"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Hydrogen peroxide supply rate</w:t>
            </w:r>
          </w:p>
        </w:tc>
        <w:tc>
          <w:tcPr>
            <w:tcW w:w="1196" w:type="pct"/>
            <w:tcBorders>
              <w:top w:val="nil"/>
              <w:left w:val="nil"/>
              <w:bottom w:val="nil"/>
              <w:right w:val="nil"/>
            </w:tcBorders>
          </w:tcPr>
          <w:p w14:paraId="0F7269AA"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nmol mL</w:t>
            </w:r>
            <w:r w:rsidRPr="00347E7F">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347E7F">
              <w:rPr>
                <w:rFonts w:ascii="Times New Roman" w:hAnsi="Times New Roman" w:cs="Times New Roman"/>
                <w:sz w:val="24"/>
                <w:szCs w:val="24"/>
                <w:vertAlign w:val="superscript"/>
              </w:rPr>
              <w:t>-1</w:t>
            </w:r>
          </w:p>
        </w:tc>
      </w:tr>
      <w:tr w:rsidR="00531865" w:rsidRPr="003609FB" w14:paraId="2CE7E2F5" w14:textId="77777777" w:rsidTr="003D069F">
        <w:trPr>
          <w:gridAfter w:val="1"/>
          <w:wAfter w:w="43" w:type="pct"/>
          <w:trHeight w:val="267"/>
          <w:jc w:val="center"/>
        </w:trPr>
        <w:tc>
          <w:tcPr>
            <w:tcW w:w="839" w:type="pct"/>
            <w:tcBorders>
              <w:top w:val="nil"/>
              <w:left w:val="nil"/>
              <w:bottom w:val="nil"/>
              <w:right w:val="nil"/>
            </w:tcBorders>
          </w:tcPr>
          <w:p w14:paraId="122C7746" w14:textId="77777777" w:rsidR="00531865" w:rsidRPr="003609FB" w:rsidRDefault="00000000" w:rsidP="00AB216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m:oMathPara>
          </w:p>
        </w:tc>
        <w:tc>
          <w:tcPr>
            <w:tcW w:w="2923" w:type="pct"/>
            <w:tcBorders>
              <w:top w:val="nil"/>
              <w:left w:val="nil"/>
              <w:bottom w:val="nil"/>
              <w:right w:val="nil"/>
            </w:tcBorders>
          </w:tcPr>
          <w:p w14:paraId="4EE87220" w14:textId="6CC3592A" w:rsidR="00531865" w:rsidRPr="003609FB" w:rsidRDefault="00A86576" w:rsidP="00AB2160">
            <w:pPr>
              <w:spacing w:line="360" w:lineRule="auto"/>
              <w:rPr>
                <w:rFonts w:ascii="Times New Roman" w:hAnsi="Times New Roman" w:cs="Times New Roman"/>
                <w:sz w:val="24"/>
                <w:szCs w:val="24"/>
              </w:rPr>
            </w:pPr>
            <w:r>
              <w:rPr>
                <w:rFonts w:ascii="Times New Roman" w:hAnsi="Times New Roman" w:cs="Times New Roman"/>
                <w:sz w:val="24"/>
                <w:szCs w:val="24"/>
              </w:rPr>
              <w:t>Ab</w:t>
            </w:r>
            <w:r w:rsidR="00531865" w:rsidRPr="003609FB">
              <w:rPr>
                <w:rFonts w:ascii="Times New Roman" w:hAnsi="Times New Roman" w:cs="Times New Roman"/>
                <w:sz w:val="24"/>
                <w:szCs w:val="24"/>
              </w:rPr>
              <w:t>iotic hydrogen peroxide decay rate</w:t>
            </w:r>
          </w:p>
        </w:tc>
        <w:tc>
          <w:tcPr>
            <w:tcW w:w="1196" w:type="pct"/>
            <w:tcBorders>
              <w:top w:val="nil"/>
              <w:left w:val="nil"/>
              <w:bottom w:val="nil"/>
              <w:right w:val="nil"/>
            </w:tcBorders>
          </w:tcPr>
          <w:p w14:paraId="466F0A38" w14:textId="77777777" w:rsidR="00531865" w:rsidRPr="003609FB" w:rsidRDefault="00531865"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t>day</w:t>
            </w:r>
            <w:r w:rsidRPr="00C4225C">
              <w:rPr>
                <w:rFonts w:ascii="Times New Roman" w:hAnsi="Times New Roman" w:cs="Times New Roman"/>
                <w:sz w:val="24"/>
                <w:szCs w:val="24"/>
                <w:vertAlign w:val="superscript"/>
              </w:rPr>
              <w:t>-1</w:t>
            </w:r>
            <w:proofErr w:type="gramEnd"/>
          </w:p>
        </w:tc>
      </w:tr>
      <w:tr w:rsidR="00531865" w:rsidRPr="003609FB" w14:paraId="0F745EBA" w14:textId="77777777" w:rsidTr="003D069F">
        <w:trPr>
          <w:gridAfter w:val="1"/>
          <w:wAfter w:w="43" w:type="pct"/>
          <w:trHeight w:val="285"/>
          <w:jc w:val="center"/>
        </w:trPr>
        <w:tc>
          <w:tcPr>
            <w:tcW w:w="839" w:type="pct"/>
            <w:tcBorders>
              <w:top w:val="nil"/>
              <w:left w:val="nil"/>
              <w:bottom w:val="nil"/>
              <w:right w:val="nil"/>
            </w:tcBorders>
          </w:tcPr>
          <w:p w14:paraId="56FA97F6" w14:textId="77777777" w:rsidR="00531865" w:rsidRPr="003609FB" w:rsidRDefault="00000000" w:rsidP="00AB2160">
            <w:pPr>
              <w:spacing w:line="360" w:lineRule="auto"/>
              <w:jc w:val="center"/>
              <w:rPr>
                <w:rFonts w:ascii="Times New Roman" w:hAnsi="Times New Roman" w:cs="Times New Roman"/>
                <w:sz w:val="24"/>
                <w:szCs w:val="24"/>
              </w:rPr>
            </w:pPr>
            <m:oMathPara>
              <m:oMathParaPr>
                <m:jc m:val="center"/>
              </m:oMathParaP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m:oMathPara>
          </w:p>
        </w:tc>
        <w:tc>
          <w:tcPr>
            <w:tcW w:w="2923" w:type="pct"/>
            <w:tcBorders>
              <w:top w:val="nil"/>
              <w:left w:val="nil"/>
              <w:bottom w:val="nil"/>
              <w:right w:val="nil"/>
            </w:tcBorders>
          </w:tcPr>
          <w:p w14:paraId="66A492BB" w14:textId="24C955F6"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 specific rate of </w:t>
            </w:r>
            <w:r w:rsidR="00B45209" w:rsidRPr="003609FB">
              <w:rPr>
                <w:rFonts w:ascii="Times New Roman" w:hAnsi="Times New Roman" w:cs="Times New Roman"/>
                <w:sz w:val="24"/>
                <w:szCs w:val="24"/>
              </w:rPr>
              <w:t>H</w:t>
            </w:r>
            <w:r w:rsidR="00B45209" w:rsidRPr="00351FC4">
              <w:rPr>
                <w:rFonts w:ascii="Times New Roman" w:hAnsi="Times New Roman" w:cs="Times New Roman"/>
                <w:sz w:val="24"/>
                <w:szCs w:val="24"/>
                <w:vertAlign w:val="subscript"/>
              </w:rPr>
              <w:t>2</w:t>
            </w:r>
            <w:r w:rsidR="00B45209" w:rsidRPr="003609FB">
              <w:rPr>
                <w:rFonts w:ascii="Times New Roman" w:hAnsi="Times New Roman" w:cs="Times New Roman"/>
                <w:sz w:val="24"/>
                <w:szCs w:val="24"/>
              </w:rPr>
              <w:t>O</w:t>
            </w:r>
            <w:r w:rsidR="00B45209" w:rsidRPr="00351FC4">
              <w:rPr>
                <w:rFonts w:ascii="Times New Roman" w:hAnsi="Times New Roman" w:cs="Times New Roman"/>
                <w:sz w:val="24"/>
                <w:szCs w:val="24"/>
                <w:vertAlign w:val="subscript"/>
              </w:rPr>
              <w:t>2</w:t>
            </w:r>
            <w:r w:rsidR="00B45209">
              <w:rPr>
                <w:rFonts w:ascii="Times New Roman" w:hAnsi="Times New Roman" w:cs="Times New Roman"/>
                <w:sz w:val="24"/>
                <w:szCs w:val="24"/>
                <w:vertAlign w:val="subscript"/>
              </w:rPr>
              <w:t xml:space="preserve"> </w:t>
            </w:r>
            <w:r w:rsidRPr="003609FB">
              <w:rPr>
                <w:rFonts w:ascii="Times New Roman" w:hAnsi="Times New Roman" w:cs="Times New Roman"/>
                <w:sz w:val="24"/>
                <w:szCs w:val="24"/>
              </w:rPr>
              <w:t>detoxification</w:t>
            </w:r>
          </w:p>
        </w:tc>
        <w:tc>
          <w:tcPr>
            <w:tcW w:w="1196" w:type="pct"/>
            <w:tcBorders>
              <w:top w:val="nil"/>
              <w:left w:val="nil"/>
              <w:bottom w:val="nil"/>
              <w:right w:val="nil"/>
            </w:tcBorders>
          </w:tcPr>
          <w:p w14:paraId="529DEC05" w14:textId="7777777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mL cell</w:t>
            </w:r>
            <w:r w:rsidRPr="00C4225C">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C4225C">
              <w:rPr>
                <w:rFonts w:ascii="Times New Roman" w:hAnsi="Times New Roman" w:cs="Times New Roman"/>
                <w:sz w:val="24"/>
                <w:szCs w:val="24"/>
                <w:vertAlign w:val="superscript"/>
              </w:rPr>
              <w:t>-1</w:t>
            </w:r>
          </w:p>
        </w:tc>
      </w:tr>
      <w:tr w:rsidR="00531865" w:rsidRPr="003609FB" w14:paraId="77D0603E" w14:textId="77777777" w:rsidTr="003D069F">
        <w:trPr>
          <w:gridAfter w:val="1"/>
          <w:wAfter w:w="43" w:type="pct"/>
          <w:trHeight w:val="285"/>
          <w:jc w:val="center"/>
        </w:trPr>
        <w:tc>
          <w:tcPr>
            <w:tcW w:w="839" w:type="pct"/>
            <w:tcBorders>
              <w:top w:val="nil"/>
              <w:left w:val="nil"/>
              <w:bottom w:val="nil"/>
              <w:right w:val="nil"/>
            </w:tcBorders>
          </w:tcPr>
          <w:p w14:paraId="7E62B00D" w14:textId="77777777" w:rsidR="00531865" w:rsidRPr="003609FB" w:rsidRDefault="00000000" w:rsidP="00AB2160">
            <w:pPr>
              <w:spacing w:line="360" w:lineRule="auto"/>
              <w:jc w:val="center"/>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oMath>
            </m:oMathPara>
          </w:p>
        </w:tc>
        <w:tc>
          <w:tcPr>
            <w:tcW w:w="2923" w:type="pct"/>
            <w:tcBorders>
              <w:top w:val="nil"/>
              <w:left w:val="nil"/>
              <w:bottom w:val="nil"/>
              <w:right w:val="nil"/>
            </w:tcBorders>
          </w:tcPr>
          <w:p w14:paraId="2B08E28D" w14:textId="6CADEF6B"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 abundance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analogue</w:t>
            </w:r>
          </w:p>
        </w:tc>
        <w:tc>
          <w:tcPr>
            <w:tcW w:w="1196" w:type="pct"/>
            <w:tcBorders>
              <w:top w:val="nil"/>
              <w:left w:val="nil"/>
              <w:bottom w:val="nil"/>
              <w:right w:val="nil"/>
            </w:tcBorders>
          </w:tcPr>
          <w:p w14:paraId="0EE81092" w14:textId="584EAA5B"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cells </w:t>
            </w:r>
            <w:proofErr w:type="gramStart"/>
            <w:r w:rsidRPr="003609FB">
              <w:rPr>
                <w:rFonts w:ascii="Times New Roman" w:hAnsi="Times New Roman" w:cs="Times New Roman"/>
                <w:sz w:val="24"/>
                <w:szCs w:val="24"/>
              </w:rPr>
              <w:t>mL</w:t>
            </w:r>
            <w:r w:rsidRPr="00347E7F">
              <w:rPr>
                <w:rFonts w:ascii="Times New Roman" w:hAnsi="Times New Roman" w:cs="Times New Roman"/>
                <w:sz w:val="24"/>
                <w:szCs w:val="24"/>
                <w:vertAlign w:val="superscript"/>
              </w:rPr>
              <w:t>-1</w:t>
            </w:r>
            <w:proofErr w:type="gramEnd"/>
          </w:p>
        </w:tc>
      </w:tr>
      <w:tr w:rsidR="00531865" w:rsidRPr="003609FB" w14:paraId="70DDF052" w14:textId="77777777" w:rsidTr="003D069F">
        <w:trPr>
          <w:gridAfter w:val="1"/>
          <w:wAfter w:w="43" w:type="pct"/>
          <w:trHeight w:val="285"/>
          <w:jc w:val="center"/>
        </w:trPr>
        <w:tc>
          <w:tcPr>
            <w:tcW w:w="839" w:type="pct"/>
            <w:tcBorders>
              <w:top w:val="nil"/>
              <w:left w:val="nil"/>
              <w:bottom w:val="nil"/>
              <w:right w:val="nil"/>
            </w:tcBorders>
          </w:tcPr>
          <w:p w14:paraId="10091500" w14:textId="77777777" w:rsidR="00531865" w:rsidRPr="003609FB" w:rsidRDefault="00000000" w:rsidP="00AB216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oMath>
            </m:oMathPara>
          </w:p>
        </w:tc>
        <w:tc>
          <w:tcPr>
            <w:tcW w:w="2923" w:type="pct"/>
            <w:tcBorders>
              <w:top w:val="nil"/>
              <w:left w:val="nil"/>
              <w:bottom w:val="nil"/>
              <w:right w:val="nil"/>
            </w:tcBorders>
          </w:tcPr>
          <w:p w14:paraId="477758D2" w14:textId="20D46445"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 abundance of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w:t>
            </w:r>
          </w:p>
        </w:tc>
        <w:tc>
          <w:tcPr>
            <w:tcW w:w="1196" w:type="pct"/>
            <w:tcBorders>
              <w:top w:val="nil"/>
              <w:left w:val="nil"/>
              <w:bottom w:val="nil"/>
              <w:right w:val="nil"/>
            </w:tcBorders>
          </w:tcPr>
          <w:p w14:paraId="4897567E" w14:textId="5CEA5513" w:rsidR="00A46694" w:rsidRPr="00A46694" w:rsidRDefault="00531865" w:rsidP="00AB2160">
            <w:pPr>
              <w:spacing w:line="360" w:lineRule="auto"/>
              <w:rPr>
                <w:rFonts w:ascii="Times New Roman" w:hAnsi="Times New Roman" w:cs="Times New Roman"/>
                <w:sz w:val="24"/>
                <w:szCs w:val="24"/>
                <w:vertAlign w:val="superscript"/>
              </w:rPr>
            </w:pPr>
            <w:r w:rsidRPr="003609FB">
              <w:rPr>
                <w:rFonts w:ascii="Times New Roman" w:hAnsi="Times New Roman" w:cs="Times New Roman"/>
                <w:sz w:val="24"/>
                <w:szCs w:val="24"/>
              </w:rPr>
              <w:t xml:space="preserve">cells </w:t>
            </w:r>
            <w:proofErr w:type="gramStart"/>
            <w:r w:rsidRPr="003609FB">
              <w:rPr>
                <w:rFonts w:ascii="Times New Roman" w:hAnsi="Times New Roman" w:cs="Times New Roman"/>
                <w:sz w:val="24"/>
                <w:szCs w:val="24"/>
              </w:rPr>
              <w:t>mL</w:t>
            </w:r>
            <w:r w:rsidRPr="00347E7F">
              <w:rPr>
                <w:rFonts w:ascii="Times New Roman" w:hAnsi="Times New Roman" w:cs="Times New Roman"/>
                <w:sz w:val="24"/>
                <w:szCs w:val="24"/>
                <w:vertAlign w:val="superscript"/>
              </w:rPr>
              <w:t>-1</w:t>
            </w:r>
            <w:proofErr w:type="gramEnd"/>
          </w:p>
        </w:tc>
      </w:tr>
      <w:tr w:rsidR="00A46694" w:rsidRPr="003609FB" w14:paraId="3ED927D5" w14:textId="77777777" w:rsidTr="003D069F">
        <w:trPr>
          <w:gridAfter w:val="1"/>
          <w:wAfter w:w="43" w:type="pct"/>
          <w:trHeight w:val="285"/>
          <w:jc w:val="center"/>
        </w:trPr>
        <w:tc>
          <w:tcPr>
            <w:tcW w:w="839" w:type="pct"/>
            <w:tcBorders>
              <w:top w:val="nil"/>
              <w:left w:val="nil"/>
              <w:bottom w:val="nil"/>
              <w:right w:val="nil"/>
            </w:tcBorders>
          </w:tcPr>
          <w:p w14:paraId="7E79EE72" w14:textId="7E99FCB4" w:rsidR="00A46694" w:rsidRDefault="00000000" w:rsidP="00AB2160">
            <w:pPr>
              <w:spacing w:line="360" w:lineRule="auto"/>
              <w:jc w:val="center"/>
              <w:rPr>
                <w:rFonts w:ascii="Calibri Light" w:eastAsia="Yu Gothic Light" w:hAnsi="Calibri Light"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oMath>
            </m:oMathPara>
          </w:p>
        </w:tc>
        <w:tc>
          <w:tcPr>
            <w:tcW w:w="2923" w:type="pct"/>
            <w:tcBorders>
              <w:top w:val="nil"/>
              <w:left w:val="nil"/>
              <w:bottom w:val="nil"/>
              <w:right w:val="nil"/>
            </w:tcBorders>
          </w:tcPr>
          <w:p w14:paraId="26BD7B0F" w14:textId="5C03B0DD" w:rsidR="00A46694" w:rsidRPr="003609FB" w:rsidRDefault="00A46694"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 abundance of </w:t>
            </w:r>
            <w:r w:rsidRPr="00A46694">
              <w:rPr>
                <w:rFonts w:ascii="Times New Roman" w:hAnsi="Times New Roman" w:cs="Times New Roman"/>
                <w:sz w:val="24"/>
                <w:szCs w:val="24"/>
              </w:rPr>
              <w:t>heterotrophic bacteria</w:t>
            </w:r>
            <w:r w:rsidRPr="003609FB">
              <w:rPr>
                <w:rFonts w:ascii="Times New Roman" w:hAnsi="Times New Roman" w:cs="Times New Roman"/>
                <w:sz w:val="24"/>
                <w:szCs w:val="24"/>
              </w:rPr>
              <w:t xml:space="preserve"> analogue</w:t>
            </w:r>
          </w:p>
        </w:tc>
        <w:tc>
          <w:tcPr>
            <w:tcW w:w="1196" w:type="pct"/>
            <w:tcBorders>
              <w:top w:val="nil"/>
              <w:left w:val="nil"/>
              <w:bottom w:val="nil"/>
              <w:right w:val="nil"/>
            </w:tcBorders>
          </w:tcPr>
          <w:p w14:paraId="4E26BACD" w14:textId="24CEA8F3" w:rsidR="00A46694" w:rsidRPr="003609FB" w:rsidRDefault="00A46694"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cells </w:t>
            </w:r>
            <w:proofErr w:type="gramStart"/>
            <w:r w:rsidRPr="003609FB">
              <w:rPr>
                <w:rFonts w:ascii="Times New Roman" w:hAnsi="Times New Roman" w:cs="Times New Roman"/>
                <w:sz w:val="24"/>
                <w:szCs w:val="24"/>
              </w:rPr>
              <w:t>mL</w:t>
            </w:r>
            <w:r w:rsidRPr="00347E7F">
              <w:rPr>
                <w:rFonts w:ascii="Times New Roman" w:hAnsi="Times New Roman" w:cs="Times New Roman"/>
                <w:sz w:val="24"/>
                <w:szCs w:val="24"/>
                <w:vertAlign w:val="superscript"/>
              </w:rPr>
              <w:t>-1</w:t>
            </w:r>
            <w:proofErr w:type="gramEnd"/>
          </w:p>
        </w:tc>
      </w:tr>
      <w:tr w:rsidR="00A46694" w:rsidRPr="003609FB" w14:paraId="75BFC4E6" w14:textId="77777777" w:rsidTr="003D069F">
        <w:trPr>
          <w:gridAfter w:val="1"/>
          <w:wAfter w:w="43" w:type="pct"/>
          <w:trHeight w:val="285"/>
          <w:jc w:val="center"/>
        </w:trPr>
        <w:tc>
          <w:tcPr>
            <w:tcW w:w="839" w:type="pct"/>
            <w:tcBorders>
              <w:top w:val="nil"/>
              <w:left w:val="nil"/>
              <w:bottom w:val="single" w:sz="4" w:space="0" w:color="auto"/>
              <w:right w:val="nil"/>
            </w:tcBorders>
          </w:tcPr>
          <w:p w14:paraId="0D595DBF" w14:textId="77777777" w:rsidR="00A46694" w:rsidRPr="003609FB" w:rsidRDefault="00A46694" w:rsidP="00AB2160">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H</w:t>
            </w:r>
          </w:p>
        </w:tc>
        <w:tc>
          <w:tcPr>
            <w:tcW w:w="2923" w:type="pct"/>
            <w:tcBorders>
              <w:top w:val="nil"/>
              <w:left w:val="nil"/>
              <w:bottom w:val="single" w:sz="4" w:space="0" w:color="auto"/>
              <w:right w:val="nil"/>
            </w:tcBorders>
          </w:tcPr>
          <w:p w14:paraId="386E27DA" w14:textId="77777777" w:rsidR="00A46694" w:rsidRPr="003609FB" w:rsidRDefault="00A46694"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Hydrogen peroxide concentration</w:t>
            </w:r>
          </w:p>
        </w:tc>
        <w:tc>
          <w:tcPr>
            <w:tcW w:w="1196" w:type="pct"/>
            <w:tcBorders>
              <w:top w:val="nil"/>
              <w:left w:val="nil"/>
              <w:bottom w:val="single" w:sz="4" w:space="0" w:color="auto"/>
              <w:right w:val="nil"/>
            </w:tcBorders>
          </w:tcPr>
          <w:p w14:paraId="74FBAA43" w14:textId="44FA743E" w:rsidR="00A46694" w:rsidRPr="003609FB" w:rsidRDefault="00A46694" w:rsidP="00AB2160">
            <w:pPr>
              <w:keepNext/>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nmol </w:t>
            </w:r>
            <w:proofErr w:type="gramStart"/>
            <w:r w:rsidRPr="003609FB">
              <w:rPr>
                <w:rFonts w:ascii="Times New Roman" w:hAnsi="Times New Roman" w:cs="Times New Roman"/>
                <w:sz w:val="24"/>
                <w:szCs w:val="24"/>
              </w:rPr>
              <w:t>m</w:t>
            </w:r>
            <w:r w:rsidR="00C4225C">
              <w:rPr>
                <w:rFonts w:ascii="Times New Roman" w:hAnsi="Times New Roman" w:cs="Times New Roman"/>
                <w:sz w:val="24"/>
                <w:szCs w:val="24"/>
              </w:rPr>
              <w:t>L</w:t>
            </w:r>
            <w:r w:rsidRPr="00347E7F">
              <w:rPr>
                <w:rFonts w:ascii="Times New Roman" w:hAnsi="Times New Roman" w:cs="Times New Roman"/>
                <w:sz w:val="24"/>
                <w:szCs w:val="24"/>
                <w:vertAlign w:val="superscript"/>
              </w:rPr>
              <w:t>-1</w:t>
            </w:r>
            <w:proofErr w:type="gramEnd"/>
          </w:p>
        </w:tc>
      </w:tr>
    </w:tbl>
    <w:p w14:paraId="4618741C" w14:textId="7D5BADD8" w:rsidR="00531865" w:rsidRDefault="00531865" w:rsidP="00AB2160">
      <w:pPr>
        <w:spacing w:line="360" w:lineRule="auto"/>
        <w:rPr>
          <w:rFonts w:ascii="Times New Roman" w:hAnsi="Times New Roman" w:cs="Times New Roman"/>
          <w:sz w:val="24"/>
          <w:szCs w:val="24"/>
          <w:highlight w:val="magenta"/>
        </w:rPr>
      </w:pPr>
    </w:p>
    <w:p w14:paraId="41292D08" w14:textId="63B16598" w:rsidR="00A72D41" w:rsidRDefault="00A72D41" w:rsidP="00AB2160">
      <w:pPr>
        <w:spacing w:line="360" w:lineRule="auto"/>
        <w:rPr>
          <w:rFonts w:ascii="Times New Roman" w:hAnsi="Times New Roman" w:cs="Times New Roman"/>
          <w:sz w:val="24"/>
          <w:szCs w:val="24"/>
          <w:highlight w:val="magenta"/>
        </w:rPr>
      </w:pPr>
    </w:p>
    <w:p w14:paraId="27936252" w14:textId="5C2F9F0E" w:rsidR="00A72D41" w:rsidRDefault="00A72D41" w:rsidP="00AB2160">
      <w:pPr>
        <w:spacing w:line="360" w:lineRule="auto"/>
        <w:rPr>
          <w:rFonts w:ascii="Times New Roman" w:hAnsi="Times New Roman" w:cs="Times New Roman"/>
          <w:sz w:val="24"/>
          <w:szCs w:val="24"/>
          <w:highlight w:val="magenta"/>
        </w:rPr>
      </w:pPr>
    </w:p>
    <w:p w14:paraId="29F5CFED" w14:textId="563689E4" w:rsidR="00A72D41" w:rsidRDefault="00A72D41" w:rsidP="00AB2160">
      <w:pPr>
        <w:spacing w:line="360" w:lineRule="auto"/>
        <w:rPr>
          <w:rFonts w:ascii="Times New Roman" w:hAnsi="Times New Roman" w:cs="Times New Roman"/>
          <w:sz w:val="24"/>
          <w:szCs w:val="24"/>
          <w:highlight w:val="magenta"/>
        </w:rPr>
      </w:pPr>
    </w:p>
    <w:p w14:paraId="26441D3B" w14:textId="5D4E0ADC" w:rsidR="00A72D41" w:rsidRDefault="00A72D41" w:rsidP="00AB2160">
      <w:pPr>
        <w:spacing w:line="360" w:lineRule="auto"/>
        <w:rPr>
          <w:rFonts w:ascii="Times New Roman" w:hAnsi="Times New Roman" w:cs="Times New Roman"/>
          <w:sz w:val="24"/>
          <w:szCs w:val="24"/>
          <w:highlight w:val="magenta"/>
        </w:rPr>
      </w:pPr>
    </w:p>
    <w:p w14:paraId="78E161AA" w14:textId="77777777" w:rsidR="00017B92" w:rsidRDefault="00017B92" w:rsidP="00AB2160">
      <w:pPr>
        <w:spacing w:line="360" w:lineRule="auto"/>
        <w:rPr>
          <w:rFonts w:ascii="Times New Roman" w:hAnsi="Times New Roman" w:cs="Times New Roman"/>
          <w:sz w:val="24"/>
          <w:szCs w:val="24"/>
          <w:highlight w:val="magenta"/>
        </w:rPr>
      </w:pPr>
    </w:p>
    <w:p w14:paraId="31FD8894" w14:textId="77777777" w:rsidR="00CC6FC0" w:rsidRPr="003609FB" w:rsidRDefault="00CC6FC0" w:rsidP="00CC6FC0">
      <w:pPr>
        <w:spacing w:line="360" w:lineRule="auto"/>
        <w:ind w:firstLine="720"/>
        <w:rPr>
          <w:rFonts w:ascii="Times New Roman" w:hAnsi="Times New Roman" w:cs="Times New Roman"/>
          <w:sz w:val="24"/>
          <w:szCs w:val="24"/>
        </w:rPr>
      </w:pPr>
    </w:p>
    <w:p w14:paraId="666D7153" w14:textId="77777777" w:rsidR="00CC6FC0" w:rsidRPr="003609FB" w:rsidRDefault="00CC6FC0" w:rsidP="00CC6FC0">
      <w:pPr>
        <w:spacing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C6FC0" w:rsidRPr="003609FB" w14:paraId="411F200F" w14:textId="77777777" w:rsidTr="00EA00CF">
        <w:trPr>
          <w:trHeight w:val="6270"/>
        </w:trPr>
        <w:tc>
          <w:tcPr>
            <w:tcW w:w="8993" w:type="dxa"/>
          </w:tcPr>
          <w:p w14:paraId="0FA17C02" w14:textId="77777777" w:rsidR="00CC6FC0" w:rsidRPr="003609FB" w:rsidRDefault="00CC6FC0" w:rsidP="00EA00CF">
            <w:pPr>
              <w:keepNext/>
              <w:spacing w:line="360" w:lineRule="auto"/>
              <w:rPr>
                <w:rFonts w:ascii="Times New Roman" w:hAnsi="Times New Roman" w:cs="Times New Roman"/>
                <w:sz w:val="24"/>
                <w:szCs w:val="24"/>
              </w:rPr>
            </w:pPr>
            <w:r w:rsidRPr="00AE1296">
              <w:rPr>
                <w:noProof/>
              </w:rPr>
              <w:drawing>
                <wp:inline distT="0" distB="0" distL="0" distR="0" wp14:anchorId="6543B35A" wp14:editId="71446241">
                  <wp:extent cx="5943600" cy="3566160"/>
                  <wp:effectExtent l="0" t="0" r="0" b="2540"/>
                  <wp:docPr id="88" name="Picture 88" descr="A graph of growth competition proje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graph of growth competition projections&#10;&#10;Description automatically generated"/>
                          <pic:cNvPicPr/>
                        </pic:nvPicPr>
                        <pic:blipFill>
                          <a:blip r:embed="rId39"/>
                          <a:stretch>
                            <a:fillRect/>
                          </a:stretch>
                        </pic:blipFill>
                        <pic:spPr>
                          <a:xfrm>
                            <a:off x="0" y="0"/>
                            <a:ext cx="5943600" cy="3566160"/>
                          </a:xfrm>
                          <a:prstGeom prst="rect">
                            <a:avLst/>
                          </a:prstGeom>
                        </pic:spPr>
                      </pic:pic>
                    </a:graphicData>
                  </a:graphic>
                </wp:inline>
              </w:drawing>
            </w:r>
            <w:r w:rsidRPr="00C66AAD">
              <w:rPr>
                <w:noProof/>
              </w:rPr>
              <w:t xml:space="preserve"> </w:t>
            </w:r>
          </w:p>
        </w:tc>
      </w:tr>
    </w:tbl>
    <w:p w14:paraId="621DB64A" w14:textId="77777777" w:rsidR="00CC6FC0" w:rsidRDefault="00CC6FC0" w:rsidP="00511118">
      <w:pPr>
        <w:pStyle w:val="Caption"/>
      </w:pPr>
      <w:bookmarkStart w:id="48" w:name="_Toc173148380"/>
      <w:r>
        <w:t xml:space="preserve">Figure </w:t>
      </w:r>
      <w:r>
        <w:fldChar w:fldCharType="begin"/>
      </w:r>
      <w:r>
        <w:instrText xml:space="preserve"> STYLEREF 1 \s </w:instrText>
      </w:r>
      <w:r>
        <w:fldChar w:fldCharType="separate"/>
      </w:r>
      <w:r>
        <w:rPr>
          <w:noProof/>
          <w:cs/>
        </w:rPr>
        <w:t>‎</w:t>
      </w:r>
      <w:r>
        <w:rPr>
          <w:noProof/>
        </w:rPr>
        <w:t>3</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r>
        <w:t xml:space="preserve"> </w:t>
      </w:r>
      <w:r w:rsidRPr="00452AD7">
        <w:t xml:space="preserve">Dynamics of </w:t>
      </w:r>
      <w:r w:rsidRPr="003B4EB2">
        <w:rPr>
          <w:i/>
          <w:iCs/>
        </w:rPr>
        <w:t xml:space="preserve">Prochlorococcus </w:t>
      </w:r>
      <w:r w:rsidRPr="00452AD7">
        <w:t xml:space="preserve">and </w:t>
      </w:r>
      <w:proofErr w:type="spellStart"/>
      <w:r w:rsidRPr="003B4EB2">
        <w:rPr>
          <w:i/>
          <w:iCs/>
        </w:rPr>
        <w:t>Synechococcus</w:t>
      </w:r>
      <w:proofErr w:type="spellEnd"/>
      <w:r w:rsidRPr="00452AD7">
        <w:t xml:space="preserve"> in zero </w:t>
      </w:r>
      <w:r w:rsidRPr="003609FB">
        <w:t>H</w:t>
      </w:r>
      <w:r w:rsidRPr="00351FC4">
        <w:rPr>
          <w:vertAlign w:val="subscript"/>
        </w:rPr>
        <w:t>2</w:t>
      </w:r>
      <w:r w:rsidRPr="003609FB">
        <w:t>O</w:t>
      </w:r>
      <w:r w:rsidRPr="00351FC4">
        <w:rPr>
          <w:vertAlign w:val="subscript"/>
        </w:rPr>
        <w:t>2</w:t>
      </w:r>
      <w:bookmarkEnd w:id="48"/>
    </w:p>
    <w:p w14:paraId="28E722BB" w14:textId="77777777" w:rsidR="00CC6FC0" w:rsidRPr="00EA58CC" w:rsidRDefault="00CC6FC0" w:rsidP="00CC6FC0">
      <w:pPr>
        <w:spacing w:line="360" w:lineRule="auto"/>
        <w:rPr>
          <w:rFonts w:ascii="Times New Roman" w:hAnsi="Times New Roman" w:cs="Times New Roman"/>
          <w:sz w:val="24"/>
          <w:szCs w:val="24"/>
          <w:vertAlign w:val="subscript"/>
        </w:rPr>
      </w:pPr>
      <w:r w:rsidRPr="003609FB">
        <w:rPr>
          <w:rFonts w:ascii="Times New Roman" w:hAnsi="Times New Roman" w:cs="Times New Roman"/>
          <w:sz w:val="24"/>
          <w:szCs w:val="24"/>
        </w:rPr>
        <w:t xml:space="preserve">Dynamics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(green)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(yellow) analogues growing on a single nutrient (purple) in batch culture with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 solution. We calculate the equilibrium constants for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nutrients predicted from our set of </w:t>
      </w:r>
      <w:r>
        <w:rPr>
          <w:rFonts w:ascii="Times New Roman" w:hAnsi="Times New Roman" w:cs="Times New Roman"/>
          <w:sz w:val="24"/>
          <w:szCs w:val="24"/>
        </w:rPr>
        <w:t>initial</w:t>
      </w:r>
      <w:r w:rsidRPr="003609FB">
        <w:rPr>
          <w:rFonts w:ascii="Times New Roman" w:hAnsi="Times New Roman" w:cs="Times New Roman"/>
          <w:sz w:val="24"/>
          <w:szCs w:val="24"/>
        </w:rPr>
        <w:t xml:space="preserve"> parameters. In this case (no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damage</w:t>
      </w:r>
      <w:r>
        <w:rPr>
          <w:rFonts w:ascii="Times New Roman" w:hAnsi="Times New Roman" w:cs="Times New Roman"/>
          <w:sz w:val="24"/>
          <w:szCs w:val="24"/>
        </w:rPr>
        <w:t xml:space="preserve"> to cells</w:t>
      </w:r>
      <w:r w:rsidRPr="003609FB">
        <w:rPr>
          <w:rFonts w:ascii="Times New Roman" w:hAnsi="Times New Roman" w:cs="Times New Roman"/>
          <w:sz w:val="24"/>
          <w:szCs w:val="24"/>
        </w:rPr>
        <w:t xml:space="preserve"> </w:t>
      </w:r>
      <w:r>
        <w:rPr>
          <w:rFonts w:ascii="Times New Roman" w:hAnsi="Times New Roman" w:cs="Times New Roman"/>
          <w:sz w:val="24"/>
          <w:szCs w:val="24"/>
        </w:rPr>
        <w:t>(</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and no</w:t>
      </w:r>
      <w:r>
        <w:rPr>
          <w:rFonts w:ascii="Times New Roman" w:hAnsi="Times New Roman" w:cs="Times New Roman"/>
          <w:sz w:val="24"/>
          <w:szCs w:val="24"/>
        </w:rPr>
        <w:t xml:space="preserve"> biotic</w:t>
      </w:r>
      <w:r w:rsidRPr="003609FB">
        <w:rPr>
          <w:rFonts w:ascii="Times New Roman" w:hAnsi="Times New Roman" w:cs="Times New Roman"/>
          <w:sz w:val="24"/>
          <w:szCs w:val="24"/>
        </w:rPr>
        <w:t xml:space="preserv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w:rPr>
            <w:rFonts w:ascii="Cambria Math" w:hAnsi="Cambria Math" w:cs="Times New Roman"/>
            <w:sz w:val="24"/>
            <w:szCs w:val="24"/>
          </w:rPr>
          <m:t xml:space="preserve"> or </m:t>
        </m:r>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we see the green P cells drawing N down to N* and reaching P* steady state while S is outcompeted </w:t>
      </w:r>
      <w:r>
        <w:rPr>
          <w:rFonts w:ascii="Times New Roman" w:hAnsi="Times New Roman" w:cs="Times New Roman"/>
          <w:sz w:val="24"/>
          <w:szCs w:val="24"/>
        </w:rPr>
        <w:t>to extinction</w:t>
      </w:r>
      <w:r w:rsidRPr="003609FB">
        <w:rPr>
          <w:rFonts w:ascii="Times New Roman" w:hAnsi="Times New Roman" w:cs="Times New Roman"/>
          <w:sz w:val="24"/>
          <w:szCs w:val="24"/>
        </w:rPr>
        <w:t>.</w:t>
      </w:r>
      <w:r>
        <w:rPr>
          <w:rFonts w:ascii="Times New Roman" w:hAnsi="Times New Roman" w:cs="Times New Roman"/>
          <w:sz w:val="24"/>
          <w:szCs w:val="24"/>
        </w:rPr>
        <w:t xml:space="preserve"> The * equilibria values for these and other scenarios are calculated in Appendix B, section B2.</w:t>
      </w:r>
    </w:p>
    <w:p w14:paraId="462C1E59" w14:textId="77777777" w:rsidR="00CC6FC0" w:rsidRDefault="00CC6FC0" w:rsidP="00CC6FC0">
      <w:pPr>
        <w:spacing w:line="360" w:lineRule="auto"/>
        <w:rPr>
          <w:rFonts w:ascii="Times New Roman" w:hAnsi="Times New Roman" w:cs="Times New Roman"/>
          <w:sz w:val="24"/>
          <w:szCs w:val="24"/>
          <w:vertAlign w:val="subscript"/>
        </w:rPr>
      </w:pPr>
    </w:p>
    <w:p w14:paraId="259521F0" w14:textId="77777777" w:rsidR="00CC6FC0" w:rsidRDefault="00CC6FC0" w:rsidP="00CC6FC0">
      <w:pPr>
        <w:spacing w:line="360" w:lineRule="auto"/>
        <w:rPr>
          <w:rFonts w:ascii="Times New Roman" w:hAnsi="Times New Roman" w:cs="Times New Roman"/>
          <w:sz w:val="24"/>
          <w:szCs w:val="24"/>
          <w:vertAlign w:val="subscript"/>
        </w:rPr>
      </w:pPr>
    </w:p>
    <w:p w14:paraId="59E1F6A1" w14:textId="24477BAC" w:rsidR="00017B92" w:rsidRDefault="00F17DAA" w:rsidP="00AB2160">
      <w:pPr>
        <w:spacing w:line="360" w:lineRule="auto"/>
        <w:rPr>
          <w:rFonts w:ascii="Times New Roman" w:hAnsi="Times New Roman" w:cs="Times New Roman"/>
          <w:sz w:val="24"/>
          <w:szCs w:val="24"/>
          <w:highlight w:val="magenta"/>
        </w:rPr>
      </w:pPr>
      <w:r w:rsidRPr="003609FB">
        <w:rPr>
          <w:rFonts w:ascii="Times New Roman" w:hAnsi="Times New Roman" w:cs="Times New Roman"/>
          <w:sz w:val="24"/>
          <w:szCs w:val="24"/>
        </w:rPr>
        <w:lastRenderedPageBreak/>
        <w:t>suffers accordingly with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susceptibility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r>
          <w:rPr>
            <w:rFonts w:ascii="Cambria Math" w:hAnsi="Cambria Math" w:cs="Times New Roman"/>
            <w:sz w:val="24"/>
            <w:szCs w:val="24"/>
          </w:rPr>
          <m:t>)</m:t>
        </m:r>
      </m:oMath>
      <w:r w:rsidRPr="003609FB">
        <w:rPr>
          <w:rFonts w:ascii="Times New Roman" w:hAnsi="Times New Roman" w:cs="Times New Roman"/>
          <w:sz w:val="24"/>
          <w:szCs w:val="24"/>
        </w:rPr>
        <w:t xml:space="preserve"> . S is able to survive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dam,s</m:t>
            </m:r>
          </m:sub>
        </m:sSub>
        <m:r>
          <w:rPr>
            <w:rFonts w:ascii="Cambria Math" w:hAnsi="Cambria Math" w:cs="Times New Roman"/>
            <w:sz w:val="24"/>
            <w:szCs w:val="24"/>
          </w:rPr>
          <m:t xml:space="preserve"> ~ 0)</m:t>
        </m:r>
      </m:oMath>
      <w:r w:rsidRPr="003609FB">
        <w:rPr>
          <w:rFonts w:ascii="Times New Roman" w:hAnsi="Times New Roman" w:cs="Times New Roman"/>
          <w:sz w:val="24"/>
          <w:szCs w:val="24"/>
        </w:rPr>
        <w:t xml:space="preserve"> but acquires nutrients at a slower rate than P.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oMath>
      <w:r w:rsidRPr="003609FB">
        <w:rPr>
          <w:rFonts w:ascii="Times New Roman" w:hAnsi="Times New Roman" w:cs="Times New Roman"/>
          <w:sz w:val="24"/>
          <w:szCs w:val="24"/>
        </w:rPr>
        <w:t xml:space="preserve"> &lt;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r>
          <m:rPr>
            <m:sty m:val="p"/>
          </m:rPr>
          <w:rPr>
            <w:rFonts w:ascii="Cambria Math" w:hAnsi="Cambria Math" w:cs="Times New Roman"/>
            <w:sz w:val="24"/>
            <w:szCs w:val="24"/>
          </w:rPr>
          <m:t xml:space="preserve"> </m:t>
        </m:r>
      </m:oMath>
      <w:r w:rsidRPr="003609FB">
        <w:rPr>
          <w:rFonts w:ascii="Times New Roman" w:hAnsi="Times New Roman" w:cs="Times New Roman"/>
          <w:sz w:val="24"/>
          <w:szCs w:val="24"/>
        </w:rPr>
        <w:t xml:space="preserve">giving a lower </w:t>
      </w:r>
      <w:proofErr w:type="spellStart"/>
      <w:r>
        <w:rPr>
          <w:rFonts w:ascii="Times New Roman" w:hAnsi="Times New Roman" w:cs="Times New Roman"/>
          <w:sz w:val="24"/>
          <w:szCs w:val="24"/>
        </w:rPr>
        <w:t>k</w:t>
      </w:r>
      <w:r w:rsidRPr="00D6306F">
        <w:rPr>
          <w:rFonts w:ascii="Times New Roman" w:hAnsi="Times New Roman" w:cs="Times New Roman"/>
          <w:sz w:val="24"/>
          <w:szCs w:val="24"/>
          <w:vertAlign w:val="subscript"/>
        </w:rPr>
        <w:t>s</w:t>
      </w:r>
      <w:proofErr w:type="spellEnd"/>
      <w:r w:rsidRPr="003609FB">
        <w:rPr>
          <w:rFonts w:ascii="Times New Roman" w:hAnsi="Times New Roman" w:cs="Times New Roman"/>
          <w:sz w:val="24"/>
          <w:szCs w:val="24"/>
        </w:rPr>
        <w:t xml:space="preserve"> constant.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{"citationID":"OfXjaJq4","properties":{"formattedCitation":"(Aksnes and Egge 1991; Michaelis and Menten 1913)","plainCitation":"(Aksnes and Egge 1991; Michaelis and Menten 1913)","noteIndex":0},"citationItems":[{"id":74,"uris":["http://zotero.org/users/6128296/items/FWP7QDBD"],"itemData":{"id":74,"type":"article-journal","abstract":"Model for nutrient uptake rate in phytoplankton is derived where is cellular number of uptake sites, A is area of the uptake site, is time required for handling h one nutrient ion, vis the mass transfer coefficient, and Sis substrate concentration. The model is based on time requirements necessary for active uptake of nutrients: (i) time required for realizing 2 encounters with nutrient Ions and (ii) time necessary for handling of ions. The Michaelis-Menten model applied to algal nutrient uptake is a special case of the proposed model, and shortcomings of this model are discussed in view of the more general model. While maximum uptake rate may be (V,,,,, = nh-l) (K, considered as a parameter reflecting solely biological constraints, the half-saturation (hAv)-l)and = AV) (a affinity n depend on both biological and physical constraints. Interrelations between maximum = uptake rate, half-saturation constant and affinity are demonstrated and discussed with reference to actual observations. On the basis of the model we hypothesize that maximum uptake rate should increase linearly with the square of cell radius, whlle half-saturation constant and affinity should increase linearly with cell radius. Furthermore, maximum uptake rate should increase exponentlally a with temperature, while half-saturation should also increase with temperature, but at slower rate than maximum uptake rate. Affinity should increase with temperature in the same way as molecular diffusion does.","container-title":"Marine Ecology Progress Series","DOI":"10.3354/meps070065","ISSN":"0171-8630, 1616-1599","journalAbbreviation":"Mar. Ecol. Prog. Ser.","language":"en","page":"65-72","source":"DOI.org (Crossref)","title":"A theoretical model for nutrient uptake in phytoplankton","volume":"70","author":[{"family":"Aksnes","given":""},{"family":"Egge","given":"Jk"}],"issued":{"date-parts":[["1991"]]}}},{"id":1609,"uris":["http://zotero.org/users/6128296/items/R4ZQWZIB"],"itemData":{"id":1609,"type":"article-journal","title":"The Kinetics of Invertase Action","author":[{"family":"Michaelis","given":""},{"family":"Menten","given":"Maud"}],"issued":{"date-parts":[["1913"]]}}}],"schema":"https://github.com/citation-style-language/schema/raw/master/csl-citation.json"}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(Aksnes and Egge 1991; Michaelis and Menten 1913)</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Figure 3.5 shows this case extrapolated across an array of nutrient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supplies, S</w:t>
      </w:r>
      <w:r w:rsidRPr="00FA3DC1">
        <w:rPr>
          <w:rFonts w:ascii="Times New Roman" w:hAnsi="Times New Roman" w:cs="Times New Roman"/>
          <w:sz w:val="24"/>
          <w:szCs w:val="24"/>
          <w:vertAlign w:val="subscript"/>
        </w:rPr>
        <w:t>N</w:t>
      </w:r>
      <w:r>
        <w:rPr>
          <w:rFonts w:ascii="Times New Roman" w:hAnsi="Times New Roman" w:cs="Times New Roman"/>
          <w:sz w:val="24"/>
          <w:szCs w:val="24"/>
        </w:rPr>
        <w:t xml:space="preserve"> and S</w:t>
      </w:r>
      <w:r w:rsidRPr="00FA3DC1">
        <w:rPr>
          <w:rFonts w:ascii="Times New Roman" w:hAnsi="Times New Roman" w:cs="Times New Roman"/>
          <w:sz w:val="24"/>
          <w:szCs w:val="24"/>
          <w:vertAlign w:val="subscript"/>
        </w:rPr>
        <w:t>H</w:t>
      </w:r>
      <w:r>
        <w:rPr>
          <w:rFonts w:ascii="Times New Roman" w:hAnsi="Times New Roman" w:cs="Times New Roman"/>
          <w:sz w:val="24"/>
          <w:szCs w:val="24"/>
        </w:rPr>
        <w:t xml:space="preserve"> respectively.</w:t>
      </w:r>
    </w:p>
    <w:p w14:paraId="6DDFA1DA" w14:textId="770BFFAE" w:rsidR="003A364A" w:rsidRPr="003609FB" w:rsidRDefault="003A364A" w:rsidP="003A364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 second case, delineated ‘Leaky case’, was evaluated for long term for coexistence with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abundances. Here S is given </w:t>
      </w:r>
      <w:proofErr w:type="spellStart"/>
      <w:r w:rsidRPr="00691B65">
        <w:rPr>
          <w:rFonts w:ascii="Times New Roman" w:hAnsi="Times New Roman" w:cs="Times New Roman"/>
          <w:i/>
          <w:iCs/>
          <w:sz w:val="24"/>
          <w:szCs w:val="24"/>
        </w:rPr>
        <w:t>Synechococcus</w:t>
      </w:r>
      <w:proofErr w:type="spellEnd"/>
      <w:r>
        <w:rPr>
          <w:rFonts w:ascii="Times New Roman" w:hAnsi="Times New Roman" w:cs="Times New Roman"/>
          <w:i/>
          <w:iCs/>
          <w:sz w:val="24"/>
          <w:szCs w:val="24"/>
        </w:rPr>
        <w:t>’</w:t>
      </w:r>
      <w:r w:rsidRPr="003609FB">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Pr="003609FB">
        <w:rPr>
          <w:rFonts w:ascii="Times New Roman" w:hAnsi="Times New Roman" w:cs="Times New Roman"/>
          <w:sz w:val="24"/>
          <w:szCs w:val="24"/>
        </w:rPr>
        <w:t xml:space="preserve"> value from </w:t>
      </w:r>
      <w:r>
        <w:rPr>
          <w:rFonts w:ascii="Times New Roman" w:hAnsi="Times New Roman" w:cs="Times New Roman"/>
          <w:sz w:val="24"/>
          <w:szCs w:val="24"/>
        </w:rPr>
        <w:t>F</w:t>
      </w:r>
      <w:r w:rsidRPr="003609FB">
        <w:rPr>
          <w:rFonts w:ascii="Times New Roman" w:hAnsi="Times New Roman" w:cs="Times New Roman"/>
          <w:sz w:val="24"/>
          <w:szCs w:val="24"/>
        </w:rPr>
        <w:t xml:space="preserve">igure </w:t>
      </w:r>
      <w:r>
        <w:rPr>
          <w:rFonts w:ascii="Times New Roman" w:hAnsi="Times New Roman" w:cs="Times New Roman"/>
          <w:sz w:val="24"/>
          <w:szCs w:val="24"/>
        </w:rPr>
        <w:t>3.</w:t>
      </w:r>
      <w:r w:rsidRPr="003609FB">
        <w:rPr>
          <w:rFonts w:ascii="Times New Roman" w:hAnsi="Times New Roman" w:cs="Times New Roman"/>
          <w:sz w:val="24"/>
          <w:szCs w:val="24"/>
        </w:rPr>
        <w:t xml:space="preserve">2. Essentially the full model set is used with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Pr="003609FB">
        <w:rPr>
          <w:rFonts w:ascii="Times New Roman" w:hAnsi="Times New Roman" w:cs="Times New Roman"/>
          <w:sz w:val="24"/>
          <w:szCs w:val="24"/>
        </w:rPr>
        <w:t xml:space="preserve"> or B equal to zero. With the use of realistic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Pr="003609FB">
        <w:rPr>
          <w:rFonts w:ascii="Times New Roman" w:hAnsi="Times New Roman" w:cs="Times New Roman"/>
          <w:sz w:val="24"/>
          <w:szCs w:val="24"/>
        </w:rPr>
        <w:t xml:space="preserve"> values, coexistence is viable but unlikely as it occurs at high nutrient and high S</w:t>
      </w:r>
      <w:r w:rsidRPr="008C6C6E">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values onl</w:t>
      </w:r>
      <w:r>
        <w:rPr>
          <w:rFonts w:ascii="Times New Roman" w:hAnsi="Times New Roman" w:cs="Times New Roman"/>
          <w:sz w:val="24"/>
          <w:szCs w:val="24"/>
        </w:rPr>
        <w:t>y</w:t>
      </w:r>
      <w:r w:rsidRPr="003609FB">
        <w:rPr>
          <w:rFonts w:ascii="Times New Roman" w:hAnsi="Times New Roman" w:cs="Times New Roman"/>
          <w:sz w:val="24"/>
          <w:szCs w:val="24"/>
        </w:rPr>
        <w:t xml:space="preserve"> of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Pr="003609FB">
        <w:rPr>
          <w:rFonts w:ascii="Times New Roman" w:hAnsi="Times New Roman" w:cs="Times New Roman"/>
          <w:sz w:val="24"/>
          <w:szCs w:val="24"/>
        </w:rPr>
        <w:t xml:space="preserve">  and bacterial abundances effects on to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vs.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Pr>
          <w:rFonts w:ascii="Times New Roman" w:hAnsi="Times New Roman" w:cs="Times New Roman"/>
          <w:sz w:val="24"/>
          <w:szCs w:val="24"/>
        </w:rPr>
        <w:t>(</w:t>
      </w:r>
      <w:r w:rsidRPr="00353278">
        <w:rPr>
          <w:rFonts w:ascii="Times" w:hAnsi="Times" w:cs="Times New Roman"/>
          <w:i/>
          <w:iCs/>
          <w:color w:val="000000" w:themeColor="text1"/>
          <w:sz w:val="24"/>
          <w:szCs w:val="24"/>
        </w:rPr>
        <w:t>Prochlorococcus</w:t>
      </w:r>
      <w:r>
        <w:rPr>
          <w:rFonts w:ascii="Times New Roman" w:hAnsi="Times New Roman" w:cs="Times New Roman"/>
          <w:sz w:val="24"/>
          <w:szCs w:val="24"/>
        </w:rPr>
        <w:t>/</w:t>
      </w:r>
      <w:proofErr w:type="spellStart"/>
      <w:r w:rsidRPr="00353278">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353278">
        <w:rPr>
          <w:rFonts w:ascii="Times" w:hAnsi="Times" w:cs="Times New Roman"/>
          <w:i/>
          <w:iCs/>
          <w:color w:val="000000" w:themeColor="text1"/>
          <w:sz w:val="24"/>
          <w:szCs w:val="24"/>
        </w:rPr>
        <w:t>Pr</w:t>
      </w:r>
      <w:r>
        <w:rPr>
          <w:rFonts w:ascii="Times" w:hAnsi="Times" w:cs="Times New Roman"/>
          <w:i/>
          <w:iCs/>
          <w:color w:val="000000" w:themeColor="text1"/>
          <w:sz w:val="24"/>
          <w:szCs w:val="24"/>
        </w:rPr>
        <w:t>o</w:t>
      </w:r>
      <w:r>
        <w:rPr>
          <w:rFonts w:ascii="Times New Roman" w:hAnsi="Times New Roman" w:cs="Times New Roman"/>
          <w:sz w:val="24"/>
          <w:szCs w:val="24"/>
        </w:rPr>
        <w:t>/</w:t>
      </w:r>
      <w:r w:rsidRPr="00353278">
        <w:rPr>
          <w:rFonts w:ascii="Times" w:hAnsi="Times" w:cs="Times New Roman"/>
          <w:i/>
          <w:iCs/>
          <w:color w:val="000000" w:themeColor="text1"/>
          <w:sz w:val="24"/>
          <w:szCs w:val="24"/>
        </w:rPr>
        <w:t>Sy</w:t>
      </w:r>
      <w:r>
        <w:rPr>
          <w:rFonts w:ascii="Times" w:hAnsi="Times" w:cs="Times New Roman"/>
          <w:i/>
          <w:iCs/>
          <w:color w:val="000000" w:themeColor="text1"/>
          <w:sz w:val="24"/>
          <w:szCs w:val="24"/>
        </w:rPr>
        <w:t>n</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competition outcomes are explored using various contour maps. </w:t>
      </w:r>
    </w:p>
    <w:p w14:paraId="375113CB" w14:textId="7069582C" w:rsidR="003A364A" w:rsidRPr="003609FB" w:rsidRDefault="003A364A" w:rsidP="003A364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Lastly, we explore the full model set with the addition of B detoxification. We </w:t>
      </w:r>
      <w:proofErr w:type="gramStart"/>
      <w:r w:rsidRPr="003609FB">
        <w:rPr>
          <w:rFonts w:ascii="Times New Roman" w:hAnsi="Times New Roman" w:cs="Times New Roman"/>
          <w:sz w:val="24"/>
          <w:szCs w:val="24"/>
        </w:rPr>
        <w:t>analyze</w:t>
      </w:r>
      <w:proofErr w:type="gramEnd"/>
      <w:r w:rsidRPr="003609FB">
        <w:rPr>
          <w:rFonts w:ascii="Times New Roman" w:hAnsi="Times New Roman" w:cs="Times New Roman"/>
          <w:sz w:val="24"/>
          <w:szCs w:val="24"/>
        </w:rPr>
        <w:t xml:space="preserve"> the effect of bacterial abundance and detoxification on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competition. </w:t>
      </w:r>
      <w:r>
        <w:rPr>
          <w:rFonts w:ascii="Times New Roman" w:hAnsi="Times New Roman" w:cs="Times New Roman"/>
          <w:sz w:val="24"/>
          <w:szCs w:val="24"/>
        </w:rPr>
        <w:t xml:space="preserve">Heterotrophic </w:t>
      </w:r>
      <w:r w:rsidRPr="003609FB">
        <w:rPr>
          <w:rFonts w:ascii="Times New Roman" w:hAnsi="Times New Roman" w:cs="Times New Roman"/>
          <w:sz w:val="24"/>
          <w:szCs w:val="24"/>
        </w:rPr>
        <w:t xml:space="preserve">Bacteria,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i</m:t>
            </m:r>
          </m:sub>
        </m:sSub>
      </m:oMath>
      <w:r w:rsidRPr="003609FB">
        <w:rPr>
          <w:rFonts w:ascii="Times New Roman" w:hAnsi="Times New Roman" w:cs="Times New Roman"/>
          <w:sz w:val="24"/>
          <w:szCs w:val="24"/>
        </w:rPr>
        <w:t xml:space="preserve">, (cells </w:t>
      </w:r>
      <w:proofErr w:type="gramStart"/>
      <w:r w:rsidRPr="003609FB">
        <w:rPr>
          <w:rFonts w:ascii="Times New Roman" w:hAnsi="Times New Roman" w:cs="Times New Roman"/>
          <w:sz w:val="24"/>
          <w:szCs w:val="24"/>
        </w:rPr>
        <w:t>mL</w:t>
      </w:r>
      <w:r w:rsidRPr="008C6C6E">
        <w:rPr>
          <w:rFonts w:ascii="Times New Roman" w:hAnsi="Times New Roman" w:cs="Times New Roman"/>
          <w:sz w:val="24"/>
          <w:szCs w:val="24"/>
          <w:vertAlign w:val="superscript"/>
        </w:rPr>
        <w:t>-1</w:t>
      </w:r>
      <w:proofErr w:type="gramEnd"/>
      <w:r w:rsidRPr="003609FB">
        <w:rPr>
          <w:rFonts w:ascii="Times New Roman" w:hAnsi="Times New Roman" w:cs="Times New Roman"/>
          <w:sz w:val="24"/>
          <w:szCs w:val="24"/>
        </w:rPr>
        <w:t>) here are not modeled as growing from supplied N but rather as a stable population that functions solely to reduce the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standing concentration via its own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Pr="003609FB">
        <w:rPr>
          <w:rFonts w:ascii="Times New Roman" w:hAnsi="Times New Roman" w:cs="Times New Roman"/>
          <w:sz w:val="24"/>
          <w:szCs w:val="24"/>
        </w:rPr>
        <w:t xml:space="preserve"> detox</w:t>
      </w:r>
      <w:proofErr w:type="spellStart"/>
      <w:r w:rsidR="008619BB">
        <w:rPr>
          <w:rFonts w:ascii="Times New Roman" w:hAnsi="Times New Roman" w:cs="Times New Roman"/>
          <w:sz w:val="24"/>
          <w:szCs w:val="24"/>
        </w:rPr>
        <w:t>ification</w:t>
      </w:r>
      <w:proofErr w:type="spellEnd"/>
      <w:r w:rsidRPr="003609FB">
        <w:rPr>
          <w:rFonts w:ascii="Times New Roman" w:hAnsi="Times New Roman" w:cs="Times New Roman"/>
          <w:sz w:val="24"/>
          <w:szCs w:val="24"/>
        </w:rPr>
        <w:t xml:space="preserve">. We calculate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Pr="003609FB">
        <w:rPr>
          <w:rFonts w:ascii="Times New Roman" w:hAnsi="Times New Roman" w:cs="Times New Roman"/>
          <w:sz w:val="24"/>
          <w:szCs w:val="24"/>
        </w:rPr>
        <w:t xml:space="preserve"> from a 2-hour detoxification curve from EZ55 growth in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spiked culture following Chapter 2 protocol. (Monoculture time dependent dynamics shown in </w:t>
      </w:r>
      <w:r>
        <w:rPr>
          <w:rFonts w:ascii="Times New Roman" w:hAnsi="Times New Roman" w:cs="Times New Roman"/>
          <w:sz w:val="24"/>
          <w:szCs w:val="24"/>
        </w:rPr>
        <w:t>Appendix B)</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We then </w:t>
      </w:r>
      <w:r w:rsidRPr="003609FB">
        <w:rPr>
          <w:rFonts w:ascii="Times New Roman" w:hAnsi="Times New Roman" w:cs="Times New Roman"/>
          <w:sz w:val="24"/>
          <w:szCs w:val="24"/>
        </w:rPr>
        <w:t>follow</w:t>
      </w:r>
      <w:r>
        <w:rPr>
          <w:rFonts w:ascii="Times New Roman" w:hAnsi="Times New Roman" w:cs="Times New Roman"/>
          <w:sz w:val="24"/>
          <w:szCs w:val="24"/>
        </w:rPr>
        <w:t xml:space="preserve"> up with</w:t>
      </w:r>
      <w:r w:rsidRPr="003609FB">
        <w:rPr>
          <w:rFonts w:ascii="Times New Roman" w:hAnsi="Times New Roman" w:cs="Times New Roman"/>
          <w:sz w:val="24"/>
          <w:szCs w:val="24"/>
        </w:rPr>
        <w:t xml:space="preserve"> a secondary bacterial analysis with EZ55 as the lone B detoxifier. This is for the ‘leaky’</w:t>
      </w:r>
      <w:r>
        <w:rPr>
          <w:rFonts w:ascii="Times New Roman" w:hAnsi="Times New Roman" w:cs="Times New Roman"/>
          <w:sz w:val="24"/>
          <w:szCs w:val="24"/>
        </w:rPr>
        <w:t>, more realistic,</w:t>
      </w:r>
      <w:r w:rsidR="00017B92" w:rsidRPr="00017B92">
        <w:rPr>
          <w:rFonts w:ascii="Times New Roman" w:hAnsi="Times New Roman" w:cs="Times New Roman"/>
          <w:sz w:val="24"/>
          <w:szCs w:val="24"/>
        </w:rPr>
        <w:t xml:space="preserve"> </w:t>
      </w:r>
      <w:r w:rsidR="00017B92" w:rsidRPr="003609FB">
        <w:rPr>
          <w:rFonts w:ascii="Times New Roman" w:hAnsi="Times New Roman" w:cs="Times New Roman"/>
          <w:sz w:val="24"/>
          <w:szCs w:val="24"/>
        </w:rPr>
        <w:t>H</w:t>
      </w:r>
      <w:r w:rsidR="00017B92" w:rsidRPr="00351FC4">
        <w:rPr>
          <w:rFonts w:ascii="Times New Roman" w:hAnsi="Times New Roman" w:cs="Times New Roman"/>
          <w:sz w:val="24"/>
          <w:szCs w:val="24"/>
          <w:vertAlign w:val="subscript"/>
        </w:rPr>
        <w:t>2</w:t>
      </w:r>
      <w:r w:rsidR="00017B92" w:rsidRPr="003609FB">
        <w:rPr>
          <w:rFonts w:ascii="Times New Roman" w:hAnsi="Times New Roman" w:cs="Times New Roman"/>
          <w:sz w:val="24"/>
          <w:szCs w:val="24"/>
        </w:rPr>
        <w:t>O</w:t>
      </w:r>
      <w:r w:rsidR="00017B92" w:rsidRPr="00351FC4">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3609FB">
        <w:rPr>
          <w:rFonts w:ascii="Times New Roman" w:hAnsi="Times New Roman" w:cs="Times New Roman"/>
          <w:sz w:val="24"/>
          <w:szCs w:val="24"/>
        </w:rPr>
        <w:t>case</w:t>
      </w:r>
      <w:r>
        <w:rPr>
          <w:rFonts w:ascii="Times New Roman" w:hAnsi="Times New Roman" w:cs="Times New Roman"/>
          <w:sz w:val="24"/>
          <w:szCs w:val="24"/>
        </w:rPr>
        <w:t>.</w:t>
      </w:r>
    </w:p>
    <w:p w14:paraId="3B1CDF89" w14:textId="6E3BB445" w:rsidR="00824996" w:rsidRPr="003A364A" w:rsidRDefault="003A364A" w:rsidP="003A364A">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For each of these cases, base analytical approaches (equilibrium calculations, time-dependent numerical analysis, sensitivity studies to H and N supplies) were used in congress with ranges of believable (retrieved in Chapter 2 and represented in Figure 3.2) parameters to investigate the effect each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underlying assumptions phytoplankton community structure.</w:t>
      </w:r>
    </w:p>
    <w:p w14:paraId="4754E67D" w14:textId="0E67BBA1" w:rsidR="00AE1296" w:rsidRPr="00AE1296" w:rsidRDefault="00531865" w:rsidP="00AB2160">
      <w:pPr>
        <w:pStyle w:val="Heading2"/>
        <w:spacing w:line="360" w:lineRule="auto"/>
      </w:pPr>
      <w:bookmarkStart w:id="49" w:name="_Toc173250034"/>
      <w:r w:rsidRPr="0060622C">
        <w:t>Results</w:t>
      </w:r>
      <w:bookmarkEnd w:id="49"/>
    </w:p>
    <w:p w14:paraId="30C0C51E" w14:textId="0ABC868E" w:rsidR="00531865" w:rsidRDefault="00531865"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From </w:t>
      </w:r>
      <w:r w:rsidR="00CD0208"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monoculture analyses, </w:t>
      </w:r>
      <w:r w:rsidR="00A02D97" w:rsidRPr="003609FB">
        <w:rPr>
          <w:rFonts w:ascii="Times New Roman" w:hAnsi="Times New Roman" w:cs="Times New Roman"/>
          <w:sz w:val="24"/>
          <w:szCs w:val="24"/>
        </w:rPr>
        <w:t>Fi</w:t>
      </w:r>
      <w:r w:rsidRPr="003609FB">
        <w:rPr>
          <w:rFonts w:ascii="Times New Roman" w:hAnsi="Times New Roman" w:cs="Times New Roman"/>
          <w:sz w:val="24"/>
          <w:szCs w:val="24"/>
        </w:rPr>
        <w:t xml:space="preserve">gure </w:t>
      </w:r>
      <w:r w:rsidR="00A02D97" w:rsidRPr="003609FB">
        <w:rPr>
          <w:rFonts w:ascii="Times New Roman" w:hAnsi="Times New Roman" w:cs="Times New Roman"/>
          <w:sz w:val="24"/>
          <w:szCs w:val="24"/>
        </w:rPr>
        <w:t>3.</w:t>
      </w:r>
      <w:r w:rsidRPr="003609FB">
        <w:rPr>
          <w:rFonts w:ascii="Times New Roman" w:hAnsi="Times New Roman" w:cs="Times New Roman"/>
          <w:sz w:val="24"/>
          <w:szCs w:val="24"/>
        </w:rPr>
        <w:t xml:space="preserve">2 shows the concurrent values of </w:t>
      </w:r>
      <m:oMath>
        <m:r>
          <w:rPr>
            <w:rFonts w:ascii="Cambria Math" w:hAnsi="Cambria Math" w:cs="Times New Roman"/>
            <w:sz w:val="24"/>
            <w:szCs w:val="24"/>
          </w:rPr>
          <m:t>ϕ</m:t>
        </m:r>
      </m:oMath>
      <w:r w:rsidRPr="003609FB">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Pr="003609FB">
        <w:rPr>
          <w:rFonts w:ascii="Times New Roman" w:hAnsi="Times New Roman" w:cs="Times New Roman"/>
          <w:sz w:val="24"/>
          <w:szCs w:val="24"/>
        </w:rPr>
        <w:t xml:space="preserve"> recovered. These will be used for non-leaky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Pr="003609FB">
        <w:rPr>
          <w:rFonts w:ascii="Times New Roman" w:hAnsi="Times New Roman" w:cs="Times New Roman"/>
          <w:sz w:val="24"/>
          <w:szCs w:val="24"/>
        </w:rPr>
        <w:t xml:space="preserve"> and </w:t>
      </w:r>
      <w:r w:rsidR="00691B65" w:rsidRPr="00691B65">
        <w:rPr>
          <w:rFonts w:ascii="Times New Roman" w:hAnsi="Times New Roman" w:cs="Times New Roman"/>
          <w:i/>
          <w:iCs/>
          <w:sz w:val="24"/>
          <w:szCs w:val="24"/>
        </w:rPr>
        <w:lastRenderedPageBreak/>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m:t>
            </m:r>
          </m:sub>
        </m:sSub>
      </m:oMath>
      <w:r w:rsidRPr="003609FB">
        <w:rPr>
          <w:rFonts w:ascii="Times New Roman" w:hAnsi="Times New Roman" w:cs="Times New Roman"/>
          <w:sz w:val="24"/>
          <w:szCs w:val="24"/>
        </w:rPr>
        <w:t xml:space="preserve"> (~0) values) and leaky (</w:t>
      </w:r>
      <w:r w:rsidR="00121495">
        <w:rPr>
          <w:rFonts w:ascii="Times New Roman" w:hAnsi="Times New Roman" w:cs="Times New Roman"/>
          <w:sz w:val="24"/>
          <w:szCs w:val="24"/>
        </w:rPr>
        <w:t xml:space="preserve">inclusion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121495">
        <w:rPr>
          <w:rFonts w:ascii="Times New Roman" w:hAnsi="Times New Roman" w:cs="Times New Roman"/>
          <w:sz w:val="24"/>
          <w:szCs w:val="24"/>
        </w:rPr>
        <w:t>damage (</w:t>
      </w:r>
      <w:r w:rsidRPr="003609F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00121495">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121495">
        <w:rPr>
          <w:rFonts w:ascii="Times New Roman" w:hAnsi="Times New Roman" w:cs="Times New Roman"/>
          <w:sz w:val="24"/>
          <w:szCs w:val="24"/>
        </w:rPr>
        <w:t>detoxification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Pr="003609FB">
        <w:rPr>
          <w:rFonts w:ascii="Times New Roman" w:hAnsi="Times New Roman" w:cs="Times New Roman"/>
          <w:sz w:val="24"/>
          <w:szCs w:val="24"/>
        </w:rPr>
        <w:t xml:space="preserve">) cases. </w:t>
      </w:r>
    </w:p>
    <w:p w14:paraId="02445208" w14:textId="4F3FA7CD" w:rsidR="00CD0208" w:rsidRPr="00F17DAA" w:rsidRDefault="00531865" w:rsidP="00AB2160">
      <w:pPr>
        <w:pStyle w:val="Heading3"/>
        <w:spacing w:line="360" w:lineRule="auto"/>
      </w:pPr>
      <w:bookmarkStart w:id="50" w:name="_Toc173250035"/>
      <w:r w:rsidRPr="003609FB">
        <w:t>Non-leaky dynamics</w:t>
      </w:r>
      <w:bookmarkEnd w:id="50"/>
      <w:r w:rsidRPr="003609FB">
        <w:t xml:space="preserve"> </w:t>
      </w:r>
    </w:p>
    <w:p w14:paraId="0B2A1BF8" w14:textId="588FC089" w:rsidR="00C849D9" w:rsidRPr="003609FB" w:rsidRDefault="00531865"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We first assure that our models align with known convention</w:t>
      </w:r>
      <w:r w:rsidR="00D7692E" w:rsidRPr="003609FB">
        <w:rPr>
          <w:rFonts w:ascii="Times New Roman" w:hAnsi="Times New Roman" w:cs="Times New Roman"/>
          <w:sz w:val="24"/>
          <w:szCs w:val="24"/>
        </w:rPr>
        <w:t xml:space="preserve"> </w:t>
      </w:r>
      <w:r w:rsidR="00D7692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{"citationID":"jBn422te","properties":{"formattedCitation":"(Button 1998)","plainCitation":"(Button 1998)","noteIndex":0},"citationItems":[{"id":1183,"uris":["http://zotero.org/users/6128296/items/EW3DPQCY"],"itemData":{"id":1183,"type":"article-journal","abstract":"Recently tabulated values of 0.016 to 0.021 g of cells (wet wt)/g of cells/h (49) are sufficient to consume most oligotrophs at growth rates specified by presumed substrate concentrations and specific affinities for substrates including those with large growth yields (62). However, the principle of decoupling material requirements for growth from those required for maintenance is parallel to decoupling energy requirements for maintaining an energized membrane from those required for transport, so the appropriate values for the calculation may be unknown","container-title":"MICROBIOL. MOL. BIOL. REV.","language":"en","page":"10","source":"Zotero","title":"Nutrient Uptake by Microorganisms according to Kinetic Parameters from Theory as Related to Cytoarchitecture","volume":"62","author":[{"family":"Button","given":""}],"issued":{"date-parts":[["1998"]]}}}],"schema":"https://github.com/citation-style-language/schema/raw/master/csl-citation.json"} </w:instrText>
      </w:r>
      <w:r w:rsidR="00D7692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(Button 1998)</w:t>
      </w:r>
      <w:r w:rsidR="00D7692E"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that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superior affinity (higher </w:t>
      </w:r>
      <m:oMath>
        <m:r>
          <w:rPr>
            <w:rFonts w:ascii="Cambria Math" w:hAnsi="Cambria Math" w:cs="Times New Roman"/>
            <w:sz w:val="24"/>
            <w:szCs w:val="24"/>
          </w:rPr>
          <m:t>α</m:t>
        </m:r>
      </m:oMath>
      <w:r w:rsidRPr="003609FB">
        <w:rPr>
          <w:rFonts w:ascii="Times New Roman" w:hAnsi="Times New Roman" w:cs="Times New Roman"/>
          <w:sz w:val="24"/>
          <w:szCs w:val="24"/>
        </w:rPr>
        <w:t xml:space="preserve"> bundled into lower ks constant)</w:t>
      </w:r>
      <w:r w:rsidR="005058C7" w:rsidRPr="003609FB">
        <w:rPr>
          <w:rFonts w:ascii="Times New Roman" w:hAnsi="Times New Roman" w:cs="Times New Roman"/>
          <w:sz w:val="24"/>
          <w:szCs w:val="24"/>
        </w:rPr>
        <w:t xml:space="preserve"> allows it to outcompete </w:t>
      </w:r>
      <w:proofErr w:type="spellStart"/>
      <w:r w:rsidR="00691B65" w:rsidRPr="00691B65">
        <w:rPr>
          <w:rFonts w:ascii="Times New Roman" w:hAnsi="Times New Roman" w:cs="Times New Roman"/>
          <w:i/>
          <w:iCs/>
          <w:sz w:val="24"/>
          <w:szCs w:val="24"/>
        </w:rPr>
        <w:t>Synechococcus</w:t>
      </w:r>
      <w:proofErr w:type="spellEnd"/>
      <w:r w:rsidR="005058C7" w:rsidRPr="003609FB">
        <w:rPr>
          <w:rFonts w:ascii="Times New Roman" w:hAnsi="Times New Roman" w:cs="Times New Roman"/>
          <w:sz w:val="24"/>
          <w:szCs w:val="24"/>
        </w:rPr>
        <w:t xml:space="preserve"> without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058C7"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r w:rsidR="00AE1296">
        <w:rPr>
          <w:rFonts w:ascii="Times New Roman" w:hAnsi="Times New Roman" w:cs="Times New Roman"/>
          <w:sz w:val="24"/>
          <w:szCs w:val="24"/>
        </w:rPr>
        <w:t xml:space="preserve">We extrapolate our ODE models out for </w:t>
      </w:r>
      <w:r w:rsidR="00F60AB6">
        <w:rPr>
          <w:rFonts w:ascii="Times New Roman" w:hAnsi="Times New Roman" w:cs="Times New Roman"/>
          <w:sz w:val="24"/>
          <w:szCs w:val="24"/>
        </w:rPr>
        <w:t xml:space="preserve">150 or </w:t>
      </w:r>
      <w:r w:rsidR="00AE1296">
        <w:rPr>
          <w:rFonts w:ascii="Times New Roman" w:hAnsi="Times New Roman" w:cs="Times New Roman"/>
          <w:sz w:val="24"/>
          <w:szCs w:val="24"/>
        </w:rPr>
        <w:t xml:space="preserve">300 days to simulate competition over </w:t>
      </w:r>
      <w:r w:rsidR="00F60AB6">
        <w:rPr>
          <w:rFonts w:ascii="Times New Roman" w:hAnsi="Times New Roman" w:cs="Times New Roman"/>
          <w:sz w:val="24"/>
          <w:szCs w:val="24"/>
        </w:rPr>
        <w:t xml:space="preserve">approximately a half or a full </w:t>
      </w:r>
      <w:r w:rsidR="00AE1296">
        <w:rPr>
          <w:rFonts w:ascii="Times New Roman" w:hAnsi="Times New Roman" w:cs="Times New Roman"/>
          <w:sz w:val="24"/>
          <w:szCs w:val="24"/>
        </w:rPr>
        <w:t xml:space="preserve">year. </w:t>
      </w:r>
      <w:r w:rsidR="005058C7" w:rsidRPr="003609FB">
        <w:rPr>
          <w:rFonts w:ascii="Times New Roman" w:hAnsi="Times New Roman" w:cs="Times New Roman"/>
          <w:sz w:val="24"/>
          <w:szCs w:val="24"/>
        </w:rPr>
        <w:t>W</w:t>
      </w:r>
      <w:r w:rsidRPr="003609FB">
        <w:rPr>
          <w:rFonts w:ascii="Times New Roman" w:hAnsi="Times New Roman" w:cs="Times New Roman"/>
          <w:sz w:val="24"/>
          <w:szCs w:val="24"/>
        </w:rPr>
        <w:t xml:space="preserve">e find that our competition converges on the eventuality of </w:t>
      </w:r>
      <w:r w:rsidR="006B6C45" w:rsidRPr="00691B65">
        <w:rPr>
          <w:rFonts w:ascii="Times New Roman" w:hAnsi="Times New Roman" w:cs="Times New Roman"/>
          <w:i/>
          <w:iCs/>
          <w:sz w:val="24"/>
          <w:szCs w:val="24"/>
        </w:rPr>
        <w:t>Prochlorococcus</w:t>
      </w:r>
      <w:r w:rsidR="006B6C45" w:rsidRPr="003609FB">
        <w:rPr>
          <w:rFonts w:ascii="Times New Roman" w:hAnsi="Times New Roman" w:cs="Times New Roman"/>
          <w:sz w:val="24"/>
          <w:szCs w:val="24"/>
        </w:rPr>
        <w:t xml:space="preserve"> analogue</w:t>
      </w:r>
      <w:r w:rsidRPr="003609FB">
        <w:rPr>
          <w:rFonts w:ascii="Times New Roman" w:hAnsi="Times New Roman" w:cs="Times New Roman"/>
          <w:sz w:val="24"/>
          <w:szCs w:val="24"/>
        </w:rPr>
        <w:t xml:space="preserve">, P, reaching an equilibrium state and the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 S, slowly being outcompeted to </w:t>
      </w:r>
      <w:r w:rsidR="00E44486" w:rsidRPr="003609FB">
        <w:rPr>
          <w:rFonts w:ascii="Times New Roman" w:hAnsi="Times New Roman" w:cs="Times New Roman"/>
          <w:sz w:val="24"/>
          <w:szCs w:val="24"/>
        </w:rPr>
        <w:t>extinction</w:t>
      </w:r>
      <w:r w:rsidR="00E44486">
        <w:rPr>
          <w:rFonts w:ascii="Times New Roman" w:hAnsi="Times New Roman" w:cs="Times New Roman"/>
          <w:sz w:val="24"/>
          <w:szCs w:val="24"/>
        </w:rPr>
        <w:t xml:space="preserve"> </w:t>
      </w:r>
      <w:r w:rsidR="00E44486" w:rsidRPr="003609FB">
        <w:rPr>
          <w:rFonts w:ascii="Times New Roman" w:hAnsi="Times New Roman" w:cs="Times New Roman"/>
          <w:sz w:val="24"/>
          <w:szCs w:val="24"/>
        </w:rPr>
        <w:t>(</w:t>
      </w:r>
      <w:r w:rsidRPr="003609FB">
        <w:rPr>
          <w:rFonts w:ascii="Times New Roman" w:hAnsi="Times New Roman" w:cs="Times New Roman"/>
          <w:sz w:val="24"/>
          <w:szCs w:val="24"/>
        </w:rPr>
        <w:t xml:space="preserve">Figure </w:t>
      </w:r>
      <w:r w:rsidR="00D7692E" w:rsidRPr="003609FB">
        <w:rPr>
          <w:rFonts w:ascii="Times New Roman" w:hAnsi="Times New Roman" w:cs="Times New Roman"/>
          <w:sz w:val="24"/>
          <w:szCs w:val="24"/>
        </w:rPr>
        <w:t>3.</w:t>
      </w:r>
      <w:r w:rsidRPr="003609FB">
        <w:rPr>
          <w:rFonts w:ascii="Times New Roman" w:hAnsi="Times New Roman" w:cs="Times New Roman"/>
          <w:sz w:val="24"/>
          <w:szCs w:val="24"/>
        </w:rPr>
        <w:t xml:space="preserve">3). The equilibrium solutions for the system shown in dotted lines and </w:t>
      </w:r>
      <w:r w:rsidR="00982696">
        <w:rPr>
          <w:rFonts w:ascii="Times New Roman" w:hAnsi="Times New Roman" w:cs="Times New Roman"/>
          <w:sz w:val="24"/>
          <w:szCs w:val="24"/>
        </w:rPr>
        <w:t>calculated (</w:t>
      </w:r>
      <w:proofErr w:type="gramStart"/>
      <w:r w:rsidRPr="003609FB">
        <w:rPr>
          <w:rFonts w:ascii="Times New Roman" w:hAnsi="Times New Roman" w:cs="Times New Roman"/>
          <w:sz w:val="24"/>
          <w:szCs w:val="24"/>
        </w:rPr>
        <w:t xml:space="preserve">* </w:t>
      </w:r>
      <w:r w:rsidR="00982696">
        <w:rPr>
          <w:rFonts w:ascii="Times New Roman" w:hAnsi="Times New Roman" w:cs="Times New Roman"/>
          <w:sz w:val="24"/>
          <w:szCs w:val="24"/>
        </w:rPr>
        <w:t>)</w:t>
      </w:r>
      <w:proofErr w:type="gramEnd"/>
      <w:r w:rsidR="00982696">
        <w:rPr>
          <w:rFonts w:ascii="Times New Roman" w:hAnsi="Times New Roman" w:cs="Times New Roman"/>
          <w:sz w:val="24"/>
          <w:szCs w:val="24"/>
        </w:rPr>
        <w:t xml:space="preserve"> </w:t>
      </w:r>
      <w:r w:rsidRPr="003609FB">
        <w:rPr>
          <w:rFonts w:ascii="Times New Roman" w:hAnsi="Times New Roman" w:cs="Times New Roman"/>
          <w:sz w:val="24"/>
          <w:szCs w:val="24"/>
        </w:rPr>
        <w:t>equations</w:t>
      </w:r>
      <w:r w:rsidR="00982696">
        <w:rPr>
          <w:rFonts w:ascii="Times New Roman" w:hAnsi="Times New Roman" w:cs="Times New Roman"/>
          <w:sz w:val="24"/>
          <w:szCs w:val="24"/>
        </w:rPr>
        <w:t>’ outputs</w:t>
      </w:r>
      <w:r w:rsidRPr="003609FB">
        <w:rPr>
          <w:rFonts w:ascii="Times New Roman" w:hAnsi="Times New Roman" w:cs="Times New Roman"/>
          <w:sz w:val="24"/>
          <w:szCs w:val="24"/>
        </w:rPr>
        <w:t xml:space="preserve"> are shown below said dynamics. </w:t>
      </w:r>
      <w:r w:rsidR="00982696">
        <w:rPr>
          <w:rFonts w:ascii="Times New Roman" w:hAnsi="Times New Roman" w:cs="Times New Roman"/>
          <w:sz w:val="24"/>
          <w:szCs w:val="24"/>
        </w:rPr>
        <w:t xml:space="preserve">Calculations of equilibria </w:t>
      </w:r>
      <w:r w:rsidR="00E44486">
        <w:rPr>
          <w:rFonts w:ascii="Times New Roman" w:hAnsi="Times New Roman" w:cs="Times New Roman"/>
          <w:sz w:val="24"/>
          <w:szCs w:val="24"/>
        </w:rPr>
        <w:t xml:space="preserve">shown </w:t>
      </w:r>
      <w:proofErr w:type="gramStart"/>
      <w:r w:rsidR="00982696">
        <w:rPr>
          <w:rFonts w:ascii="Times New Roman" w:hAnsi="Times New Roman" w:cs="Times New Roman"/>
          <w:sz w:val="24"/>
          <w:szCs w:val="24"/>
        </w:rPr>
        <w:t>are located in</w:t>
      </w:r>
      <w:proofErr w:type="gramEnd"/>
      <w:r w:rsidR="00982696">
        <w:rPr>
          <w:rFonts w:ascii="Times New Roman" w:hAnsi="Times New Roman" w:cs="Times New Roman"/>
          <w:sz w:val="24"/>
          <w:szCs w:val="24"/>
        </w:rPr>
        <w:t xml:space="preserve"> Appendix B. </w:t>
      </w:r>
      <w:r w:rsidRPr="003609FB">
        <w:rPr>
          <w:rFonts w:ascii="Times New Roman" w:hAnsi="Times New Roman" w:cs="Times New Roman"/>
          <w:sz w:val="24"/>
          <w:szCs w:val="24"/>
        </w:rPr>
        <w:t>In this model P’s greater nutrient affinity (</w:t>
      </w:r>
      <m:oMath>
        <m:r>
          <w:rPr>
            <w:rFonts w:ascii="Cambria Math" w:hAnsi="Cambria Math" w:cs="Times New Roman"/>
            <w:sz w:val="24"/>
            <w:szCs w:val="24"/>
          </w:rPr>
          <m:t>α)</m:t>
        </m:r>
      </m:oMath>
      <w:r w:rsidRPr="003609FB">
        <w:rPr>
          <w:rFonts w:ascii="Times New Roman" w:hAnsi="Times New Roman" w:cs="Times New Roman"/>
          <w:sz w:val="24"/>
          <w:szCs w:val="24"/>
        </w:rPr>
        <w:t xml:space="preserve">, P outcompetes S to exclusion. However, this matches neither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or laboratory data </w:t>
      </w:r>
      <w:r w:rsidR="00D7692E"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{"citationID":"981v1zFV","properties":{"formattedCitation":"(Calfee, Glasgo, and Zinser 2022; Knight and Morris 2018; Visintini, Martiny, and Flombaum 2021; Partensky, Blanchot, and Vaulot 1999)","plainCitation":"(Calfee, Glasgo, and Zinser 2022; Knight and Morris 2018; Visintini, Martiny, and Flombaum 2021; Partensky, Blanchot, and Vaulot 1999)","noteIndex":0},"citationItems":[{"id":3126,"uris":["http://zotero.org/users/6128296/items/XY85MD2M"],"itemData":{"id":3126,"type":"article-journal","abstract":"The marine cyanobacterium Prochlorococcus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Prochlorococcus outcompetes its rivals for scarce nutrients and that this advantage leads to its numerical success in nutrient-limited waters. Strains of Prochlorococcus and its sister genus Synechococcus grew well in both mono- and cocultures when nutrients were replete. However, in nitrogen-limited medium, Prochlorococcus outgrew Synechococcus but only when heterotrophic bacteria were also present. In the nitrogen-limited medium, the heterotroph Alteromonas macleodii outcompeted Synechococcus for nitrogen but only if stimulated by the exudate released by Prochlorococcus or if a proxy organic carbon source was provided. Genetic analysis of Alteromonas suggested that it outcompetes Synechococcus for nitrate and/or nitrite, during which cocultured Prochlorococcus grows on ammonia or other available nitrogen species. We propose that Prochlorococcus can stimulate antagonism between heterotrophic bacteria and potential phytoplankton competitors through a metabolic cross-feeding interaction, and this stimulation could contribute to the numerical success of Prochlorococcus in nutrient-limited regions of the ocean.","issue":"1","language":"en","page":"14","source":"Zotero","title":"Prochlorococcus Exudate Stimulates Heterotrophic Bacterial Competition with Rival Phytoplankton for Available Nitrogen","volume":"13","author":[{"family":"Calfee","given":""},{"family":"Glasgo","given":"Liz"},{"family":"Zinser","given":"E. R."}],"issued":{"date-parts":[["2022"]]}}},{"id":1694,"uris":["http://zotero.org/users/6128296/items/4NT526H5"],"itemData":{"id":1694,"type":"report","abstract":"Anthropogenic CO2 emissions are projected to lower the pH of the open ocean by 0.2 to 0.3 units over the next century. Laboratory experiments show that different phytoplankton taxa exhibit a wide variety of responses, with some strains having higher fitness under projected future conditions, and others being negatively impacted. Previous studies have suggested that Prochlorococcus and Synechococcus, the numerically dominant picophytoplankton in the oceans, have very different responses to elevated CO2 that may result in a dramatic shift in their relative abundances in future oceans. Here we show that these two genera experience faster exponential growth rates under future CO2 conditions, similar to most other cyanobacteria that have been studied. However,Prochlorococcus strains have significantly lower realized growth rates due to more extreme lag periods after exposure to fresh culture media. Surprisingly, however, Synechococcus was unable to outcompete Prochlorococcus in co-culture at elevated CO2.  Under these conditions,\n Prochlorococcus poor response to elevated CO2\ndisappeared, and it showed negative frequency dependence in its relative fitness compared to Synechococcus, with a significant fitness advantage when it was initially rare. Moreover, both Synechococcus and Prochlorococcus had faster growth rates in co-culture with each other than either had in unialgal culture. We speculate that this negative frequency dependence is an outgrowth of reductive Black Queen evolution operating on both taxa that has resulted in a passively mutualistic relationship analogous to that connecting Prochlorococcus with the “helper” heterotrophic microbes in its environment.","genre":"preprint","language":"en","note":"DOI: 10.1101/337378","publisher":"Microbiology","source":"DOI.org (Crossref)","title":"Competition and Synergy Between &lt;i&gt;Prochlorococcus&lt;/i&gt; and &lt;i&gt;Synechococcus&lt;/i&gt; Under Ocean Acidification Conditions","URL":"http://biorxiv.org/lookup/doi/10.1101/337378","author":[{"family":"Knight","given":""},{"family":"Morris","given":"J. Jeffrey"}],"accessed":{"date-parts":[["2019",12,16]]},"issued":{"date-parts":[["2018",6,3]]}}},{"id":3999,"uris":["http://zotero.org/users/6128296/items/8G87M8S5"],"itemData":{"id":3999,"type":"article-journal","abstract":"Abstract\n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review.\"","author":[{"family":"Partensky","given":""},{"family":"Blanchot","given":"Jean"},{"family":"Vaulot","given":"D"}],"issued":{"date-parts":[["1999"]]}}}],"schema":"https://github.com/citation-style-language/schema/raw/master/csl-citation.json"} </w:instrText>
      </w:r>
      <w:r w:rsidR="00D7692E" w:rsidRPr="003609FB">
        <w:rPr>
          <w:rFonts w:ascii="Times New Roman" w:hAnsi="Times New Roman" w:cs="Times New Roman"/>
          <w:sz w:val="24"/>
          <w:szCs w:val="24"/>
        </w:rPr>
        <w:fldChar w:fldCharType="separate"/>
      </w:r>
      <w:r w:rsidR="009D7443">
        <w:rPr>
          <w:rFonts w:ascii="Times New Roman" w:hAnsi="Times New Roman" w:cs="Times New Roman"/>
          <w:sz w:val="24"/>
        </w:rPr>
        <w:t xml:space="preserve">(Calfee, Glasgo, and Zinser 2022; Knight and Morris 2018; Visintini, Martiny, and </w:t>
      </w:r>
      <w:proofErr w:type="spellStart"/>
      <w:r w:rsidR="009D7443">
        <w:rPr>
          <w:rFonts w:ascii="Times New Roman" w:hAnsi="Times New Roman" w:cs="Times New Roman"/>
          <w:sz w:val="24"/>
        </w:rPr>
        <w:t>Flombaum</w:t>
      </w:r>
      <w:proofErr w:type="spellEnd"/>
      <w:r w:rsidR="009D7443">
        <w:rPr>
          <w:rFonts w:ascii="Times New Roman" w:hAnsi="Times New Roman" w:cs="Times New Roman"/>
          <w:sz w:val="24"/>
        </w:rPr>
        <w:t xml:space="preserve"> 2021;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w:t>
      </w:r>
      <w:r w:rsidR="00D7692E" w:rsidRPr="003609FB">
        <w:rPr>
          <w:rFonts w:ascii="Times New Roman" w:hAnsi="Times New Roman" w:cs="Times New Roman"/>
          <w:sz w:val="24"/>
          <w:szCs w:val="24"/>
        </w:rPr>
        <w:fldChar w:fldCharType="end"/>
      </w:r>
      <w:r w:rsidR="00D7692E"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 impacts are added starting with </w:t>
      </w:r>
      <w:proofErr w:type="spellStart"/>
      <w:r w:rsidRPr="003609FB">
        <w:rPr>
          <w:rFonts w:ascii="Times New Roman" w:hAnsi="Times New Roman" w:cs="Times New Roman"/>
          <w:sz w:val="24"/>
          <w:szCs w:val="24"/>
        </w:rPr>
        <w:t>k</w:t>
      </w:r>
      <w:r w:rsidRPr="00B2753F">
        <w:rPr>
          <w:rFonts w:ascii="Times New Roman" w:hAnsi="Times New Roman" w:cs="Times New Roman"/>
          <w:sz w:val="24"/>
          <w:szCs w:val="24"/>
          <w:vertAlign w:val="subscript"/>
        </w:rPr>
        <w:t>dam</w:t>
      </w:r>
      <w:r w:rsidR="00F60AB6">
        <w:rPr>
          <w:rFonts w:ascii="Times New Roman" w:hAnsi="Times New Roman" w:cs="Times New Roman"/>
          <w:sz w:val="24"/>
          <w:szCs w:val="24"/>
          <w:vertAlign w:val="subscript"/>
        </w:rPr>
        <w:t>,i</w:t>
      </w:r>
      <w:proofErr w:type="spellEnd"/>
      <w:r w:rsidRPr="003609FB">
        <w:rPr>
          <w:rFonts w:ascii="Times New Roman" w:hAnsi="Times New Roman" w:cs="Times New Roman"/>
          <w:sz w:val="24"/>
          <w:szCs w:val="24"/>
        </w:rPr>
        <w:t xml:space="preserve"> in P for case 2 </w:t>
      </w:r>
      <w:r w:rsidR="001A6BC3" w:rsidRPr="003609FB">
        <w:rPr>
          <w:rFonts w:ascii="Times New Roman" w:hAnsi="Times New Roman" w:cs="Times New Roman"/>
          <w:sz w:val="24"/>
          <w:szCs w:val="24"/>
        </w:rPr>
        <w:t>in Figure 3.4</w:t>
      </w:r>
      <w:r w:rsidRPr="003609FB">
        <w:rPr>
          <w:rFonts w:ascii="Times New Roman" w:hAnsi="Times New Roman" w:cs="Times New Roman"/>
          <w:sz w:val="24"/>
          <w:szCs w:val="24"/>
        </w:rPr>
        <w:t>.</w:t>
      </w:r>
    </w:p>
    <w:p w14:paraId="2A5B9D31" w14:textId="31ED8019" w:rsidR="00531865" w:rsidRPr="003609FB" w:rsidRDefault="00A02D97"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The dynamics resulting from a</w:t>
      </w:r>
      <w:r w:rsidR="00531865" w:rsidRPr="003609FB">
        <w:rPr>
          <w:rFonts w:ascii="Times New Roman" w:hAnsi="Times New Roman" w:cs="Times New Roman"/>
          <w:sz w:val="24"/>
          <w:szCs w:val="24"/>
        </w:rPr>
        <w:t xml:space="preserve">nalysis of the ‘non-leaky’ case, </w:t>
      </w:r>
      <w:r w:rsidRPr="003609FB">
        <w:rPr>
          <w:rFonts w:ascii="Times New Roman" w:hAnsi="Times New Roman" w:cs="Times New Roman"/>
          <w:sz w:val="24"/>
          <w:szCs w:val="24"/>
        </w:rPr>
        <w:t>(</w:t>
      </w:r>
      <w:r w:rsidR="00F60AB6" w:rsidRPr="00F60AB6">
        <w:rPr>
          <w:rFonts w:ascii="Times New Roman" w:hAnsi="Times New Roman" w:cs="Times New Roman"/>
          <w:i/>
          <w:iCs/>
          <w:sz w:val="24"/>
          <w:szCs w:val="24"/>
        </w:rPr>
        <w:t>i.e.,</w:t>
      </w:r>
      <w:r w:rsidR="00531865" w:rsidRPr="003609FB">
        <w:rPr>
          <w:rFonts w:ascii="Times New Roman" w:hAnsi="Times New Roman" w:cs="Times New Roman"/>
          <w:sz w:val="24"/>
          <w:szCs w:val="24"/>
        </w:rPr>
        <w:t xml:space="preserve"> the inclusion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damage without the inclusion of community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detoxification</w:t>
      </w:r>
      <w:r w:rsidRPr="003609FB">
        <w:rPr>
          <w:rFonts w:ascii="Times New Roman" w:hAnsi="Times New Roman" w:cs="Times New Roman"/>
          <w:sz w:val="24"/>
          <w:szCs w:val="24"/>
        </w:rPr>
        <w:t>)</w:t>
      </w:r>
      <w:r w:rsidR="00531865" w:rsidRPr="003609FB">
        <w:rPr>
          <w:rFonts w:ascii="Times New Roman" w:hAnsi="Times New Roman" w:cs="Times New Roman"/>
          <w:sz w:val="24"/>
          <w:szCs w:val="24"/>
        </w:rPr>
        <w:t xml:space="preserve"> when S</w:t>
      </w:r>
      <w:r w:rsidR="00531865" w:rsidRPr="00AE1296">
        <w:rPr>
          <w:rFonts w:ascii="Times New Roman" w:hAnsi="Times New Roman" w:cs="Times New Roman"/>
          <w:sz w:val="24"/>
          <w:szCs w:val="24"/>
          <w:vertAlign w:val="subscript"/>
        </w:rPr>
        <w:t>H</w:t>
      </w:r>
      <w:r w:rsidR="00531865" w:rsidRPr="003609FB">
        <w:rPr>
          <w:rFonts w:ascii="Times New Roman" w:hAnsi="Times New Roman" w:cs="Times New Roman"/>
          <w:sz w:val="24"/>
          <w:szCs w:val="24"/>
        </w:rPr>
        <w:t xml:space="preserve"> is non-zero dynamics are shown in </w:t>
      </w:r>
      <w:r w:rsidRPr="003609FB">
        <w:rPr>
          <w:rFonts w:ascii="Times New Roman" w:hAnsi="Times New Roman" w:cs="Times New Roman"/>
          <w:sz w:val="24"/>
          <w:szCs w:val="24"/>
        </w:rPr>
        <w:t>F</w:t>
      </w:r>
      <w:r w:rsidR="00531865" w:rsidRPr="003609FB">
        <w:rPr>
          <w:rFonts w:ascii="Times New Roman" w:hAnsi="Times New Roman" w:cs="Times New Roman"/>
          <w:sz w:val="24"/>
          <w:szCs w:val="24"/>
        </w:rPr>
        <w:t xml:space="preserve">igure </w:t>
      </w:r>
      <w:r w:rsidRPr="003609FB">
        <w:rPr>
          <w:rFonts w:ascii="Times New Roman" w:hAnsi="Times New Roman" w:cs="Times New Roman"/>
          <w:sz w:val="24"/>
          <w:szCs w:val="24"/>
        </w:rPr>
        <w:t>3.</w:t>
      </w:r>
      <w:r w:rsidR="00531865" w:rsidRPr="003609FB">
        <w:rPr>
          <w:rFonts w:ascii="Times New Roman" w:hAnsi="Times New Roman" w:cs="Times New Roman"/>
          <w:sz w:val="24"/>
          <w:szCs w:val="24"/>
        </w:rPr>
        <w:t>4. P’s greater nutrient affinity (</w:t>
      </w:r>
      <m:oMath>
        <m:r>
          <w:rPr>
            <w:rFonts w:ascii="Cambria Math" w:hAnsi="Cambria Math" w:cs="Times New Roman"/>
            <w:sz w:val="24"/>
            <w:szCs w:val="24"/>
          </w:rPr>
          <m:t>α)</m:t>
        </m:r>
      </m:oMath>
      <w:r w:rsidR="00531865" w:rsidRPr="003609FB">
        <w:rPr>
          <w:rFonts w:ascii="Times New Roman" w:hAnsi="Times New Roman" w:cs="Times New Roman"/>
          <w:sz w:val="24"/>
          <w:szCs w:val="24"/>
        </w:rPr>
        <w:t xml:space="preserve"> allows P to outcompete S, but the concurrent higher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00531865" w:rsidRPr="003609FB">
        <w:rPr>
          <w:rFonts w:ascii="Times New Roman" w:hAnsi="Times New Roman" w:cs="Times New Roman"/>
          <w:sz w:val="24"/>
          <w:szCs w:val="24"/>
        </w:rPr>
        <w:t xml:space="preserve"> rate leads to significant P population loss when not ameliorated by </w:t>
      </w:r>
      <w:r w:rsidR="00AD1007">
        <w:rPr>
          <w:rFonts w:ascii="Times New Roman" w:hAnsi="Times New Roman" w:cs="Times New Roman"/>
          <w:sz w:val="24"/>
          <w:szCs w:val="24"/>
        </w:rPr>
        <w:t xml:space="preserve">biotic </w:t>
      </w:r>
      <w:r w:rsidR="00531865" w:rsidRPr="003609FB">
        <w:rPr>
          <w:rFonts w:ascii="Times New Roman" w:hAnsi="Times New Roman" w:cs="Times New Roman"/>
          <w:sz w:val="24"/>
          <w:szCs w:val="24"/>
        </w:rPr>
        <w:t xml:space="preserve">detoxification mechanisms </w:t>
      </w:r>
      <w:r w:rsidR="00AD1007">
        <w:rPr>
          <w:rFonts w:ascii="Times New Roman" w:hAnsi="Times New Roman" w:cs="Times New Roman"/>
          <w:sz w:val="24"/>
          <w:szCs w:val="24"/>
        </w:rPr>
        <w:t>withi</w:t>
      </w:r>
      <w:r w:rsidR="00531865" w:rsidRPr="003609FB">
        <w:rPr>
          <w:rFonts w:ascii="Times New Roman" w:hAnsi="Times New Roman" w:cs="Times New Roman"/>
          <w:sz w:val="24"/>
          <w:szCs w:val="24"/>
        </w:rPr>
        <w:t>n the environment (</w:t>
      </w:r>
      <w:r w:rsidR="00F60AB6" w:rsidRPr="00E370ED">
        <w:rPr>
          <w:rFonts w:ascii="Times New Roman" w:hAnsi="Times New Roman" w:cs="Times New Roman"/>
          <w:i/>
          <w:iCs/>
          <w:sz w:val="24"/>
          <w:szCs w:val="24"/>
        </w:rPr>
        <w:t>i.e.,</w:t>
      </w:r>
      <w:r w:rsidR="00531865" w:rsidRPr="00E370ED">
        <w:rPr>
          <w:rFonts w:ascii="Times New Roman" w:hAnsi="Times New Roman" w:cs="Times New Roman"/>
          <w:i/>
          <w:iCs/>
          <w:sz w:val="24"/>
          <w:szCs w:val="24"/>
        </w:rPr>
        <w:t xml:space="preserve"> </w:t>
      </w:r>
      <w:r w:rsidR="00531865" w:rsidRPr="003609FB">
        <w:rPr>
          <w:rFonts w:ascii="Times New Roman" w:hAnsi="Times New Roman" w:cs="Times New Roman"/>
          <w:sz w:val="24"/>
          <w:szCs w:val="24"/>
        </w:rPr>
        <w:t xml:space="preserve">B or S </w:t>
      </w:r>
      <w:proofErr w:type="gramStart"/>
      <w:r w:rsidR="00E44486">
        <w:rPr>
          <w:rFonts w:ascii="Times New Roman" w:hAnsi="Times New Roman" w:cs="Times New Roman"/>
          <w:sz w:val="24"/>
          <w:szCs w:val="24"/>
        </w:rPr>
        <w:t xml:space="preserve">cell </w:t>
      </w:r>
      <w:r w:rsidR="00531865" w:rsidRPr="003609FB">
        <w:rPr>
          <w:rFonts w:ascii="Times New Roman" w:hAnsi="Times New Roman" w:cs="Times New Roman"/>
          <w:sz w:val="24"/>
          <w:szCs w:val="24"/>
        </w:rPr>
        <w:t>based</w:t>
      </w:r>
      <w:proofErr w:type="gramEnd"/>
      <w:r w:rsidR="00531865" w:rsidRPr="003609FB">
        <w:rPr>
          <w:rFonts w:ascii="Times New Roman" w:hAnsi="Times New Roman" w:cs="Times New Roman"/>
          <w:sz w:val="24"/>
          <w:szCs w:val="24"/>
        </w:rPr>
        <w:t xml:space="preserve"> detoxification</w:t>
      </w:r>
      <w:r w:rsidR="00AD1007">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00531865" w:rsidRPr="003609FB">
        <w:rPr>
          <w:rFonts w:ascii="Times New Roman" w:hAnsi="Times New Roman" w:cs="Times New Roman"/>
          <w:sz w:val="24"/>
          <w:szCs w:val="24"/>
        </w:rPr>
        <w:t xml:space="preserve">). The dynamics and equilibria both assert that high nutrient affinity of P alone is not enough to outcompete with S when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is unbounded by biological detoxification. </w:t>
      </w:r>
      <w:r w:rsidRPr="003609FB">
        <w:rPr>
          <w:rFonts w:ascii="Times New Roman" w:hAnsi="Times New Roman" w:cs="Times New Roman"/>
          <w:sz w:val="24"/>
          <w:szCs w:val="24"/>
        </w:rPr>
        <w:t>We</w:t>
      </w:r>
      <w:r w:rsidR="00531865" w:rsidRPr="003609FB">
        <w:rPr>
          <w:rFonts w:ascii="Times New Roman" w:hAnsi="Times New Roman" w:cs="Times New Roman"/>
          <w:sz w:val="24"/>
          <w:szCs w:val="24"/>
        </w:rPr>
        <w:t xml:space="preserve"> see a flipping </w:t>
      </w:r>
      <w:r w:rsidRPr="003609FB">
        <w:rPr>
          <w:rFonts w:ascii="Times New Roman" w:hAnsi="Times New Roman" w:cs="Times New Roman"/>
          <w:sz w:val="24"/>
          <w:szCs w:val="24"/>
        </w:rPr>
        <w:t>in</w:t>
      </w:r>
      <w:r w:rsidR="00531865" w:rsidRPr="003609FB">
        <w:rPr>
          <w:rFonts w:ascii="Times New Roman" w:hAnsi="Times New Roman" w:cs="Times New Roman"/>
          <w:sz w:val="24"/>
          <w:szCs w:val="24"/>
        </w:rPr>
        <w:t xml:space="preserve"> the dynamics between </w:t>
      </w:r>
      <w:r w:rsidRPr="003609FB">
        <w:rPr>
          <w:rFonts w:ascii="Times New Roman" w:hAnsi="Times New Roman" w:cs="Times New Roman"/>
          <w:sz w:val="24"/>
          <w:szCs w:val="24"/>
        </w:rPr>
        <w:t>F</w:t>
      </w:r>
      <w:r w:rsidR="00531865" w:rsidRPr="003609FB">
        <w:rPr>
          <w:rFonts w:ascii="Times New Roman" w:hAnsi="Times New Roman" w:cs="Times New Roman"/>
          <w:sz w:val="24"/>
          <w:szCs w:val="24"/>
        </w:rPr>
        <w:t>igure 3</w:t>
      </w:r>
      <w:r w:rsidRPr="003609FB">
        <w:rPr>
          <w:rFonts w:ascii="Times New Roman" w:hAnsi="Times New Roman" w:cs="Times New Roman"/>
          <w:sz w:val="24"/>
          <w:szCs w:val="24"/>
        </w:rPr>
        <w:t>.3</w:t>
      </w:r>
      <w:r w:rsidR="00531865" w:rsidRPr="003609FB">
        <w:rPr>
          <w:rFonts w:ascii="Times New Roman" w:hAnsi="Times New Roman" w:cs="Times New Roman"/>
          <w:sz w:val="24"/>
          <w:szCs w:val="24"/>
        </w:rPr>
        <w:t xml:space="preserve"> and </w:t>
      </w:r>
      <w:r w:rsidRPr="003609FB">
        <w:rPr>
          <w:rFonts w:ascii="Times New Roman" w:hAnsi="Times New Roman" w:cs="Times New Roman"/>
          <w:sz w:val="24"/>
          <w:szCs w:val="24"/>
        </w:rPr>
        <w:t>F</w:t>
      </w:r>
      <w:r w:rsidR="00531865" w:rsidRPr="003609FB">
        <w:rPr>
          <w:rFonts w:ascii="Times New Roman" w:hAnsi="Times New Roman" w:cs="Times New Roman"/>
          <w:sz w:val="24"/>
          <w:szCs w:val="24"/>
        </w:rPr>
        <w:t xml:space="preserve">igure </w:t>
      </w:r>
      <w:r w:rsidRPr="003609FB">
        <w:rPr>
          <w:rFonts w:ascii="Times New Roman" w:hAnsi="Times New Roman" w:cs="Times New Roman"/>
          <w:sz w:val="24"/>
          <w:szCs w:val="24"/>
        </w:rPr>
        <w:t>3.</w:t>
      </w:r>
      <w:r w:rsidR="00531865" w:rsidRPr="003609FB">
        <w:rPr>
          <w:rFonts w:ascii="Times New Roman" w:hAnsi="Times New Roman" w:cs="Times New Roman"/>
          <w:sz w:val="24"/>
          <w:szCs w:val="24"/>
        </w:rPr>
        <w:t xml:space="preserve">4 controlled solely by the addition of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00531865" w:rsidRPr="003609FB">
        <w:rPr>
          <w:rFonts w:ascii="Times New Roman" w:hAnsi="Times New Roman" w:cs="Times New Roman"/>
          <w:sz w:val="24"/>
          <w:szCs w:val="24"/>
        </w:rPr>
        <w:t xml:space="preserve"> to the P equation, showing P indeed requires external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detoxification to survive </w:t>
      </w:r>
      <w:r w:rsidRPr="003609FB">
        <w:rPr>
          <w:rFonts w:ascii="Times New Roman" w:hAnsi="Times New Roman" w:cs="Times New Roman"/>
          <w:sz w:val="24"/>
          <w:szCs w:val="24"/>
        </w:rPr>
        <w:t>and outcompete</w:t>
      </w:r>
      <w:r w:rsidR="00531865" w:rsidRPr="003609FB">
        <w:rPr>
          <w:rFonts w:ascii="Times New Roman" w:hAnsi="Times New Roman" w:cs="Times New Roman"/>
          <w:sz w:val="24"/>
          <w:szCs w:val="24"/>
        </w:rPr>
        <w:t xml:space="preserve"> S via nutrient affinity. This matches culture data where helpers are required to grow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 </w:t>
      </w:r>
      <w:r w:rsidRPr="003609FB">
        <w:rPr>
          <w:rFonts w:ascii="Times New Roman" w:hAnsi="Times New Roman" w:cs="Times New Roman"/>
          <w:sz w:val="24"/>
          <w:szCs w:val="24"/>
        </w:rPr>
        <w:t>at</w:t>
      </w:r>
      <w:r w:rsidR="00531865" w:rsidRPr="003609FB">
        <w:rPr>
          <w:rFonts w:ascii="Times New Roman" w:hAnsi="Times New Roman" w:cs="Times New Roman"/>
          <w:sz w:val="24"/>
          <w:szCs w:val="24"/>
        </w:rPr>
        <w:t xml:space="preserve"> ecologically relevant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production rates </w:t>
      </w:r>
      <w:r w:rsidR="00D7692E"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{"citationID":"Llj9JvN1","properties":{"formattedCitation":"(Morris et al. 2011)","plainCitation":"(Morris et al. 2011)","noteIndex":0},"citationItems":[{"id":113,"uris":["http://zotero.org/users/6128296/items/PIIBXCZZ"],"itemData":{"id":113,"type":"article-journal","abstract":"The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D7692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2011)</w:t>
      </w:r>
      <w:r w:rsidR="00D7692E" w:rsidRPr="003609FB">
        <w:rPr>
          <w:rFonts w:ascii="Times New Roman" w:hAnsi="Times New Roman" w:cs="Times New Roman"/>
          <w:sz w:val="24"/>
          <w:szCs w:val="24"/>
        </w:rPr>
        <w:fldChar w:fldCharType="end"/>
      </w:r>
      <w:r w:rsidR="00531865" w:rsidRPr="003609FB">
        <w:rPr>
          <w:rFonts w:ascii="Times New Roman" w:hAnsi="Times New Roman" w:cs="Times New Roman"/>
          <w:sz w:val="24"/>
          <w:szCs w:val="24"/>
        </w:rPr>
        <w:t>.</w:t>
      </w:r>
    </w:p>
    <w:p w14:paraId="464E401F" w14:textId="37ED9F1A" w:rsidR="003B4EB2" w:rsidRDefault="00531865" w:rsidP="00CC6FC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When competition of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analogues is assessed across an array of S</w:t>
      </w:r>
      <w:r w:rsidRPr="00EA58CC">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and S</w:t>
      </w:r>
      <w:r w:rsidRPr="00EA58CC">
        <w:rPr>
          <w:rFonts w:ascii="Times New Roman" w:hAnsi="Times New Roman" w:cs="Times New Roman"/>
          <w:sz w:val="24"/>
          <w:szCs w:val="24"/>
          <w:vertAlign w:val="subscript"/>
        </w:rPr>
        <w:t>N</w:t>
      </w:r>
      <w:r w:rsidRPr="003609FB">
        <w:rPr>
          <w:rFonts w:ascii="Times New Roman" w:hAnsi="Times New Roman" w:cs="Times New Roman"/>
          <w:sz w:val="24"/>
          <w:szCs w:val="24"/>
        </w:rPr>
        <w:t xml:space="preserve"> values, only two outcomes are observed. This </w:t>
      </w:r>
      <w:r w:rsidR="00A66B96">
        <w:rPr>
          <w:rFonts w:ascii="Times New Roman" w:hAnsi="Times New Roman" w:cs="Times New Roman"/>
          <w:sz w:val="24"/>
          <w:szCs w:val="24"/>
        </w:rPr>
        <w:t xml:space="preserve">allows us to investigate how </w:t>
      </w:r>
      <w:r w:rsidR="00A66B96">
        <w:rPr>
          <w:rFonts w:ascii="Times New Roman" w:hAnsi="Times New Roman" w:cs="Times New Roman"/>
          <w:sz w:val="24"/>
          <w:szCs w:val="24"/>
        </w:rPr>
        <w:lastRenderedPageBreak/>
        <w:t>cells may react to</w:t>
      </w:r>
      <w:r w:rsidRPr="003609FB">
        <w:rPr>
          <w:rFonts w:ascii="Times New Roman" w:hAnsi="Times New Roman" w:cs="Times New Roman"/>
          <w:sz w:val="24"/>
          <w:szCs w:val="24"/>
        </w:rPr>
        <w:t xml:space="preserve"> traveling from the gyres towards the coast (higher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B623F9">
        <w:rPr>
          <w:rFonts w:ascii="Times New Roman" w:hAnsi="Times New Roman" w:cs="Times New Roman"/>
          <w:sz w:val="24"/>
          <w:szCs w:val="24"/>
        </w:rPr>
        <w:t>production (S</w:t>
      </w:r>
      <w:r w:rsidR="00B623F9" w:rsidRPr="00B623F9">
        <w:rPr>
          <w:rFonts w:ascii="Times New Roman" w:hAnsi="Times New Roman" w:cs="Times New Roman"/>
          <w:sz w:val="24"/>
          <w:szCs w:val="24"/>
          <w:vertAlign w:val="subscript"/>
        </w:rPr>
        <w:t>H</w:t>
      </w:r>
      <w:r w:rsidR="00B623F9">
        <w:rPr>
          <w:rFonts w:ascii="Times New Roman" w:hAnsi="Times New Roman" w:cs="Times New Roman"/>
          <w:sz w:val="24"/>
          <w:szCs w:val="24"/>
        </w:rPr>
        <w:t xml:space="preserve">) </w:t>
      </w:r>
      <w:r w:rsidRPr="003609FB">
        <w:rPr>
          <w:rFonts w:ascii="Times New Roman" w:hAnsi="Times New Roman" w:cs="Times New Roman"/>
          <w:sz w:val="24"/>
          <w:szCs w:val="24"/>
        </w:rPr>
        <w:t>and higher N</w:t>
      </w:r>
      <w:r w:rsidR="00B623F9">
        <w:rPr>
          <w:rFonts w:ascii="Times New Roman" w:hAnsi="Times New Roman" w:cs="Times New Roman"/>
          <w:sz w:val="24"/>
          <w:szCs w:val="24"/>
        </w:rPr>
        <w:t xml:space="preserve"> inflow (S</w:t>
      </w:r>
      <w:r w:rsidR="00B623F9" w:rsidRPr="00B623F9">
        <w:rPr>
          <w:rFonts w:ascii="Times New Roman" w:hAnsi="Times New Roman" w:cs="Times New Roman"/>
          <w:sz w:val="24"/>
          <w:szCs w:val="24"/>
          <w:vertAlign w:val="subscript"/>
        </w:rPr>
        <w:t>N</w:t>
      </w:r>
      <w:r w:rsidR="00B623F9">
        <w:rPr>
          <w:rFonts w:ascii="Times New Roman" w:hAnsi="Times New Roman" w:cs="Times New Roman"/>
          <w:sz w:val="24"/>
          <w:szCs w:val="24"/>
        </w:rPr>
        <w:t>)</w:t>
      </w:r>
      <w:r w:rsidR="00A66B96">
        <w:rPr>
          <w:rFonts w:ascii="Times New Roman" w:hAnsi="Times New Roman" w:cs="Times New Roman"/>
          <w:sz w:val="24"/>
          <w:szCs w:val="24"/>
        </w:rPr>
        <w:t xml:space="preserve"> to be found near the coast</w:t>
      </w:r>
      <w:r w:rsidRPr="003609FB">
        <w:rPr>
          <w:rFonts w:ascii="Times New Roman" w:hAnsi="Times New Roman" w:cs="Times New Roman"/>
          <w:sz w:val="24"/>
          <w:szCs w:val="24"/>
        </w:rPr>
        <w:t>)</w:t>
      </w:r>
      <w:r w:rsidR="00A02D97" w:rsidRPr="003609FB">
        <w:rPr>
          <w:rFonts w:ascii="Times New Roman" w:hAnsi="Times New Roman" w:cs="Times New Roman"/>
          <w:sz w:val="24"/>
          <w:szCs w:val="24"/>
        </w:rPr>
        <w:t xml:space="preserve"> or</w:t>
      </w:r>
      <w:r w:rsidRPr="003609FB">
        <w:rPr>
          <w:rFonts w:ascii="Times New Roman" w:hAnsi="Times New Roman" w:cs="Times New Roman"/>
          <w:sz w:val="24"/>
          <w:szCs w:val="24"/>
        </w:rPr>
        <w:t xml:space="preserve"> traveling down the water column</w:t>
      </w:r>
      <w:r w:rsidR="00A66B96">
        <w:rPr>
          <w:rFonts w:ascii="Times New Roman" w:hAnsi="Times New Roman" w:cs="Times New Roman"/>
          <w:sz w:val="24"/>
          <w:szCs w:val="24"/>
        </w:rPr>
        <w:t xml:space="preserve"> (</w:t>
      </w:r>
      <w:r w:rsidR="00A66B96" w:rsidRPr="003609FB">
        <w:rPr>
          <w:rFonts w:ascii="Times New Roman" w:hAnsi="Times New Roman" w:cs="Times New Roman"/>
          <w:sz w:val="24"/>
          <w:szCs w:val="24"/>
        </w:rPr>
        <w:t>higher N</w:t>
      </w:r>
      <w:r w:rsidR="00A66B96">
        <w:rPr>
          <w:rFonts w:ascii="Times New Roman" w:hAnsi="Times New Roman" w:cs="Times New Roman"/>
          <w:sz w:val="24"/>
          <w:szCs w:val="24"/>
        </w:rPr>
        <w:t xml:space="preserve"> inflow (S</w:t>
      </w:r>
      <w:r w:rsidR="00A66B96" w:rsidRPr="00B623F9">
        <w:rPr>
          <w:rFonts w:ascii="Times New Roman" w:hAnsi="Times New Roman" w:cs="Times New Roman"/>
          <w:sz w:val="24"/>
          <w:szCs w:val="24"/>
          <w:vertAlign w:val="subscript"/>
        </w:rPr>
        <w:t>N</w:t>
      </w:r>
      <w:r w:rsidR="00A66B96">
        <w:rPr>
          <w:rFonts w:ascii="Times New Roman" w:hAnsi="Times New Roman" w:cs="Times New Roman"/>
          <w:sz w:val="24"/>
          <w:szCs w:val="24"/>
        </w:rPr>
        <w:t>) and unknown  (S</w:t>
      </w:r>
      <w:r w:rsidR="00A66B96" w:rsidRPr="00B623F9">
        <w:rPr>
          <w:rFonts w:ascii="Times New Roman" w:hAnsi="Times New Roman" w:cs="Times New Roman"/>
          <w:sz w:val="24"/>
          <w:szCs w:val="24"/>
          <w:vertAlign w:val="subscript"/>
        </w:rPr>
        <w:t>H</w:t>
      </w:r>
      <w:r w:rsidR="00A66B96">
        <w:rPr>
          <w:rFonts w:ascii="Times New Roman" w:hAnsi="Times New Roman" w:cs="Times New Roman"/>
          <w:sz w:val="24"/>
          <w:szCs w:val="24"/>
        </w:rPr>
        <w:t>) impacts (</w:t>
      </w:r>
      <w:r w:rsidRPr="003609FB">
        <w:rPr>
          <w:rFonts w:ascii="Times New Roman" w:hAnsi="Times New Roman" w:cs="Times New Roman"/>
          <w:sz w:val="24"/>
          <w:szCs w:val="24"/>
        </w:rPr>
        <w:t xml:space="preserve">decreased photoproduction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A66B96">
        <w:rPr>
          <w:rFonts w:ascii="Times New Roman" w:hAnsi="Times New Roman" w:cs="Times New Roman"/>
          <w:sz w:val="24"/>
          <w:szCs w:val="24"/>
        </w:rPr>
        <w:t xml:space="preserve">with depth </w:t>
      </w:r>
      <w:r w:rsidRPr="003609FB">
        <w:rPr>
          <w:rFonts w:ascii="Times New Roman" w:hAnsi="Times New Roman" w:cs="Times New Roman"/>
          <w:sz w:val="24"/>
          <w:szCs w:val="24"/>
        </w:rPr>
        <w:t xml:space="preserve">although other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sources </w:t>
      </w:r>
      <w:r w:rsidR="00A66B96">
        <w:rPr>
          <w:rFonts w:ascii="Times New Roman" w:hAnsi="Times New Roman" w:cs="Times New Roman"/>
          <w:sz w:val="24"/>
          <w:szCs w:val="24"/>
        </w:rPr>
        <w:t xml:space="preserve">seem to </w:t>
      </w:r>
      <w:r w:rsidRPr="003609FB">
        <w:rPr>
          <w:rFonts w:ascii="Times New Roman" w:hAnsi="Times New Roman" w:cs="Times New Roman"/>
          <w:sz w:val="24"/>
          <w:szCs w:val="24"/>
        </w:rPr>
        <w:t>change with depth</w:t>
      </w:r>
      <w:r w:rsidR="00A02D97" w:rsidRPr="003609FB">
        <w:rPr>
          <w:rFonts w:ascii="Times New Roman" w:hAnsi="Times New Roman" w:cs="Times New Roman"/>
          <w:sz w:val="24"/>
          <w:szCs w:val="24"/>
        </w:rPr>
        <w:t xml:space="preserve"> </w:t>
      </w:r>
      <w:r w:rsidR="00D7692E"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{"citationID":"KYLIbNyo","properties":{"formattedCitation":"(Sutherland, Wankel, and Hansel 2020; Hopwood et al. 2017)","plainCitation":"(Sutherland, Wankel, and Hansel 2020; Hopwood et al. 2017)","noteIndex":0},"citationItems":[{"id":3568,"uris":["http://zotero.org/users/6128296/items/PV5KYC8H"],"itemData":{"id":3568,"type":"article-journal","abstract":"Significance\n            \n              Extracellular production of the reactive oxygen species (ROS) superoxide results from the one-electron reduction of O\n              2\n              . Nearly all major groups of marine microbes produce extracellular superoxide. In this global estimate of marine microbial superoxide production we determine that dark extracellular superoxide production is ultimately a net sink of dissolved oxygen comparable in magnitude to other major terms in the marine oxygen cycle. This abundant source of superoxide to the marine water column provides evidence that extracellular ROS play a significant role in carbon oxidation and the redox cycling of metals in marine environments. Consideration of this significant reductive flux of dissolved oxygen is essential for field, laboratory, and modeling techniques for determining productivity and oxygen utilization in marine systems.\n            \n          , \n            \n              The balance between sources and sinks of molecular oxygen in the oceans has greatly impacted the composition of Earth’s atmosphere since the evolution of oxygenic photosynthesis, thereby exerting key influence on Earth’s climate and the redox state of (sub)surface Earth. The canonical source and sink terms of the marine oxygen budget include photosynthesis, respiration, photorespiration, the Mehler reaction, and other smaller terms. However, recent advances in understanding cryptic oxygen cycling, namely the ubiquitous one-electron reduction of O\n              2\n              to superoxide by microorganisms outside the cell, remains unexplored as a potential player in global oxygen dynamics. Here we show that dark extracellular superoxide production by marine microbes represents a previously unconsidered global oxygen flux and sink comparable in magnitude to other key terms. We estimate that extracellular superoxide production represents a gross oxygen sink comprising about a third of marine gross oxygen production, and a net oxygen sink amounting to 15 to 50% of that. We further demonstrate that this total marine dark extracellular superoxide flux is consistent with concentrations of superoxide in marine environments. These findings underscore prolific marine sources of reactive oxygen species and a complex and dynamic oxygen cycle in which oxygen consumption and corresponding carbon oxidation are not necessarily confined to cell membranes or exclusively related to respiration. This revised model of the marine oxygen cycle will ultimately allow for greater reconciliation among estimates of primary production and respiration and a greater mechanistic understanding of redox cycling in the ocean.","container-title":"Proceedings of the National Academy of Sciences","DOI":"10.1073/pnas.1912313117","ISSN":"0027-8424, 1091-6490","issue":"7","journalAbbreviation":"Proc. Natl. Acad. Sci. U.S.A.","language":"en","page":"3433-3439","source":"DOI.org (Crossref)","title":"Dark biological superoxide production as a significant flux and sink of marine dissolved oxygen","volume":"117","author":[{"family":"Sutherland","given":""},{"family":"Wankel","given":"Scott D."},{"family":"Hansel","given":"Colleen M."}],"issued":{"date-parts":[["2020",2,18]]}}},{"id":4253,"uris":["http://zotero.org/users/6128296/items/CEDCHT6C"],"itemData":{"id":4253,"type":"article-journal","abstract":"Abstract\n            \n              Hydrogen peroxide (H\n              2\n              O\n              2\n              ) is present ubiquitously in marine surface waters where it is a reactive intermediate in the cycling of many trace elements. Photochemical processes are considered the dominant natural H\n              2\n              O\n              2\n              source, yet cannot explain nanomolar H\n              2\n              O\n              2\n              concentrations below the photic zone. Here, we determined the concentration of H\n              2\n              O\n              2\n              in full depth profiles across three ocean basins (Mediterranean Sea, South Atlantic and South Pacific Oceans). To determine the accuracy of H\n              2\n              O\n              2\n              measurements in the deep ocean we also re-assessed the contribution of interfering species to ‘apparent H\n              2\n              O\n              2\n              ’, as analysed by the luminol based chemiluminescence technique. Within the vicinity of coastal oxygen minimum zones, accurate measurement of H\n              2\n              O\n              2\n              was not possible due to interference from Fe(II). Offshore, in deep (&gt;1000 m) waters H\n              2\n              O\n              2\n              concentrations ranged from 0.25 ± 0.27 nM (Mediterranean, Balearics-Algeria) to 2.9 ± 2.2 nM (Mediterranean, Corsica-France). Our results indicate that a dark, pelagic H\n              2\n              O\n              2\n              production mechanism must occur throughout the deep ocean. A bacterial source of H\n              2\n              O\n              2\n              is the most likely origin and we show that this source is likely sufficient to account for all of the observed H\n              2\n              O\n              2\n              in the deep ocean.","container-title":"Scientific Reports","DOI":"10.1038/srep43436","ISSN":"2045-2322","issue":"1","journalAbbreviation":"Sci Rep","language":"en","page":"43436","source":"DOI.org (Crossref)","title":"Hydrogen peroxide in deep waters from the Mediterranean Sea, South Atlantic and South Pacific Oceans","volume":"7","author":[{"family":"Hopwood","given":""},{"family":"Rapp","given":"Insa"},{"family":"Schlosser","given":"Christian"},{"family":"Achterberg","given":"Eric P."}],"issued":{"date-parts":[["2017",3,7]]}}}],"schema":"https://github.com/citation-style-language/schema/raw/master/csl-citation.json"} </w:instrText>
      </w:r>
      <w:r w:rsidR="00D7692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(Sutherland, Wankel, and Hansel 2020; Hopwood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2017)</w:t>
      </w:r>
      <w:r w:rsidR="00D7692E" w:rsidRPr="003609FB">
        <w:rPr>
          <w:rFonts w:ascii="Times New Roman" w:hAnsi="Times New Roman" w:cs="Times New Roman"/>
          <w:sz w:val="24"/>
          <w:szCs w:val="24"/>
        </w:rPr>
        <w:fldChar w:fldCharType="end"/>
      </w:r>
      <w:r w:rsidR="00A02D97"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In Figure </w:t>
      </w:r>
      <w:r w:rsidR="00A02D97" w:rsidRPr="003609FB">
        <w:rPr>
          <w:rFonts w:ascii="Times New Roman" w:hAnsi="Times New Roman" w:cs="Times New Roman"/>
          <w:sz w:val="24"/>
          <w:szCs w:val="24"/>
        </w:rPr>
        <w:t>3.</w:t>
      </w:r>
      <w:r w:rsidRPr="003609FB">
        <w:rPr>
          <w:rFonts w:ascii="Times New Roman" w:hAnsi="Times New Roman" w:cs="Times New Roman"/>
          <w:sz w:val="24"/>
          <w:szCs w:val="24"/>
        </w:rPr>
        <w:t>5, along a matrix of inputs, the end state concentration of S to total plankton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analogues) in the system is calculated. Thus, when P outcompetes S due to nutrient affinity, the fraction is 0 and the graph</w:t>
      </w:r>
      <w:r w:rsidR="0008676D">
        <w:rPr>
          <w:rFonts w:ascii="Times New Roman" w:hAnsi="Times New Roman" w:cs="Times New Roman"/>
          <w:sz w:val="24"/>
          <w:szCs w:val="24"/>
        </w:rPr>
        <w:t xml:space="preserve"> is </w:t>
      </w:r>
      <w:r w:rsidRPr="003609FB">
        <w:rPr>
          <w:rFonts w:ascii="Times New Roman" w:hAnsi="Times New Roman" w:cs="Times New Roman"/>
          <w:sz w:val="24"/>
          <w:szCs w:val="24"/>
        </w:rPr>
        <w:t xml:space="preserve">green. When S wins due to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killing P, the fraction equals 1 and the graph is yellow. Despite </w:t>
      </w:r>
      <w:r w:rsidR="00916B57" w:rsidRPr="003609FB">
        <w:rPr>
          <w:rFonts w:ascii="Times New Roman" w:hAnsi="Times New Roman" w:cs="Times New Roman"/>
          <w:sz w:val="24"/>
          <w:szCs w:val="24"/>
        </w:rPr>
        <w:t xml:space="preserve">a </w:t>
      </w:r>
      <w:r w:rsidRPr="003609FB">
        <w:rPr>
          <w:rFonts w:ascii="Times New Roman" w:hAnsi="Times New Roman" w:cs="Times New Roman"/>
          <w:sz w:val="24"/>
          <w:szCs w:val="24"/>
        </w:rPr>
        <w:t>wide range of starting parameter values (S</w:t>
      </w:r>
      <w:r w:rsidRPr="00B2753F">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and S</w:t>
      </w:r>
      <w:r w:rsidRPr="00B2753F">
        <w:rPr>
          <w:rFonts w:ascii="Times New Roman" w:hAnsi="Times New Roman" w:cs="Times New Roman"/>
          <w:sz w:val="24"/>
          <w:szCs w:val="24"/>
          <w:vertAlign w:val="subscript"/>
        </w:rPr>
        <w:t>N</w:t>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competition has only two options for outcome </w:t>
      </w:r>
      <w:r w:rsidR="00916B57" w:rsidRPr="003609FB">
        <w:rPr>
          <w:rFonts w:ascii="Times New Roman" w:hAnsi="Times New Roman" w:cs="Times New Roman"/>
          <w:sz w:val="24"/>
          <w:szCs w:val="24"/>
        </w:rPr>
        <w:t xml:space="preserve">within this </w:t>
      </w:r>
      <w:r w:rsidR="0008676D">
        <w:rPr>
          <w:rFonts w:ascii="Times New Roman" w:hAnsi="Times New Roman" w:cs="Times New Roman"/>
          <w:sz w:val="24"/>
          <w:szCs w:val="24"/>
        </w:rPr>
        <w:t xml:space="preserve">non-leaky </w:t>
      </w:r>
      <w:r w:rsidR="00916B57" w:rsidRPr="003609FB">
        <w:rPr>
          <w:rFonts w:ascii="Times New Roman" w:hAnsi="Times New Roman" w:cs="Times New Roman"/>
          <w:sz w:val="24"/>
          <w:szCs w:val="24"/>
        </w:rPr>
        <w:t>model framework</w:t>
      </w:r>
      <w:r w:rsidRPr="003609FB">
        <w:rPr>
          <w:rFonts w:ascii="Times New Roman" w:hAnsi="Times New Roman" w:cs="Times New Roman"/>
          <w:sz w:val="24"/>
          <w:szCs w:val="24"/>
        </w:rPr>
        <w:t xml:space="preserve">. Either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kills off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916B57" w:rsidRPr="003609FB">
        <w:rPr>
          <w:rFonts w:ascii="Times New Roman" w:hAnsi="Times New Roman" w:cs="Times New Roman"/>
          <w:sz w:val="24"/>
          <w:szCs w:val="24"/>
        </w:rPr>
        <w:t>when</w:t>
      </w:r>
      <w:r w:rsidRPr="003609FB">
        <w:rPr>
          <w:rFonts w:ascii="Times New Roman" w:hAnsi="Times New Roman" w:cs="Times New Roman"/>
          <w:sz w:val="24"/>
          <w:szCs w:val="24"/>
        </w:rPr>
        <w:t xml:space="preserve"> </w:t>
      </w:r>
      <w:r w:rsidR="00916B57" w:rsidRPr="003609FB">
        <w:rPr>
          <w:rFonts w:ascii="Times New Roman" w:hAnsi="Times New Roman" w:cs="Times New Roman"/>
          <w:sz w:val="24"/>
          <w:szCs w:val="24"/>
        </w:rPr>
        <w:t>N is too limited for S to survive</w:t>
      </w:r>
      <w:r w:rsidRPr="003609FB">
        <w:rPr>
          <w:rFonts w:ascii="Times New Roman" w:hAnsi="Times New Roman" w:cs="Times New Roman"/>
          <w:sz w:val="24"/>
          <w:szCs w:val="24"/>
        </w:rPr>
        <w:t xml:space="preserve"> 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too high 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to survive</w:t>
      </w:r>
      <w:r w:rsidR="00916B57" w:rsidRPr="003609FB">
        <w:rPr>
          <w:rFonts w:ascii="Times New Roman" w:hAnsi="Times New Roman" w:cs="Times New Roman"/>
          <w:sz w:val="24"/>
          <w:szCs w:val="24"/>
        </w:rPr>
        <w:t>. Thus</w:t>
      </w:r>
      <w:r w:rsidR="00A12D85" w:rsidRPr="003609FB">
        <w:rPr>
          <w:rFonts w:ascii="Times New Roman" w:hAnsi="Times New Roman" w:cs="Times New Roman"/>
          <w:sz w:val="24"/>
          <w:szCs w:val="24"/>
        </w:rPr>
        <w:t>,</w:t>
      </w:r>
      <w:r w:rsidR="00205DA6"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AA7F3F">
        <w:rPr>
          <w:rFonts w:ascii="Times New Roman" w:hAnsi="Times New Roman" w:cs="Times New Roman"/>
          <w:i/>
          <w:iCs/>
          <w:sz w:val="24"/>
          <w:szCs w:val="24"/>
        </w:rPr>
        <w:t xml:space="preserve"> (P)</w:t>
      </w:r>
      <w:r w:rsidR="00691B65" w:rsidRPr="003609FB">
        <w:rPr>
          <w:rFonts w:ascii="Times New Roman" w:hAnsi="Times New Roman" w:cs="Times New Roman"/>
          <w:sz w:val="24"/>
          <w:szCs w:val="24"/>
        </w:rPr>
        <w:t xml:space="preserve"> </w:t>
      </w:r>
      <w:r w:rsidR="00916B57" w:rsidRPr="003609FB">
        <w:rPr>
          <w:rFonts w:ascii="Times New Roman" w:hAnsi="Times New Roman" w:cs="Times New Roman"/>
          <w:sz w:val="24"/>
          <w:szCs w:val="24"/>
        </w:rPr>
        <w:t xml:space="preserve">or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AA7F3F">
        <w:rPr>
          <w:rFonts w:ascii="Times New Roman" w:hAnsi="Times New Roman" w:cs="Times New Roman"/>
          <w:sz w:val="24"/>
          <w:szCs w:val="24"/>
        </w:rPr>
        <w:t xml:space="preserve">(S) </w:t>
      </w:r>
      <w:r w:rsidRPr="003609FB">
        <w:rPr>
          <w:rFonts w:ascii="Times New Roman" w:hAnsi="Times New Roman" w:cs="Times New Roman"/>
          <w:sz w:val="24"/>
          <w:szCs w:val="24"/>
        </w:rPr>
        <w:t xml:space="preserve">alone </w:t>
      </w:r>
      <w:r w:rsidR="0008676D">
        <w:rPr>
          <w:rFonts w:ascii="Times New Roman" w:hAnsi="Times New Roman" w:cs="Times New Roman"/>
          <w:sz w:val="24"/>
          <w:szCs w:val="24"/>
        </w:rPr>
        <w:t xml:space="preserve">can </w:t>
      </w:r>
      <w:r w:rsidRPr="003609FB">
        <w:rPr>
          <w:rFonts w:ascii="Times New Roman" w:hAnsi="Times New Roman" w:cs="Times New Roman"/>
          <w:sz w:val="24"/>
          <w:szCs w:val="24"/>
        </w:rPr>
        <w:t xml:space="preserve">grow on the </w:t>
      </w:r>
      <w:r w:rsidR="00AA7F3F">
        <w:rPr>
          <w:rFonts w:ascii="Times New Roman" w:hAnsi="Times New Roman" w:cs="Times New Roman"/>
          <w:sz w:val="24"/>
          <w:szCs w:val="24"/>
        </w:rPr>
        <w:t>ammonium (</w:t>
      </w:r>
      <w:r w:rsidRPr="003609FB">
        <w:rPr>
          <w:rFonts w:ascii="Times New Roman" w:hAnsi="Times New Roman" w:cs="Times New Roman"/>
          <w:sz w:val="24"/>
          <w:szCs w:val="24"/>
        </w:rPr>
        <w:t>N</w:t>
      </w:r>
      <w:r w:rsidR="00AA7F3F">
        <w:rPr>
          <w:rFonts w:ascii="Times New Roman" w:hAnsi="Times New Roman" w:cs="Times New Roman"/>
          <w:sz w:val="24"/>
          <w:szCs w:val="24"/>
        </w:rPr>
        <w:t>)</w:t>
      </w:r>
      <w:r w:rsidRPr="003609FB">
        <w:rPr>
          <w:rFonts w:ascii="Times New Roman" w:hAnsi="Times New Roman" w:cs="Times New Roman"/>
          <w:sz w:val="24"/>
          <w:szCs w:val="24"/>
        </w:rPr>
        <w:t xml:space="preserve"> of </w:t>
      </w:r>
      <w:r w:rsidR="0008676D">
        <w:rPr>
          <w:rFonts w:ascii="Times New Roman" w:hAnsi="Times New Roman" w:cs="Times New Roman"/>
          <w:sz w:val="24"/>
          <w:szCs w:val="24"/>
        </w:rPr>
        <w:t xml:space="preserve">a non-leaky ocean </w:t>
      </w:r>
      <w:r w:rsidRPr="003609FB">
        <w:rPr>
          <w:rFonts w:ascii="Times New Roman" w:hAnsi="Times New Roman" w:cs="Times New Roman"/>
          <w:sz w:val="24"/>
          <w:szCs w:val="24"/>
        </w:rPr>
        <w:t xml:space="preserve">system. There is no coexistence found under this </w:t>
      </w:r>
      <w:r w:rsidR="00B9790D">
        <w:rPr>
          <w:rFonts w:ascii="Times New Roman" w:hAnsi="Times New Roman" w:cs="Times New Roman"/>
          <w:sz w:val="24"/>
          <w:szCs w:val="24"/>
        </w:rPr>
        <w:t xml:space="preserve">single nutrient </w:t>
      </w:r>
      <w:r w:rsidR="004B7844">
        <w:rPr>
          <w:rFonts w:ascii="Times New Roman" w:hAnsi="Times New Roman" w:cs="Times New Roman"/>
          <w:sz w:val="24"/>
          <w:szCs w:val="24"/>
        </w:rPr>
        <w:t>regime</w:t>
      </w:r>
      <w:r w:rsidR="00916B57" w:rsidRPr="003609FB">
        <w:rPr>
          <w:rFonts w:ascii="Times New Roman" w:hAnsi="Times New Roman" w:cs="Times New Roman"/>
          <w:sz w:val="24"/>
          <w:szCs w:val="24"/>
        </w:rPr>
        <w:t>.</w:t>
      </w:r>
    </w:p>
    <w:p w14:paraId="2DFED54A" w14:textId="77777777" w:rsidR="00CC6FC0" w:rsidRDefault="00CC6FC0" w:rsidP="00CC6FC0">
      <w:pPr>
        <w:pStyle w:val="Heading3"/>
        <w:spacing w:line="360" w:lineRule="auto"/>
      </w:pPr>
      <w:bookmarkStart w:id="51" w:name="_Toc173250036"/>
      <w:r w:rsidRPr="003609FB">
        <w:t xml:space="preserve">Leaky dynamics including </w:t>
      </w:r>
      <w:proofErr w:type="spellStart"/>
      <w:r w:rsidRPr="00691B65">
        <w:rPr>
          <w:i/>
          <w:iCs/>
        </w:rPr>
        <w:t>Synechococcus</w:t>
      </w:r>
      <w:proofErr w:type="spellEnd"/>
      <w:r w:rsidRPr="003609FB">
        <w:t xml:space="preserve"> detoxification</w:t>
      </w:r>
      <w:bookmarkEnd w:id="51"/>
    </w:p>
    <w:p w14:paraId="245F4D3A" w14:textId="77751BDB" w:rsidR="00CC6FC0" w:rsidRPr="003609FB" w:rsidRDefault="00CC6FC0" w:rsidP="00CC6FC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‘leaky case’ of our model involving only </w:t>
      </w:r>
      <w:proofErr w:type="spellStart"/>
      <w:r w:rsidRPr="004B7844">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3609FB">
        <w:rPr>
          <w:rFonts w:ascii="Times New Roman" w:hAnsi="Times New Roman" w:cs="Times New Roman"/>
          <w:sz w:val="24"/>
          <w:szCs w:val="24"/>
        </w:rPr>
        <w:t>S</w:t>
      </w:r>
      <w:r>
        <w:rPr>
          <w:rFonts w:ascii="Times New Roman" w:hAnsi="Times New Roman" w:cs="Times New Roman"/>
          <w:sz w:val="24"/>
          <w:szCs w:val="24"/>
        </w:rPr>
        <w:t>) cell-based</w:t>
      </w:r>
      <w:r w:rsidRPr="003609FB">
        <w:rPr>
          <w:rFonts w:ascii="Times New Roman" w:hAnsi="Times New Roman" w:cs="Times New Roman"/>
          <w:sz w:val="24"/>
          <w:szCs w:val="24"/>
        </w:rPr>
        <w:t xml:space="preserve"> detoxification </w:t>
      </w:r>
      <w:r>
        <w:rPr>
          <w:rFonts w:ascii="Times New Roman" w:hAnsi="Times New Roman" w:cs="Times New Roman"/>
          <w:sz w:val="24"/>
          <w:szCs w:val="24"/>
        </w:rPr>
        <w:t>of</w:t>
      </w:r>
      <w:r w:rsidRPr="004B7844">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3609FB">
        <w:rPr>
          <w:rFonts w:ascii="Times New Roman" w:hAnsi="Times New Roman" w:cs="Times New Roman"/>
          <w:sz w:val="24"/>
          <w:szCs w:val="24"/>
        </w:rPr>
        <w:t>is evaluated in Figure 3.6 dynamically.</w:t>
      </w:r>
      <w:r>
        <w:rPr>
          <w:rFonts w:ascii="Times New Roman" w:hAnsi="Times New Roman" w:cs="Times New Roman"/>
          <w:sz w:val="24"/>
          <w:szCs w:val="24"/>
        </w:rPr>
        <w:t xml:space="preserve"> This mirrors known dynamics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easily flowing across cellular membranes, meaning that if a cell increases or decreases their internal concentration, the extracellular concentrations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4B7844">
        <w:rPr>
          <w:rFonts w:ascii="Times New Roman" w:hAnsi="Times New Roman" w:cs="Times New Roman"/>
          <w:sz w:val="24"/>
          <w:szCs w:val="24"/>
        </w:rPr>
        <w:t>will be impacted</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as well. </w:t>
      </w:r>
      <w:r w:rsidRPr="003609FB">
        <w:rPr>
          <w:rFonts w:ascii="Times New Roman" w:hAnsi="Times New Roman" w:cs="Times New Roman"/>
          <w:sz w:val="24"/>
          <w:szCs w:val="24"/>
        </w:rPr>
        <w:t>This exploration of community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shows the combination of nutrient competition and innate leakiness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w:t>
      </w:r>
      <w:r>
        <w:rPr>
          <w:rFonts w:ascii="Times New Roman" w:hAnsi="Times New Roman" w:cs="Times New Roman"/>
          <w:sz w:val="24"/>
          <w:szCs w:val="24"/>
        </w:rPr>
        <w:t xml:space="preserve"> that results in</w:t>
      </w:r>
      <w:r w:rsidRPr="003609FB">
        <w:rPr>
          <w:rFonts w:ascii="Times New Roman" w:hAnsi="Times New Roman" w:cs="Times New Roman"/>
          <w:sz w:val="24"/>
          <w:szCs w:val="24"/>
        </w:rPr>
        <w:t xml:space="preserve"> a coexistent dynamic with a steady state coexistence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around their respective N*s in the equilibria.</w:t>
      </w:r>
      <w:r>
        <w:rPr>
          <w:rFonts w:ascii="Times New Roman" w:hAnsi="Times New Roman" w:cs="Times New Roman"/>
          <w:sz w:val="24"/>
          <w:szCs w:val="24"/>
        </w:rPr>
        <w:t xml:space="preserve"> N*s is the nutrient concertation that gives replacement numbers for </w:t>
      </w:r>
      <w:proofErr w:type="spellStart"/>
      <w:r w:rsidRPr="00D1687A">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3609FB">
        <w:rPr>
          <w:rFonts w:ascii="Times New Roman" w:hAnsi="Times New Roman" w:cs="Times New Roman"/>
          <w:sz w:val="24"/>
          <w:szCs w:val="24"/>
        </w:rPr>
        <w:t>N*</w:t>
      </w:r>
      <w:r>
        <w:rPr>
          <w:rFonts w:ascii="Times New Roman" w:hAnsi="Times New Roman" w:cs="Times New Roman"/>
          <w:sz w:val="24"/>
          <w:szCs w:val="24"/>
        </w:rPr>
        <w:t xml:space="preserve">p likewise is the nutrient concentration for </w:t>
      </w:r>
      <w:r w:rsidRPr="00D1687A">
        <w:rPr>
          <w:rFonts w:ascii="Times" w:hAnsi="Times" w:cs="Times New Roman"/>
          <w:i/>
          <w:iCs/>
          <w:color w:val="000000" w:themeColor="text1"/>
          <w:sz w:val="24"/>
          <w:szCs w:val="24"/>
        </w:rPr>
        <w:t>Prochlorococcus</w:t>
      </w:r>
      <w:r>
        <w:rPr>
          <w:rFonts w:ascii="Times New Roman" w:hAnsi="Times New Roman" w:cs="Times New Roman"/>
          <w:sz w:val="24"/>
          <w:szCs w:val="24"/>
        </w:rPr>
        <w:t xml:space="preserve"> to have replacement numbers possible </w:t>
      </w:r>
      <w:r w:rsidRPr="00D1687A">
        <w:rPr>
          <w:rFonts w:ascii="Times New Roman" w:hAnsi="Times New Roman" w:cs="Times New Roman"/>
          <w:i/>
          <w:iCs/>
          <w:sz w:val="24"/>
          <w:szCs w:val="24"/>
        </w:rPr>
        <w:t>in situ</w:t>
      </w:r>
      <w:r>
        <w:rPr>
          <w:rFonts w:ascii="Times New Roman" w:hAnsi="Times New Roman" w:cs="Times New Roman"/>
          <w:sz w:val="24"/>
          <w:szCs w:val="24"/>
        </w:rPr>
        <w:t xml:space="preserve">. The nutrient acquisition ability of </w:t>
      </w:r>
      <w:r w:rsidRPr="00D1687A">
        <w:rPr>
          <w:rFonts w:ascii="Times" w:hAnsi="Times" w:cs="Times New Roman"/>
          <w:i/>
          <w:iCs/>
          <w:color w:val="000000" w:themeColor="text1"/>
          <w:sz w:val="24"/>
          <w:szCs w:val="24"/>
        </w:rPr>
        <w:t>Prochlorococcus</w:t>
      </w:r>
      <w:r>
        <w:rPr>
          <w:rFonts w:ascii="Times New Roman" w:hAnsi="Times New Roman" w:cs="Times New Roman"/>
          <w:sz w:val="24"/>
          <w:szCs w:val="24"/>
        </w:rPr>
        <w:t xml:space="preserve"> and </w:t>
      </w:r>
      <w:proofErr w:type="spellStart"/>
      <w:r w:rsidRPr="00D1687A">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determine these equilibria N* values and thus we can use our framework to compare dynamics prediction to mathematically tabulated equilibria. (See Appendix B for full equilibria calculations.) </w:t>
      </w:r>
    </w:p>
    <w:p w14:paraId="3FD6D28F" w14:textId="772261AA" w:rsidR="003B4EB2" w:rsidRPr="003609FB" w:rsidRDefault="003B4EB2" w:rsidP="00CC6FC0">
      <w:pPr>
        <w:spacing w:line="360" w:lineRule="auto"/>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138AB" w:rsidRPr="003609FB" w14:paraId="611174C2" w14:textId="77777777" w:rsidTr="00A43D25">
        <w:trPr>
          <w:trHeight w:val="269"/>
        </w:trPr>
        <w:tc>
          <w:tcPr>
            <w:tcW w:w="9350" w:type="dxa"/>
          </w:tcPr>
          <w:p w14:paraId="53E05B0A" w14:textId="4D3A55D1" w:rsidR="00E138AB" w:rsidRPr="003609FB" w:rsidRDefault="00E138AB" w:rsidP="00AB2160">
            <w:pPr>
              <w:spacing w:line="360" w:lineRule="auto"/>
              <w:rPr>
                <w:rFonts w:ascii="Times New Roman" w:hAnsi="Times New Roman" w:cs="Times New Roman"/>
                <w:sz w:val="24"/>
                <w:szCs w:val="24"/>
              </w:rPr>
            </w:pPr>
          </w:p>
        </w:tc>
      </w:tr>
      <w:tr w:rsidR="00E138AB" w:rsidRPr="003609FB" w14:paraId="39C12F4B" w14:textId="77777777" w:rsidTr="00A43D25">
        <w:tc>
          <w:tcPr>
            <w:tcW w:w="9350" w:type="dxa"/>
          </w:tcPr>
          <w:p w14:paraId="5B03BEF2" w14:textId="0BD9330B" w:rsidR="00E138AB" w:rsidRPr="003609FB" w:rsidRDefault="005743D3" w:rsidP="00AB2160">
            <w:pPr>
              <w:spacing w:line="360" w:lineRule="auto"/>
              <w:rPr>
                <w:rFonts w:ascii="Times New Roman" w:hAnsi="Times New Roman" w:cs="Times New Roman"/>
                <w:sz w:val="24"/>
                <w:szCs w:val="24"/>
              </w:rPr>
            </w:pPr>
            <w:r w:rsidRPr="005743D3">
              <w:rPr>
                <w:rFonts w:ascii="Times New Roman" w:hAnsi="Times New Roman" w:cs="Times New Roman"/>
                <w:noProof/>
                <w:sz w:val="24"/>
                <w:szCs w:val="24"/>
              </w:rPr>
              <w:drawing>
                <wp:inline distT="0" distB="0" distL="0" distR="0" wp14:anchorId="2687D289" wp14:editId="43A4ABAF">
                  <wp:extent cx="5943600" cy="3566160"/>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566160"/>
                          </a:xfrm>
                          <a:prstGeom prst="rect">
                            <a:avLst/>
                          </a:prstGeom>
                        </pic:spPr>
                      </pic:pic>
                    </a:graphicData>
                  </a:graphic>
                </wp:inline>
              </w:drawing>
            </w:r>
          </w:p>
        </w:tc>
      </w:tr>
      <w:tr w:rsidR="00E138AB" w:rsidRPr="003609FB" w14:paraId="0E39CF93" w14:textId="77777777" w:rsidTr="00A43D25">
        <w:tc>
          <w:tcPr>
            <w:tcW w:w="9350" w:type="dxa"/>
          </w:tcPr>
          <w:p w14:paraId="434020DE" w14:textId="77ACE514" w:rsidR="00E138AB" w:rsidRPr="003609FB" w:rsidRDefault="00E138AB" w:rsidP="00AB2160">
            <w:pPr>
              <w:keepNext/>
              <w:spacing w:line="360" w:lineRule="auto"/>
              <w:rPr>
                <w:rFonts w:ascii="Times New Roman" w:hAnsi="Times New Roman" w:cs="Times New Roman"/>
                <w:sz w:val="24"/>
                <w:szCs w:val="24"/>
              </w:rPr>
            </w:pPr>
          </w:p>
        </w:tc>
      </w:tr>
    </w:tbl>
    <w:p w14:paraId="08FED9AE" w14:textId="717DC853" w:rsidR="00DB63A1" w:rsidRDefault="00DB63A1" w:rsidP="00511118">
      <w:pPr>
        <w:pStyle w:val="Caption"/>
      </w:pPr>
      <w:bookmarkStart w:id="52" w:name="_Toc173148381"/>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4</w:t>
      </w:r>
      <w:r w:rsidR="00000000">
        <w:rPr>
          <w:noProof/>
        </w:rPr>
        <w:fldChar w:fldCharType="end"/>
      </w:r>
      <w:r>
        <w:t xml:space="preserve"> </w:t>
      </w:r>
      <w:r w:rsidRPr="00D868EF">
        <w:t xml:space="preserve">Dynamics of </w:t>
      </w:r>
      <w:r w:rsidRPr="00DB63A1">
        <w:rPr>
          <w:i/>
          <w:iCs/>
        </w:rPr>
        <w:t>Prochlorococcus</w:t>
      </w:r>
      <w:r w:rsidRPr="00D868EF">
        <w:t xml:space="preserve"> and </w:t>
      </w:r>
      <w:proofErr w:type="spellStart"/>
      <w:r w:rsidRPr="00DB63A1">
        <w:rPr>
          <w:i/>
          <w:iCs/>
        </w:rPr>
        <w:t>Synechococcus</w:t>
      </w:r>
      <w:proofErr w:type="spellEnd"/>
      <w:r w:rsidRPr="00DB63A1">
        <w:rPr>
          <w:i/>
          <w:iCs/>
        </w:rPr>
        <w:t xml:space="preserve"> </w:t>
      </w:r>
      <w:r w:rsidRPr="00D868EF">
        <w:t xml:space="preserve">in non-leaky </w:t>
      </w:r>
      <w:r w:rsidR="00F52F1E" w:rsidRPr="003609FB">
        <w:t>H</w:t>
      </w:r>
      <w:r w:rsidR="00F52F1E" w:rsidRPr="00351FC4">
        <w:rPr>
          <w:vertAlign w:val="subscript"/>
        </w:rPr>
        <w:t>2</w:t>
      </w:r>
      <w:r w:rsidR="00F52F1E" w:rsidRPr="003609FB">
        <w:t>O</w:t>
      </w:r>
      <w:r w:rsidR="00F52F1E" w:rsidRPr="00351FC4">
        <w:rPr>
          <w:vertAlign w:val="subscript"/>
        </w:rPr>
        <w:t>2</w:t>
      </w:r>
      <w:r w:rsidRPr="00D868EF">
        <w:t xml:space="preserve"> world</w:t>
      </w:r>
      <w:bookmarkEnd w:id="52"/>
    </w:p>
    <w:p w14:paraId="69C6B516" w14:textId="18F9FE35" w:rsidR="00E138AB" w:rsidRPr="003609FB" w:rsidRDefault="00DB63A1"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The top graph depicts the dynamic model solutions for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 abundances in solid green or yellow lines as predicted with steady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input into solution. Steady state solutions for said models are visualized in dotted lines on the same axes. The middle plot shows the modeled nutrient concentration over time for the dynamics (solid) and steady state (dotted) purple lines. The bottom plot shows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over time.</w:t>
      </w:r>
    </w:p>
    <w:p w14:paraId="071E0A47" w14:textId="77777777" w:rsidR="00E138AB" w:rsidRDefault="00E138AB" w:rsidP="00AB2160">
      <w:pPr>
        <w:spacing w:line="360" w:lineRule="auto"/>
        <w:rPr>
          <w:rFonts w:ascii="Times New Roman" w:hAnsi="Times New Roman" w:cs="Times New Roman"/>
          <w:sz w:val="24"/>
          <w:szCs w:val="24"/>
        </w:rPr>
      </w:pPr>
    </w:p>
    <w:p w14:paraId="267CEDE2" w14:textId="77777777" w:rsidR="00E138AB" w:rsidRDefault="00E138AB" w:rsidP="00AB2160">
      <w:pPr>
        <w:spacing w:line="360" w:lineRule="auto"/>
        <w:rPr>
          <w:rFonts w:ascii="Times New Roman" w:hAnsi="Times New Roman" w:cs="Times New Roman"/>
          <w:sz w:val="24"/>
          <w:szCs w:val="24"/>
        </w:rPr>
      </w:pPr>
    </w:p>
    <w:p w14:paraId="21BEB166" w14:textId="77777777" w:rsidR="00E138AB" w:rsidRPr="003609FB" w:rsidRDefault="00E138AB" w:rsidP="00AB2160">
      <w:pPr>
        <w:spacing w:line="360" w:lineRule="auto"/>
        <w:rPr>
          <w:rFonts w:ascii="Times New Roman" w:hAnsi="Times New Roman" w:cs="Times New Roman"/>
          <w:sz w:val="24"/>
          <w:szCs w:val="24"/>
        </w:rPr>
      </w:pPr>
    </w:p>
    <w:p w14:paraId="2BA855AC" w14:textId="77777777" w:rsidR="00E138AB" w:rsidRPr="003609FB" w:rsidRDefault="00E138AB" w:rsidP="00AB2160">
      <w:pPr>
        <w:spacing w:line="360" w:lineRule="auto"/>
        <w:rPr>
          <w:rFonts w:ascii="Times New Roman" w:hAnsi="Times New Roman" w:cs="Times New Roman"/>
          <w:sz w:val="24"/>
          <w:szCs w:val="24"/>
        </w:rPr>
      </w:pPr>
    </w:p>
    <w:p w14:paraId="73EB6320" w14:textId="77777777" w:rsidR="00E138AB" w:rsidRPr="003609FB" w:rsidRDefault="00E138AB" w:rsidP="00AB2160">
      <w:pPr>
        <w:spacing w:line="360" w:lineRule="auto"/>
        <w:rPr>
          <w:rFonts w:ascii="Times New Roman" w:hAnsi="Times New Roman" w:cs="Times New Roman"/>
          <w:sz w:val="24"/>
          <w:szCs w:val="24"/>
        </w:rPr>
      </w:pP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138AB" w:rsidRPr="003609FB" w14:paraId="3B4BAC2E" w14:textId="77777777" w:rsidTr="00A43D25">
        <w:trPr>
          <w:trHeight w:val="269"/>
        </w:trPr>
        <w:tc>
          <w:tcPr>
            <w:tcW w:w="9360" w:type="dxa"/>
          </w:tcPr>
          <w:p w14:paraId="2846B2F2" w14:textId="6A7CD414" w:rsidR="00E138AB" w:rsidRPr="003609FB" w:rsidRDefault="00C44EA5" w:rsidP="00D957FE">
            <w:pPr>
              <w:spacing w:line="360" w:lineRule="auto"/>
              <w:jc w:val="center"/>
              <w:rPr>
                <w:rFonts w:ascii="Times New Roman" w:hAnsi="Times New Roman" w:cs="Times New Roman"/>
                <w:sz w:val="24"/>
                <w:szCs w:val="24"/>
              </w:rPr>
            </w:pPr>
            <w:r w:rsidRPr="00C44EA5">
              <w:rPr>
                <w:rFonts w:ascii="Times New Roman" w:hAnsi="Times New Roman" w:cs="Times New Roman"/>
                <w:noProof/>
                <w:sz w:val="24"/>
                <w:szCs w:val="24"/>
              </w:rPr>
              <w:drawing>
                <wp:inline distT="0" distB="0" distL="0" distR="0" wp14:anchorId="51E0EA37" wp14:editId="71F922BA">
                  <wp:extent cx="5250873" cy="4449966"/>
                  <wp:effectExtent l="0" t="0" r="0" b="0"/>
                  <wp:docPr id="2059388824" name="Picture 205938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5829" t="7866" r="11643" b="4709"/>
                          <a:stretch/>
                        </pic:blipFill>
                        <pic:spPr bwMode="auto">
                          <a:xfrm>
                            <a:off x="0" y="0"/>
                            <a:ext cx="5253970" cy="4452590"/>
                          </a:xfrm>
                          <a:prstGeom prst="rect">
                            <a:avLst/>
                          </a:prstGeom>
                          <a:ln>
                            <a:noFill/>
                          </a:ln>
                          <a:extLst>
                            <a:ext uri="{53640926-AAD7-44D8-BBD7-CCE9431645EC}">
                              <a14:shadowObscured xmlns:a14="http://schemas.microsoft.com/office/drawing/2010/main"/>
                            </a:ext>
                          </a:extLst>
                        </pic:spPr>
                      </pic:pic>
                    </a:graphicData>
                  </a:graphic>
                </wp:inline>
              </w:drawing>
            </w:r>
          </w:p>
        </w:tc>
      </w:tr>
      <w:tr w:rsidR="00E138AB" w:rsidRPr="003609FB" w14:paraId="25169FC1" w14:textId="77777777" w:rsidTr="00A43D25">
        <w:tc>
          <w:tcPr>
            <w:tcW w:w="9360" w:type="dxa"/>
          </w:tcPr>
          <w:p w14:paraId="1F94A8A6" w14:textId="44180D1C" w:rsidR="00E138AB" w:rsidRPr="003609FB" w:rsidRDefault="00E138AB" w:rsidP="00AB2160">
            <w:pPr>
              <w:keepNext/>
              <w:spacing w:line="360" w:lineRule="auto"/>
              <w:rPr>
                <w:rFonts w:ascii="Times New Roman" w:hAnsi="Times New Roman" w:cs="Times New Roman"/>
                <w:sz w:val="24"/>
                <w:szCs w:val="24"/>
              </w:rPr>
            </w:pPr>
          </w:p>
        </w:tc>
      </w:tr>
    </w:tbl>
    <w:p w14:paraId="1465479D" w14:textId="2114338C" w:rsidR="00DB63A1" w:rsidRDefault="00DB63A1" w:rsidP="00511118">
      <w:pPr>
        <w:pStyle w:val="Caption"/>
      </w:pPr>
      <w:bookmarkStart w:id="53" w:name="_Toc173148382"/>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5</w:t>
      </w:r>
      <w:r w:rsidR="00000000">
        <w:rPr>
          <w:noProof/>
        </w:rPr>
        <w:fldChar w:fldCharType="end"/>
      </w:r>
      <w:r>
        <w:t xml:space="preserve"> </w:t>
      </w:r>
      <w:r w:rsidRPr="00E214E9">
        <w:t>Evaluation of non-leaky model dynamics across a range of S</w:t>
      </w:r>
      <w:r w:rsidRPr="00EA58CC">
        <w:rPr>
          <w:vertAlign w:val="subscript"/>
        </w:rPr>
        <w:t>H</w:t>
      </w:r>
      <w:r w:rsidRPr="00E214E9">
        <w:t xml:space="preserve"> and S</w:t>
      </w:r>
      <w:r w:rsidRPr="00EA58CC">
        <w:rPr>
          <w:vertAlign w:val="subscript"/>
        </w:rPr>
        <w:t>N</w:t>
      </w:r>
      <w:bookmarkEnd w:id="53"/>
    </w:p>
    <w:p w14:paraId="5B55D410" w14:textId="64540435" w:rsidR="00DB63A1" w:rsidRDefault="00DB63A1"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Non-leaky contour map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competition outcomes across nutrient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inputs. Dark green represents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dominated (end state) competition via exclusion while </w:t>
      </w:r>
      <w:r w:rsidR="004B7844">
        <w:rPr>
          <w:rFonts w:ascii="Times New Roman" w:hAnsi="Times New Roman" w:cs="Times New Roman"/>
          <w:sz w:val="24"/>
          <w:szCs w:val="24"/>
        </w:rPr>
        <w:t xml:space="preserve">bright </w:t>
      </w:r>
      <w:r w:rsidRPr="003609FB">
        <w:rPr>
          <w:rFonts w:ascii="Times New Roman" w:hAnsi="Times New Roman" w:cs="Times New Roman"/>
          <w:sz w:val="24"/>
          <w:szCs w:val="24"/>
        </w:rPr>
        <w:t xml:space="preserve">yellow represents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 dominated competitive exclusion. </w:t>
      </w:r>
      <w:r w:rsidR="004B7844">
        <w:rPr>
          <w:rFonts w:ascii="Times New Roman" w:hAnsi="Times New Roman" w:cs="Times New Roman"/>
          <w:sz w:val="24"/>
          <w:szCs w:val="24"/>
        </w:rPr>
        <w:t xml:space="preserve">There is no </w:t>
      </w:r>
      <w:proofErr w:type="gramStart"/>
      <w:r w:rsidR="004B7844">
        <w:rPr>
          <w:rFonts w:ascii="Times New Roman" w:hAnsi="Times New Roman" w:cs="Times New Roman"/>
          <w:sz w:val="24"/>
          <w:szCs w:val="24"/>
        </w:rPr>
        <w:t>yellow-green</w:t>
      </w:r>
      <w:proofErr w:type="gramEnd"/>
      <w:r w:rsidR="004B7844">
        <w:rPr>
          <w:rFonts w:ascii="Times New Roman" w:hAnsi="Times New Roman" w:cs="Times New Roman"/>
          <w:sz w:val="24"/>
          <w:szCs w:val="24"/>
        </w:rPr>
        <w:t xml:space="preserve"> here</w:t>
      </w:r>
      <w:r w:rsidR="003F2DAA">
        <w:rPr>
          <w:rFonts w:ascii="Times New Roman" w:hAnsi="Times New Roman" w:cs="Times New Roman"/>
          <w:sz w:val="24"/>
          <w:szCs w:val="24"/>
        </w:rPr>
        <w:t>,</w:t>
      </w:r>
      <w:r w:rsidR="004B7844">
        <w:rPr>
          <w:rFonts w:ascii="Times New Roman" w:hAnsi="Times New Roman" w:cs="Times New Roman"/>
          <w:sz w:val="24"/>
          <w:szCs w:val="24"/>
        </w:rPr>
        <w:t xml:space="preserve"> meaning only </w:t>
      </w:r>
      <w:r w:rsidR="004B7844" w:rsidRPr="004B7844">
        <w:rPr>
          <w:rFonts w:ascii="Times" w:hAnsi="Times" w:cs="Times New Roman"/>
          <w:i/>
          <w:iCs/>
          <w:color w:val="000000" w:themeColor="text1"/>
          <w:sz w:val="24"/>
          <w:szCs w:val="24"/>
        </w:rPr>
        <w:t>Prochlorococcus</w:t>
      </w:r>
      <w:r w:rsidR="004B7844">
        <w:rPr>
          <w:rFonts w:ascii="Times New Roman" w:hAnsi="Times New Roman" w:cs="Times New Roman"/>
          <w:sz w:val="24"/>
          <w:szCs w:val="24"/>
        </w:rPr>
        <w:t xml:space="preserve"> or </w:t>
      </w:r>
      <w:proofErr w:type="spellStart"/>
      <w:r w:rsidR="004B7844" w:rsidRPr="004B7844">
        <w:rPr>
          <w:rFonts w:ascii="Times" w:hAnsi="Times" w:cs="Times New Roman"/>
          <w:i/>
          <w:iCs/>
          <w:color w:val="000000" w:themeColor="text1"/>
          <w:sz w:val="24"/>
          <w:szCs w:val="24"/>
        </w:rPr>
        <w:t>Synechococcus</w:t>
      </w:r>
      <w:proofErr w:type="spellEnd"/>
      <w:r w:rsidR="004B7844">
        <w:rPr>
          <w:rFonts w:ascii="Times New Roman" w:hAnsi="Times New Roman" w:cs="Times New Roman"/>
          <w:sz w:val="24"/>
          <w:szCs w:val="24"/>
        </w:rPr>
        <w:t xml:space="preserve"> exists at the end of these projections. </w:t>
      </w:r>
      <w:r w:rsidR="00577AFD">
        <w:rPr>
          <w:rFonts w:ascii="Times New Roman" w:hAnsi="Times New Roman" w:cs="Times New Roman"/>
          <w:sz w:val="24"/>
          <w:szCs w:val="24"/>
        </w:rPr>
        <w:t xml:space="preserve">The difference between the green and yellow portions of the contour are determined by the replacement numbers of </w:t>
      </w:r>
      <w:r w:rsidR="00577AFD" w:rsidRPr="00577AFD">
        <w:rPr>
          <w:rFonts w:ascii="Times" w:hAnsi="Times" w:cs="Times New Roman"/>
          <w:i/>
          <w:iCs/>
          <w:color w:val="000000" w:themeColor="text1"/>
          <w:sz w:val="24"/>
          <w:szCs w:val="24"/>
        </w:rPr>
        <w:t>Prochlorococcus</w:t>
      </w:r>
      <w:r w:rsidR="00577AFD">
        <w:rPr>
          <w:rFonts w:ascii="Times New Roman" w:hAnsi="Times New Roman" w:cs="Times New Roman"/>
          <w:sz w:val="24"/>
          <w:szCs w:val="24"/>
        </w:rPr>
        <w:t xml:space="preserve"> on the nutrient available vs the damage incurred from the </w:t>
      </w:r>
      <w:r w:rsidR="00577AFD" w:rsidRPr="003609FB">
        <w:rPr>
          <w:rFonts w:ascii="Times New Roman" w:hAnsi="Times New Roman" w:cs="Times New Roman"/>
          <w:sz w:val="24"/>
          <w:szCs w:val="24"/>
        </w:rPr>
        <w:t>H</w:t>
      </w:r>
      <w:r w:rsidR="00577AFD" w:rsidRPr="00351FC4">
        <w:rPr>
          <w:rFonts w:ascii="Times New Roman" w:hAnsi="Times New Roman" w:cs="Times New Roman"/>
          <w:sz w:val="24"/>
          <w:szCs w:val="24"/>
          <w:vertAlign w:val="subscript"/>
        </w:rPr>
        <w:t>2</w:t>
      </w:r>
      <w:r w:rsidR="00577AFD" w:rsidRPr="003609FB">
        <w:rPr>
          <w:rFonts w:ascii="Times New Roman" w:hAnsi="Times New Roman" w:cs="Times New Roman"/>
          <w:sz w:val="24"/>
          <w:szCs w:val="24"/>
        </w:rPr>
        <w:t>O</w:t>
      </w:r>
      <w:r w:rsidR="00577AFD" w:rsidRPr="00351FC4">
        <w:rPr>
          <w:rFonts w:ascii="Times New Roman" w:hAnsi="Times New Roman" w:cs="Times New Roman"/>
          <w:sz w:val="24"/>
          <w:szCs w:val="24"/>
          <w:vertAlign w:val="subscript"/>
        </w:rPr>
        <w:t>2</w:t>
      </w:r>
      <w:r w:rsidR="00577AFD">
        <w:rPr>
          <w:rFonts w:ascii="Times New Roman" w:hAnsi="Times New Roman" w:cs="Times New Roman"/>
          <w:sz w:val="24"/>
          <w:szCs w:val="24"/>
          <w:vertAlign w:val="subscript"/>
        </w:rPr>
        <w:t xml:space="preserve"> </w:t>
      </w:r>
      <w:r w:rsidR="00577AFD" w:rsidRPr="00577AFD">
        <w:rPr>
          <w:rFonts w:ascii="Times New Roman" w:hAnsi="Times New Roman" w:cs="Times New Roman"/>
          <w:sz w:val="24"/>
          <w:szCs w:val="24"/>
        </w:rPr>
        <w:t>input.</w:t>
      </w:r>
    </w:p>
    <w:p w14:paraId="7E541FCA" w14:textId="77777777" w:rsidR="00BA4D29" w:rsidRPr="00CC6FC0" w:rsidRDefault="00BA4D29" w:rsidP="00CC6FC0">
      <w:pPr>
        <w:pStyle w:val="Heading3"/>
        <w:spacing w:line="360" w:lineRule="auto"/>
      </w:pPr>
    </w:p>
    <w:tbl>
      <w:tblPr>
        <w:tblStyle w:val="TableGrid"/>
        <w:tblW w:w="957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A834F4" w:rsidRPr="003609FB" w14:paraId="0DBE652B" w14:textId="77777777" w:rsidTr="00170DAA">
        <w:trPr>
          <w:trHeight w:val="226"/>
        </w:trPr>
        <w:tc>
          <w:tcPr>
            <w:tcW w:w="9576" w:type="dxa"/>
          </w:tcPr>
          <w:p w14:paraId="67CBA590" w14:textId="7F186FB4" w:rsidR="00A834F4" w:rsidRPr="00F17DAA" w:rsidRDefault="004D78F4" w:rsidP="00A9424C">
            <w:pPr>
              <w:spacing w:line="360" w:lineRule="auto"/>
              <w:rPr>
                <w:rFonts w:ascii="Times New Roman" w:hAnsi="Times New Roman" w:cs="Times New Roman"/>
                <w:sz w:val="24"/>
                <w:szCs w:val="24"/>
                <w:vertAlign w:val="superscript"/>
              </w:rPr>
            </w:pPr>
            <w:r w:rsidRPr="00F17DAA">
              <w:rPr>
                <w:rFonts w:ascii="Times New Roman" w:hAnsi="Times New Roman" w:cs="Times New Roman"/>
                <w:sz w:val="24"/>
                <w:szCs w:val="24"/>
              </w:rPr>
              <w:lastRenderedPageBreak/>
              <w:t xml:space="preserve">a. </w:t>
            </w:r>
            <w:r w:rsidR="00ED04AF" w:rsidRPr="00F17DAA">
              <w:rPr>
                <w:rFonts w:ascii="Times New Roman" w:hAnsi="Times New Roman" w:cs="Times New Roman"/>
                <w:sz w:val="24"/>
                <w:szCs w:val="24"/>
              </w:rPr>
              <w:t xml:space="preserve">Leaky Model </w:t>
            </w:r>
            <w:r w:rsidR="00A9424C" w:rsidRPr="00F17DAA">
              <w:rPr>
                <w:rFonts w:ascii="Times New Roman" w:hAnsi="Times New Roman" w:cs="Times New Roman"/>
                <w:sz w:val="24"/>
                <w:szCs w:val="24"/>
              </w:rPr>
              <w:t>Projections:</w:t>
            </w:r>
            <w:r w:rsidR="009E76DE" w:rsidRPr="00F17DAA">
              <w:rPr>
                <w:rFonts w:ascii="Times New Roman" w:hAnsi="Times New Roman" w:cs="Times New Roman"/>
                <w:sz w:val="24"/>
                <w:szCs w:val="24"/>
              </w:rPr>
              <w:t xml:space="preserve"> S</w:t>
            </w:r>
            <w:r w:rsidR="009E76DE" w:rsidRPr="00F17DAA">
              <w:rPr>
                <w:rFonts w:ascii="Times New Roman" w:hAnsi="Times New Roman" w:cs="Times New Roman"/>
                <w:sz w:val="24"/>
                <w:szCs w:val="24"/>
                <w:vertAlign w:val="subscript"/>
              </w:rPr>
              <w:t>N</w:t>
            </w:r>
            <w:r w:rsidR="009E76DE" w:rsidRPr="00F17DAA">
              <w:rPr>
                <w:rFonts w:ascii="Times New Roman" w:hAnsi="Times New Roman" w:cs="Times New Roman"/>
                <w:sz w:val="24"/>
                <w:szCs w:val="24"/>
              </w:rPr>
              <w:t xml:space="preserve"> 8.5x10</w:t>
            </w:r>
            <w:r w:rsidR="009E76DE" w:rsidRPr="00F17DAA">
              <w:rPr>
                <w:rFonts w:ascii="Times New Roman" w:hAnsi="Times New Roman" w:cs="Times New Roman"/>
                <w:sz w:val="24"/>
                <w:szCs w:val="24"/>
                <w:vertAlign w:val="superscript"/>
              </w:rPr>
              <w:t xml:space="preserve">6 </w:t>
            </w:r>
            <w:r w:rsidR="00ED04AF" w:rsidRPr="00F17DAA">
              <w:rPr>
                <w:rFonts w:ascii="Times New Roman" w:hAnsi="Times New Roman" w:cs="Times New Roman"/>
                <w:sz w:val="24"/>
                <w:szCs w:val="24"/>
                <w:vertAlign w:val="superscript"/>
              </w:rPr>
              <w:t xml:space="preserve"> </w:t>
            </w:r>
            <m:oMath>
              <m:r>
                <w:rPr>
                  <w:rFonts w:ascii="Cambria Math" w:hAnsi="Cambria Math" w:cs="Times New Roman"/>
                  <w:sz w:val="24"/>
                  <w:szCs w:val="24"/>
                </w:rPr>
                <m:t>μ</m:t>
              </m:r>
            </m:oMath>
            <w:r w:rsidR="00ED04AF" w:rsidRPr="00F17DAA">
              <w:rPr>
                <w:rFonts w:ascii="Times New Roman" w:hAnsi="Times New Roman" w:cs="Times New Roman"/>
                <w:sz w:val="24"/>
                <w:szCs w:val="24"/>
              </w:rPr>
              <w:t>mol mL</w:t>
            </w:r>
            <w:r w:rsidR="00ED04AF" w:rsidRPr="00F17DAA">
              <w:rPr>
                <w:rFonts w:ascii="Times New Roman" w:hAnsi="Times New Roman" w:cs="Times New Roman"/>
                <w:sz w:val="24"/>
                <w:szCs w:val="24"/>
                <w:vertAlign w:val="superscript"/>
              </w:rPr>
              <w:t>-1</w:t>
            </w:r>
            <w:r w:rsidR="00ED04AF" w:rsidRPr="00F17DAA">
              <w:rPr>
                <w:rFonts w:ascii="Times New Roman" w:hAnsi="Times New Roman" w:cs="Times New Roman"/>
                <w:sz w:val="24"/>
                <w:szCs w:val="24"/>
              </w:rPr>
              <w:t xml:space="preserve"> day</w:t>
            </w:r>
            <w:r w:rsidR="00ED04AF" w:rsidRPr="00F17DAA">
              <w:rPr>
                <w:rFonts w:ascii="Times New Roman" w:hAnsi="Times New Roman" w:cs="Times New Roman"/>
                <w:sz w:val="24"/>
                <w:szCs w:val="24"/>
                <w:vertAlign w:val="superscript"/>
              </w:rPr>
              <w:t xml:space="preserve">-1 </w:t>
            </w:r>
            <w:r w:rsidR="00ED04AF" w:rsidRPr="00F17DAA">
              <w:rPr>
                <w:rFonts w:ascii="Times New Roman" w:hAnsi="Times New Roman" w:cs="Times New Roman"/>
                <w:sz w:val="24"/>
                <w:szCs w:val="24"/>
              </w:rPr>
              <w:t xml:space="preserve">and </w:t>
            </w:r>
            <w:r w:rsidR="009E76DE" w:rsidRPr="00F17DAA">
              <w:rPr>
                <w:rFonts w:ascii="Times New Roman" w:hAnsi="Times New Roman" w:cs="Times New Roman"/>
                <w:sz w:val="24"/>
                <w:szCs w:val="24"/>
              </w:rPr>
              <w:t>S</w:t>
            </w:r>
            <w:r w:rsidR="009E76DE" w:rsidRPr="00F17DAA">
              <w:rPr>
                <w:rFonts w:ascii="Times New Roman" w:hAnsi="Times New Roman" w:cs="Times New Roman"/>
                <w:sz w:val="24"/>
                <w:szCs w:val="24"/>
                <w:vertAlign w:val="subscript"/>
              </w:rPr>
              <w:t>H</w:t>
            </w:r>
            <w:r w:rsidR="009E76DE" w:rsidRPr="00F17DAA">
              <w:rPr>
                <w:rFonts w:ascii="Times New Roman" w:hAnsi="Times New Roman" w:cs="Times New Roman"/>
                <w:sz w:val="24"/>
                <w:szCs w:val="24"/>
              </w:rPr>
              <w:t xml:space="preserve"> 2.5x10</w:t>
            </w:r>
            <w:r w:rsidR="009E76DE" w:rsidRPr="00F17DAA">
              <w:rPr>
                <w:rFonts w:ascii="Times New Roman" w:hAnsi="Times New Roman" w:cs="Times New Roman"/>
                <w:sz w:val="24"/>
                <w:szCs w:val="24"/>
                <w:vertAlign w:val="superscript"/>
              </w:rPr>
              <w:t>2</w:t>
            </w:r>
            <w:r w:rsidR="00ED04AF" w:rsidRPr="00F17DAA">
              <w:rPr>
                <w:rFonts w:ascii="Times New Roman" w:hAnsi="Times New Roman" w:cs="Times New Roman"/>
                <w:sz w:val="24"/>
                <w:szCs w:val="24"/>
                <w:vertAlign w:val="superscript"/>
              </w:rPr>
              <w:t xml:space="preserve"> </w:t>
            </w:r>
            <w:r w:rsidR="00ED04AF" w:rsidRPr="00F17DAA">
              <w:rPr>
                <w:rFonts w:ascii="Times New Roman" w:hAnsi="Times New Roman" w:cs="Times New Roman"/>
                <w:sz w:val="24"/>
                <w:szCs w:val="24"/>
              </w:rPr>
              <w:t>nmol mL</w:t>
            </w:r>
            <w:r w:rsidR="00ED04AF" w:rsidRPr="00F17DAA">
              <w:rPr>
                <w:rFonts w:ascii="Times New Roman" w:hAnsi="Times New Roman" w:cs="Times New Roman"/>
                <w:sz w:val="24"/>
                <w:szCs w:val="24"/>
                <w:vertAlign w:val="superscript"/>
              </w:rPr>
              <w:t>-1</w:t>
            </w:r>
            <w:r w:rsidR="00ED04AF" w:rsidRPr="00F17DAA">
              <w:rPr>
                <w:rFonts w:ascii="Times New Roman" w:hAnsi="Times New Roman" w:cs="Times New Roman"/>
                <w:sz w:val="24"/>
                <w:szCs w:val="24"/>
              </w:rPr>
              <w:t xml:space="preserve"> day</w:t>
            </w:r>
            <w:r w:rsidR="00ED04AF" w:rsidRPr="00F17DAA">
              <w:rPr>
                <w:rFonts w:ascii="Times New Roman" w:hAnsi="Times New Roman" w:cs="Times New Roman"/>
                <w:sz w:val="24"/>
                <w:szCs w:val="24"/>
                <w:vertAlign w:val="superscript"/>
              </w:rPr>
              <w:t>-1</w:t>
            </w:r>
          </w:p>
          <w:p w14:paraId="09895FB5" w14:textId="56E7C1AF" w:rsidR="00A9424C" w:rsidRPr="00F17DAA" w:rsidRDefault="002760E5" w:rsidP="00F17DAA">
            <w:pPr>
              <w:keepNext/>
              <w:spacing w:line="360" w:lineRule="auto"/>
              <w:rPr>
                <w:rFonts w:ascii="Times New Roman" w:hAnsi="Times New Roman" w:cs="Times New Roman"/>
              </w:rPr>
            </w:pPr>
            <w:r w:rsidRPr="00F17DAA">
              <w:rPr>
                <w:rFonts w:ascii="Times New Roman" w:hAnsi="Times New Roman" w:cs="Times New Roman"/>
                <w:noProof/>
              </w:rPr>
              <w:drawing>
                <wp:inline distT="0" distB="0" distL="0" distR="0" wp14:anchorId="12151EE5" wp14:editId="4A61D1EC">
                  <wp:extent cx="5943600" cy="4297680"/>
                  <wp:effectExtent l="0" t="0" r="0" b="0"/>
                  <wp:docPr id="2059388837" name="Picture 205938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9615"/>
                          <a:stretch/>
                        </pic:blipFill>
                        <pic:spPr bwMode="auto">
                          <a:xfrm>
                            <a:off x="0" y="0"/>
                            <a:ext cx="5943600" cy="4297680"/>
                          </a:xfrm>
                          <a:prstGeom prst="rect">
                            <a:avLst/>
                          </a:prstGeom>
                          <a:ln>
                            <a:noFill/>
                          </a:ln>
                          <a:extLst>
                            <a:ext uri="{53640926-AAD7-44D8-BBD7-CCE9431645EC}">
                              <a14:shadowObscured xmlns:a14="http://schemas.microsoft.com/office/drawing/2010/main"/>
                            </a:ext>
                          </a:extLst>
                        </pic:spPr>
                      </pic:pic>
                    </a:graphicData>
                  </a:graphic>
                </wp:inline>
              </w:drawing>
            </w:r>
            <w:bookmarkStart w:id="54" w:name="_Toc173148383"/>
            <w:r w:rsidR="00A9424C" w:rsidRPr="00F17DAA">
              <w:rPr>
                <w:rFonts w:ascii="Times New Roman" w:hAnsi="Times New Roman" w:cs="Times New Roman"/>
              </w:rPr>
              <w:t xml:space="preserve">Figure </w:t>
            </w:r>
            <w:r w:rsidR="00000000" w:rsidRPr="00F17DAA">
              <w:rPr>
                <w:rFonts w:ascii="Times New Roman" w:hAnsi="Times New Roman" w:cs="Times New Roman"/>
              </w:rPr>
              <w:fldChar w:fldCharType="begin"/>
            </w:r>
            <w:r w:rsidR="00000000" w:rsidRPr="00F17DAA">
              <w:rPr>
                <w:rFonts w:ascii="Times New Roman" w:hAnsi="Times New Roman" w:cs="Times New Roman"/>
              </w:rPr>
              <w:instrText xml:space="preserve"> STYLEREF 1 \s </w:instrText>
            </w:r>
            <w:r w:rsidR="00000000" w:rsidRPr="00F17DAA">
              <w:rPr>
                <w:rFonts w:ascii="Times New Roman" w:hAnsi="Times New Roman" w:cs="Times New Roman"/>
              </w:rPr>
              <w:fldChar w:fldCharType="separate"/>
            </w:r>
            <w:r w:rsidR="000D7BCF" w:rsidRPr="00F17DAA">
              <w:rPr>
                <w:rFonts w:ascii="Times New Roman" w:hAnsi="Times New Roman" w:cs="Times New Roman"/>
                <w:noProof/>
                <w:cs/>
              </w:rPr>
              <w:t>‎</w:t>
            </w:r>
            <w:r w:rsidR="000D7BCF" w:rsidRPr="00F17DAA">
              <w:rPr>
                <w:rFonts w:ascii="Times New Roman" w:hAnsi="Times New Roman" w:cs="Times New Roman"/>
                <w:noProof/>
              </w:rPr>
              <w:t>3</w:t>
            </w:r>
            <w:r w:rsidR="00000000" w:rsidRPr="00F17DAA">
              <w:rPr>
                <w:rFonts w:ascii="Times New Roman" w:hAnsi="Times New Roman" w:cs="Times New Roman"/>
                <w:noProof/>
              </w:rPr>
              <w:fldChar w:fldCharType="end"/>
            </w:r>
            <w:r w:rsidR="000D7BCF" w:rsidRPr="00F17DAA">
              <w:rPr>
                <w:rFonts w:ascii="Times New Roman" w:hAnsi="Times New Roman" w:cs="Times New Roman"/>
              </w:rPr>
              <w:t>.</w:t>
            </w:r>
            <w:r w:rsidR="00000000" w:rsidRPr="00F17DAA">
              <w:rPr>
                <w:rFonts w:ascii="Times New Roman" w:hAnsi="Times New Roman" w:cs="Times New Roman"/>
              </w:rPr>
              <w:fldChar w:fldCharType="begin"/>
            </w:r>
            <w:r w:rsidR="00000000" w:rsidRPr="00F17DAA">
              <w:rPr>
                <w:rFonts w:ascii="Times New Roman" w:hAnsi="Times New Roman" w:cs="Times New Roman"/>
              </w:rPr>
              <w:instrText xml:space="preserve"> SEQ Figure \* ARABIC \s 1 </w:instrText>
            </w:r>
            <w:r w:rsidR="00000000" w:rsidRPr="00F17DAA">
              <w:rPr>
                <w:rFonts w:ascii="Times New Roman" w:hAnsi="Times New Roman" w:cs="Times New Roman"/>
              </w:rPr>
              <w:fldChar w:fldCharType="separate"/>
            </w:r>
            <w:r w:rsidR="000D7BCF" w:rsidRPr="00F17DAA">
              <w:rPr>
                <w:rFonts w:ascii="Times New Roman" w:hAnsi="Times New Roman" w:cs="Times New Roman"/>
                <w:noProof/>
              </w:rPr>
              <w:t>6</w:t>
            </w:r>
            <w:r w:rsidR="00000000" w:rsidRPr="00F17DAA">
              <w:rPr>
                <w:rFonts w:ascii="Times New Roman" w:hAnsi="Times New Roman" w:cs="Times New Roman"/>
                <w:noProof/>
              </w:rPr>
              <w:fldChar w:fldCharType="end"/>
            </w:r>
            <w:r w:rsidR="00A9424C" w:rsidRPr="00F17DAA">
              <w:rPr>
                <w:rFonts w:ascii="Times New Roman" w:hAnsi="Times New Roman" w:cs="Times New Roman"/>
              </w:rPr>
              <w:t xml:space="preserve"> Dynamic outcomes for H, N, P and S leaky case model iterations under different H supplies. 3.6a, 3.6b, and 3.6c depict different dynamic model outputs for P, S, N, and H from increasing H inputs under case 3, S leaky H</w:t>
            </w:r>
            <w:r w:rsidR="00A9424C" w:rsidRPr="00F17DAA">
              <w:rPr>
                <w:rFonts w:ascii="Times New Roman" w:hAnsi="Times New Roman" w:cs="Times New Roman"/>
                <w:vertAlign w:val="subscript"/>
              </w:rPr>
              <w:t>2</w:t>
            </w:r>
            <w:r w:rsidR="00A9424C" w:rsidRPr="00F17DAA">
              <w:rPr>
                <w:rFonts w:ascii="Times New Roman" w:hAnsi="Times New Roman" w:cs="Times New Roman"/>
              </w:rPr>
              <w:t>O</w:t>
            </w:r>
            <w:r w:rsidR="00A9424C" w:rsidRPr="00F17DAA">
              <w:rPr>
                <w:rFonts w:ascii="Times New Roman" w:hAnsi="Times New Roman" w:cs="Times New Roman"/>
                <w:vertAlign w:val="subscript"/>
              </w:rPr>
              <w:t xml:space="preserve">2 </w:t>
            </w:r>
            <w:r w:rsidR="00A9424C" w:rsidRPr="00F17DAA">
              <w:rPr>
                <w:rFonts w:ascii="Times New Roman" w:hAnsi="Times New Roman" w:cs="Times New Roman"/>
              </w:rPr>
              <w:t xml:space="preserve">detoxification regime. The top graph of </w:t>
            </w:r>
            <w:proofErr w:type="spellStart"/>
            <w:proofErr w:type="gramStart"/>
            <w:r w:rsidR="00A9424C" w:rsidRPr="00F17DAA">
              <w:rPr>
                <w:rFonts w:ascii="Times New Roman" w:hAnsi="Times New Roman" w:cs="Times New Roman"/>
              </w:rPr>
              <w:t>a,b</w:t>
            </w:r>
            <w:proofErr w:type="spellEnd"/>
            <w:proofErr w:type="gramEnd"/>
            <w:r w:rsidR="00A9424C" w:rsidRPr="00F17DAA">
              <w:rPr>
                <w:rFonts w:ascii="Times New Roman" w:hAnsi="Times New Roman" w:cs="Times New Roman"/>
              </w:rPr>
              <w:t xml:space="preserve"> or c each depicts dynamics model solutions for </w:t>
            </w:r>
            <w:r w:rsidR="00A9424C" w:rsidRPr="00F17DAA">
              <w:rPr>
                <w:rFonts w:ascii="Times New Roman" w:hAnsi="Times New Roman" w:cs="Times New Roman"/>
                <w:i/>
                <w:iCs/>
              </w:rPr>
              <w:t xml:space="preserve">Prochlorococcus </w:t>
            </w:r>
            <w:r w:rsidR="00A9424C" w:rsidRPr="00F17DAA">
              <w:rPr>
                <w:rFonts w:ascii="Times New Roman" w:hAnsi="Times New Roman" w:cs="Times New Roman"/>
              </w:rPr>
              <w:t xml:space="preserve">(P) and </w:t>
            </w:r>
            <w:proofErr w:type="spellStart"/>
            <w:r w:rsidR="00A9424C" w:rsidRPr="00F17DAA">
              <w:rPr>
                <w:rFonts w:ascii="Times New Roman" w:hAnsi="Times New Roman" w:cs="Times New Roman"/>
                <w:i/>
                <w:iCs/>
              </w:rPr>
              <w:t>Synechococcus</w:t>
            </w:r>
            <w:proofErr w:type="spellEnd"/>
            <w:r w:rsidR="00A9424C" w:rsidRPr="00F17DAA">
              <w:rPr>
                <w:rFonts w:ascii="Times New Roman" w:hAnsi="Times New Roman" w:cs="Times New Roman"/>
              </w:rPr>
              <w:t xml:space="preserve"> (S) analogue abundances in green or yellow as predicted solid lines. The associated steady state solutions predicted from these parameter values are visualized in dotted lines on the same axes. The middle plot shows the modeled nutrient concentration over time for the dynamics (solid) and steady state (dotted) purple lines. The bottom plot shows H</w:t>
            </w:r>
            <w:r w:rsidR="00A9424C" w:rsidRPr="00F17DAA">
              <w:rPr>
                <w:rFonts w:ascii="Times New Roman" w:hAnsi="Times New Roman" w:cs="Times New Roman"/>
                <w:vertAlign w:val="subscript"/>
              </w:rPr>
              <w:t>2</w:t>
            </w:r>
            <w:r w:rsidR="00A9424C" w:rsidRPr="00F17DAA">
              <w:rPr>
                <w:rFonts w:ascii="Times New Roman" w:hAnsi="Times New Roman" w:cs="Times New Roman"/>
              </w:rPr>
              <w:t>O</w:t>
            </w:r>
            <w:r w:rsidR="00A9424C" w:rsidRPr="00F17DAA">
              <w:rPr>
                <w:rFonts w:ascii="Times New Roman" w:hAnsi="Times New Roman" w:cs="Times New Roman"/>
                <w:vertAlign w:val="subscript"/>
              </w:rPr>
              <w:t>2</w:t>
            </w:r>
            <w:r w:rsidR="00A9424C" w:rsidRPr="00F17DAA">
              <w:rPr>
                <w:rFonts w:ascii="Times New Roman" w:hAnsi="Times New Roman" w:cs="Times New Roman"/>
              </w:rPr>
              <w:t xml:space="preserve"> dynamics over time. S</w:t>
            </w:r>
            <w:r w:rsidR="00A9424C" w:rsidRPr="00F17DAA">
              <w:rPr>
                <w:rFonts w:ascii="Times New Roman" w:hAnsi="Times New Roman" w:cs="Times New Roman"/>
                <w:vertAlign w:val="subscript"/>
              </w:rPr>
              <w:t>N</w:t>
            </w:r>
            <w:r w:rsidR="00A9424C" w:rsidRPr="00F17DAA">
              <w:rPr>
                <w:rFonts w:ascii="Times New Roman" w:hAnsi="Times New Roman" w:cs="Times New Roman"/>
              </w:rPr>
              <w:t xml:space="preserve"> is kept constant for all scenarios (</w:t>
            </w:r>
            <w:proofErr w:type="spellStart"/>
            <w:proofErr w:type="gramStart"/>
            <w:r w:rsidR="00A9424C" w:rsidRPr="00F17DAA">
              <w:rPr>
                <w:rFonts w:ascii="Times New Roman" w:hAnsi="Times New Roman" w:cs="Times New Roman"/>
              </w:rPr>
              <w:t>a,b</w:t>
            </w:r>
            <w:proofErr w:type="gramEnd"/>
            <w:r w:rsidR="00A9424C" w:rsidRPr="00F17DAA">
              <w:rPr>
                <w:rFonts w:ascii="Times New Roman" w:hAnsi="Times New Roman" w:cs="Times New Roman"/>
              </w:rPr>
              <w:t>,c</w:t>
            </w:r>
            <w:proofErr w:type="spellEnd"/>
            <w:r w:rsidR="00A9424C" w:rsidRPr="00F17DAA">
              <w:rPr>
                <w:rFonts w:ascii="Times New Roman" w:hAnsi="Times New Roman" w:cs="Times New Roman"/>
              </w:rPr>
              <w:t xml:space="preserve">) as is </w:t>
            </w:r>
            <w:proofErr w:type="spellStart"/>
            <w:r w:rsidR="00A9424C" w:rsidRPr="00F17DAA">
              <w:rPr>
                <w:rFonts w:ascii="Times New Roman" w:hAnsi="Times New Roman" w:cs="Times New Roman"/>
                <w:i/>
                <w:iCs/>
              </w:rPr>
              <w:t>Synechococcus</w:t>
            </w:r>
            <w:proofErr w:type="spellEnd"/>
            <w:r w:rsidR="00A9424C" w:rsidRPr="00F17DAA">
              <w:rPr>
                <w:rFonts w:ascii="Times New Roman" w:hAnsi="Times New Roman" w:cs="Times New Roman"/>
              </w:rPr>
              <w:t xml:space="preserve"> detoxification</w:t>
            </w:r>
            <w:r w:rsidR="000E1A51" w:rsidRPr="00F17DAA">
              <w:rPr>
                <w:rFonts w:ascii="Times New Roman" w:hAnsi="Times New Roman" w:cs="Times New Roman"/>
              </w:rPr>
              <w:t xml:space="preserve"> (</w:t>
            </w:r>
            <m:oMath>
              <m:sSub>
                <m:sSubPr>
                  <m:ctrlPr>
                    <w:rPr>
                      <w:rFonts w:ascii="Cambria Math" w:hAnsi="Cambria Math" w:cs="Times New Roman"/>
                      <w:i/>
                      <w:iCs/>
                    </w:rPr>
                  </m:ctrlPr>
                </m:sSubPr>
                <m:e>
                  <m:r>
                    <w:rPr>
                      <w:rFonts w:ascii="Cambria Math" w:hAnsi="Cambria Math" w:cs="Times New Roman"/>
                    </w:rPr>
                    <m:t>ϕ</m:t>
                  </m:r>
                </m:e>
                <m:sub>
                  <m:r>
                    <w:rPr>
                      <w:rFonts w:ascii="Cambria Math" w:hAnsi="Cambria Math" w:cs="Times New Roman"/>
                    </w:rPr>
                    <m:t>max,S</m:t>
                  </m:r>
                </m:sub>
              </m:sSub>
            </m:oMath>
            <w:r w:rsidR="00AD1007" w:rsidRPr="00F17DAA">
              <w:rPr>
                <w:rFonts w:ascii="Times New Roman" w:hAnsi="Times New Roman" w:cs="Times New Roman"/>
              </w:rPr>
              <w:t xml:space="preserve"> </w:t>
            </w:r>
            <w:r w:rsidR="00A9424C" w:rsidRPr="00F17DAA">
              <w:rPr>
                <w:rFonts w:ascii="Times New Roman" w:hAnsi="Times New Roman" w:cs="Times New Roman"/>
              </w:rPr>
              <w:t>= 2.0 x10</w:t>
            </w:r>
            <w:r w:rsidR="00A9424C" w:rsidRPr="00F17DAA">
              <w:rPr>
                <w:rFonts w:ascii="Times New Roman" w:hAnsi="Times New Roman" w:cs="Times New Roman"/>
                <w:vertAlign w:val="superscript"/>
              </w:rPr>
              <w:t>-6</w:t>
            </w:r>
            <w:r w:rsidR="000E1A51" w:rsidRPr="00F17DAA">
              <w:rPr>
                <w:rFonts w:ascii="Times New Roman" w:hAnsi="Times New Roman" w:cs="Times New Roman"/>
              </w:rPr>
              <w:t>).</w:t>
            </w:r>
            <w:r w:rsidR="00A9424C" w:rsidRPr="00F17DAA">
              <w:rPr>
                <w:rFonts w:ascii="Times New Roman" w:hAnsi="Times New Roman" w:cs="Times New Roman"/>
              </w:rPr>
              <w:t xml:space="preserve"> Despite this single parameterization, differentially dominated coexistence scenarios occur in P and S communities</w:t>
            </w:r>
            <w:r w:rsidR="00F17DAA" w:rsidRPr="00F17DAA">
              <w:rPr>
                <w:rFonts w:ascii="Times New Roman" w:hAnsi="Times New Roman" w:cs="Times New Roman"/>
              </w:rPr>
              <w:t xml:space="preserve"> </w:t>
            </w:r>
            <w:bookmarkEnd w:id="54"/>
            <w:r w:rsidR="00F17DAA" w:rsidRPr="00F17DAA">
              <w:rPr>
                <w:rFonts w:ascii="Times New Roman" w:hAnsi="Times New Roman" w:cs="Times New Roman"/>
              </w:rPr>
              <w:t>based on value S</w:t>
            </w:r>
            <w:r w:rsidR="00F17DAA" w:rsidRPr="00F17DAA">
              <w:rPr>
                <w:rFonts w:ascii="Times New Roman" w:hAnsi="Times New Roman" w:cs="Times New Roman"/>
                <w:vertAlign w:val="subscript"/>
              </w:rPr>
              <w:t xml:space="preserve">H. </w:t>
            </w:r>
            <w:r w:rsidR="00F17DAA" w:rsidRPr="00F17DAA">
              <w:rPr>
                <w:rFonts w:ascii="Times New Roman" w:hAnsi="Times New Roman" w:cs="Times New Roman"/>
              </w:rPr>
              <w:t xml:space="preserve">Using only </w:t>
            </w:r>
            <w:proofErr w:type="spellStart"/>
            <w:r w:rsidR="00F17DAA" w:rsidRPr="00F17DAA">
              <w:rPr>
                <w:rFonts w:ascii="Times New Roman" w:hAnsi="Times New Roman" w:cs="Times New Roman"/>
                <w:i/>
                <w:iCs/>
              </w:rPr>
              <w:t>Synechococcus</w:t>
            </w:r>
            <w:proofErr w:type="spellEnd"/>
            <w:r w:rsidR="00F17DAA" w:rsidRPr="00F17DAA">
              <w:rPr>
                <w:rFonts w:ascii="Times New Roman" w:hAnsi="Times New Roman" w:cs="Times New Roman"/>
              </w:rPr>
              <w:t xml:space="preserve"> detoxification (</w:t>
            </w:r>
            <m:oMath>
              <m:sSub>
                <m:sSubPr>
                  <m:ctrlPr>
                    <w:rPr>
                      <w:rFonts w:ascii="Cambria Math" w:hAnsi="Cambria Math" w:cs="Times New Roman"/>
                      <w:i/>
                      <w:iCs/>
                    </w:rPr>
                  </m:ctrlPr>
                </m:sSubPr>
                <m:e>
                  <m:r>
                    <w:rPr>
                      <w:rFonts w:ascii="Cambria Math" w:hAnsi="Cambria Math" w:cs="Times New Roman"/>
                    </w:rPr>
                    <m:t>ϕ</m:t>
                  </m:r>
                </m:e>
                <m:sub>
                  <m:r>
                    <w:rPr>
                      <w:rFonts w:ascii="Cambria Math" w:hAnsi="Cambria Math" w:cs="Times New Roman"/>
                    </w:rPr>
                    <m:t>max,S</m:t>
                  </m:r>
                </m:sub>
              </m:sSub>
            </m:oMath>
            <w:r w:rsidR="00F17DAA" w:rsidRPr="00F17DAA">
              <w:rPr>
                <w:rFonts w:ascii="Times New Roman" w:hAnsi="Times New Roman" w:cs="Times New Roman"/>
              </w:rPr>
              <w:t>) allows coexistence along a small (200-900 nmol mL</w:t>
            </w:r>
            <w:r w:rsidR="00F17DAA" w:rsidRPr="00F17DAA">
              <w:rPr>
                <w:rFonts w:ascii="Times New Roman" w:hAnsi="Times New Roman" w:cs="Times New Roman"/>
                <w:vertAlign w:val="superscript"/>
              </w:rPr>
              <w:t>-1</w:t>
            </w:r>
            <w:r w:rsidR="00F17DAA" w:rsidRPr="00F17DAA">
              <w:rPr>
                <w:rFonts w:ascii="Times New Roman" w:hAnsi="Times New Roman" w:cs="Times New Roman"/>
              </w:rPr>
              <w:t xml:space="preserve"> day</w:t>
            </w:r>
            <w:r w:rsidR="00F17DAA" w:rsidRPr="00F17DAA">
              <w:rPr>
                <w:rFonts w:ascii="Times New Roman" w:hAnsi="Times New Roman" w:cs="Times New Roman"/>
                <w:vertAlign w:val="superscript"/>
              </w:rPr>
              <w:t>-1</w:t>
            </w:r>
            <w:r w:rsidR="00F17DAA" w:rsidRPr="00F17DAA">
              <w:rPr>
                <w:rFonts w:ascii="Times New Roman" w:hAnsi="Times New Roman" w:cs="Times New Roman"/>
              </w:rPr>
              <w:t>) range of S</w:t>
            </w:r>
            <w:r w:rsidR="00F17DAA" w:rsidRPr="00F17DAA">
              <w:rPr>
                <w:rFonts w:ascii="Times New Roman" w:hAnsi="Times New Roman" w:cs="Times New Roman"/>
                <w:vertAlign w:val="subscript"/>
              </w:rPr>
              <w:t>H,</w:t>
            </w:r>
          </w:p>
          <w:p w14:paraId="6ED21D64" w14:textId="1A19B89A" w:rsidR="00A9424C" w:rsidRPr="00F17DAA" w:rsidRDefault="00A9424C" w:rsidP="00A9424C">
            <w:pPr>
              <w:spacing w:line="360" w:lineRule="auto"/>
              <w:rPr>
                <w:rFonts w:ascii="Times New Roman" w:hAnsi="Times New Roman" w:cs="Times New Roman"/>
                <w:sz w:val="24"/>
                <w:szCs w:val="24"/>
              </w:rPr>
            </w:pPr>
          </w:p>
        </w:tc>
      </w:tr>
      <w:tr w:rsidR="009E76DE" w:rsidRPr="003609FB" w14:paraId="671FE192" w14:textId="77777777" w:rsidTr="00170DAA">
        <w:trPr>
          <w:trHeight w:val="180"/>
        </w:trPr>
        <w:tc>
          <w:tcPr>
            <w:tcW w:w="9576" w:type="dxa"/>
          </w:tcPr>
          <w:p w14:paraId="34597665" w14:textId="0B9BF147" w:rsidR="009E76DE" w:rsidRPr="004D78F4" w:rsidRDefault="004D78F4" w:rsidP="00170DA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b</w:t>
            </w:r>
            <w:r w:rsidRPr="004D78F4">
              <w:rPr>
                <w:rFonts w:ascii="Times New Roman" w:hAnsi="Times New Roman" w:cs="Times New Roman"/>
                <w:sz w:val="24"/>
                <w:szCs w:val="24"/>
              </w:rPr>
              <w:t xml:space="preserve">. </w:t>
            </w:r>
            <w:r w:rsidR="00A9424C" w:rsidRPr="004D78F4">
              <w:rPr>
                <w:rFonts w:ascii="Times New Roman" w:hAnsi="Times New Roman" w:cs="Times New Roman"/>
                <w:sz w:val="24"/>
                <w:szCs w:val="24"/>
              </w:rPr>
              <w:t xml:space="preserve">Leaky Model </w:t>
            </w:r>
            <w:r w:rsidR="00A9424C">
              <w:rPr>
                <w:rFonts w:ascii="Times New Roman" w:hAnsi="Times New Roman" w:cs="Times New Roman"/>
                <w:sz w:val="24"/>
                <w:szCs w:val="24"/>
              </w:rPr>
              <w:t>Projections:</w:t>
            </w:r>
            <w:r w:rsidR="00A9424C" w:rsidRPr="004D78F4">
              <w:rPr>
                <w:rFonts w:ascii="Times New Roman" w:hAnsi="Times New Roman" w:cs="Times New Roman"/>
                <w:sz w:val="24"/>
                <w:szCs w:val="24"/>
              </w:rPr>
              <w:t xml:space="preserve"> </w:t>
            </w:r>
            <w:r w:rsidRPr="004D78F4">
              <w:rPr>
                <w:rFonts w:ascii="Times New Roman" w:hAnsi="Times New Roman" w:cs="Times New Roman"/>
                <w:sz w:val="24"/>
                <w:szCs w:val="24"/>
              </w:rPr>
              <w:t>S</w:t>
            </w:r>
            <w:r w:rsidRPr="004D78F4">
              <w:rPr>
                <w:rFonts w:ascii="Times New Roman" w:hAnsi="Times New Roman" w:cs="Times New Roman"/>
                <w:sz w:val="24"/>
                <w:szCs w:val="24"/>
                <w:vertAlign w:val="subscript"/>
              </w:rPr>
              <w:t>N</w:t>
            </w:r>
            <w:r w:rsidRPr="004D78F4">
              <w:rPr>
                <w:rFonts w:ascii="Times New Roman" w:hAnsi="Times New Roman" w:cs="Times New Roman"/>
                <w:sz w:val="24"/>
                <w:szCs w:val="24"/>
              </w:rPr>
              <w:t xml:space="preserve"> 8.5x10</w:t>
            </w:r>
            <w:r w:rsidRPr="004D78F4">
              <w:rPr>
                <w:rFonts w:ascii="Times New Roman" w:hAnsi="Times New Roman" w:cs="Times New Roman"/>
                <w:sz w:val="24"/>
                <w:szCs w:val="24"/>
                <w:vertAlign w:val="superscript"/>
              </w:rPr>
              <w:t xml:space="preserve">6  </w:t>
            </w:r>
            <m:oMath>
              <m:r>
                <w:rPr>
                  <w:rFonts w:ascii="Cambria Math" w:hAnsi="Cambria Math" w:cs="Times New Roman"/>
                  <w:sz w:val="24"/>
                  <w:szCs w:val="24"/>
                </w:rPr>
                <m:t>μ</m:t>
              </m:r>
            </m:oMath>
            <w:r w:rsidRPr="004D78F4">
              <w:rPr>
                <w:rFonts w:ascii="Times New Roman" w:hAnsi="Times New Roman" w:cs="Times New Roman"/>
                <w:sz w:val="24"/>
                <w:szCs w:val="24"/>
              </w:rPr>
              <w:t>mol mL</w:t>
            </w:r>
            <w:r w:rsidRPr="004D78F4">
              <w:rPr>
                <w:rFonts w:ascii="Times New Roman" w:hAnsi="Times New Roman" w:cs="Times New Roman"/>
                <w:sz w:val="24"/>
                <w:szCs w:val="24"/>
                <w:vertAlign w:val="superscript"/>
              </w:rPr>
              <w:t>-1</w:t>
            </w:r>
            <w:r w:rsidRPr="004D78F4">
              <w:rPr>
                <w:rFonts w:ascii="Times New Roman" w:hAnsi="Times New Roman" w:cs="Times New Roman"/>
                <w:sz w:val="24"/>
                <w:szCs w:val="24"/>
              </w:rPr>
              <w:t xml:space="preserve"> day</w:t>
            </w:r>
            <w:r w:rsidRPr="004D78F4">
              <w:rPr>
                <w:rFonts w:ascii="Times New Roman" w:hAnsi="Times New Roman" w:cs="Times New Roman"/>
                <w:sz w:val="24"/>
                <w:szCs w:val="24"/>
                <w:vertAlign w:val="superscript"/>
              </w:rPr>
              <w:t xml:space="preserve">-1 </w:t>
            </w:r>
            <w:r w:rsidRPr="004D78F4">
              <w:rPr>
                <w:rFonts w:ascii="Times New Roman" w:hAnsi="Times New Roman" w:cs="Times New Roman"/>
                <w:sz w:val="24"/>
                <w:szCs w:val="24"/>
              </w:rPr>
              <w:t>and S</w:t>
            </w:r>
            <w:r w:rsidRPr="004D78F4">
              <w:rPr>
                <w:rFonts w:ascii="Times New Roman" w:hAnsi="Times New Roman" w:cs="Times New Roman"/>
                <w:sz w:val="24"/>
                <w:szCs w:val="24"/>
                <w:vertAlign w:val="subscript"/>
              </w:rPr>
              <w:t>H</w:t>
            </w:r>
            <w:r w:rsidRPr="004D78F4">
              <w:rPr>
                <w:rFonts w:ascii="Times New Roman" w:hAnsi="Times New Roman" w:cs="Times New Roman"/>
                <w:sz w:val="24"/>
                <w:szCs w:val="24"/>
              </w:rPr>
              <w:t xml:space="preserve"> </w:t>
            </w:r>
            <w:r>
              <w:rPr>
                <w:rFonts w:ascii="Times New Roman" w:hAnsi="Times New Roman" w:cs="Times New Roman"/>
                <w:sz w:val="24"/>
                <w:szCs w:val="24"/>
              </w:rPr>
              <w:t>4</w:t>
            </w:r>
            <w:r w:rsidRPr="004D78F4">
              <w:rPr>
                <w:rFonts w:ascii="Times New Roman" w:hAnsi="Times New Roman" w:cs="Times New Roman"/>
                <w:sz w:val="24"/>
                <w:szCs w:val="24"/>
              </w:rPr>
              <w:t>.5x10</w:t>
            </w:r>
            <w:r w:rsidRPr="004D78F4">
              <w:rPr>
                <w:rFonts w:ascii="Times New Roman" w:hAnsi="Times New Roman" w:cs="Times New Roman"/>
                <w:sz w:val="24"/>
                <w:szCs w:val="24"/>
                <w:vertAlign w:val="superscript"/>
              </w:rPr>
              <w:t xml:space="preserve">2 </w:t>
            </w:r>
            <w:r w:rsidRPr="004D78F4">
              <w:rPr>
                <w:rFonts w:ascii="Times New Roman" w:hAnsi="Times New Roman" w:cs="Times New Roman"/>
                <w:sz w:val="24"/>
                <w:szCs w:val="24"/>
              </w:rPr>
              <w:t>nmol mL</w:t>
            </w:r>
            <w:r w:rsidRPr="004D78F4">
              <w:rPr>
                <w:rFonts w:ascii="Times New Roman" w:hAnsi="Times New Roman" w:cs="Times New Roman"/>
                <w:sz w:val="24"/>
                <w:szCs w:val="24"/>
                <w:vertAlign w:val="superscript"/>
              </w:rPr>
              <w:t>-1</w:t>
            </w:r>
            <w:r w:rsidRPr="004D78F4">
              <w:rPr>
                <w:rFonts w:ascii="Times New Roman" w:hAnsi="Times New Roman" w:cs="Times New Roman"/>
                <w:sz w:val="24"/>
                <w:szCs w:val="24"/>
              </w:rPr>
              <w:t xml:space="preserve"> day</w:t>
            </w:r>
            <w:r w:rsidRPr="004D78F4">
              <w:rPr>
                <w:rFonts w:ascii="Times New Roman" w:hAnsi="Times New Roman" w:cs="Times New Roman"/>
                <w:sz w:val="24"/>
                <w:szCs w:val="24"/>
                <w:vertAlign w:val="superscript"/>
              </w:rPr>
              <w:t>-1</w:t>
            </w:r>
          </w:p>
        </w:tc>
      </w:tr>
      <w:tr w:rsidR="009E76DE" w:rsidRPr="003609FB" w14:paraId="0205C0D7" w14:textId="77777777" w:rsidTr="00170DAA">
        <w:trPr>
          <w:trHeight w:val="180"/>
        </w:trPr>
        <w:tc>
          <w:tcPr>
            <w:tcW w:w="9576" w:type="dxa"/>
          </w:tcPr>
          <w:p w14:paraId="076F93DF" w14:textId="4403BE26" w:rsidR="009E76DE" w:rsidRPr="003609FB" w:rsidRDefault="002760E5" w:rsidP="00AB2160">
            <w:pPr>
              <w:spacing w:line="360" w:lineRule="auto"/>
              <w:rPr>
                <w:rFonts w:ascii="Times New Roman" w:hAnsi="Times New Roman" w:cs="Times New Roman"/>
                <w:sz w:val="24"/>
                <w:szCs w:val="24"/>
              </w:rPr>
            </w:pPr>
            <w:r w:rsidRPr="002760E5">
              <w:rPr>
                <w:rFonts w:ascii="Times New Roman" w:hAnsi="Times New Roman" w:cs="Times New Roman"/>
                <w:noProof/>
                <w:sz w:val="24"/>
                <w:szCs w:val="24"/>
              </w:rPr>
              <w:drawing>
                <wp:inline distT="0" distB="0" distL="0" distR="0" wp14:anchorId="5EA2911E" wp14:editId="1DA61985">
                  <wp:extent cx="5943600" cy="4754880"/>
                  <wp:effectExtent l="0" t="0" r="0" b="0"/>
                  <wp:docPr id="2059388841" name="Picture 205938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4754880"/>
                          </a:xfrm>
                          <a:prstGeom prst="rect">
                            <a:avLst/>
                          </a:prstGeom>
                        </pic:spPr>
                      </pic:pic>
                    </a:graphicData>
                  </a:graphic>
                </wp:inline>
              </w:drawing>
            </w:r>
          </w:p>
          <w:p w14:paraId="611DF558" w14:textId="77777777" w:rsidR="004D78F4" w:rsidRDefault="00170DAA" w:rsidP="00A9424C">
            <w:pPr>
              <w:spacing w:line="360" w:lineRule="auto"/>
              <w:rPr>
                <w:rFonts w:ascii="Times New Roman" w:hAnsi="Times New Roman" w:cs="Times New Roman"/>
                <w:sz w:val="24"/>
                <w:szCs w:val="24"/>
              </w:rPr>
            </w:pPr>
            <w:r w:rsidRPr="0038500D">
              <w:rPr>
                <w:rFonts w:ascii="Times New Roman" w:hAnsi="Times New Roman" w:cs="Times New Roman"/>
                <w:sz w:val="24"/>
                <w:szCs w:val="24"/>
              </w:rPr>
              <w:t>Figure 3.6 continued</w:t>
            </w:r>
          </w:p>
          <w:p w14:paraId="08828B0B" w14:textId="77777777" w:rsidR="00311D2B" w:rsidRDefault="00311D2B" w:rsidP="00A9424C">
            <w:pPr>
              <w:spacing w:line="360" w:lineRule="auto"/>
              <w:rPr>
                <w:rFonts w:ascii="Times New Roman" w:hAnsi="Times New Roman" w:cs="Times New Roman"/>
                <w:sz w:val="24"/>
                <w:szCs w:val="24"/>
                <w:highlight w:val="magenta"/>
              </w:rPr>
            </w:pPr>
          </w:p>
          <w:p w14:paraId="52818475" w14:textId="77777777" w:rsidR="00CC6FC0" w:rsidRDefault="00CC6FC0" w:rsidP="00A9424C">
            <w:pPr>
              <w:spacing w:line="360" w:lineRule="auto"/>
              <w:rPr>
                <w:rFonts w:ascii="Times New Roman" w:hAnsi="Times New Roman" w:cs="Times New Roman"/>
                <w:sz w:val="24"/>
                <w:szCs w:val="24"/>
                <w:highlight w:val="magenta"/>
              </w:rPr>
            </w:pPr>
          </w:p>
          <w:p w14:paraId="5D5AD708" w14:textId="77777777" w:rsidR="00CC6FC0" w:rsidRDefault="00CC6FC0" w:rsidP="00A9424C">
            <w:pPr>
              <w:spacing w:line="360" w:lineRule="auto"/>
              <w:rPr>
                <w:rFonts w:ascii="Times New Roman" w:hAnsi="Times New Roman" w:cs="Times New Roman"/>
                <w:sz w:val="24"/>
                <w:szCs w:val="24"/>
                <w:highlight w:val="magenta"/>
              </w:rPr>
            </w:pPr>
          </w:p>
          <w:p w14:paraId="72632D83" w14:textId="77777777" w:rsidR="00CC6FC0" w:rsidRDefault="00CC6FC0" w:rsidP="00A9424C">
            <w:pPr>
              <w:spacing w:line="360" w:lineRule="auto"/>
              <w:rPr>
                <w:rFonts w:ascii="Times New Roman" w:hAnsi="Times New Roman" w:cs="Times New Roman"/>
                <w:sz w:val="24"/>
                <w:szCs w:val="24"/>
                <w:highlight w:val="magenta"/>
              </w:rPr>
            </w:pPr>
          </w:p>
          <w:p w14:paraId="4486CA25" w14:textId="20DA39EC" w:rsidR="00F17DAA" w:rsidRPr="003609FB" w:rsidRDefault="00F17DAA" w:rsidP="00A9424C">
            <w:pPr>
              <w:spacing w:line="360" w:lineRule="auto"/>
              <w:rPr>
                <w:rFonts w:ascii="Times New Roman" w:hAnsi="Times New Roman" w:cs="Times New Roman"/>
                <w:sz w:val="24"/>
                <w:szCs w:val="24"/>
                <w:highlight w:val="magenta"/>
              </w:rPr>
            </w:pPr>
          </w:p>
        </w:tc>
      </w:tr>
      <w:tr w:rsidR="004D78F4" w:rsidRPr="003609FB" w14:paraId="711DE3DA" w14:textId="77777777" w:rsidTr="00170DAA">
        <w:trPr>
          <w:trHeight w:val="180"/>
        </w:trPr>
        <w:tc>
          <w:tcPr>
            <w:tcW w:w="9576" w:type="dxa"/>
          </w:tcPr>
          <w:p w14:paraId="25275613" w14:textId="77FB4FAC" w:rsidR="004D78F4" w:rsidRPr="003609FB" w:rsidRDefault="004D78F4" w:rsidP="00AB2160">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c</w:t>
            </w:r>
            <w:r w:rsidRPr="004D78F4">
              <w:rPr>
                <w:rFonts w:ascii="Times New Roman" w:hAnsi="Times New Roman" w:cs="Times New Roman"/>
                <w:sz w:val="24"/>
                <w:szCs w:val="24"/>
              </w:rPr>
              <w:t xml:space="preserve">. </w:t>
            </w:r>
            <w:r w:rsidR="00A9424C" w:rsidRPr="004D78F4">
              <w:rPr>
                <w:rFonts w:ascii="Times New Roman" w:hAnsi="Times New Roman" w:cs="Times New Roman"/>
                <w:sz w:val="24"/>
                <w:szCs w:val="24"/>
              </w:rPr>
              <w:t xml:space="preserve">Leaky Model </w:t>
            </w:r>
            <w:r w:rsidR="00A9424C">
              <w:rPr>
                <w:rFonts w:ascii="Times New Roman" w:hAnsi="Times New Roman" w:cs="Times New Roman"/>
                <w:sz w:val="24"/>
                <w:szCs w:val="24"/>
              </w:rPr>
              <w:t>Projections:</w:t>
            </w:r>
            <w:r w:rsidR="00A9424C" w:rsidRPr="004D78F4">
              <w:rPr>
                <w:rFonts w:ascii="Times New Roman" w:hAnsi="Times New Roman" w:cs="Times New Roman"/>
                <w:sz w:val="24"/>
                <w:szCs w:val="24"/>
              </w:rPr>
              <w:t xml:space="preserve"> </w:t>
            </w:r>
            <w:r w:rsidRPr="004D78F4">
              <w:rPr>
                <w:rFonts w:ascii="Times New Roman" w:hAnsi="Times New Roman" w:cs="Times New Roman"/>
                <w:sz w:val="24"/>
                <w:szCs w:val="24"/>
              </w:rPr>
              <w:t>S</w:t>
            </w:r>
            <w:r w:rsidRPr="004D78F4">
              <w:rPr>
                <w:rFonts w:ascii="Times New Roman" w:hAnsi="Times New Roman" w:cs="Times New Roman"/>
                <w:sz w:val="24"/>
                <w:szCs w:val="24"/>
                <w:vertAlign w:val="subscript"/>
              </w:rPr>
              <w:t>N</w:t>
            </w:r>
            <w:r w:rsidRPr="004D78F4">
              <w:rPr>
                <w:rFonts w:ascii="Times New Roman" w:hAnsi="Times New Roman" w:cs="Times New Roman"/>
                <w:sz w:val="24"/>
                <w:szCs w:val="24"/>
              </w:rPr>
              <w:t xml:space="preserve"> 8.5x10</w:t>
            </w:r>
            <w:r w:rsidRPr="004D78F4">
              <w:rPr>
                <w:rFonts w:ascii="Times New Roman" w:hAnsi="Times New Roman" w:cs="Times New Roman"/>
                <w:sz w:val="24"/>
                <w:szCs w:val="24"/>
                <w:vertAlign w:val="superscript"/>
              </w:rPr>
              <w:t xml:space="preserve">6  </w:t>
            </w:r>
            <m:oMath>
              <m:r>
                <w:rPr>
                  <w:rFonts w:ascii="Cambria Math" w:hAnsi="Cambria Math" w:cs="Times New Roman"/>
                  <w:sz w:val="24"/>
                  <w:szCs w:val="24"/>
                </w:rPr>
                <m:t>μ</m:t>
              </m:r>
            </m:oMath>
            <w:r w:rsidRPr="004D78F4">
              <w:rPr>
                <w:rFonts w:ascii="Times New Roman" w:hAnsi="Times New Roman" w:cs="Times New Roman"/>
                <w:sz w:val="24"/>
                <w:szCs w:val="24"/>
              </w:rPr>
              <w:t>mol mL</w:t>
            </w:r>
            <w:r w:rsidRPr="004D78F4">
              <w:rPr>
                <w:rFonts w:ascii="Times New Roman" w:hAnsi="Times New Roman" w:cs="Times New Roman"/>
                <w:sz w:val="24"/>
                <w:szCs w:val="24"/>
                <w:vertAlign w:val="superscript"/>
              </w:rPr>
              <w:t>-1</w:t>
            </w:r>
            <w:r w:rsidRPr="004D78F4">
              <w:rPr>
                <w:rFonts w:ascii="Times New Roman" w:hAnsi="Times New Roman" w:cs="Times New Roman"/>
                <w:sz w:val="24"/>
                <w:szCs w:val="24"/>
              </w:rPr>
              <w:t xml:space="preserve"> day</w:t>
            </w:r>
            <w:r w:rsidRPr="004D78F4">
              <w:rPr>
                <w:rFonts w:ascii="Times New Roman" w:hAnsi="Times New Roman" w:cs="Times New Roman"/>
                <w:sz w:val="24"/>
                <w:szCs w:val="24"/>
                <w:vertAlign w:val="superscript"/>
              </w:rPr>
              <w:t xml:space="preserve">-1 </w:t>
            </w:r>
            <w:r w:rsidRPr="004D78F4">
              <w:rPr>
                <w:rFonts w:ascii="Times New Roman" w:hAnsi="Times New Roman" w:cs="Times New Roman"/>
                <w:sz w:val="24"/>
                <w:szCs w:val="24"/>
              </w:rPr>
              <w:t>and S</w:t>
            </w:r>
            <w:r w:rsidRPr="004D78F4">
              <w:rPr>
                <w:rFonts w:ascii="Times New Roman" w:hAnsi="Times New Roman" w:cs="Times New Roman"/>
                <w:sz w:val="24"/>
                <w:szCs w:val="24"/>
                <w:vertAlign w:val="subscript"/>
              </w:rPr>
              <w:t>H</w:t>
            </w:r>
            <w:r w:rsidRPr="004D78F4">
              <w:rPr>
                <w:rFonts w:ascii="Times New Roman" w:hAnsi="Times New Roman" w:cs="Times New Roman"/>
                <w:sz w:val="24"/>
                <w:szCs w:val="24"/>
              </w:rPr>
              <w:t xml:space="preserve"> </w:t>
            </w:r>
            <w:r>
              <w:rPr>
                <w:rFonts w:ascii="Times New Roman" w:hAnsi="Times New Roman" w:cs="Times New Roman"/>
                <w:sz w:val="24"/>
                <w:szCs w:val="24"/>
              </w:rPr>
              <w:t>8</w:t>
            </w:r>
            <w:r w:rsidRPr="004D78F4">
              <w:rPr>
                <w:rFonts w:ascii="Times New Roman" w:hAnsi="Times New Roman" w:cs="Times New Roman"/>
                <w:sz w:val="24"/>
                <w:szCs w:val="24"/>
              </w:rPr>
              <w:t>.5x10</w:t>
            </w:r>
            <w:r w:rsidRPr="004D78F4">
              <w:rPr>
                <w:rFonts w:ascii="Times New Roman" w:hAnsi="Times New Roman" w:cs="Times New Roman"/>
                <w:sz w:val="24"/>
                <w:szCs w:val="24"/>
                <w:vertAlign w:val="superscript"/>
              </w:rPr>
              <w:t xml:space="preserve">2 </w:t>
            </w:r>
            <w:r w:rsidRPr="004D78F4">
              <w:rPr>
                <w:rFonts w:ascii="Times New Roman" w:hAnsi="Times New Roman" w:cs="Times New Roman"/>
                <w:sz w:val="24"/>
                <w:szCs w:val="24"/>
              </w:rPr>
              <w:t>nmol mL</w:t>
            </w:r>
            <w:r w:rsidRPr="004D78F4">
              <w:rPr>
                <w:rFonts w:ascii="Times New Roman" w:hAnsi="Times New Roman" w:cs="Times New Roman"/>
                <w:sz w:val="24"/>
                <w:szCs w:val="24"/>
                <w:vertAlign w:val="superscript"/>
              </w:rPr>
              <w:t>-1</w:t>
            </w:r>
            <w:r w:rsidRPr="004D78F4">
              <w:rPr>
                <w:rFonts w:ascii="Times New Roman" w:hAnsi="Times New Roman" w:cs="Times New Roman"/>
                <w:sz w:val="24"/>
                <w:szCs w:val="24"/>
              </w:rPr>
              <w:t xml:space="preserve"> day</w:t>
            </w:r>
            <w:r w:rsidRPr="004D78F4">
              <w:rPr>
                <w:rFonts w:ascii="Times New Roman" w:hAnsi="Times New Roman" w:cs="Times New Roman"/>
                <w:sz w:val="24"/>
                <w:szCs w:val="24"/>
                <w:vertAlign w:val="superscript"/>
              </w:rPr>
              <w:t>-1</w:t>
            </w:r>
          </w:p>
        </w:tc>
      </w:tr>
      <w:tr w:rsidR="004D78F4" w:rsidRPr="003609FB" w14:paraId="30A4170B" w14:textId="77777777" w:rsidTr="00170DAA">
        <w:trPr>
          <w:trHeight w:val="180"/>
        </w:trPr>
        <w:tc>
          <w:tcPr>
            <w:tcW w:w="9576" w:type="dxa"/>
          </w:tcPr>
          <w:p w14:paraId="68AF8592" w14:textId="5EAD61AE" w:rsidR="004D78F4" w:rsidRPr="003609FB" w:rsidRDefault="002760E5" w:rsidP="00AB2160">
            <w:pPr>
              <w:spacing w:line="360" w:lineRule="auto"/>
              <w:jc w:val="center"/>
              <w:rPr>
                <w:rFonts w:ascii="Times New Roman" w:hAnsi="Times New Roman" w:cs="Times New Roman"/>
                <w:sz w:val="24"/>
                <w:szCs w:val="24"/>
              </w:rPr>
            </w:pPr>
            <w:r w:rsidRPr="002760E5">
              <w:rPr>
                <w:rFonts w:ascii="Times New Roman" w:hAnsi="Times New Roman" w:cs="Times New Roman"/>
                <w:noProof/>
                <w:sz w:val="24"/>
                <w:szCs w:val="24"/>
              </w:rPr>
              <w:drawing>
                <wp:inline distT="0" distB="0" distL="0" distR="0" wp14:anchorId="3C892747" wp14:editId="400AD0D9">
                  <wp:extent cx="5943600" cy="4297680"/>
                  <wp:effectExtent l="0" t="0" r="0" b="0"/>
                  <wp:docPr id="2059388839" name="Picture 205938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9615"/>
                          <a:stretch/>
                        </pic:blipFill>
                        <pic:spPr bwMode="auto">
                          <a:xfrm>
                            <a:off x="0" y="0"/>
                            <a:ext cx="5943600" cy="429768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8ECF465" w14:textId="77777777" w:rsidR="00A9424C" w:rsidRDefault="00A9424C" w:rsidP="00511118">
      <w:pPr>
        <w:pStyle w:val="Caption"/>
      </w:pPr>
    </w:p>
    <w:p w14:paraId="0E2FB83F" w14:textId="77777777" w:rsidR="00311D2B" w:rsidRDefault="00311D2B" w:rsidP="00511118">
      <w:pPr>
        <w:pStyle w:val="Caption"/>
      </w:pPr>
      <w:r w:rsidRPr="0038500D">
        <w:t>Figure 3.6 continued</w:t>
      </w:r>
    </w:p>
    <w:p w14:paraId="3377C2CA" w14:textId="77777777" w:rsidR="00CC6FC0" w:rsidRDefault="00CC6FC0" w:rsidP="00511118">
      <w:pPr>
        <w:pStyle w:val="Caption"/>
      </w:pPr>
    </w:p>
    <w:p w14:paraId="2E39E628" w14:textId="77777777" w:rsidR="00CC6FC0" w:rsidRDefault="00CC6FC0" w:rsidP="00511118">
      <w:pPr>
        <w:pStyle w:val="Caption"/>
      </w:pPr>
    </w:p>
    <w:p w14:paraId="6080C51B" w14:textId="77777777" w:rsidR="00CC6FC0" w:rsidRDefault="00CC6FC0" w:rsidP="00511118">
      <w:pPr>
        <w:pStyle w:val="Caption"/>
      </w:pPr>
    </w:p>
    <w:p w14:paraId="4622B556" w14:textId="77777777" w:rsidR="00CC6FC0" w:rsidRDefault="00CC6FC0" w:rsidP="00511118">
      <w:pPr>
        <w:pStyle w:val="Caption"/>
      </w:pPr>
    </w:p>
    <w:p w14:paraId="0089C69E" w14:textId="77777777" w:rsidR="00CC6FC0" w:rsidRDefault="00CC6FC0" w:rsidP="00511118">
      <w:pPr>
        <w:pStyle w:val="Caption"/>
      </w:pPr>
    </w:p>
    <w:p w14:paraId="39678B6A" w14:textId="77777777" w:rsidR="00CC6FC0" w:rsidRDefault="00CC6FC0" w:rsidP="00511118">
      <w:pPr>
        <w:pStyle w:val="Caption"/>
      </w:pPr>
    </w:p>
    <w:p w14:paraId="6EBA1565" w14:textId="77777777" w:rsidR="00CC6FC0" w:rsidRDefault="00CC6FC0" w:rsidP="00511118">
      <w:pPr>
        <w:pStyle w:val="Caption"/>
      </w:pPr>
    </w:p>
    <w:p w14:paraId="018AC80A" w14:textId="77777777" w:rsidR="00CC6FC0" w:rsidRDefault="00CC6FC0" w:rsidP="00CC6FC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Further evaluation of the effect of </w:t>
      </w:r>
      <w:r>
        <w:rPr>
          <w:rFonts w:ascii="Times New Roman" w:hAnsi="Times New Roman" w:cs="Times New Roman"/>
          <w:sz w:val="24"/>
          <w:szCs w:val="24"/>
        </w:rPr>
        <w:t>detoxification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 xml:space="preserve">value on the contour outcome gives the range of maps seen in Figure 3.7. (The range of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w:rPr>
            <w:rFonts w:ascii="Cambria Math" w:hAnsi="Cambria Math" w:cs="Times New Roman"/>
            <w:sz w:val="24"/>
            <w:szCs w:val="24"/>
          </w:rPr>
          <m:t xml:space="preserve"> </m:t>
        </m:r>
      </m:oMath>
      <w:r w:rsidRPr="003609FB">
        <w:rPr>
          <w:rFonts w:ascii="Times New Roman" w:hAnsi="Times New Roman" w:cs="Times New Roman"/>
          <w:sz w:val="24"/>
          <w:szCs w:val="24"/>
        </w:rPr>
        <w:t xml:space="preserve">varies from </w:t>
      </w:r>
      <w:r>
        <w:rPr>
          <w:rFonts w:ascii="Times New Roman" w:hAnsi="Times New Roman" w:cs="Times New Roman"/>
          <w:sz w:val="24"/>
          <w:szCs w:val="24"/>
        </w:rPr>
        <w:t xml:space="preserve">values isolated from </w:t>
      </w:r>
      <w:proofErr w:type="spellStart"/>
      <w:r w:rsidRPr="00691B65">
        <w:rPr>
          <w:rFonts w:ascii="Times New Roman" w:hAnsi="Times New Roman" w:cs="Times New Roman"/>
          <w:i/>
          <w:iCs/>
          <w:sz w:val="24"/>
          <w:szCs w:val="24"/>
        </w:rPr>
        <w:t>Synechococcus</w:t>
      </w:r>
      <w:proofErr w:type="spellEnd"/>
      <w:r w:rsidRPr="00577AFD">
        <w:rPr>
          <w:rFonts w:ascii="Times New Roman" w:hAnsi="Times New Roman" w:cs="Times New Roman"/>
          <w:i/>
          <w:iCs/>
          <w:sz w:val="24"/>
          <w:szCs w:val="24"/>
        </w:rPr>
        <w:t xml:space="preserve"> </w:t>
      </w:r>
      <w:proofErr w:type="spellStart"/>
      <w:r w:rsidRPr="00577AFD">
        <w:rPr>
          <w:rFonts w:ascii="Times New Roman" w:hAnsi="Times New Roman" w:cs="Times New Roman"/>
          <w:i/>
          <w:iCs/>
          <w:sz w:val="24"/>
          <w:szCs w:val="24"/>
        </w:rPr>
        <w:t>spp</w:t>
      </w:r>
      <w:proofErr w:type="spellEnd"/>
      <w:r w:rsidRPr="003609FB">
        <w:rPr>
          <w:rFonts w:ascii="Times New Roman" w:hAnsi="Times New Roman" w:cs="Times New Roman"/>
          <w:sz w:val="24"/>
          <w:szCs w:val="24"/>
        </w:rPr>
        <w:t xml:space="preserve"> modeled in Chapter 2 or heterotrophic levels of detoxification</w:t>
      </w:r>
      <w:r>
        <w:rPr>
          <w:rFonts w:ascii="Times New Roman" w:hAnsi="Times New Roman" w:cs="Times New Roman"/>
          <w:sz w:val="24"/>
          <w:szCs w:val="24"/>
        </w:rPr>
        <w:t xml:space="preserve"> modeled in Appendix A, Shown in Figure 3.2</w:t>
      </w:r>
      <w:r w:rsidRPr="003609FB">
        <w:rPr>
          <w:rFonts w:ascii="Times New Roman" w:hAnsi="Times New Roman" w:cs="Times New Roman"/>
          <w:sz w:val="24"/>
          <w:szCs w:val="24"/>
        </w:rPr>
        <w:t xml:space="preserve">). </w:t>
      </w:r>
    </w:p>
    <w:p w14:paraId="4428D677" w14:textId="77777777" w:rsidR="00CC6FC0" w:rsidRPr="003609FB" w:rsidRDefault="00CC6FC0" w:rsidP="00CC6FC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Outcomes of the leaky detoxification via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on a system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are projected across nutrient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supplies in Figure 3.7. Green indicates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dominated competitive exclusion while yellow indicates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dominated exclusion. </w:t>
      </w:r>
      <w:proofErr w:type="gramStart"/>
      <w:r w:rsidRPr="003609FB">
        <w:rPr>
          <w:rFonts w:ascii="Times New Roman" w:hAnsi="Times New Roman" w:cs="Times New Roman"/>
          <w:sz w:val="24"/>
          <w:szCs w:val="24"/>
        </w:rPr>
        <w:t>Yellow-green</w:t>
      </w:r>
      <w:proofErr w:type="gramEnd"/>
      <w:r w:rsidRPr="003609FB">
        <w:rPr>
          <w:rFonts w:ascii="Times New Roman" w:hAnsi="Times New Roman" w:cs="Times New Roman"/>
          <w:sz w:val="24"/>
          <w:szCs w:val="24"/>
        </w:rPr>
        <w:t xml:space="preserve"> (notably absent from the leaky cases) represents various coexistence ratios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Dynamics like those pictured in the dynamics of Figure 3.6a-c, give these yellow-green colors. These </w:t>
      </w:r>
      <w:r>
        <w:rPr>
          <w:rFonts w:ascii="Times New Roman" w:hAnsi="Times New Roman" w:cs="Times New Roman"/>
          <w:sz w:val="24"/>
          <w:szCs w:val="24"/>
        </w:rPr>
        <w:t xml:space="preserve">ranges of </w:t>
      </w:r>
      <w:r w:rsidRPr="003609FB">
        <w:rPr>
          <w:rFonts w:ascii="Times New Roman" w:hAnsi="Times New Roman" w:cs="Times New Roman"/>
          <w:sz w:val="24"/>
          <w:szCs w:val="24"/>
        </w:rPr>
        <w:t>coexistence</w:t>
      </w:r>
      <w:r>
        <w:rPr>
          <w:rFonts w:ascii="Times New Roman" w:hAnsi="Times New Roman" w:cs="Times New Roman"/>
          <w:sz w:val="24"/>
          <w:szCs w:val="24"/>
        </w:rPr>
        <w:t xml:space="preserve"> between P and S </w:t>
      </w:r>
      <w:r w:rsidRPr="002700E8">
        <w:rPr>
          <w:rFonts w:ascii="Times New Roman" w:hAnsi="Times New Roman" w:cs="Times New Roman"/>
          <w:i/>
          <w:iCs/>
          <w:sz w:val="24"/>
          <w:szCs w:val="24"/>
        </w:rPr>
        <w:t>in silico</w:t>
      </w:r>
      <w:r w:rsidRPr="003609FB">
        <w:rPr>
          <w:rFonts w:ascii="Times New Roman" w:hAnsi="Times New Roman" w:cs="Times New Roman"/>
          <w:sz w:val="24"/>
          <w:szCs w:val="24"/>
        </w:rPr>
        <w:t xml:space="preserve"> do not occur when </w:t>
      </w:r>
      <w:r w:rsidRPr="002700E8">
        <w:rPr>
          <w:rFonts w:ascii="Times New Roman" w:hAnsi="Times New Roman" w:cs="Times New Roman"/>
          <w:sz w:val="24"/>
          <w:szCs w:val="24"/>
        </w:rPr>
        <w:t xml:space="preserve">S </w:t>
      </w:r>
      <w:r w:rsidRPr="003609FB">
        <w:rPr>
          <w:rFonts w:ascii="Times New Roman" w:hAnsi="Times New Roman" w:cs="Times New Roman"/>
          <w:sz w:val="24"/>
          <w:szCs w:val="24"/>
        </w:rPr>
        <w:t xml:space="preserve">does not </w:t>
      </w:r>
      <w:r>
        <w:rPr>
          <w:rFonts w:ascii="Times New Roman" w:hAnsi="Times New Roman" w:cs="Times New Roman"/>
          <w:sz w:val="24"/>
          <w:szCs w:val="24"/>
        </w:rPr>
        <w:t>provide enough detoxification to give a rate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w:rPr>
            <w:rFonts w:ascii="Cambria Math" w:hAnsi="Cambria Math" w:cs="Times New Roman"/>
            <w:sz w:val="24"/>
            <w:szCs w:val="24"/>
          </w:rPr>
          <m:t xml:space="preserve"> )</m:t>
        </m:r>
      </m:oMath>
      <w:r>
        <w:rPr>
          <w:rFonts w:ascii="Times New Roman" w:hAnsi="Times New Roman" w:cs="Times New Roman"/>
          <w:sz w:val="24"/>
          <w:szCs w:val="24"/>
        </w:rPr>
        <w:t xml:space="preserve"> </w:t>
      </w:r>
      <w:r w:rsidRPr="003609FB">
        <w:rPr>
          <w:rFonts w:ascii="Times New Roman" w:hAnsi="Times New Roman" w:cs="Times New Roman"/>
          <w:sz w:val="24"/>
          <w:szCs w:val="24"/>
        </w:rPr>
        <w:t xml:space="preserve">above 0. </w:t>
      </w:r>
    </w:p>
    <w:p w14:paraId="6DB85ADC" w14:textId="6106E6E6" w:rsidR="00797D57" w:rsidRDefault="00CC6FC0" w:rsidP="00CC6FC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These </w:t>
      </w:r>
      <w:r>
        <w:rPr>
          <w:rFonts w:ascii="Times New Roman" w:hAnsi="Times New Roman" w:cs="Times New Roman"/>
          <w:sz w:val="24"/>
          <w:szCs w:val="24"/>
        </w:rPr>
        <w:t xml:space="preserve">heat maps </w:t>
      </w:r>
      <w:r w:rsidRPr="003609FB">
        <w:rPr>
          <w:rFonts w:ascii="Times New Roman" w:hAnsi="Times New Roman" w:cs="Times New Roman"/>
          <w:sz w:val="24"/>
          <w:szCs w:val="24"/>
        </w:rPr>
        <w:t xml:space="preserve">show that coexistence is possible but only at high nutrients that give unrealistic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{"citationID":"2jYuwgyD","properties":{"formattedCitation":"(Partensky, Hess, and Vaulot 1999)","plainCitation":"(Partensky, Hess, and Vaulot 1999)","noteIndex":0},"citationItems":[{"id":4143,"uris":["http://zotero.org/users/6128296/items/D6ZNXNHI"],"itemData":{"id":4143,"type":"article-journal","abstract":"SUMMARY\n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w:t>
      </w:r>
      <w:proofErr w:type="spellStart"/>
      <w:r>
        <w:rPr>
          <w:rFonts w:ascii="Times New Roman" w:hAnsi="Times New Roman" w:cs="Times New Roman"/>
          <w:sz w:val="24"/>
          <w:szCs w:val="24"/>
        </w:rPr>
        <w:t>Partensky</w:t>
      </w:r>
      <w:proofErr w:type="spellEnd"/>
      <w:r>
        <w:rPr>
          <w:rFonts w:ascii="Times New Roman" w:hAnsi="Times New Roman" w:cs="Times New Roman"/>
          <w:sz w:val="24"/>
          <w:szCs w:val="24"/>
        </w:rPr>
        <w:t xml:space="preserve">, Hess, and </w:t>
      </w:r>
      <w:proofErr w:type="spellStart"/>
      <w:r>
        <w:rPr>
          <w:rFonts w:ascii="Times New Roman" w:hAnsi="Times New Roman" w:cs="Times New Roman"/>
          <w:sz w:val="24"/>
          <w:szCs w:val="24"/>
        </w:rPr>
        <w:t>Vaulot</w:t>
      </w:r>
      <w:proofErr w:type="spellEnd"/>
      <w:r>
        <w:rPr>
          <w:rFonts w:ascii="Times New Roman" w:hAnsi="Times New Roman" w:cs="Times New Roman"/>
          <w:sz w:val="24"/>
          <w:szCs w:val="24"/>
        </w:rPr>
        <w:t xml:space="preserve"> 1999)</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abundance values for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analogues. The nutrient supply (S</w:t>
      </w:r>
      <w:r w:rsidRPr="004B7844">
        <w:rPr>
          <w:rFonts w:ascii="Times New Roman" w:hAnsi="Times New Roman" w:cs="Times New Roman"/>
          <w:sz w:val="24"/>
          <w:szCs w:val="24"/>
          <w:vertAlign w:val="subscript"/>
        </w:rPr>
        <w:t>N</w:t>
      </w:r>
      <w:r w:rsidRPr="003609FB">
        <w:rPr>
          <w:rFonts w:ascii="Times New Roman" w:hAnsi="Times New Roman" w:cs="Times New Roman"/>
          <w:sz w:val="24"/>
          <w:szCs w:val="24"/>
        </w:rPr>
        <w:t xml:space="preserve">) of the oligotrophic ocean is unconstrained however given that dynamics in Figure 3.6 have abundances too high along with these overly large N values, we do not think this dynamic alone is controlling dynamics in the ocean. Further, preliminary </w:t>
      </w:r>
      <w:r w:rsidRPr="00825514">
        <w:rPr>
          <w:rFonts w:ascii="Times New Roman" w:hAnsi="Times New Roman" w:cs="Times New Roman"/>
          <w:i/>
          <w:iCs/>
          <w:sz w:val="24"/>
          <w:szCs w:val="24"/>
        </w:rPr>
        <w:t>in situ</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HEPES buffer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{"citationID":"oIORpf6Y","properties":{"formattedCitation":"(Morris et al. 2016)","plainCitation":"(Morris et al. 2016)","noteIndex":0},"citationItems":[{"id":1698,"uris":["http://zotero.org/users/6128296/items/EVC4QN3I"],"itemData":{"id":1698,"type":"article-journal","container-title":"Journal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(Morris </w:t>
      </w:r>
      <w:r w:rsidRPr="00183222">
        <w:rPr>
          <w:rFonts w:ascii="Times New Roman" w:hAnsi="Times New Roman" w:cs="Times New Roman"/>
          <w:i/>
          <w:iCs/>
          <w:sz w:val="24"/>
          <w:szCs w:val="24"/>
        </w:rPr>
        <w:t>et al</w:t>
      </w:r>
      <w:r>
        <w:rPr>
          <w:rFonts w:ascii="Times New Roman" w:hAnsi="Times New Roman" w:cs="Times New Roman"/>
          <w:sz w:val="24"/>
          <w:szCs w:val="24"/>
        </w:rPr>
        <w:t>. 2016)</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HOTS cruise spike assay data produced S</w:t>
      </w:r>
      <w:r w:rsidRPr="004B7844">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values in our current model of &lt;50. These models currently do not include DOC or light explicitly despite both being tied to the creation of more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{"citationID":"W0kxUYTP","properties":{"formattedCitation":"(Cooper et al. 1988; Zinser 2013)","plainCitation":"(Cooper et al. 1988; Zinser 2013)","noteIndex":0},"citationItems":[{"id":2126,"uris":["http://zotero.org/users/6128296/items/GE23ETKX"],"itemData":{"id":2126,"type":"article-journal","container-title":"Environmental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szCs w:val="24"/>
        </w:rPr>
        <w:t xml:space="preserve">(Cooper </w:t>
      </w:r>
      <w:r w:rsidRPr="00183222">
        <w:rPr>
          <w:rFonts w:ascii="Times New Roman" w:hAnsi="Times New Roman" w:cs="Times New Roman"/>
          <w:i/>
          <w:iCs/>
          <w:sz w:val="24"/>
          <w:szCs w:val="24"/>
        </w:rPr>
        <w:t>et al</w:t>
      </w:r>
      <w:r>
        <w:rPr>
          <w:rFonts w:ascii="Times New Roman" w:hAnsi="Times New Roman" w:cs="Times New Roman"/>
          <w:sz w:val="24"/>
          <w:szCs w:val="24"/>
        </w:rPr>
        <w:t>. 1988; Zinser 2013)</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Thus, it is unknown how closely these artificial supply rates correlate to values given by Zhu </w:t>
      </w:r>
      <w:r w:rsidRPr="00183222">
        <w:rPr>
          <w:rFonts w:ascii="Times New Roman" w:hAnsi="Times New Roman" w:cs="Times New Roman"/>
          <w:i/>
          <w:iCs/>
          <w:sz w:val="24"/>
          <w:szCs w:val="24"/>
        </w:rPr>
        <w:t>et al</w:t>
      </w:r>
      <w:r w:rsidRPr="00276D32">
        <w:rPr>
          <w:rFonts w:ascii="Times New Roman" w:hAnsi="Times New Roman" w:cs="Times New Roman"/>
          <w:i/>
          <w:iCs/>
          <w:sz w:val="24"/>
          <w:szCs w:val="24"/>
        </w:rPr>
        <w:t xml:space="preserve">. </w:t>
      </w:r>
      <w:r w:rsidRPr="003609FB">
        <w:rPr>
          <w:rFonts w:ascii="Times New Roman" w:hAnsi="Times New Roman" w:cs="Times New Roman"/>
          <w:sz w:val="24"/>
          <w:szCs w:val="24"/>
        </w:rPr>
        <w:t xml:space="preserve">(2022) or Powers and Miller (2014). </w:t>
      </w:r>
      <w:r w:rsidR="00797D57">
        <w:rPr>
          <w:rFonts w:ascii="Times New Roman" w:hAnsi="Times New Roman" w:cs="Times New Roman"/>
          <w:sz w:val="24"/>
          <w:szCs w:val="24"/>
        </w:rPr>
        <w:br w:type="page"/>
      </w:r>
    </w:p>
    <w:p w14:paraId="0E715049" w14:textId="77777777" w:rsidR="004D57C6" w:rsidRDefault="004D57C6" w:rsidP="00511118">
      <w:pPr>
        <w:pStyle w:val="Caption"/>
      </w:pPr>
      <w:bookmarkStart w:id="55" w:name="_Toc173148384"/>
      <w:r>
        <w:rPr>
          <w:rFonts w:ascii="Times New Roman" w:hAnsi="Times New Roman" w:cs="Times New Roman"/>
          <w:noProof/>
        </w:rPr>
        <w:lastRenderedPageBreak/>
        <w:drawing>
          <wp:inline distT="0" distB="0" distL="0" distR="0" wp14:anchorId="572C3008" wp14:editId="4A51CEA1">
            <wp:extent cx="5321162" cy="3511518"/>
            <wp:effectExtent l="0" t="0" r="0" b="0"/>
            <wp:docPr id="57" name="Picture 57" descr="A chart of a supply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chart of a supply of water&#10;&#10;Description automatically generated with medium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341971" cy="3525250"/>
                    </a:xfrm>
                    <a:prstGeom prst="rect">
                      <a:avLst/>
                    </a:prstGeom>
                  </pic:spPr>
                </pic:pic>
              </a:graphicData>
            </a:graphic>
          </wp:inline>
        </w:drawing>
      </w:r>
    </w:p>
    <w:p w14:paraId="40DCCEB0" w14:textId="2D64C89F" w:rsidR="00A90A32" w:rsidRPr="00A90A32" w:rsidRDefault="00602019" w:rsidP="00511118">
      <w:pPr>
        <w:pStyle w:val="Caption"/>
      </w:pPr>
      <w:r w:rsidRPr="00A90A32">
        <w:t xml:space="preserve">Figure </w:t>
      </w:r>
      <w:r w:rsidR="00000000">
        <w:fldChar w:fldCharType="begin"/>
      </w:r>
      <w:r w:rsidR="00000000">
        <w:instrText xml:space="preserve"> STYLEREF 1 \s </w:instrText>
      </w:r>
      <w:r w:rsidR="00000000">
        <w:fldChar w:fldCharType="separate"/>
      </w:r>
      <w:r w:rsidR="000D7BCF" w:rsidRPr="00A90A32">
        <w:rPr>
          <w:noProof/>
          <w:cs/>
        </w:rPr>
        <w:t>‎</w:t>
      </w:r>
      <w:r w:rsidR="000D7BCF" w:rsidRPr="00A90A32">
        <w:rPr>
          <w:noProof/>
        </w:rPr>
        <w:t>3</w:t>
      </w:r>
      <w:r w:rsidR="00000000">
        <w:rPr>
          <w:noProof/>
        </w:rPr>
        <w:fldChar w:fldCharType="end"/>
      </w:r>
      <w:r w:rsidR="000D7BCF" w:rsidRPr="00A90A32">
        <w:t>.</w:t>
      </w:r>
      <w:r w:rsidR="00000000">
        <w:fldChar w:fldCharType="begin"/>
      </w:r>
      <w:r w:rsidR="00000000">
        <w:instrText xml:space="preserve"> SEQ Figure \* ARABIC \s 1 </w:instrText>
      </w:r>
      <w:r w:rsidR="00000000">
        <w:fldChar w:fldCharType="separate"/>
      </w:r>
      <w:r w:rsidR="000D7BCF" w:rsidRPr="00A90A32">
        <w:rPr>
          <w:noProof/>
        </w:rPr>
        <w:t>7</w:t>
      </w:r>
      <w:r w:rsidR="00000000">
        <w:rPr>
          <w:noProof/>
        </w:rPr>
        <w:fldChar w:fldCharType="end"/>
      </w:r>
      <w:r w:rsidRPr="00A90A32">
        <w:t xml:space="preserve"> </w:t>
      </w:r>
      <w:proofErr w:type="spellStart"/>
      <w:r w:rsidR="000E1A51" w:rsidRPr="00A90A32">
        <w:t>ϕ</w:t>
      </w:r>
      <w:proofErr w:type="gramStart"/>
      <w:r w:rsidR="000E1A51" w:rsidRPr="00A90A32">
        <w:rPr>
          <w:vertAlign w:val="subscript"/>
        </w:rPr>
        <w:t>max,S</w:t>
      </w:r>
      <w:proofErr w:type="spellEnd"/>
      <w:proofErr w:type="gramEnd"/>
      <w:r w:rsidR="000E1A51" w:rsidRPr="00A90A32">
        <w:t xml:space="preserve"> </w:t>
      </w:r>
      <w:r w:rsidRPr="00A90A32">
        <w:t xml:space="preserve">effects on Prochlorococcus and </w:t>
      </w:r>
      <w:proofErr w:type="spellStart"/>
      <w:r w:rsidRPr="00A90A32">
        <w:t>Synechococcus</w:t>
      </w:r>
      <w:proofErr w:type="spellEnd"/>
      <w:r w:rsidRPr="00A90A32">
        <w:t xml:space="preserve"> coexistence in dynamics and equilibria contours.</w:t>
      </w:r>
      <w:bookmarkEnd w:id="55"/>
      <w:r w:rsidR="00A90A32" w:rsidRPr="00A90A32">
        <w:t xml:space="preserve"> Dynamics ODEs equilibrium </w:t>
      </w:r>
      <w:proofErr w:type="gramStart"/>
      <w:r w:rsidR="00A90A32" w:rsidRPr="00A90A32">
        <w:t>( *</w:t>
      </w:r>
      <w:proofErr w:type="gramEnd"/>
      <w:r w:rsidR="00A90A32" w:rsidRPr="00A90A32">
        <w:t>) equations are projected for various H</w:t>
      </w:r>
      <w:r w:rsidR="00A90A32" w:rsidRPr="00A90A32">
        <w:rPr>
          <w:vertAlign w:val="subscript"/>
        </w:rPr>
        <w:t>2</w:t>
      </w:r>
      <w:r w:rsidR="00A90A32" w:rsidRPr="00A90A32">
        <w:t>O</w:t>
      </w:r>
      <w:r w:rsidR="00A90A32" w:rsidRPr="00A90A32">
        <w:rPr>
          <w:vertAlign w:val="subscript"/>
        </w:rPr>
        <w:t>2</w:t>
      </w:r>
      <w:r w:rsidR="00A90A32" w:rsidRPr="00A90A32">
        <w:t xml:space="preserve"> detoxification parameterizations of </w:t>
      </w:r>
      <w:proofErr w:type="spellStart"/>
      <w:r w:rsidR="00A90A32" w:rsidRPr="00A90A32">
        <w:rPr>
          <w:i/>
          <w:iCs/>
        </w:rPr>
        <w:t>Synechococcus</w:t>
      </w:r>
      <w:proofErr w:type="spellEnd"/>
      <w:r w:rsidR="00A90A32" w:rsidRPr="00A90A32">
        <w:t xml:space="preserve">. The non-zero value of </w:t>
      </w:r>
      <w:proofErr w:type="spellStart"/>
      <w:r w:rsidR="00A90A32" w:rsidRPr="00A90A32">
        <w:t>ϕ</w:t>
      </w:r>
      <w:proofErr w:type="gramStart"/>
      <w:r w:rsidR="00A90A32" w:rsidRPr="00A90A32">
        <w:rPr>
          <w:vertAlign w:val="subscript"/>
        </w:rPr>
        <w:t>max,S</w:t>
      </w:r>
      <w:proofErr w:type="spellEnd"/>
      <w:proofErr w:type="gramEnd"/>
      <w:r w:rsidR="00A90A32" w:rsidRPr="00A90A32">
        <w:t xml:space="preserve"> allows coexistence and controls the extent to which it can occur along a continuum of S</w:t>
      </w:r>
      <w:r w:rsidR="00A90A32" w:rsidRPr="00A90A32">
        <w:rPr>
          <w:vertAlign w:val="subscript"/>
        </w:rPr>
        <w:t xml:space="preserve">N </w:t>
      </w:r>
      <w:r w:rsidR="00A90A32" w:rsidRPr="00A90A32">
        <w:t>and S</w:t>
      </w:r>
      <w:r w:rsidR="00A90A32" w:rsidRPr="00A90A32">
        <w:rPr>
          <w:vertAlign w:val="subscript"/>
        </w:rPr>
        <w:t>H</w:t>
      </w:r>
      <w:r w:rsidR="00A90A32" w:rsidRPr="00A90A32">
        <w:t xml:space="preserve"> values. 0 to 1500nM range for </w:t>
      </w:r>
      <w:r w:rsidR="00A90A32" w:rsidRPr="00A90A32">
        <w:rPr>
          <w:i/>
          <w:iCs/>
        </w:rPr>
        <w:t>in situ</w:t>
      </w:r>
      <w:r w:rsidR="00A90A32" w:rsidRPr="00A90A32">
        <w:t xml:space="preserve"> H</w:t>
      </w:r>
      <w:r w:rsidR="00A90A32" w:rsidRPr="00A90A32">
        <w:rPr>
          <w:vertAlign w:val="subscript"/>
        </w:rPr>
        <w:t>2</w:t>
      </w:r>
      <w:r w:rsidR="00A90A32" w:rsidRPr="00A90A32">
        <w:t>O</w:t>
      </w:r>
      <w:r w:rsidR="00A90A32" w:rsidRPr="00A90A32">
        <w:rPr>
          <w:vertAlign w:val="subscript"/>
        </w:rPr>
        <w:t xml:space="preserve">2 </w:t>
      </w:r>
      <w:r w:rsidR="00A90A32" w:rsidRPr="00A90A32">
        <w:t>is relevant for surface microbes, especially with rain inputs. S</w:t>
      </w:r>
      <w:r w:rsidR="00A90A32" w:rsidRPr="00A90A32">
        <w:rPr>
          <w:vertAlign w:val="subscript"/>
        </w:rPr>
        <w:t xml:space="preserve">N </w:t>
      </w:r>
      <w:r w:rsidR="00A90A32" w:rsidRPr="00A90A32">
        <w:t xml:space="preserve">range was tabulated </w:t>
      </w:r>
      <w:proofErr w:type="gramStart"/>
      <w:r w:rsidR="00A90A32" w:rsidRPr="00A90A32">
        <w:t>to be</w:t>
      </w:r>
      <w:proofErr w:type="gramEnd"/>
      <w:r w:rsidR="00A90A32" w:rsidRPr="00A90A32">
        <w:t xml:space="preserve"> give cellular values close to </w:t>
      </w:r>
      <w:r w:rsidR="00A90A32" w:rsidRPr="00A90A32">
        <w:rPr>
          <w:i/>
          <w:iCs/>
        </w:rPr>
        <w:t>in situ</w:t>
      </w:r>
      <w:r w:rsidR="00A90A32" w:rsidRPr="00A90A32">
        <w:t xml:space="preserve"> values. The average recovered </w:t>
      </w:r>
      <w:proofErr w:type="spellStart"/>
      <w:r w:rsidR="00A90A32" w:rsidRPr="00A90A32">
        <w:rPr>
          <w:i/>
          <w:iCs/>
        </w:rPr>
        <w:t>Synechococcus</w:t>
      </w:r>
      <w:proofErr w:type="spellEnd"/>
      <w:r w:rsidR="00A90A32" w:rsidRPr="00A90A32">
        <w:t xml:space="preserve"> </w:t>
      </w:r>
      <w:proofErr w:type="spellStart"/>
      <w:r w:rsidR="00A90A32" w:rsidRPr="00A90A32">
        <w:t>ϕ</w:t>
      </w:r>
      <w:proofErr w:type="gramStart"/>
      <w:r w:rsidR="00A90A32" w:rsidRPr="00A90A32">
        <w:rPr>
          <w:vertAlign w:val="subscript"/>
        </w:rPr>
        <w:t>max,S</w:t>
      </w:r>
      <w:proofErr w:type="spellEnd"/>
      <w:proofErr w:type="gramEnd"/>
      <w:r w:rsidR="00A90A32" w:rsidRPr="00A90A32">
        <w:t xml:space="preserve">  from Chapter 2 is represented by the middle </w:t>
      </w:r>
      <m:oMath>
        <m:sSub>
          <m:sSubPr>
            <m:ctrlPr>
              <w:rPr>
                <w:rFonts w:ascii="Cambria Math" w:hAnsi="Cambria Math"/>
                <w:i/>
                <w:iCs/>
              </w:rPr>
            </m:ctrlPr>
          </m:sSubPr>
          <m:e>
            <m:r>
              <w:rPr>
                <w:rFonts w:ascii="Cambria Math" w:hAnsi="Cambria Math"/>
              </w:rPr>
              <m:t>ϕ</m:t>
            </m:r>
          </m:e>
          <m:sub>
            <m:r>
              <w:rPr>
                <w:rFonts w:ascii="Cambria Math" w:hAnsi="Cambria Math"/>
              </w:rPr>
              <m:t>max,S</m:t>
            </m:r>
          </m:sub>
        </m:sSub>
      </m:oMath>
      <w:r w:rsidR="00A90A32" w:rsidRPr="00A90A32">
        <w:t xml:space="preserve"> (2.0 x10</w:t>
      </w:r>
      <w:r w:rsidR="00A90A32" w:rsidRPr="00A90A32">
        <w:rPr>
          <w:vertAlign w:val="superscript"/>
        </w:rPr>
        <w:t>-6</w:t>
      </w:r>
      <w:r w:rsidR="00A90A32" w:rsidRPr="00A90A32">
        <w:t xml:space="preserve">) value in this figure. Under case 3 of our model’s regime (leaky detoxification from only </w:t>
      </w:r>
      <w:proofErr w:type="spellStart"/>
      <w:r w:rsidR="00A90A32" w:rsidRPr="00A90A32">
        <w:rPr>
          <w:i/>
          <w:iCs/>
        </w:rPr>
        <w:t>Synechococcus</w:t>
      </w:r>
      <w:proofErr w:type="spellEnd"/>
      <w:r w:rsidR="00A90A32" w:rsidRPr="00A90A32">
        <w:t xml:space="preserve"> cells), coexistence is available only at high S</w:t>
      </w:r>
      <w:r w:rsidR="00A90A32" w:rsidRPr="00A90A32">
        <w:rPr>
          <w:vertAlign w:val="subscript"/>
        </w:rPr>
        <w:t>N</w:t>
      </w:r>
      <w:r w:rsidR="00A90A32" w:rsidRPr="00A90A32">
        <w:t xml:space="preserve"> or low S</w:t>
      </w:r>
      <w:r w:rsidR="00A90A32" w:rsidRPr="00A90A32">
        <w:rPr>
          <w:vertAlign w:val="subscript"/>
        </w:rPr>
        <w:t>H</w:t>
      </w:r>
      <w:r w:rsidR="00A90A32" w:rsidRPr="00A90A32">
        <w:t xml:space="preserve"> values. * </w:t>
      </w:r>
      <w:proofErr w:type="gramStart"/>
      <w:r w:rsidR="00A90A32" w:rsidRPr="00A90A32">
        <w:t>equilibria</w:t>
      </w:r>
      <w:proofErr w:type="gramEnd"/>
      <w:r w:rsidR="00A90A32" w:rsidRPr="00A90A32">
        <w:t xml:space="preserve"> are calculated in Appendix B2. Comparison with Dynamic contours are shown in Appendix B, Section B3.  </w:t>
      </w:r>
    </w:p>
    <w:p w14:paraId="400C839F" w14:textId="4A3CE9E4" w:rsidR="004A316C" w:rsidRDefault="004D57C6" w:rsidP="00511118">
      <w:pPr>
        <w:pStyle w:val="Caption"/>
        <w:rPr>
          <w:rFonts w:ascii="Times New Roman" w:hAnsi="Times New Roman" w:cs="Times New Roman"/>
          <w:vertAlign w:val="superscript"/>
        </w:rPr>
      </w:pPr>
      <m:oMath>
        <m:sSub>
          <m:sSubPr>
            <m:ctrlPr>
              <w:rPr>
                <w:rFonts w:ascii="Cambria Math" w:hAnsi="Cambria Math" w:cs="Times New Roman"/>
                <w:i/>
                <w:iCs/>
              </w:rPr>
            </m:ctrlPr>
          </m:sSubPr>
          <m:e>
            <m:r>
              <w:rPr>
                <w:rFonts w:ascii="Cambria Math" w:hAnsi="Cambria Math" w:cs="Times New Roman"/>
              </w:rPr>
              <m:t>ϕ</m:t>
            </m:r>
          </m:e>
          <m:sub>
            <m:r>
              <w:rPr>
                <w:rFonts w:ascii="Cambria Math" w:hAnsi="Cambria Math" w:cs="Times New Roman"/>
              </w:rPr>
              <m:t>max,S</m:t>
            </m:r>
          </m:sub>
        </m:sSub>
      </m:oMath>
      <w:r>
        <w:rPr>
          <w:rFonts w:ascii="Times New Roman" w:hAnsi="Times New Roman" w:cs="Times New Roman"/>
        </w:rPr>
        <w:t xml:space="preserve"> </w:t>
      </w:r>
      <w:r w:rsidRPr="003609FB">
        <w:rPr>
          <w:rFonts w:ascii="Times New Roman" w:hAnsi="Times New Roman" w:cs="Times New Roman"/>
        </w:rPr>
        <w:t>= 8.0 x10</w:t>
      </w:r>
      <w:r w:rsidRPr="00B64005">
        <w:rPr>
          <w:rFonts w:ascii="Times New Roman" w:hAnsi="Times New Roman" w:cs="Times New Roman"/>
          <w:vertAlign w:val="superscript"/>
        </w:rPr>
        <w:t>-6</w:t>
      </w:r>
      <w:r w:rsidRPr="003609FB">
        <w:rPr>
          <w:rFonts w:ascii="Times New Roman" w:hAnsi="Times New Roman" w:cs="Times New Roman"/>
        </w:rPr>
        <w:t xml:space="preserve"> mL cell</w:t>
      </w:r>
      <w:r w:rsidRPr="00C4225C">
        <w:rPr>
          <w:rFonts w:ascii="Times New Roman" w:hAnsi="Times New Roman" w:cs="Times New Roman"/>
          <w:vertAlign w:val="superscript"/>
        </w:rPr>
        <w:t>-1</w:t>
      </w:r>
      <w:r w:rsidRPr="003609FB">
        <w:rPr>
          <w:rFonts w:ascii="Times New Roman" w:hAnsi="Times New Roman" w:cs="Times New Roman"/>
        </w:rPr>
        <w:t xml:space="preserve"> day</w:t>
      </w:r>
      <w:r w:rsidRPr="00C4225C">
        <w:rPr>
          <w:rFonts w:ascii="Times New Roman" w:hAnsi="Times New Roman" w:cs="Times New Roman"/>
          <w:vertAlign w:val="superscript"/>
        </w:rPr>
        <w:t>-1</w:t>
      </w:r>
      <w:r w:rsidR="004A316C">
        <w:rPr>
          <w:rFonts w:ascii="Times New Roman" w:hAnsi="Times New Roman" w:cs="Times New Roman"/>
          <w:vertAlign w:val="superscript"/>
        </w:rPr>
        <w:br w:type="page"/>
      </w:r>
    </w:p>
    <w:p w14:paraId="1A662EF7" w14:textId="5BBCC9C2" w:rsidR="003A0D8F" w:rsidRDefault="004A316C" w:rsidP="00AB2160">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5907025" wp14:editId="312B0DCA">
            <wp:extent cx="5454886" cy="4319081"/>
            <wp:effectExtent l="0" t="0" r="0" b="0"/>
            <wp:docPr id="59" name="Picture 59" descr="A chart with a gradient of green and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hart with a gradient of green and yellow&#10;&#10;Description automatically generated"/>
                    <pic:cNvPicPr/>
                  </pic:nvPicPr>
                  <pic:blipFill rotWithShape="1">
                    <a:blip r:embed="rId46" cstate="print">
                      <a:extLst>
                        <a:ext uri="{28A0092B-C50C-407E-A947-70E740481C1C}">
                          <a14:useLocalDpi xmlns:a14="http://schemas.microsoft.com/office/drawing/2010/main" val="0"/>
                        </a:ext>
                      </a:extLst>
                    </a:blip>
                    <a:srcRect l="5421"/>
                    <a:stretch/>
                  </pic:blipFill>
                  <pic:spPr bwMode="auto">
                    <a:xfrm>
                      <a:off x="0" y="0"/>
                      <a:ext cx="5456801" cy="4320597"/>
                    </a:xfrm>
                    <a:prstGeom prst="rect">
                      <a:avLst/>
                    </a:prstGeom>
                    <a:ln>
                      <a:noFill/>
                    </a:ln>
                    <a:extLst>
                      <a:ext uri="{53640926-AAD7-44D8-BBD7-CCE9431645EC}">
                        <a14:shadowObscured xmlns:a14="http://schemas.microsoft.com/office/drawing/2010/main"/>
                      </a:ext>
                    </a:extLst>
                  </pic:spPr>
                </pic:pic>
              </a:graphicData>
            </a:graphic>
          </wp:inline>
        </w:drawing>
      </w:r>
    </w:p>
    <w:p w14:paraId="239CF61C" w14:textId="77777777" w:rsidR="00511118" w:rsidRDefault="00511118" w:rsidP="00511118">
      <w:pPr>
        <w:spacing w:line="360" w:lineRule="auto"/>
        <w:rPr>
          <w:rFonts w:ascii="Times New Roman" w:hAnsi="Times New Roman" w:cs="Times New Roman"/>
          <w:sz w:val="24"/>
          <w:szCs w:val="24"/>
        </w:rPr>
      </w:pPr>
      <w:r w:rsidRPr="0038500D">
        <w:rPr>
          <w:rFonts w:ascii="Times New Roman" w:hAnsi="Times New Roman" w:cs="Times New Roman"/>
          <w:sz w:val="24"/>
          <w:szCs w:val="24"/>
        </w:rPr>
        <w:t>Figure 3.</w:t>
      </w:r>
      <w:r>
        <w:t xml:space="preserve">7 </w:t>
      </w:r>
      <w:r w:rsidRPr="0038500D">
        <w:rPr>
          <w:rFonts w:ascii="Times New Roman" w:hAnsi="Times New Roman" w:cs="Times New Roman"/>
          <w:sz w:val="24"/>
          <w:szCs w:val="24"/>
        </w:rPr>
        <w:t>continued</w:t>
      </w:r>
    </w:p>
    <w:p w14:paraId="640CBB25" w14:textId="65AF280E" w:rsidR="00AC5643" w:rsidRDefault="004A316C" w:rsidP="00AB2160">
      <w:pPr>
        <w:spacing w:line="360" w:lineRule="auto"/>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 2.0 x10</w:t>
      </w:r>
      <w:r w:rsidRPr="00B64005">
        <w:rPr>
          <w:rFonts w:ascii="Times New Roman" w:hAnsi="Times New Roman" w:cs="Times New Roman"/>
          <w:sz w:val="24"/>
          <w:szCs w:val="24"/>
          <w:vertAlign w:val="superscript"/>
        </w:rPr>
        <w:t>-6</w:t>
      </w:r>
      <w:r w:rsidRPr="003609FB">
        <w:rPr>
          <w:rFonts w:ascii="Times New Roman" w:hAnsi="Times New Roman" w:cs="Times New Roman"/>
          <w:sz w:val="24"/>
          <w:szCs w:val="24"/>
        </w:rPr>
        <w:t xml:space="preserve"> mL cell</w:t>
      </w:r>
      <w:r w:rsidRPr="00C4225C">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C4225C">
        <w:rPr>
          <w:rFonts w:ascii="Times New Roman" w:hAnsi="Times New Roman" w:cs="Times New Roman"/>
          <w:sz w:val="24"/>
          <w:szCs w:val="24"/>
          <w:vertAlign w:val="superscript"/>
        </w:rPr>
        <w:t>-1</w:t>
      </w:r>
    </w:p>
    <w:p w14:paraId="006D0D7F" w14:textId="1569751D" w:rsidR="003A0D8F" w:rsidRDefault="003A0D8F" w:rsidP="00AB2160">
      <w:pPr>
        <w:spacing w:line="360" w:lineRule="auto"/>
        <w:rPr>
          <w:rFonts w:ascii="Times New Roman" w:hAnsi="Times New Roman" w:cs="Times New Roman"/>
          <w:sz w:val="24"/>
          <w:szCs w:val="24"/>
        </w:rPr>
      </w:pPr>
    </w:p>
    <w:p w14:paraId="0E42EE06" w14:textId="23F2AFAF" w:rsidR="00602019" w:rsidRDefault="00602019" w:rsidP="00511118">
      <w:pPr>
        <w:pStyle w:val="Caption"/>
      </w:pPr>
    </w:p>
    <w:p w14:paraId="77538B73" w14:textId="5B19A6AC" w:rsidR="00602019" w:rsidRDefault="00602019" w:rsidP="00511118">
      <w:pPr>
        <w:pStyle w:val="Caption"/>
      </w:pPr>
    </w:p>
    <w:p w14:paraId="021C03E8" w14:textId="07CE9295" w:rsidR="00602019" w:rsidRDefault="00602019" w:rsidP="00511118">
      <w:pPr>
        <w:pStyle w:val="Caption"/>
      </w:pPr>
    </w:p>
    <w:p w14:paraId="1ADA138F" w14:textId="3B2D0C9D" w:rsidR="00602019" w:rsidRDefault="00602019" w:rsidP="00511118">
      <w:pPr>
        <w:pStyle w:val="Caption"/>
      </w:pPr>
    </w:p>
    <w:p w14:paraId="0FDF1D75" w14:textId="77777777" w:rsidR="00AC5643" w:rsidRDefault="00AC5643" w:rsidP="00511118">
      <w:pPr>
        <w:pStyle w:val="Caption"/>
      </w:pPr>
    </w:p>
    <w:p w14:paraId="42B7A93B" w14:textId="4850AE40" w:rsidR="00590653" w:rsidRDefault="004A316C" w:rsidP="00AB2160">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A39B074" wp14:editId="72333EDC">
            <wp:extent cx="5638800" cy="4203700"/>
            <wp:effectExtent l="0" t="0" r="0" b="0"/>
            <wp:docPr id="2059388801" name="Picture 2059388801" descr="A chart of a number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01" name="Picture 2059388801" descr="A chart of a number of different colors&#10;&#10;Description automatically generated with medium confidenc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638800" cy="4203700"/>
                    </a:xfrm>
                    <a:prstGeom prst="rect">
                      <a:avLst/>
                    </a:prstGeom>
                  </pic:spPr>
                </pic:pic>
              </a:graphicData>
            </a:graphic>
          </wp:inline>
        </w:drawing>
      </w:r>
    </w:p>
    <w:p w14:paraId="59EAF573" w14:textId="77777777" w:rsidR="004A316C" w:rsidRDefault="004A316C" w:rsidP="004A316C">
      <w:pPr>
        <w:spacing w:line="360" w:lineRule="auto"/>
        <w:rPr>
          <w:rFonts w:ascii="Times New Roman" w:hAnsi="Times New Roman" w:cs="Times New Roman"/>
          <w:sz w:val="24"/>
          <w:szCs w:val="24"/>
        </w:rPr>
      </w:pPr>
      <w:r w:rsidRPr="0038500D">
        <w:rPr>
          <w:rFonts w:ascii="Times New Roman" w:hAnsi="Times New Roman" w:cs="Times New Roman"/>
          <w:sz w:val="24"/>
          <w:szCs w:val="24"/>
        </w:rPr>
        <w:t>Figure 3.</w:t>
      </w:r>
      <w:r>
        <w:t xml:space="preserve">7 </w:t>
      </w:r>
      <w:r w:rsidRPr="0038500D">
        <w:rPr>
          <w:rFonts w:ascii="Times New Roman" w:hAnsi="Times New Roman" w:cs="Times New Roman"/>
          <w:sz w:val="24"/>
          <w:szCs w:val="24"/>
        </w:rPr>
        <w:t>continued</w:t>
      </w:r>
    </w:p>
    <w:p w14:paraId="683618C7" w14:textId="3108A75C" w:rsidR="00AC5643" w:rsidRDefault="004A316C" w:rsidP="00AB2160">
      <w:pPr>
        <w:spacing w:line="360" w:lineRule="auto"/>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m:rPr>
            <m:sty m:val="p"/>
          </m:rPr>
          <w:rPr>
            <w:rFonts w:ascii="Cambria Math" w:hAnsi="Cambria Math" w:cs="Times New Roman"/>
            <w:sz w:val="24"/>
            <w:szCs w:val="24"/>
          </w:rPr>
          <m:t xml:space="preserve"> </m:t>
        </m:r>
      </m:oMath>
      <w:r w:rsidRPr="003609FB">
        <w:rPr>
          <w:rFonts w:ascii="Times New Roman" w:hAnsi="Times New Roman" w:cs="Times New Roman"/>
          <w:sz w:val="24"/>
          <w:szCs w:val="24"/>
        </w:rPr>
        <w:t xml:space="preserve">   = 0.5 x10</w:t>
      </w:r>
      <w:r w:rsidRPr="00B64005">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3609FB">
        <w:rPr>
          <w:rFonts w:ascii="Times New Roman" w:hAnsi="Times New Roman" w:cs="Times New Roman"/>
          <w:sz w:val="24"/>
          <w:szCs w:val="24"/>
        </w:rPr>
        <w:t>mL cell</w:t>
      </w:r>
      <w:r w:rsidRPr="00C4225C">
        <w:rPr>
          <w:rFonts w:ascii="Times New Roman" w:hAnsi="Times New Roman" w:cs="Times New Roman"/>
          <w:sz w:val="24"/>
          <w:szCs w:val="24"/>
          <w:vertAlign w:val="superscript"/>
        </w:rPr>
        <w:t>-1</w:t>
      </w:r>
      <w:r w:rsidRPr="003609FB">
        <w:rPr>
          <w:rFonts w:ascii="Times New Roman" w:hAnsi="Times New Roman" w:cs="Times New Roman"/>
          <w:sz w:val="24"/>
          <w:szCs w:val="24"/>
        </w:rPr>
        <w:t xml:space="preserve"> day</w:t>
      </w:r>
      <w:r w:rsidRPr="00C4225C">
        <w:rPr>
          <w:rFonts w:ascii="Times New Roman" w:hAnsi="Times New Roman" w:cs="Times New Roman"/>
          <w:sz w:val="24"/>
          <w:szCs w:val="24"/>
          <w:vertAlign w:val="superscript"/>
        </w:rPr>
        <w:t>-1</w:t>
      </w:r>
    </w:p>
    <w:p w14:paraId="55095B79" w14:textId="77777777" w:rsidR="00AC5643" w:rsidRDefault="00AC5643" w:rsidP="00AB2160">
      <w:pPr>
        <w:spacing w:line="360" w:lineRule="auto"/>
        <w:rPr>
          <w:rFonts w:ascii="Times New Roman" w:hAnsi="Times New Roman" w:cs="Times New Roman"/>
          <w:sz w:val="24"/>
          <w:szCs w:val="24"/>
        </w:rPr>
      </w:pPr>
    </w:p>
    <w:p w14:paraId="049F8E34" w14:textId="77777777" w:rsidR="00511118" w:rsidRDefault="00511118" w:rsidP="00AB2160">
      <w:pPr>
        <w:spacing w:line="360" w:lineRule="auto"/>
        <w:rPr>
          <w:rFonts w:ascii="Times New Roman" w:hAnsi="Times New Roman" w:cs="Times New Roman"/>
          <w:sz w:val="24"/>
          <w:szCs w:val="24"/>
        </w:rPr>
      </w:pPr>
    </w:p>
    <w:p w14:paraId="2048FEBE" w14:textId="77777777" w:rsidR="004A316C" w:rsidRDefault="004A316C" w:rsidP="00AB2160">
      <w:pPr>
        <w:spacing w:line="360" w:lineRule="auto"/>
        <w:rPr>
          <w:rFonts w:ascii="Times New Roman" w:hAnsi="Times New Roman" w:cs="Times New Roman"/>
          <w:sz w:val="24"/>
          <w:szCs w:val="24"/>
        </w:rPr>
      </w:pPr>
    </w:p>
    <w:p w14:paraId="55F95895" w14:textId="77777777" w:rsidR="004A316C" w:rsidRDefault="004A316C" w:rsidP="00AB2160">
      <w:pPr>
        <w:spacing w:line="360" w:lineRule="auto"/>
        <w:rPr>
          <w:rFonts w:ascii="Times New Roman" w:hAnsi="Times New Roman" w:cs="Times New Roman"/>
          <w:sz w:val="24"/>
          <w:szCs w:val="24"/>
        </w:rPr>
      </w:pPr>
    </w:p>
    <w:p w14:paraId="709313AC" w14:textId="77777777" w:rsidR="004A316C" w:rsidRDefault="004A316C" w:rsidP="00AB2160">
      <w:pPr>
        <w:spacing w:line="360" w:lineRule="auto"/>
        <w:rPr>
          <w:rFonts w:ascii="Times New Roman" w:hAnsi="Times New Roman" w:cs="Times New Roman"/>
          <w:sz w:val="24"/>
          <w:szCs w:val="24"/>
        </w:rPr>
      </w:pPr>
    </w:p>
    <w:p w14:paraId="5FFC80DB" w14:textId="77777777" w:rsidR="004A316C" w:rsidRDefault="004A316C" w:rsidP="00AB2160">
      <w:pPr>
        <w:spacing w:line="360" w:lineRule="auto"/>
        <w:rPr>
          <w:rFonts w:ascii="Times New Roman" w:hAnsi="Times New Roman" w:cs="Times New Roman"/>
          <w:sz w:val="24"/>
          <w:szCs w:val="24"/>
        </w:rPr>
      </w:pPr>
    </w:p>
    <w:p w14:paraId="09DE5958" w14:textId="77777777" w:rsidR="004A316C" w:rsidRDefault="004A316C" w:rsidP="00AB2160">
      <w:pPr>
        <w:spacing w:line="360" w:lineRule="auto"/>
        <w:rPr>
          <w:rFonts w:ascii="Times New Roman" w:hAnsi="Times New Roman" w:cs="Times New Roman"/>
          <w:sz w:val="24"/>
          <w:szCs w:val="24"/>
        </w:rPr>
      </w:pPr>
    </w:p>
    <w:p w14:paraId="75765005" w14:textId="27A55060" w:rsidR="00A834F4" w:rsidRPr="00A834F4" w:rsidRDefault="00531865" w:rsidP="00AB2160">
      <w:pPr>
        <w:pStyle w:val="Heading3"/>
        <w:spacing w:line="360" w:lineRule="auto"/>
      </w:pPr>
      <w:bookmarkStart w:id="56" w:name="_Toc173250037"/>
      <w:r w:rsidRPr="003609FB">
        <w:lastRenderedPageBreak/>
        <w:t xml:space="preserve">Leaky dynamics </w:t>
      </w:r>
      <w:r w:rsidR="00E34767" w:rsidRPr="003609FB">
        <w:t xml:space="preserve">including </w:t>
      </w:r>
      <w:proofErr w:type="spellStart"/>
      <w:r w:rsidR="00691B65" w:rsidRPr="00691B65">
        <w:rPr>
          <w:i/>
          <w:iCs/>
        </w:rPr>
        <w:t>Synechococcus</w:t>
      </w:r>
      <w:proofErr w:type="spellEnd"/>
      <w:r w:rsidRPr="003609FB">
        <w:t xml:space="preserve"> and Bacterial </w:t>
      </w:r>
      <w:r w:rsidR="00E34767" w:rsidRPr="003609FB">
        <w:t>detoxification</w:t>
      </w:r>
      <w:bookmarkEnd w:id="56"/>
      <w:r w:rsidRPr="003609FB">
        <w:t xml:space="preserve"> </w:t>
      </w:r>
    </w:p>
    <w:p w14:paraId="77A0EC1D" w14:textId="3D8C1E0C" w:rsidR="00531865" w:rsidRPr="003609FB" w:rsidRDefault="00531865"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Bioinformatic comparative analysis of all known bacterial genomes</w:t>
      </w:r>
      <w:r w:rsidR="009775B0" w:rsidRPr="003609FB">
        <w:rPr>
          <w:rFonts w:ascii="Times New Roman" w:hAnsi="Times New Roman" w:cs="Times New Roman"/>
          <w:sz w:val="24"/>
          <w:szCs w:val="24"/>
        </w:rPr>
        <w:t xml:space="preserve"> has been </w:t>
      </w:r>
      <w:r w:rsidRPr="003609FB">
        <w:rPr>
          <w:rFonts w:ascii="Times New Roman" w:hAnsi="Times New Roman" w:cs="Times New Roman"/>
          <w:sz w:val="24"/>
          <w:szCs w:val="24"/>
        </w:rPr>
        <w:t xml:space="preserve">found ‘surprisingly small’ amount of detoxification genes in marine microbes (as compared to cultured bacteria). </w:t>
      </w:r>
      <w:r w:rsidR="00AA496F">
        <w:rPr>
          <w:rFonts w:ascii="Times New Roman" w:hAnsi="Times New Roman" w:cs="Times New Roman"/>
          <w:sz w:val="24"/>
          <w:szCs w:val="24"/>
        </w:rPr>
        <w:t xml:space="preserve">In bacteria, catalase is </w:t>
      </w:r>
      <w:r w:rsidRPr="003609FB">
        <w:rPr>
          <w:rFonts w:ascii="Times New Roman" w:hAnsi="Times New Roman" w:cs="Times New Roman"/>
          <w:sz w:val="24"/>
          <w:szCs w:val="24"/>
        </w:rPr>
        <w:t xml:space="preserve">‘almost completely absent’ </w:t>
      </w:r>
      <w:r w:rsidR="002B735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{"citationID":"izRYnzYA","properties":{"formattedCitation":"(Bengtsson-Palme et al. 2014; Morris et al. 2016)","plainCitation":"(Bengtsson-Palme et al. 2014; Morris et al. 2016)","noteIndex":0},"citationItems":[{"id":3064,"uris":["http://zotero.org/users/6128296/items/649JVMNG"],"itemData":{"id":3064,"type":"article-journal","abstract":"Background: Environmental shotgun sequencing (metagenomics) provides a new way to study communities in microbial ecology. We here use sequence data from the Global Ocean Sampling (GOS) expedition to investigate toxicant selection pressures revealed by the presence of detoxification genes in marine bacteria. To capture a broad range of potential toxicants we selected detoxification protein families representing systems protecting microorganisms from a variety of stressors, such as metals, organic compounds, antibiotics and oxygen radicals.\nResults: Using a bioinformatics procedure based on comparative analysis to finished bacterial genomes we found that the amount of detoxification genes present in marine microorganisms seems surprisingly small. The underrepresentation is particularly evident for toxicant transporters and proteins involved in detoxifying metals. Exceptions are enzymes involved in oxidative stress defense where peroxidase enzymes are more abundant in marine bacteria compared to bacteria in general. In contrast, catalases are almost completely absent from the open ocean environment, suggesting that peroxidases and peroxiredoxins constitute a core line of defense against reactive oxygen species (ROS) in the marine milieu.\nConclusions: We found no indication that detoxification systems would be generally more abundant close to the coast compared to the open ocean. On the contrary, for several of the protein families that displayed a significant geographical distribution, like peroxidase, penicillin binding transpeptidase and divalent ion transport protein, the open ocean samples showed the highest abundance. Along the same lines, the abundance of most detoxification proteins did not increase with estimated pollution. The low level of detoxification systems in marine bacteria indicate that the majority of marine bacteria have a low capacity to adapt to increased pollution. Our study exemplifies the use of metagenomics data in ecotoxicology, and in particular how anthropogenic consequences on life in the sea can be examined.","container-title":"BMC Genomics","DOI":"10.1186/1471-2164-15-749","ISSN":"1471-2164","issue":"1","journalAbbreviation":"BMC Genomics","language":"en","page":"749","source":"DOI.org (Crossref)","title":"Metagenomics reveals that detoxification systems are underrepresented in marine bacterial communities","volume":"15","author":[{"family":"Bengtsson-Palme","given":""},{"family":"Alm Rosenblad","given":"Magnus"},{"family":"Molin","given":"Mikael"},{"family":"Blomberg","given":"Anders"}],"issued":{"date-parts":[["2014"]]}}},{"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R."}],"issued":{"date-parts":[["2016",8]]}}}],"schema":"https://github.com/citation-style-language/schema/raw/master/csl-citation.json"} </w:instrText>
      </w:r>
      <w:r w:rsidR="002B735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(Bengtsson-Palme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2014; 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2016)</w:t>
      </w:r>
      <w:r w:rsidR="002B735E" w:rsidRPr="003609FB">
        <w:rPr>
          <w:rFonts w:ascii="Times New Roman" w:hAnsi="Times New Roman" w:cs="Times New Roman"/>
          <w:sz w:val="24"/>
          <w:szCs w:val="24"/>
        </w:rPr>
        <w:fldChar w:fldCharType="end"/>
      </w:r>
      <w:r w:rsidR="002B735E" w:rsidRPr="003609FB">
        <w:rPr>
          <w:rFonts w:ascii="Times New Roman" w:hAnsi="Times New Roman" w:cs="Times New Roman"/>
          <w:sz w:val="24"/>
          <w:szCs w:val="24"/>
        </w:rPr>
        <w:t xml:space="preserve"> </w:t>
      </w:r>
      <w:r w:rsidR="00AA496F">
        <w:rPr>
          <w:rFonts w:ascii="Times New Roman" w:hAnsi="Times New Roman" w:cs="Times New Roman"/>
          <w:sz w:val="24"/>
          <w:szCs w:val="24"/>
        </w:rPr>
        <w:t xml:space="preserve">while </w:t>
      </w:r>
      <w:r w:rsidRPr="003609FB">
        <w:rPr>
          <w:rFonts w:ascii="Times New Roman" w:hAnsi="Times New Roman" w:cs="Times New Roman"/>
          <w:sz w:val="24"/>
          <w:szCs w:val="24"/>
        </w:rPr>
        <w:t xml:space="preserve">peroxides </w:t>
      </w:r>
      <w:r w:rsidR="00AA496F">
        <w:rPr>
          <w:rFonts w:ascii="Times New Roman" w:hAnsi="Times New Roman" w:cs="Times New Roman"/>
          <w:sz w:val="24"/>
          <w:szCs w:val="24"/>
        </w:rPr>
        <w:t>are</w:t>
      </w:r>
      <w:r w:rsidRPr="003609FB">
        <w:rPr>
          <w:rFonts w:ascii="Times New Roman" w:hAnsi="Times New Roman" w:cs="Times New Roman"/>
          <w:sz w:val="24"/>
          <w:szCs w:val="24"/>
        </w:rPr>
        <w:t xml:space="preserve"> </w:t>
      </w:r>
      <w:r w:rsidR="00AA496F">
        <w:rPr>
          <w:rFonts w:ascii="Times New Roman" w:hAnsi="Times New Roman" w:cs="Times New Roman"/>
          <w:sz w:val="24"/>
          <w:szCs w:val="24"/>
        </w:rPr>
        <w:t>found to be</w:t>
      </w:r>
      <w:r w:rsidRPr="003609FB">
        <w:rPr>
          <w:rFonts w:ascii="Times New Roman" w:hAnsi="Times New Roman" w:cs="Times New Roman"/>
          <w:sz w:val="24"/>
          <w:szCs w:val="24"/>
        </w:rPr>
        <w:t xml:space="preserve"> abundant in marine </w:t>
      </w:r>
      <w:r w:rsidR="00E40454">
        <w:rPr>
          <w:rFonts w:ascii="Times New Roman" w:hAnsi="Times New Roman" w:cs="Times New Roman"/>
          <w:sz w:val="24"/>
          <w:szCs w:val="24"/>
        </w:rPr>
        <w:t>isolates</w:t>
      </w:r>
      <w:r w:rsidR="00AA496F">
        <w:rPr>
          <w:rFonts w:ascii="Times New Roman" w:hAnsi="Times New Roman" w:cs="Times New Roman"/>
          <w:sz w:val="24"/>
          <w:szCs w:val="24"/>
        </w:rPr>
        <w:t>. T</w:t>
      </w:r>
      <w:r w:rsidRPr="003609FB">
        <w:rPr>
          <w:rFonts w:ascii="Times New Roman" w:hAnsi="Times New Roman" w:cs="Times New Roman"/>
          <w:sz w:val="24"/>
          <w:szCs w:val="24"/>
        </w:rPr>
        <w:t xml:space="preserve">hus </w:t>
      </w:r>
      <w:r w:rsidR="00103B81" w:rsidRPr="003609FB">
        <w:rPr>
          <w:rFonts w:ascii="Times New Roman" w:hAnsi="Times New Roman" w:cs="Times New Roman"/>
          <w:sz w:val="24"/>
          <w:szCs w:val="24"/>
        </w:rPr>
        <w:t xml:space="preserve">it seems </w:t>
      </w:r>
      <w:r w:rsidRPr="003609FB">
        <w:rPr>
          <w:rFonts w:ascii="Times New Roman" w:hAnsi="Times New Roman" w:cs="Times New Roman"/>
          <w:sz w:val="24"/>
          <w:szCs w:val="24"/>
        </w:rPr>
        <w:t xml:space="preserve">not all </w:t>
      </w:r>
      <w:r w:rsidR="00AA496F">
        <w:rPr>
          <w:rFonts w:ascii="Times New Roman" w:hAnsi="Times New Roman" w:cs="Times New Roman"/>
          <w:sz w:val="24"/>
          <w:szCs w:val="24"/>
        </w:rPr>
        <w:t>H</w:t>
      </w:r>
      <w:r w:rsidR="00AA496F" w:rsidRPr="00AA496F">
        <w:rPr>
          <w:rFonts w:ascii="Times New Roman" w:hAnsi="Times New Roman" w:cs="Times New Roman"/>
          <w:sz w:val="24"/>
          <w:szCs w:val="24"/>
          <w:vertAlign w:val="subscript"/>
        </w:rPr>
        <w:t>2</w:t>
      </w:r>
      <w:r w:rsidR="00AA496F">
        <w:rPr>
          <w:rFonts w:ascii="Times New Roman" w:hAnsi="Times New Roman" w:cs="Times New Roman"/>
          <w:sz w:val="24"/>
          <w:szCs w:val="24"/>
        </w:rPr>
        <w:t>O</w:t>
      </w:r>
      <w:r w:rsidR="00AA496F" w:rsidRPr="00AA496F">
        <w:rPr>
          <w:rFonts w:ascii="Times New Roman" w:hAnsi="Times New Roman" w:cs="Times New Roman"/>
          <w:sz w:val="24"/>
          <w:szCs w:val="24"/>
          <w:vertAlign w:val="subscript"/>
        </w:rPr>
        <w:t>2</w:t>
      </w:r>
      <w:r w:rsidR="00AA496F">
        <w:rPr>
          <w:rFonts w:ascii="Times New Roman" w:hAnsi="Times New Roman" w:cs="Times New Roman"/>
          <w:sz w:val="24"/>
          <w:szCs w:val="24"/>
        </w:rPr>
        <w:t xml:space="preserve"> </w:t>
      </w:r>
      <w:r w:rsidRPr="003609FB">
        <w:rPr>
          <w:rFonts w:ascii="Times New Roman" w:hAnsi="Times New Roman" w:cs="Times New Roman"/>
          <w:sz w:val="24"/>
          <w:szCs w:val="24"/>
        </w:rPr>
        <w:t xml:space="preserve">detoxification enzymes </w:t>
      </w:r>
      <w:r w:rsidR="00806B22">
        <w:rPr>
          <w:rFonts w:ascii="Times New Roman" w:hAnsi="Times New Roman" w:cs="Times New Roman"/>
          <w:sz w:val="24"/>
          <w:szCs w:val="24"/>
        </w:rPr>
        <w:t xml:space="preserve">are equally as prone to being cut from populations </w:t>
      </w:r>
      <w:r w:rsidR="002B735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{"citationID":"KAiQBWQa","properties":{"formattedCitation":"(Bernroitner et al. 2009)","plainCitation":"(Bernroitner et al. 2009)","noteIndex":0},"citationItems":[{"id":1979,"uris":["http://zotero.org/users/6128296/items/UK4V58GU"],"itemData":{"id":1979,"type":"article-journal","abstract":"Cyanobacteria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2B735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Bernroitner</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2009)</w:t>
      </w:r>
      <w:r w:rsidR="002B735E" w:rsidRPr="003609FB">
        <w:rPr>
          <w:rFonts w:ascii="Times New Roman" w:hAnsi="Times New Roman" w:cs="Times New Roman"/>
          <w:sz w:val="24"/>
          <w:szCs w:val="24"/>
        </w:rPr>
        <w:fldChar w:fldCharType="end"/>
      </w:r>
      <w:r w:rsidR="002B735E"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has retained multiple peroxidases, but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other plankton have retained catalase</w:t>
      </w:r>
      <w:r w:rsidR="000630B4" w:rsidRPr="003609FB">
        <w:rPr>
          <w:rFonts w:ascii="Times New Roman" w:hAnsi="Times New Roman" w:cs="Times New Roman"/>
          <w:sz w:val="24"/>
          <w:szCs w:val="24"/>
        </w:rPr>
        <w:t xml:space="preserve"> </w:t>
      </w:r>
      <w:r w:rsidR="002B735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{"citationID":"g9OEGJla","properties":{"formattedCitation":"(Bernroitner et al. 2009)","plainCitation":"(Bernroitner et al. 2009)","noteIndex":0},"citationItems":[{"id":1979,"uris":["http://zotero.org/users/6128296/items/UK4V58GU"],"itemData":{"id":1979,"type":"article-journal","abstract":"Cyanobacteria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A."},{"family":"Obinger","given":"Christian"}],"issued":{"date-parts":[["2009",2]]}}}],"schema":"https://github.com/citation-style-language/schema/raw/master/csl-citation.json"} </w:instrText>
      </w:r>
      <w:r w:rsidR="002B735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Bernroitner</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2009)</w:t>
      </w:r>
      <w:r w:rsidR="002B735E" w:rsidRPr="003609FB">
        <w:rPr>
          <w:rFonts w:ascii="Times New Roman" w:hAnsi="Times New Roman" w:cs="Times New Roman"/>
          <w:sz w:val="24"/>
          <w:szCs w:val="24"/>
        </w:rPr>
        <w:fldChar w:fldCharType="end"/>
      </w:r>
      <w:r w:rsidR="000630B4" w:rsidRPr="003609FB">
        <w:rPr>
          <w:rFonts w:ascii="Times New Roman" w:hAnsi="Times New Roman" w:cs="Times New Roman"/>
          <w:sz w:val="24"/>
          <w:szCs w:val="24"/>
        </w:rPr>
        <w:t xml:space="preserve">. </w:t>
      </w:r>
      <w:r w:rsidRPr="003609FB">
        <w:rPr>
          <w:rFonts w:ascii="Times New Roman" w:hAnsi="Times New Roman" w:cs="Times New Roman"/>
          <w:sz w:val="24"/>
          <w:szCs w:val="24"/>
        </w:rPr>
        <w:t>Bacterioplankton groups Alpha</w:t>
      </w:r>
      <m:oMath>
        <m:d>
          <m:dPr>
            <m:ctrlPr>
              <w:rPr>
                <w:rFonts w:ascii="Cambria Math" w:hAnsi="Cambria Math" w:cs="Times New Roman"/>
                <w:i/>
                <w:sz w:val="24"/>
                <w:szCs w:val="24"/>
              </w:rPr>
            </m:ctrlPr>
          </m:dPr>
          <m:e>
            <m:r>
              <w:rPr>
                <w:rFonts w:ascii="Cambria Math" w:hAnsi="Cambria Math" w:cs="Times New Roman"/>
                <w:sz w:val="24"/>
                <w:szCs w:val="24"/>
              </w:rPr>
              <m:t>α-</m:t>
            </m:r>
          </m:e>
        </m:d>
      </m:oMath>
      <w:r w:rsidRPr="003609FB">
        <w:rPr>
          <w:rFonts w:ascii="Times New Roman" w:hAnsi="Times New Roman" w:cs="Times New Roman"/>
          <w:sz w:val="24"/>
          <w:szCs w:val="24"/>
        </w:rPr>
        <w:t>proteobacteria and Gamma(</w:t>
      </w:r>
      <m:oMath>
        <m:r>
          <w:rPr>
            <w:rFonts w:ascii="Cambria Math" w:hAnsi="Cambria Math" w:cs="Times New Roman"/>
            <w:sz w:val="24"/>
            <w:szCs w:val="24"/>
          </w:rPr>
          <m:t>γ-)</m:t>
        </m:r>
      </m:oMath>
      <w:r w:rsidRPr="003609FB">
        <w:rPr>
          <w:rFonts w:ascii="Times New Roman" w:hAnsi="Times New Roman" w:cs="Times New Roman"/>
          <w:sz w:val="24"/>
          <w:szCs w:val="24"/>
        </w:rPr>
        <w:t>proteobacteria compose ~50% of average total marine bacterial genomic reads</w:t>
      </w:r>
      <w:r w:rsidR="007A2937" w:rsidRPr="003609FB">
        <w:rPr>
          <w:rFonts w:ascii="Times New Roman" w:hAnsi="Times New Roman" w:cs="Times New Roman"/>
          <w:sz w:val="24"/>
          <w:szCs w:val="24"/>
        </w:rPr>
        <w:t xml:space="preserve"> </w:t>
      </w:r>
      <w:r w:rsidR="007A293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{"citationID":"psLUFfgm","properties":{"formattedCitation":"(Barber\\uc0\\u225{}n and Casamayor 2010)","plainCitation":"(Barberán and Casamayor 2010)","noteIndex":0},"citationItems":[{"id":5916,"uris":["http://zotero.org/users/6128296/items/CXF2457B"],"itemData":{"id":5916,"type":"article-journal","abstract":"We aimed to identify phylogenetic community patterns in abundant planktonic bacteria (Alpha-, Beta-, and Gammaproteobacteria, Actinobacteria, Cyanobacteria, and Bacteroidetes) from a worldwide range of surface waters (lakes and seas — 34 sites and ca. 4500 16S rRNA gene sequences). At each site we assessed the number of observed bacterial groups and the genetic relatedness of the most abundant groups through a community phylogenetic metaanalysis approach in order to (1) explore which potential ecological processes were consistent with the observed phylogenetic patterns in community assembly and (2) disentangle the effects of space and environment in β-diversity patterns for the different bacterial groups. Inland waters had significantly more bacterial groups and were more diverse than marine waters. Marine habitats showed a higher percentage of clustered sites than lakes, and bacterial communities were more closely related than expected by chance. Phylogenetic β-diversity analyses revealed different patterns to both salt composition (marine vs. inland salt lakes) and salt concentration for the dominant bacteria. We observed that while β-diversity patterns for Bacteroidetes were mostly shaped by salinity concentration, patterns in Alphaproteobacteria and Gammaproteobacteria were controlled by salt composition. Actinobacteria, Betaproteobacteria and Sphingobacteria were largely absent from marine habitats and from saline continental sites. In general and despite the lack of contextual metadata, environmental similarity was more relevant than spatial distribution for bacterial β-diversity patterns. However, we detected a geographic signal for some inland waters’ groups (i.e. Actinobacteria, Beta-, and Gammaproteobacteria). Overall, the analyses indicated differences among phylogenetic groups and reflected patterns upon which further exploration of community assembly theory could be based.","container-title":"Aquatic Microbial Ecology","DOI":"10.3354/ame01389","ISSN":"0948-3055, 1616-1564","journalAbbreviation":"Aquat. Microb. Ecol.","language":"en","page":"1-10","source":"DOI.org (Crossref)","title":"Global phylogenetic community structure and β-diversity patterns in surface bacterioplankton metacommunities","volume":"59","author":[{"family":"Barberán","given":""},{"family":"Casamayor","given":"Eo"}],"issued":{"date-parts":[["2010",3,11]]}}}],"schema":"https://github.com/citation-style-language/schema/raw/master/csl-citation.json"} </w:instrText>
      </w:r>
      <w:r w:rsidR="007A2937"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w:t>
      </w:r>
      <w:proofErr w:type="spellStart"/>
      <w:r w:rsidR="006C2922" w:rsidRPr="006C2922">
        <w:rPr>
          <w:rFonts w:ascii="Times New Roman" w:hAnsi="Times New Roman" w:cs="Times New Roman"/>
          <w:sz w:val="24"/>
        </w:rPr>
        <w:t>Barberán</w:t>
      </w:r>
      <w:proofErr w:type="spellEnd"/>
      <w:r w:rsidR="006C2922" w:rsidRPr="006C2922">
        <w:rPr>
          <w:rFonts w:ascii="Times New Roman" w:hAnsi="Times New Roman" w:cs="Times New Roman"/>
          <w:sz w:val="24"/>
        </w:rPr>
        <w:t xml:space="preserve"> and Casamayor 2010)</w:t>
      </w:r>
      <w:r w:rsidR="007A2937"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Heterotrophic classes eclipse phototrophic groups in all eubacterial abundance size fractions and locations sampled in  ocean samples </w:t>
      </w:r>
      <w:r w:rsidR="007A293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{"citationID":"bWuan4js","properties":{"formattedCitation":"(Henr\\uc0\\u237{}quez-Castillo et al. 2022)","plainCitation":"(Henríquez-Castillo et al. 2022)","noteIndex":0},"citationItems":[{"id":5923,"uris":["http://zotero.org/users/6128296/items/88JRG2YD"],"itemData":{"id":5923,"type":"article-journal","abstract":"Gammaproteobacteria of the genus\n              Alteromonas\n              are prominent members of pelagic marine microbial communities, playing critical roles in the aerobic degradation of particulate organic matter. Comparative genomic studies of these microorganisms have mainly focused on the metabolic and genomic plasticity of strains isolated primarily from oxygenated environments. In this study, we show that\n              Alteromonas\n              significantly contribute to marine microbial communities from suboxic waters ([O\n              2\n              ] &amp;lt; 5 uM) in both the free-living (FL) and particle-attached (PA) fractions, but considerably decrease in abundance in the anoxic waters. The highest proportion of\n              Alteromonas\n              transcripts was found within the secondary fluorescence maximum (SFM) of Oxygen Minimum Zones (OMZs). This metatranscriptomic information suggests an\n              in situ\n              coupling of\n              Alteromonas\n              iron (Fe) and carbon metabolisms, and a relevant role of the glyoxylate cycle across the different layers of the OMZs. This study demonstrates that\n              Alteromonas\n              is an abundant and active member of the OMZ microbial communities, with a potentially significant impact on the carbon cycling in these ecosystems. These results provide valuable environmental evidence to support previous culture-based studies assessing the physiology and ecology of these ubiquitous marine heterotrophs under low-oxygen conditions.","container-title":"Frontiers in Marine Science","DOI":"10.3389/fmars.2022.993667","ISSN":"2296-7745","journalAbbreviation":"Front. Mar. Sci.","language":"en","page":"993667","source":"DOI.org (Crossref)","title":"Metaomics unveils the contribution of Alteromonas bacteria to carbon cycling in marine oxygen minimum zones","volume":"9","author":[{"family":"Henríquez-Castillo","given":""},{"family":"Plominsky","given":"Alvaro M."},{"family":"Ramírez-Flandes","given":"Salvador"},{"family":"Bertagnolli","given":"Anthony D."},{"family":"Stewart","given":"Frank J."},{"family":"Ulloa","given":"Osvaldo"}],"issued":{"date-parts":[["2022",9,20]]}}}],"schema":"https://github.com/citation-style-language/schema/raw/master/csl-citation.json"} </w:instrText>
      </w:r>
      <w:r w:rsidR="007A2937"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(Henríquez-Castillo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2022)</w:t>
      </w:r>
      <w:r w:rsidR="007A2937" w:rsidRPr="003609FB">
        <w:rPr>
          <w:rFonts w:ascii="Times New Roman" w:hAnsi="Times New Roman" w:cs="Times New Roman"/>
          <w:sz w:val="24"/>
          <w:szCs w:val="24"/>
        </w:rPr>
        <w:fldChar w:fldCharType="end"/>
      </w:r>
      <w:r w:rsidR="007A2937"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while in coastal studies, </w:t>
      </w:r>
      <m:oMath>
        <m:r>
          <w:rPr>
            <w:rFonts w:ascii="Cambria Math" w:hAnsi="Cambria Math" w:cs="Times New Roman"/>
            <w:sz w:val="24"/>
            <w:szCs w:val="24"/>
          </w:rPr>
          <m:t>γ-</m:t>
        </m:r>
      </m:oMath>
      <w:r w:rsidRPr="003609FB">
        <w:rPr>
          <w:rFonts w:ascii="Times New Roman" w:hAnsi="Times New Roman" w:cs="Times New Roman"/>
          <w:sz w:val="24"/>
          <w:szCs w:val="24"/>
        </w:rPr>
        <w:t xml:space="preserve">proteobacteria were shown to compose ~70% of microbial genetic reads, with distinct Vibrio and Alteromonas isolates found  </w:t>
      </w:r>
      <w:r w:rsidR="007A2937" w:rsidRPr="003609FB">
        <w:rPr>
          <w:rFonts w:ascii="Times New Roman" w:hAnsi="Times New Roman" w:cs="Times New Roman"/>
          <w:sz w:val="24"/>
          <w:szCs w:val="24"/>
          <w:highlight w:val="yellow"/>
        </w:rPr>
        <w:fldChar w:fldCharType="begin"/>
      </w:r>
      <w:r w:rsidR="00922909">
        <w:rPr>
          <w:rFonts w:ascii="Times New Roman" w:hAnsi="Times New Roman" w:cs="Times New Roman"/>
          <w:sz w:val="24"/>
          <w:szCs w:val="24"/>
          <w:highlight w:val="yellow"/>
        </w:rPr>
        <w:instrText xml:space="preserve"> ADDIN ZOTERO_ITEM CSL_CITATION {"citationID":"Vme9kW7G","properties":{"formattedCitation":"(Hagstr\\uc0\\u246{}m, Pinhassi, and Zweifel 2000)","plainCitation":"(Hagström, Pinhassi, and Zweifel 2000)","noteIndex":0},"citationItems":[{"id":5928,"uris":["http://zotero.org/users/6128296/items/EHN2TBBS"],"itemData":{"id":5928,"type":"article-journal","abstract":"The phylogenetic diversity of bacteria isolated on solid media from the Baltic Sea, Mediterranean Sea, Southern CaMornia Bight, Skagerrak, Weddell Sea (ice)and Andaman Sea was investigated by means of 16s rRNA gene sequence analysis. Of the 128 sequenced isolates, 5 2 % showed similarity on the species level to previously reported bacteria, while as many as 18% showed a sequence similarity below 9 3 % , which in the closest case would represent difference at the genus level. A majority of the isolated y-Proteobactena could be assigned to known species, while half of the a-Proteobacteria were only identified to the genus level. Bacteria affiliated with the FlexibacterCytophaga-Bacteroides phylum showed the lowest levels of s d a r i t y to previously sequenced bacteria, mainly representing novel genera. Closely related isolates most often originated from the same geographic area. Nevertheless, our data also demonstrated that most genera have closely related representatives widely distributed between different sea areas. Isolates related to environmental clones, with a sequence similarity above the tentative genus level, were found in 51 cases, of which 17 were more similar to clones than to cultured bacteria. From this result we concluded that a large proportion of the great species richness of marine bacteria, found by culture-independent techniques, is likely to be verified through information from live and functional bacteria.","container-title":"Aquatic Microbial Ecology","DOI":"10.3354/ame021231","ISSN":"0948-3055, 1616-1564","journalAbbreviation":"Aquat. Microb. Ecol.","language":"en","page":"231-244","source":"DOI.org (Crossref)","title":"Biogeographical diversity among marine bacterioplankton","volume":"21","author":[{"family":"Hagström","given":""},{"family":"Pinhassi","given":"J"},{"family":"Zweifel","given":"Ul"}],"issued":{"date-parts":[["2000"]]}}}],"schema":"https://github.com/citation-style-language/schema/raw/master/csl-citation.json"} </w:instrText>
      </w:r>
      <w:r w:rsidR="007A2937" w:rsidRPr="003609FB">
        <w:rPr>
          <w:rFonts w:ascii="Times New Roman" w:hAnsi="Times New Roman" w:cs="Times New Roman"/>
          <w:sz w:val="24"/>
          <w:szCs w:val="24"/>
          <w:highlight w:val="yellow"/>
        </w:rPr>
        <w:fldChar w:fldCharType="separate"/>
      </w:r>
      <w:r w:rsidR="006C2922" w:rsidRPr="006C2922">
        <w:rPr>
          <w:rFonts w:ascii="Times New Roman" w:hAnsi="Times New Roman" w:cs="Times New Roman"/>
          <w:sz w:val="24"/>
        </w:rPr>
        <w:t xml:space="preserve">(Hagström, </w:t>
      </w:r>
      <w:proofErr w:type="spellStart"/>
      <w:r w:rsidR="006C2922" w:rsidRPr="006C2922">
        <w:rPr>
          <w:rFonts w:ascii="Times New Roman" w:hAnsi="Times New Roman" w:cs="Times New Roman"/>
          <w:sz w:val="24"/>
        </w:rPr>
        <w:t>Pinhassi</w:t>
      </w:r>
      <w:proofErr w:type="spellEnd"/>
      <w:r w:rsidR="006C2922" w:rsidRPr="006C2922">
        <w:rPr>
          <w:rFonts w:ascii="Times New Roman" w:hAnsi="Times New Roman" w:cs="Times New Roman"/>
          <w:sz w:val="24"/>
        </w:rPr>
        <w:t>, and Zweifel 2000)</w:t>
      </w:r>
      <w:r w:rsidR="007A2937" w:rsidRPr="003609FB">
        <w:rPr>
          <w:rFonts w:ascii="Times New Roman" w:hAnsi="Times New Roman" w:cs="Times New Roman"/>
          <w:sz w:val="24"/>
          <w:szCs w:val="24"/>
          <w:highlight w:val="yellow"/>
        </w:rPr>
        <w:fldChar w:fldCharType="end"/>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Alteromonas</w:t>
      </w:r>
      <w:proofErr w:type="spellEnd"/>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macleodii</w:t>
      </w:r>
      <w:proofErr w:type="spellEnd"/>
      <w:r w:rsidRPr="003609FB">
        <w:rPr>
          <w:rFonts w:ascii="Times New Roman" w:hAnsi="Times New Roman" w:cs="Times New Roman"/>
          <w:sz w:val="24"/>
          <w:szCs w:val="24"/>
        </w:rPr>
        <w:t xml:space="preserve"> (</w:t>
      </w:r>
      <m:oMath>
        <m:r>
          <w:rPr>
            <w:rFonts w:ascii="Cambria Math" w:hAnsi="Cambria Math" w:cs="Times New Roman"/>
            <w:sz w:val="24"/>
            <w:szCs w:val="24"/>
          </w:rPr>
          <m:t>γ-</m:t>
        </m:r>
      </m:oMath>
      <w:r w:rsidRPr="003609FB">
        <w:rPr>
          <w:rFonts w:ascii="Times New Roman" w:hAnsi="Times New Roman" w:cs="Times New Roman"/>
          <w:sz w:val="24"/>
          <w:szCs w:val="24"/>
        </w:rPr>
        <w:t xml:space="preserve">proteobacteria: Alteromonadales: Alteromonadaceae: </w:t>
      </w:r>
      <w:proofErr w:type="spellStart"/>
      <w:r w:rsidRPr="0091225B">
        <w:rPr>
          <w:rFonts w:ascii="Times New Roman" w:hAnsi="Times New Roman" w:cs="Times New Roman"/>
          <w:i/>
          <w:iCs/>
          <w:sz w:val="24"/>
          <w:szCs w:val="24"/>
        </w:rPr>
        <w:t>Alteromonas</w:t>
      </w:r>
      <w:proofErr w:type="spellEnd"/>
      <w:r w:rsidRPr="0091225B">
        <w:rPr>
          <w:rFonts w:ascii="Times New Roman" w:hAnsi="Times New Roman" w:cs="Times New Roman"/>
          <w:i/>
          <w:iCs/>
          <w:sz w:val="24"/>
          <w:szCs w:val="24"/>
        </w:rPr>
        <w:t xml:space="preserve"> : </w:t>
      </w:r>
      <w:proofErr w:type="spellStart"/>
      <w:r w:rsidRPr="0091225B">
        <w:rPr>
          <w:rFonts w:ascii="Times New Roman" w:hAnsi="Times New Roman" w:cs="Times New Roman"/>
          <w:i/>
          <w:iCs/>
          <w:sz w:val="24"/>
          <w:szCs w:val="24"/>
        </w:rPr>
        <w:t>spp</w:t>
      </w:r>
      <w:proofErr w:type="spellEnd"/>
      <w:r w:rsidRPr="003609FB">
        <w:rPr>
          <w:rFonts w:ascii="Times New Roman" w:hAnsi="Times New Roman" w:cs="Times New Roman"/>
          <w:sz w:val="24"/>
          <w:szCs w:val="24"/>
        </w:rPr>
        <w:t xml:space="preserve"> </w:t>
      </w:r>
      <w:r w:rsidR="007A293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{"citationID":"PMMOKJ6h","properties":{"formattedCitation":"(Wietz et al. 2022)","plainCitation":"(Wietz et al. 2022)","noteIndex":0},"citationItems":[{"id":5927,"uris":["http://zotero.org/users/6128296/items/6EDJNA37"],"itemData":{"id":5927,"type":"article-journal","abstract":"Alteromonas macleodii is a marine heterotrophic bacterium with widespread distribution − from temperate to tropical oceans, and from surface to deep waters. Strains of A. macleodii exhibit considerable genomic and metabolic variability, and can grow rapidly on diverse organic compounds. A. macleodii is a model organism for the study of population genomics, physiological adaptations and microbial interactions, with individual genomes encoding diverse phenotypic traits influenced by recombination and horizontal gene transfer.","container-title":"Microbiology","DOI":"10.1099/mic.0.001236","ISSN":"1350-0872, 1465-2080","issue":"11","language":"en","source":"DOI.org (Crossref)","title":"Microbe Profile: Alteromonas macleodii − a widespread, fast-responding, ‘interactive’ marine bacterium","title-short":"Microbe Profile","URL":"https://www.microbiologyresearch.org/content/journal/micro/10.1099/mic.0.001236","volume":"168","author":[{"family":"Wietz","given":""},{"family":"López-Pérez","given":"Mario"},{"family":"Sher","given":"Daniel"},{"family":"Biller","given":"Steven J."},{"family":"Rodriguez-Valera","given":"Francisco"}],"accessed":{"date-parts":[["2024",3,26]]},"issued":{"date-parts":[["2022",11,30]]}}}],"schema":"https://github.com/citation-style-language/schema/raw/master/csl-citation.json"} </w:instrText>
      </w:r>
      <w:r w:rsidR="007A2937"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(Wietz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7A2937" w:rsidRPr="003609FB">
        <w:rPr>
          <w:rFonts w:ascii="Times New Roman" w:hAnsi="Times New Roman" w:cs="Times New Roman"/>
          <w:sz w:val="24"/>
          <w:szCs w:val="24"/>
        </w:rPr>
        <w:fldChar w:fldCharType="end"/>
      </w:r>
      <w:r w:rsidRPr="003609FB">
        <w:rPr>
          <w:rFonts w:ascii="Times New Roman" w:hAnsi="Times New Roman" w:cs="Times New Roman"/>
          <w:sz w:val="24"/>
          <w:szCs w:val="24"/>
        </w:rPr>
        <w:t>,</w:t>
      </w:r>
      <w:r w:rsidR="007727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is ubiquitous in temperate marine waters and increases in proportion to the total amount of free living bacteria along the water column down to ~ 3500m the surface </w:t>
      </w:r>
      <w:r w:rsidR="007A2937" w:rsidRPr="003609FB">
        <w:rPr>
          <w:rFonts w:ascii="Times New Roman" w:hAnsi="Times New Roman" w:cs="Times New Roman"/>
          <w:sz w:val="24"/>
          <w:szCs w:val="24"/>
          <w:highlight w:val="yellow"/>
        </w:rPr>
        <w:fldChar w:fldCharType="begin"/>
      </w:r>
      <w:r w:rsidR="00922909">
        <w:rPr>
          <w:rFonts w:ascii="Times New Roman" w:hAnsi="Times New Roman" w:cs="Times New Roman" w:hint="eastAsia"/>
          <w:sz w:val="24"/>
          <w:szCs w:val="24"/>
          <w:highlight w:val="yellow"/>
        </w:rPr>
        <w:instrText xml:space="preserve"> ADDIN ZOTERO_ITEM CSL_CITATION {"citationID":"ntAB73MD","properties":{"formattedCitation":"(Garc\\uc0\\u237{}a\\uc0\\u8208{}Mart\\uc0\\u237{}nez et al. 2002)","plainCitation":"(García</w:instrText>
      </w:r>
      <w:r w:rsidR="00922909">
        <w:rPr>
          <w:rFonts w:ascii="Times New Roman" w:hAnsi="Times New Roman" w:cs="Times New Roman" w:hint="eastAsia"/>
          <w:sz w:val="24"/>
          <w:szCs w:val="24"/>
          <w:highlight w:val="yellow"/>
        </w:rPr>
        <w:instrText>‐</w:instrText>
      </w:r>
      <w:r w:rsidR="00922909">
        <w:rPr>
          <w:rFonts w:ascii="Times New Roman" w:hAnsi="Times New Roman" w:cs="Times New Roman" w:hint="eastAsia"/>
          <w:sz w:val="24"/>
          <w:szCs w:val="24"/>
          <w:highlight w:val="yellow"/>
        </w:rPr>
        <w:instrText>Martínez et al. 2002)","noteIndex":0},"citationItems":[{"id":5914,"uri</w:instrText>
      </w:r>
      <w:r w:rsidR="00922909">
        <w:rPr>
          <w:rFonts w:ascii="Times New Roman" w:hAnsi="Times New Roman" w:cs="Times New Roman"/>
          <w:sz w:val="24"/>
          <w:szCs w:val="24"/>
          <w:highlight w:val="yellow"/>
        </w:rPr>
        <w:instrText>s":["http://zotero.org/users/6128296/items/RHGL9TLJ"],"itemData":{"id":5914,"type":"article-journal","abstract":"The presence, prevalence and variability of microorganisms related to the species Alteromonas macleodii, a well known culturable g-Proteobacterium, has been studied in different seawater samples from diverse geographical locations, in both the Northern and Southern hemispheres, and tested with two molecular techniques (rRNA hybridization and gene cloning and sequencing). Results show that A. macleodii -like microorganisms are present in high proportions in North Atlantic and, especially, Mediterranean waters, being higher at deep samples and particle-associated fractions, in agreement with previous ﬁndings. In contrast, Southern samples (all from very cold areas near Antarctica) presented no signiﬁcant hybridization signals. The analysis of the ribosomal ITS (16S-23S internal transcribed spacers) revealed that A. macleodii-like microorganisms from Mediterranean, North Atlantic, Caribbean and Red Sea waters differed in both size and sequence, mostly depending on their geographical origin, with Mediterranean and North Atlantic clones clustering into two main groups whereas Caribbean and Red Sea clones appeared separated.","container-title":"Environmental Microbiology","DOI":"10.1046/j.1462-2920.2002.00255.x","ISSN":"1462-2912, 1462-2920","issue":"1","journalAbbreviation":"Environmental Microbiology","language":"en","page":"42-50","source":"DOI.org (Crossref)","title":"Prevalence and microdiversit</w:instrText>
      </w:r>
      <w:r w:rsidR="00922909">
        <w:rPr>
          <w:rFonts w:ascii="Times New Roman" w:hAnsi="Times New Roman" w:cs="Times New Roman" w:hint="eastAsia"/>
          <w:sz w:val="24"/>
          <w:szCs w:val="24"/>
          <w:highlight w:val="yellow"/>
        </w:rPr>
        <w:instrText xml:space="preserve">y of &lt;i&gt;Alteromonas macleodii&lt;/i&gt; </w:instrText>
      </w:r>
      <w:r w:rsidR="00922909">
        <w:rPr>
          <w:rFonts w:ascii="Times New Roman" w:hAnsi="Times New Roman" w:cs="Times New Roman" w:hint="eastAsia"/>
          <w:sz w:val="24"/>
          <w:szCs w:val="24"/>
          <w:highlight w:val="yellow"/>
        </w:rPr>
        <w:instrText>‐</w:instrText>
      </w:r>
      <w:r w:rsidR="00922909">
        <w:rPr>
          <w:rFonts w:ascii="Times New Roman" w:hAnsi="Times New Roman" w:cs="Times New Roman" w:hint="eastAsia"/>
          <w:sz w:val="24"/>
          <w:szCs w:val="24"/>
          <w:highlight w:val="yellow"/>
        </w:rPr>
        <w:instrText>like microorganisms in different oceanic regions","volume":"4","author":[{"family":"García</w:instrText>
      </w:r>
      <w:r w:rsidR="00922909">
        <w:rPr>
          <w:rFonts w:ascii="Times New Roman" w:hAnsi="Times New Roman" w:cs="Times New Roman" w:hint="eastAsia"/>
          <w:sz w:val="24"/>
          <w:szCs w:val="24"/>
          <w:highlight w:val="yellow"/>
        </w:rPr>
        <w:instrText>‐</w:instrText>
      </w:r>
      <w:r w:rsidR="00922909">
        <w:rPr>
          <w:rFonts w:ascii="Times New Roman" w:hAnsi="Times New Roman" w:cs="Times New Roman" w:hint="eastAsia"/>
          <w:sz w:val="24"/>
          <w:szCs w:val="24"/>
          <w:highlight w:val="yellow"/>
        </w:rPr>
        <w:instrText>Martínez","given":""},{"family":"Acinas","given":"Silvia G."},{"family":"Massana","given":"Ramon"},{"family":"Rodríguez</w:instrText>
      </w:r>
      <w:r w:rsidR="00922909">
        <w:rPr>
          <w:rFonts w:ascii="Times New Roman" w:hAnsi="Times New Roman" w:cs="Times New Roman" w:hint="eastAsia"/>
          <w:sz w:val="24"/>
          <w:szCs w:val="24"/>
          <w:highlight w:val="yellow"/>
        </w:rPr>
        <w:instrText>‐</w:instrText>
      </w:r>
      <w:r w:rsidR="00922909">
        <w:rPr>
          <w:rFonts w:ascii="Times New Roman" w:hAnsi="Times New Roman" w:cs="Times New Roman" w:hint="eastAsia"/>
          <w:sz w:val="24"/>
          <w:szCs w:val="24"/>
          <w:highlight w:val="yellow"/>
        </w:rPr>
        <w:instrText>Valera","</w:instrText>
      </w:r>
      <w:r w:rsidR="00922909">
        <w:rPr>
          <w:rFonts w:ascii="Times New Roman" w:hAnsi="Times New Roman" w:cs="Times New Roman"/>
          <w:sz w:val="24"/>
          <w:szCs w:val="24"/>
          <w:highlight w:val="yellow"/>
        </w:rPr>
        <w:instrText xml:space="preserve">given":"Francisco"}],"issued":{"date-parts":[["2002",1]]}}}],"schema":"https://github.com/citation-style-language/schema/raw/master/csl-citation.json"} </w:instrText>
      </w:r>
      <w:r w:rsidR="007A2937" w:rsidRPr="003609FB">
        <w:rPr>
          <w:rFonts w:ascii="Times New Roman" w:hAnsi="Times New Roman" w:cs="Times New Roman"/>
          <w:sz w:val="24"/>
          <w:szCs w:val="24"/>
          <w:highlight w:val="yellow"/>
        </w:rPr>
        <w:fldChar w:fldCharType="separate"/>
      </w:r>
      <w:r w:rsidR="006C2922" w:rsidRPr="006C2922">
        <w:rPr>
          <w:rFonts w:ascii="Times New Roman" w:hAnsi="Times New Roman" w:cs="Times New Roman"/>
          <w:sz w:val="24"/>
        </w:rPr>
        <w:t xml:space="preserve">(García‐Martínez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2002)</w:t>
      </w:r>
      <w:r w:rsidR="007A2937" w:rsidRPr="003609FB">
        <w:rPr>
          <w:rFonts w:ascii="Times New Roman" w:hAnsi="Times New Roman" w:cs="Times New Roman"/>
          <w:sz w:val="24"/>
          <w:szCs w:val="24"/>
          <w:highlight w:val="yellow"/>
        </w:rPr>
        <w:fldChar w:fldCharType="end"/>
      </w:r>
      <w:r w:rsidR="007A2937"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EZ55 </w:t>
      </w:r>
      <w:r w:rsidR="00F60BBA" w:rsidRPr="003609FB">
        <w:rPr>
          <w:rFonts w:ascii="Times New Roman" w:hAnsi="Times New Roman" w:cs="Times New Roman"/>
          <w:sz w:val="24"/>
          <w:szCs w:val="24"/>
        </w:rPr>
        <w:fldChar w:fldCharType="begin"/>
      </w:r>
      <w:r w:rsidR="004A122C">
        <w:rPr>
          <w:rFonts w:ascii="Times New Roman" w:hAnsi="Times New Roman" w:cs="Times New Roman"/>
          <w:sz w:val="24"/>
          <w:szCs w:val="24"/>
        </w:rPr>
        <w:instrText xml:space="preserve"> ADDIN ZOTERO_ITEM CSL_CITATION {"citationID":"UL3tEEcx","properties":{"formattedCitation":"(Morris et al. 2008)","plainCitation":"(Morris et al. 2008)","noteIndex":0},"citationItems":[{"id":816,"uris":["http://zotero.org/users/6128296/items/B9D5DHBN"],"itemData":{"id":816,"type":"article-journal","container-title":"Applied and Environmental Microbiology","DOI":"10.1128/AEM.02479-07","ISSN":"0099-2240","issue":"14","journalAbbreviation":"Applied and Environmental Microbiology","language":"en","page":"4530-4534","source":"DOI.org (Crossref)","title":"Facilitation of Robust Growth of Prochlorococcus Colonies and Dilute Liquid Cultures by \"Helper\" Heterotrophic Bacteria","volume":"74","author":[{"family":"Morris","given":""},{"family":"Kirkegaard","given":"R."},{"family":"Szul","given":"M. J."},{"family":"Johnson","given":"Z. I."},{"family":"Zinser","given":"E. R."}],"issued":{"date-parts":[["2008",7,15]]}}}],"schema":"https://github.com/citation-style-language/schema/raw/master/csl-citation.json"} </w:instrText>
      </w:r>
      <w:r w:rsidR="00F60BB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2008)</w:t>
      </w:r>
      <w:r w:rsidR="00F60BBA" w:rsidRPr="003609FB">
        <w:rPr>
          <w:rFonts w:ascii="Times New Roman" w:hAnsi="Times New Roman" w:cs="Times New Roman"/>
          <w:sz w:val="24"/>
          <w:szCs w:val="24"/>
        </w:rPr>
        <w:fldChar w:fldCharType="end"/>
      </w:r>
      <w:r w:rsidR="00F60BBA"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 isolated strain of </w:t>
      </w:r>
      <w:r w:rsidRPr="00717681">
        <w:rPr>
          <w:rFonts w:ascii="Times New Roman" w:hAnsi="Times New Roman" w:cs="Times New Roman"/>
          <w:i/>
          <w:iCs/>
          <w:sz w:val="24"/>
          <w:szCs w:val="24"/>
        </w:rPr>
        <w:t xml:space="preserve">A. </w:t>
      </w:r>
      <w:proofErr w:type="spellStart"/>
      <w:r w:rsidRPr="00717681">
        <w:rPr>
          <w:rFonts w:ascii="Times New Roman" w:hAnsi="Times New Roman" w:cs="Times New Roman"/>
          <w:i/>
          <w:iCs/>
          <w:sz w:val="24"/>
          <w:szCs w:val="24"/>
        </w:rPr>
        <w:t>macleodii</w:t>
      </w:r>
      <w:proofErr w:type="spellEnd"/>
      <w:r w:rsidRPr="003609FB">
        <w:rPr>
          <w:rFonts w:ascii="Times New Roman" w:hAnsi="Times New Roman" w:cs="Times New Roman"/>
          <w:sz w:val="24"/>
          <w:szCs w:val="24"/>
        </w:rPr>
        <w:t xml:space="preserve"> similar to ones found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in Henríquez-Castillo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F60BBA" w:rsidRPr="003609FB">
        <w:rPr>
          <w:rFonts w:ascii="Times New Roman" w:hAnsi="Times New Roman" w:cs="Times New Roman"/>
          <w:sz w:val="24"/>
          <w:szCs w:val="24"/>
        </w:rPr>
        <w:t>(</w:t>
      </w:r>
      <w:r w:rsidRPr="003609FB">
        <w:rPr>
          <w:rFonts w:ascii="Times New Roman" w:hAnsi="Times New Roman" w:cs="Times New Roman"/>
          <w:sz w:val="24"/>
          <w:szCs w:val="24"/>
        </w:rPr>
        <w:t>2022</w:t>
      </w:r>
      <w:r w:rsidR="00F60BBA" w:rsidRPr="003609FB">
        <w:rPr>
          <w:rFonts w:ascii="Times New Roman" w:hAnsi="Times New Roman" w:cs="Times New Roman"/>
          <w:sz w:val="24"/>
          <w:szCs w:val="24"/>
        </w:rPr>
        <w:t>)</w:t>
      </w:r>
      <w:r w:rsidRPr="003609FB">
        <w:rPr>
          <w:rFonts w:ascii="Times New Roman" w:hAnsi="Times New Roman" w:cs="Times New Roman"/>
          <w:sz w:val="24"/>
          <w:szCs w:val="24"/>
        </w:rPr>
        <w:t xml:space="preserve">, has been characterized </w:t>
      </w:r>
      <w:r w:rsidR="00F60BBA"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{"citationID":"PqqOd5zI","properties":{"formattedCitation":"(Baumann et al. 1984)","plainCitation":"(Baumann et al. 1984)","noteIndex":0},"citationItems":[{"id":2049,"uris":["http://zotero.org/users/6128296/items/8V6WUAQT"],"itemData":{"id":2049,"type":"article-journal","abstract":"On the basis of phenotypic properties and the guanine-plus-cytosine content of the deoxyribonucleic acid, as well as the immunological relationship of the glutamine synthetase and the iron-containing superoxide dismutase, strain 217&lt;span class=\"jp-sup\"&gt;T&lt;/span&gt; (= ATCC 19375) (T = type strain), which was previously designated \"&lt;span class=\"jp-italic\"&gt;Pseudomonas nigrifaciens&lt;/span&gt;,\" was shown to be a member of a distinct species in the genus &lt;span class=\"jp-italic\"&gt;Alteromonas&lt;/span&gt;. Since this species designation was not included on the Approved Lists of Bacterial Names, it has been revived as &lt;span class=\"jp-italic\"&gt;Alteromonas nigrifaciens&lt;/span&gt; sp. nov., nom. rev., with type strain 217 (= ATCC 19375). The phenotypic properties of strains of &lt;span class=\"jp-italic\"&gt;Alteromonas macleodii&lt;/span&gt; and &lt;span class=\"jp-italic\"&gt;Alteromonas haloplanktis&lt;/span&gt; are also described., A recent study of the relationships of the glutamine synthetases and iron-containing superoxide dismutases from species of Alteromonas indicated that “P. nigrifaciens” is closely related to Alteromonas haloplanktis, Alteromonas espejiana, and Alteromonas undina (E. F. DeLong, L. Baumann, R. D. Bowditch, and P. Baumann, Arch. Microbiol., in press). In this paper we revive this species under the designation Alteromonas nigrifaciens sp. nov., nom. rev. and provide a phenotypic description of the sole available strain of this species, as well as descriptions of Alteromonas macleodii and A. haloplanktis.","container-title":"International Journal of Systematic and Evolutionary Microbiology,","DOI":"10.1099/00207713-34-2-145","ISSN":"1466-5026,","issue":"2","page":"145-149","source":"Microbiology Society Journals","title":"Taxonomy of Alteromonas: A. nigrifaciens sp. nov., nom. rev.; A. macleodii; and A. haloplanktis","title-short":"Taxonomy of Alteromonas","volume":"34","author":[{"family":"Baumann","given":""},{"family":"Baumann","given":"Linda"},{"family":"Bowditch","given":"Ron D."},{"family":"Beaman","given":"Blaine"}],"issued":{"date-parts":[["1984"]]}}}],"schema":"https://github.com/citation-style-language/schema/raw/master/csl-citation.json"} </w:instrText>
      </w:r>
      <w:r w:rsidR="00F60BB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(Baumann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1984)</w:t>
      </w:r>
      <w:r w:rsidR="00F60BBA" w:rsidRPr="003609FB">
        <w:rPr>
          <w:rFonts w:ascii="Times New Roman" w:hAnsi="Times New Roman" w:cs="Times New Roman"/>
          <w:sz w:val="24"/>
          <w:szCs w:val="24"/>
        </w:rPr>
        <w:fldChar w:fldCharType="end"/>
      </w:r>
      <w:r w:rsidR="00F60BBA"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isolated from ‘contaminated’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marine samples </w:t>
      </w:r>
      <w:r w:rsidR="00F60BBA"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{"citationID":"RgJn4dy8","properties":{"formattedCitation":"(Biller, Berube, et al. 2015)","plainCitation":"(Biller, Berube, et al. 2015)","noteIndex":0},"citationItems":[{"id":195,"uris":["http://zotero.org/users/6128296/items/T8KNN5NA"],"itemData":{"id":195,"type":"article-journal","abstract":"The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W."}],"issued":{"date-parts":[["2015",1]]}}}],"schema":"https://github.com/citation-style-language/schema/raw/master/csl-citation.json"} </w:instrText>
      </w:r>
      <w:r w:rsidR="00F60BB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2015)</w:t>
      </w:r>
      <w:r w:rsidR="00F60BBA"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Other </w:t>
      </w:r>
      <m:oMath>
        <m:r>
          <w:rPr>
            <w:rFonts w:ascii="Cambria Math" w:hAnsi="Cambria Math" w:cs="Times New Roman"/>
            <w:sz w:val="24"/>
            <w:szCs w:val="24"/>
          </w:rPr>
          <m:t>γ-</m:t>
        </m:r>
      </m:oMath>
      <w:r w:rsidRPr="003609FB">
        <w:rPr>
          <w:rFonts w:ascii="Times New Roman" w:hAnsi="Times New Roman" w:cs="Times New Roman"/>
          <w:sz w:val="24"/>
          <w:szCs w:val="24"/>
        </w:rPr>
        <w:t xml:space="preserve">protebactiera  that have also been investigated for reactive oxygen detoxification </w:t>
      </w:r>
      <w:r w:rsidR="00F60BB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{"citationID":"BTP3f8Ml","properties":{"formattedCitation":"(Schellhorn 1995; Morris, Papoulis, and Lenski 2014)","plainCitation":"(Schellhorn 1995; Morris, Papoulis, and Lenski 2014)","noteIndex":0},"citationItems":[{"id":2235,"uris":["http://zotero.org/users/6128296/items/H3ZUN9JP"],"itemData":{"id":2235,"type":"article-journal","abstract":"As part of its adaptive response to oxidative stress, Escherichia coli produces two inducible hydroperoxidases called HPI and I-MI. Upon exposure to sublethal levels of hydrogen peroxide, HP1 expression is induced at the transcriptional level by OxyR, a member of the LysR family of autoregulators. OxyR, functioning as both a sensor and transducer, contains a critical redox-sensitive Cys residue that is oxidized by hydrogen peroxide. This is thought to induce a conformational change in the tertiary structure of the OxyR tetramer altering its DNA-binding specificity and resulting in an increase in the transcription of katc and several other OxyR-dependent genes. In contrast, synthesis of the HP11 enzyme is not induced by hydrogen peroxide. Expression of both HP1 and HP11 is growth phase-dependent levels of HP1 and HP11 are lo-fold higher in stationary phase than exponential phase cultures. These growth phase-dependent increases are largely dependent on RpoS, a stationary phase specific sigma factor that is itself subject to complex transcriptional and post-transcriptional controls. Several metabolic signals have been proposed to activate the RpoS regulon including hyperosmolarity, weak acids, homoserine la&amp;one and UDP-glucose. Since both HP1 and HP11 are members of the RpoS regulon, elucidation of the mechanism of regulation of RpoS should contribute to our general understanding of hydroperoxidase regulation.","container-title":"FEMS Microbiology Letters","DOI":"10.1111/j.1574-6968.1995.tb07764.x","ISSN":"03781097, 15746968","issue":"2","language":"en","page":"113-119","source":"DOI.org (Crossref)","title":"Regulation of hydroperoxidase (catalase) expression in &lt;i&gt;Escherichia coli&lt;/i&gt;","volume":"131","author":[{"family":"Schellhorn","given":""}],"issued":{"date-parts":[["1995",9]]}}},{"id":809,"uris":["http://zotero.org/users/6128296/items/24U3N932"],"itemData":{"id":809,"type":"article-journal","container-title":"Evolution","DOI":"10.1111/evo.12485","ISSN":"00143820","issue":"10","journalAbbreviation":"Evolution","language":"en","page":"2960-2971","source":"DOI.org (Crossref)","title":"COEXISTENCE OF EVOLVING BACTERIA STABILIZED BY A SHARED BLACK QUEEN FUNCTION: EXPERIMENTAL EVOLUTION OF A BLACK QUEEN COMMUNITY","title-short":"COEXISTENCE OF EVOLVING BACTERIA STABILIZED BY A SHARED BLACK QUEEN FUNCTION","volume":"68","author":[{"family":"Morris","given":""},{"family":"Papoulis","given":"Spiridon E."},{"family":"Lenski","given":"Richard E."}],"issued":{"date-parts":[["2014",10]]}}}],"schema":"https://github.com/citation-style-language/schema/raw/master/csl-citation.json"} </w:instrText>
      </w:r>
      <w:r w:rsidR="00F60BB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(Schellhorn 1995; Morris, Papoulis, and Lenski 2014)</w:t>
      </w:r>
      <w:r w:rsidR="00F60BBA" w:rsidRPr="003609FB">
        <w:rPr>
          <w:rFonts w:ascii="Times New Roman" w:hAnsi="Times New Roman" w:cs="Times New Roman"/>
          <w:sz w:val="24"/>
          <w:szCs w:val="24"/>
        </w:rPr>
        <w:fldChar w:fldCharType="end"/>
      </w:r>
      <w:r w:rsidR="00F60BBA" w:rsidRPr="003609FB">
        <w:rPr>
          <w:rFonts w:ascii="Times New Roman" w:hAnsi="Times New Roman" w:cs="Times New Roman"/>
          <w:sz w:val="24"/>
          <w:szCs w:val="24"/>
        </w:rPr>
        <w:t xml:space="preserve"> </w:t>
      </w:r>
      <w:r w:rsidRPr="003609FB">
        <w:rPr>
          <w:rFonts w:ascii="Times New Roman" w:hAnsi="Times New Roman" w:cs="Times New Roman"/>
          <w:sz w:val="24"/>
          <w:szCs w:val="24"/>
        </w:rPr>
        <w:t>include model organisms  Vibrio</w:t>
      </w:r>
      <w:r w:rsidR="00C377B0" w:rsidRPr="003609FB">
        <w:rPr>
          <w:rFonts w:ascii="Times New Roman" w:hAnsi="Times New Roman" w:cs="Times New Roman"/>
          <w:sz w:val="24"/>
          <w:szCs w:val="24"/>
        </w:rPr>
        <w:t xml:space="preserve"> spp.</w:t>
      </w:r>
      <w:r w:rsidRPr="003609FB">
        <w:rPr>
          <w:rFonts w:ascii="Times New Roman" w:hAnsi="Times New Roman" w:cs="Times New Roman"/>
          <w:sz w:val="24"/>
          <w:szCs w:val="24"/>
        </w:rPr>
        <w:t xml:space="preserve"> and E. coli  </w:t>
      </w:r>
      <w:r w:rsidR="00C377B0" w:rsidRPr="003609FB">
        <w:rPr>
          <w:rFonts w:ascii="Times New Roman" w:hAnsi="Times New Roman" w:cs="Times New Roman"/>
          <w:sz w:val="24"/>
          <w:szCs w:val="24"/>
        </w:rPr>
        <w:fldChar w:fldCharType="begin"/>
      </w:r>
      <w:r w:rsidR="00922909">
        <w:rPr>
          <w:rFonts w:ascii="Times New Roman" w:hAnsi="Times New Roman" w:cs="Times New Roman" w:hint="eastAsia"/>
          <w:sz w:val="24"/>
          <w:szCs w:val="24"/>
        </w:rPr>
        <w:instrText xml:space="preserve"> ADDIN ZOTERO_ITEM CSL_CITATION {"citationID":"NbE0S7VU","properties":{"formattedCitation":"(Garc\\uc0\\u237{}a\\uc0\\u8208{}Mart\\uc0\\u237{}nez et al. 2002)","plainCitation":"(García</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 et al. 2002)","noteIndex":0},"citationItems":[{"id":5914,"uri</w:instrText>
      </w:r>
      <w:r w:rsidR="00922909">
        <w:rPr>
          <w:rFonts w:ascii="Times New Roman" w:hAnsi="Times New Roman" w:cs="Times New Roman"/>
          <w:sz w:val="24"/>
          <w:szCs w:val="24"/>
        </w:rPr>
        <w:instrText>s":["http://zotero.org/users/6128296/items/RHGL9TLJ"],"itemData":{"id":5914,"type":"article-journal","abstract":"The presence, prevalence and variability of microorganisms related to the species Alteromonas macleodii, a well known culturable g-Proteobacterium, has been studied in different seawater samples from diverse geographical locations, in both the Northern and Southern hemispheres, and tested with two molecular techniques (rRNA hybridization and gene cloning and sequencing). Results show that A. macleodii -like microorganisms are present in high proportions in North Atlantic and, especially, Mediterranean waters, being higher at deep samples and particle-associated fractions, in agreement with previous ﬁndings. In contrast, Southern samples (all from very cold areas near Antarctica) presented no signiﬁcant hybridization signals. The analysis of the ribosomal ITS (16S-23S internal transcribed spacers) revealed that A. macleodii-like microorganisms from Mediterranean, North Atlantic, Caribbean and Red Sea waters differed in both size and sequence, mostly depending on their geographical origin, with Mediterranean and North Atlantic clones clustering into two main groups whereas Caribbean and Red Sea clones appeared separated.","container-title":"Environmental Microbiology","DOI":"10.1046/j.1462-2920.2002.00255.x","ISSN":"1462-2912, 1462-2920","issue":"1","journalAbbreviation":"Environmental Microbiology","language":"en","page":"42-50","source":"DOI.org (Crossref)","title":"Prevalence and microdiversit</w:instrText>
      </w:r>
      <w:r w:rsidR="00922909">
        <w:rPr>
          <w:rFonts w:ascii="Times New Roman" w:hAnsi="Times New Roman" w:cs="Times New Roman" w:hint="eastAsia"/>
          <w:sz w:val="24"/>
          <w:szCs w:val="24"/>
        </w:rPr>
        <w:instrText xml:space="preserve">y of &lt;i&gt;Alteromonas macleodii&lt;/i&gt; </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like microorganisms in different oceanic regions","volume":"4","author":[{"family":"García</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Martínez","given":""},{"family":"Acinas","given":"Silvia G."},{"family":"Massana","given":"Ramon"},{"family":"Rodríguez</w:instrText>
      </w:r>
      <w:r w:rsidR="00922909">
        <w:rPr>
          <w:rFonts w:ascii="Times New Roman" w:hAnsi="Times New Roman" w:cs="Times New Roman" w:hint="eastAsia"/>
          <w:sz w:val="24"/>
          <w:szCs w:val="24"/>
        </w:rPr>
        <w:instrText>‐</w:instrText>
      </w:r>
      <w:r w:rsidR="00922909">
        <w:rPr>
          <w:rFonts w:ascii="Times New Roman" w:hAnsi="Times New Roman" w:cs="Times New Roman" w:hint="eastAsia"/>
          <w:sz w:val="24"/>
          <w:szCs w:val="24"/>
        </w:rPr>
        <w:instrText>Valera","</w:instrText>
      </w:r>
      <w:r w:rsidR="00922909">
        <w:rPr>
          <w:rFonts w:ascii="Times New Roman" w:hAnsi="Times New Roman" w:cs="Times New Roman"/>
          <w:sz w:val="24"/>
          <w:szCs w:val="24"/>
        </w:rPr>
        <w:instrText xml:space="preserve">given":"Francisco"}],"issued":{"date-parts":[["2002",1]]}}}],"schema":"https://github.com/citation-style-language/schema/raw/master/csl-citation.json"} </w:instrText>
      </w:r>
      <w:r w:rsidR="00C377B0"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(García‐Martínez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2002)</w:t>
      </w:r>
      <w:r w:rsidR="00C377B0" w:rsidRPr="003609FB">
        <w:rPr>
          <w:rFonts w:ascii="Times New Roman" w:hAnsi="Times New Roman" w:cs="Times New Roman"/>
          <w:sz w:val="24"/>
          <w:szCs w:val="24"/>
        </w:rPr>
        <w:fldChar w:fldCharType="end"/>
      </w:r>
      <w:r w:rsidR="00C377B0" w:rsidRPr="003609FB">
        <w:rPr>
          <w:rFonts w:ascii="Times New Roman" w:hAnsi="Times New Roman" w:cs="Times New Roman"/>
          <w:sz w:val="24"/>
          <w:szCs w:val="24"/>
        </w:rPr>
        <w:t>.</w:t>
      </w:r>
      <w:r w:rsidRPr="003609FB">
        <w:rPr>
          <w:rFonts w:ascii="Times New Roman" w:hAnsi="Times New Roman" w:cs="Times New Roman"/>
          <w:sz w:val="24"/>
          <w:szCs w:val="24"/>
        </w:rPr>
        <w:t>Thus we choose</w:t>
      </w:r>
      <w:r w:rsidR="00081DB2">
        <w:rPr>
          <w:rFonts w:ascii="Times New Roman" w:hAnsi="Times New Roman" w:cs="Times New Roman"/>
          <w:sz w:val="24"/>
          <w:szCs w:val="24"/>
        </w:rPr>
        <w:t xml:space="preserve"> </w:t>
      </w:r>
      <w:r w:rsidR="0091225B">
        <w:rPr>
          <w:rFonts w:ascii="Times New Roman" w:hAnsi="Times New Roman" w:cs="Times New Roman"/>
          <w:sz w:val="24"/>
          <w:szCs w:val="24"/>
        </w:rPr>
        <w:t xml:space="preserve">the </w:t>
      </w:r>
      <w:r w:rsidR="00E0124F">
        <w:rPr>
          <w:rFonts w:ascii="Times New Roman" w:hAnsi="Times New Roman" w:cs="Times New Roman"/>
          <w:sz w:val="24"/>
          <w:szCs w:val="24"/>
        </w:rPr>
        <w:t>heterotrophic</w:t>
      </w:r>
      <w:r w:rsidRPr="003609FB">
        <w:rPr>
          <w:rFonts w:ascii="Times New Roman" w:hAnsi="Times New Roman" w:cs="Times New Roman"/>
          <w:sz w:val="24"/>
          <w:szCs w:val="24"/>
        </w:rPr>
        <w:t xml:space="preserve"> </w:t>
      </w:r>
      <m:oMath>
        <m:r>
          <w:rPr>
            <w:rFonts w:ascii="Cambria Math" w:hAnsi="Cambria Math" w:cs="Times New Roman"/>
            <w:sz w:val="24"/>
            <w:szCs w:val="24"/>
          </w:rPr>
          <m:t>γ-</m:t>
        </m:r>
      </m:oMath>
      <w:r w:rsidRPr="003609FB">
        <w:rPr>
          <w:rFonts w:ascii="Times New Roman" w:hAnsi="Times New Roman" w:cs="Times New Roman"/>
          <w:sz w:val="24"/>
          <w:szCs w:val="24"/>
        </w:rPr>
        <w:t xml:space="preserve">proteobacteria as the basis of our </w:t>
      </w:r>
      <w:proofErr w:type="spellStart"/>
      <w:r w:rsidR="0091225B">
        <w:rPr>
          <w:rFonts w:ascii="Times New Roman" w:hAnsi="Times New Roman" w:cs="Times New Roman"/>
          <w:sz w:val="24"/>
          <w:szCs w:val="24"/>
        </w:rPr>
        <w:t>heterotrophic</w:t>
      </w:r>
      <w:proofErr w:type="spellEnd"/>
      <w:r w:rsidR="0091225B">
        <w:rPr>
          <w:rFonts w:ascii="Times New Roman" w:hAnsi="Times New Roman" w:cs="Times New Roman"/>
          <w:sz w:val="24"/>
          <w:szCs w:val="24"/>
        </w:rPr>
        <w:t xml:space="preserve"> bacteria (</w:t>
      </w:r>
      <w:r w:rsidRPr="003609FB">
        <w:rPr>
          <w:rFonts w:ascii="Times New Roman" w:hAnsi="Times New Roman" w:cs="Times New Roman"/>
          <w:sz w:val="24"/>
          <w:szCs w:val="24"/>
        </w:rPr>
        <w:t>B</w:t>
      </w:r>
      <w:r w:rsidR="0091225B">
        <w:rPr>
          <w:rFonts w:ascii="Times New Roman" w:hAnsi="Times New Roman" w:cs="Times New Roman"/>
          <w:sz w:val="24"/>
          <w:szCs w:val="24"/>
        </w:rPr>
        <w:t>)</w:t>
      </w:r>
      <w:r w:rsidRPr="003609FB">
        <w:rPr>
          <w:rFonts w:ascii="Times New Roman" w:hAnsi="Times New Roman" w:cs="Times New Roman"/>
          <w:sz w:val="24"/>
          <w:szCs w:val="24"/>
        </w:rPr>
        <w:t xml:space="preserve"> population and explore it further its effect on our model further with the noted EZ55 bacterial helper. </w:t>
      </w:r>
    </w:p>
    <w:p w14:paraId="738F0141" w14:textId="33257787" w:rsidR="00531865" w:rsidRPr="003609FB" w:rsidRDefault="00531865"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4009F9" w:rsidRPr="003609FB">
        <w:rPr>
          <w:rFonts w:ascii="Times New Roman" w:hAnsi="Times New Roman" w:cs="Times New Roman"/>
          <w:sz w:val="24"/>
          <w:szCs w:val="24"/>
        </w:rPr>
        <w:tab/>
      </w:r>
      <w:r w:rsidRPr="003609FB">
        <w:rPr>
          <w:rFonts w:ascii="Times New Roman" w:hAnsi="Times New Roman" w:cs="Times New Roman"/>
          <w:sz w:val="24"/>
          <w:szCs w:val="24"/>
        </w:rPr>
        <w:t>Adkins-</w:t>
      </w:r>
      <w:r w:rsidR="00962A9B" w:rsidRPr="003609FB">
        <w:rPr>
          <w:rFonts w:ascii="Times New Roman" w:hAnsi="Times New Roman" w:cs="Times New Roman"/>
          <w:sz w:val="24"/>
          <w:szCs w:val="24"/>
        </w:rPr>
        <w:t>J</w:t>
      </w:r>
      <w:r w:rsidRPr="003609FB">
        <w:rPr>
          <w:rFonts w:ascii="Times New Roman" w:hAnsi="Times New Roman" w:cs="Times New Roman"/>
          <w:sz w:val="24"/>
          <w:szCs w:val="24"/>
        </w:rPr>
        <w:t xml:space="preserve">ablonsky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962A9B" w:rsidRPr="003609FB">
        <w:rPr>
          <w:rFonts w:ascii="Times New Roman" w:hAnsi="Times New Roman" w:cs="Times New Roman"/>
          <w:sz w:val="24"/>
          <w:szCs w:val="24"/>
        </w:rPr>
        <w:t>(</w:t>
      </w:r>
      <w:r w:rsidRPr="003609FB">
        <w:rPr>
          <w:rFonts w:ascii="Times New Roman" w:hAnsi="Times New Roman" w:cs="Times New Roman"/>
          <w:sz w:val="24"/>
          <w:szCs w:val="24"/>
        </w:rPr>
        <w:t>2021</w:t>
      </w:r>
      <w:r w:rsidR="00962A9B" w:rsidRPr="003609FB">
        <w:rPr>
          <w:rFonts w:ascii="Times New Roman" w:hAnsi="Times New Roman" w:cs="Times New Roman"/>
          <w:sz w:val="24"/>
          <w:szCs w:val="24"/>
        </w:rPr>
        <w:t>)</w:t>
      </w:r>
      <w:r w:rsidRPr="003609FB">
        <w:rPr>
          <w:rFonts w:ascii="Times New Roman" w:hAnsi="Times New Roman" w:cs="Times New Roman"/>
          <w:sz w:val="24"/>
          <w:szCs w:val="24"/>
        </w:rPr>
        <w:t xml:space="preserve"> suggest that the higher cost of a leaky function (how much that cost affects the helper) determines if said ‘helper’ is the sole helper or if the leaky functions </w:t>
      </w:r>
      <w:proofErr w:type="gramStart"/>
      <w:r w:rsidRPr="003609FB">
        <w:rPr>
          <w:rFonts w:ascii="Times New Roman" w:hAnsi="Times New Roman" w:cs="Times New Roman"/>
          <w:sz w:val="24"/>
          <w:szCs w:val="24"/>
        </w:rPr>
        <w:t>more spread</w:t>
      </w:r>
      <w:proofErr w:type="gramEnd"/>
      <w:r w:rsidRPr="003609FB">
        <w:rPr>
          <w:rFonts w:ascii="Times New Roman" w:hAnsi="Times New Roman" w:cs="Times New Roman"/>
          <w:sz w:val="24"/>
          <w:szCs w:val="24"/>
        </w:rPr>
        <w:t xml:space="preserve"> out between multiple helpers. B is initial</w:t>
      </w:r>
      <w:r w:rsidR="005058C7" w:rsidRPr="003609FB">
        <w:rPr>
          <w:rFonts w:ascii="Times New Roman" w:hAnsi="Times New Roman" w:cs="Times New Roman"/>
          <w:sz w:val="24"/>
          <w:szCs w:val="24"/>
        </w:rPr>
        <w:t>ly</w:t>
      </w:r>
      <w:r w:rsidRPr="003609FB">
        <w:rPr>
          <w:rFonts w:ascii="Times New Roman" w:hAnsi="Times New Roman" w:cs="Times New Roman"/>
          <w:sz w:val="24"/>
          <w:szCs w:val="24"/>
        </w:rPr>
        <w:t xml:space="preserve"> modeled as </w:t>
      </w:r>
      <w:r w:rsidR="005058C7" w:rsidRPr="003609FB">
        <w:rPr>
          <w:rFonts w:ascii="Times New Roman" w:hAnsi="Times New Roman" w:cs="Times New Roman"/>
          <w:sz w:val="24"/>
          <w:szCs w:val="24"/>
        </w:rPr>
        <w:t>representative</w:t>
      </w:r>
      <w:r w:rsidRPr="003609FB">
        <w:rPr>
          <w:rFonts w:ascii="Times New Roman" w:hAnsi="Times New Roman" w:cs="Times New Roman"/>
          <w:sz w:val="24"/>
          <w:szCs w:val="24"/>
        </w:rPr>
        <w:t xml:space="preserve"> </w:t>
      </w:r>
      <w:r w:rsidR="00962A9B" w:rsidRPr="003609FB">
        <w:rPr>
          <w:rFonts w:ascii="Times New Roman" w:hAnsi="Times New Roman" w:cs="Times New Roman"/>
          <w:sz w:val="24"/>
          <w:szCs w:val="24"/>
        </w:rPr>
        <w:t xml:space="preserve">heterotrophic </w:t>
      </w:r>
      <w:r w:rsidRPr="003609FB">
        <w:rPr>
          <w:rFonts w:ascii="Times New Roman" w:hAnsi="Times New Roman" w:cs="Times New Roman"/>
          <w:sz w:val="24"/>
          <w:szCs w:val="24"/>
        </w:rPr>
        <w:t>eubacterial concentration of surface waters</w:t>
      </w:r>
      <w:r w:rsidR="007C3AD1" w:rsidRPr="003609FB">
        <w:rPr>
          <w:rFonts w:ascii="Times New Roman" w:hAnsi="Times New Roman" w:cs="Times New Roman"/>
          <w:sz w:val="24"/>
          <w:szCs w:val="24"/>
        </w:rPr>
        <w:t xml:space="preserve"> </w:t>
      </w:r>
      <w:r w:rsidR="00962A9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{"citationID":"A0ZprMot","properties":{"formattedCitation":"(Wigington et al. 2016; Zinser, Talmy, and Calfee 2023)","plainCitation":"(Wigington et al. 2016; Zinser, Talmy, and Calfee 2023)","noteIndex":0},"citationItems":[{"id":6687,"uris":["http://zotero.org/users/6128296/items/FU8P7MQB"],"itemData":{"id":6687,"type":"article-journal","container-title":"Nature Microbiology","DOI":"10.1038/nmicrobiol.2015.24","ISSN":"2058-5276","issue":"3","journalAbbreviation":"Nat Microbiol","language":"en","page":"15024","source":"DOI.org (Crossref)","title":"Re-examination of the relationship between marine virus and microbial cell abundances","volume":"1","author":[{"family":"Wigington","given":""},{"family":"Sonderegger","given":"Derek"},{"family":"Brussaard","given":"Corina P. D."},{"family":"Buchan","given":"Alison"},{"family":"Finke","given":"Jan F."},{"family":"Fuhrman","given":"Jed A."},{"family":"Lennon","given":"Jay T."},{"family":"Middelboe","given":"Mathias"},{"family":"Suttle","given":"Curtis A."},{"family":"Stock","given":"Charles"},{"family":"Wilson","given":"William H."},{"family":"Wommack","given":"K. Eric"},{"family":"Wilhelm","given":"Steven W."},{"family":"Weitz","given":"Joshua S."}],"issued":{"date-parts":[["2016",1,25]]}}},{"id":6672,"uris":["http://zotero.org/users/6128296/items/R4PX8TBS"],"itemData":{"id":6672,"type":"dataset","DOI":"doi:10.26008/1912/bco-dmo.913181.1","publisher":"Biological and Chemical Oceanography Data Management Office (BCO-DMO).","title":"Picocyanobacteria (Prochlorococcus or Synechococcus) and picoeukaryote (Micromonas and Ostreococcus) cell concentrations and hydrogen peroxide (HOOH) concentrations during batch culture at the University of Tennessee, Knoxville.","URL":"https://www.bco-dmo.org/dataset/913181","version":"(Version 1) Version Date 2023-10-16","author":[{"family":"Zinser","given":""},{"family":"Talmy","given":"D"},{"family":"Calfee","given":"B"}],"issued":{"date-parts":[["2023"]]}}}],"schema":"https://github.com/citation-style-language/schema/raw/master/csl-citation.json"} </w:instrText>
      </w:r>
      <w:r w:rsidR="00962A9B"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(Wigington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2016; Zinser, </w:t>
      </w:r>
      <w:proofErr w:type="spellStart"/>
      <w:r w:rsidR="00922909">
        <w:rPr>
          <w:rFonts w:ascii="Times New Roman" w:hAnsi="Times New Roman" w:cs="Times New Roman"/>
          <w:sz w:val="24"/>
          <w:szCs w:val="24"/>
        </w:rPr>
        <w:t>Talmy</w:t>
      </w:r>
      <w:proofErr w:type="spellEnd"/>
      <w:r w:rsidR="00922909">
        <w:rPr>
          <w:rFonts w:ascii="Times New Roman" w:hAnsi="Times New Roman" w:cs="Times New Roman"/>
          <w:sz w:val="24"/>
          <w:szCs w:val="24"/>
        </w:rPr>
        <w:t>, and Calfee 2023)</w:t>
      </w:r>
      <w:r w:rsidR="00962A9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w:t>
      </w:r>
      <w:r w:rsidR="007C3AD1" w:rsidRPr="003609FB">
        <w:rPr>
          <w:rFonts w:ascii="Times New Roman" w:hAnsi="Times New Roman" w:cs="Times New Roman"/>
          <w:sz w:val="24"/>
          <w:szCs w:val="24"/>
        </w:rPr>
        <w:t xml:space="preserve">used with </w:t>
      </w:r>
      <w:r w:rsidRPr="003609FB">
        <w:rPr>
          <w:rFonts w:ascii="Times New Roman" w:hAnsi="Times New Roman" w:cs="Times New Roman"/>
          <w:sz w:val="24"/>
          <w:szCs w:val="24"/>
        </w:rPr>
        <w:t xml:space="preserve">calculated </w:t>
      </w:r>
      <w:r w:rsidR="007C3AD1" w:rsidRPr="003609FB">
        <w:rPr>
          <w:rFonts w:ascii="Times New Roman" w:hAnsi="Times New Roman" w:cs="Times New Roman"/>
          <w:sz w:val="24"/>
          <w:szCs w:val="24"/>
        </w:rPr>
        <w:t xml:space="preserve">detoxification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007C3AD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(Chapter 2, </w:t>
      </w:r>
      <w:proofErr w:type="spellStart"/>
      <w:r w:rsidRPr="003609FB">
        <w:rPr>
          <w:rFonts w:ascii="Times New Roman" w:hAnsi="Times New Roman" w:cs="Times New Roman"/>
          <w:sz w:val="24"/>
          <w:szCs w:val="24"/>
        </w:rPr>
        <w:t>Alteromonas</w:t>
      </w:r>
      <w:proofErr w:type="spellEnd"/>
      <w:r w:rsidRPr="003609FB">
        <w:rPr>
          <w:rFonts w:ascii="Times New Roman" w:hAnsi="Times New Roman" w:cs="Times New Roman"/>
          <w:sz w:val="24"/>
          <w:szCs w:val="24"/>
        </w:rPr>
        <w:t xml:space="preserve"> avg. </w:t>
      </w:r>
      <w:r w:rsidRPr="003609FB">
        <w:rPr>
          <w:rFonts w:ascii="Times New Roman" w:hAnsi="Times New Roman" w:cs="Times New Roman"/>
          <w:sz w:val="24"/>
          <w:szCs w:val="24"/>
        </w:rPr>
        <w:lastRenderedPageBreak/>
        <w:t xml:space="preserve">parameters) as a steady draw on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input (</w:t>
      </w:r>
      <w:r w:rsidRPr="00CB135E">
        <w:rPr>
          <w:rFonts w:ascii="Times New Roman" w:hAnsi="Times New Roman" w:cs="Times New Roman"/>
          <w:i/>
          <w:iCs/>
          <w:sz w:val="24"/>
          <w:szCs w:val="24"/>
        </w:rPr>
        <w:t>i.e</w:t>
      </w:r>
      <w:r w:rsidR="00962A9B" w:rsidRPr="00CB135E">
        <w:rPr>
          <w:rFonts w:ascii="Times New Roman" w:hAnsi="Times New Roman" w:cs="Times New Roman"/>
          <w:i/>
          <w:iCs/>
          <w:sz w:val="24"/>
          <w:szCs w:val="24"/>
        </w:rPr>
        <w:t>.</w:t>
      </w:r>
      <w:r w:rsidR="00CB135E" w:rsidRPr="00CB135E">
        <w:rPr>
          <w:rFonts w:ascii="Times New Roman" w:hAnsi="Times New Roman" w:cs="Times New Roman"/>
          <w:i/>
          <w:iCs/>
          <w:sz w:val="24"/>
          <w:szCs w:val="24"/>
        </w:rPr>
        <w:t>,</w:t>
      </w:r>
      <w:r w:rsidRPr="00CB135E">
        <w:rPr>
          <w:rFonts w:ascii="Times New Roman" w:hAnsi="Times New Roman" w:cs="Times New Roman"/>
          <w:i/>
          <w:iCs/>
          <w:sz w:val="24"/>
          <w:szCs w:val="24"/>
        </w:rPr>
        <w:t xml:space="preserve"> </w:t>
      </w:r>
      <w:r w:rsidRPr="003609FB">
        <w:rPr>
          <w:rFonts w:ascii="Times New Roman" w:hAnsi="Times New Roman" w:cs="Times New Roman"/>
          <w:sz w:val="24"/>
          <w:szCs w:val="24"/>
        </w:rPr>
        <w:t>it is not growing o</w:t>
      </w:r>
      <w:r w:rsidR="005058C7" w:rsidRPr="003609FB">
        <w:rPr>
          <w:rFonts w:ascii="Times New Roman" w:hAnsi="Times New Roman" w:cs="Times New Roman"/>
          <w:sz w:val="24"/>
          <w:szCs w:val="24"/>
        </w:rPr>
        <w:t>n</w:t>
      </w:r>
      <w:r w:rsidRPr="003609FB">
        <w:rPr>
          <w:rFonts w:ascii="Times New Roman" w:hAnsi="Times New Roman" w:cs="Times New Roman"/>
          <w:sz w:val="24"/>
          <w:szCs w:val="24"/>
        </w:rPr>
        <w:t xml:space="preserve"> the N </w:t>
      </w:r>
      <w:r w:rsidR="00E86202" w:rsidRPr="003609FB">
        <w:rPr>
          <w:rFonts w:ascii="Times New Roman" w:hAnsi="Times New Roman" w:cs="Times New Roman"/>
          <w:sz w:val="24"/>
          <w:szCs w:val="24"/>
        </w:rPr>
        <w:t xml:space="preserve">source for which </w:t>
      </w:r>
      <w:r w:rsidRPr="003609FB">
        <w:rPr>
          <w:rFonts w:ascii="Times New Roman" w:hAnsi="Times New Roman" w:cs="Times New Roman"/>
          <w:sz w:val="24"/>
          <w:szCs w:val="24"/>
        </w:rPr>
        <w:t>P and S compete)</w:t>
      </w:r>
      <w:r w:rsidR="004009F9" w:rsidRPr="003609FB">
        <w:rPr>
          <w:rFonts w:ascii="Times New Roman" w:hAnsi="Times New Roman" w:cs="Times New Roman"/>
          <w:sz w:val="24"/>
          <w:szCs w:val="24"/>
        </w:rPr>
        <w:t>.</w:t>
      </w:r>
      <w:r w:rsidRPr="003609FB">
        <w:rPr>
          <w:rFonts w:ascii="Times New Roman" w:hAnsi="Times New Roman" w:cs="Times New Roman"/>
          <w:sz w:val="24"/>
          <w:szCs w:val="24"/>
        </w:rPr>
        <w:t xml:space="preserve"> For all ‘leaky’ model runs: B </w:t>
      </w:r>
      <w:r w:rsidR="00BC2856" w:rsidRPr="003609FB">
        <w:rPr>
          <w:rFonts w:ascii="Times New Roman" w:hAnsi="Times New Roman" w:cs="Times New Roman"/>
          <w:sz w:val="24"/>
          <w:szCs w:val="24"/>
        </w:rPr>
        <w:t>i</w:t>
      </w:r>
      <w:r w:rsidRPr="003609FB">
        <w:rPr>
          <w:rFonts w:ascii="Times New Roman" w:hAnsi="Times New Roman" w:cs="Times New Roman"/>
          <w:sz w:val="24"/>
          <w:szCs w:val="24"/>
        </w:rPr>
        <w:t>s 1</w:t>
      </w:r>
      <w:r w:rsidR="00962A9B" w:rsidRPr="003609FB">
        <w:rPr>
          <w:rFonts w:ascii="Times New Roman" w:hAnsi="Times New Roman" w:cs="Times New Roman"/>
          <w:sz w:val="24"/>
          <w:szCs w:val="24"/>
        </w:rPr>
        <w:t xml:space="preserve"> x10</w:t>
      </w:r>
      <w:r w:rsidRPr="00E370ED">
        <w:rPr>
          <w:rFonts w:ascii="Times New Roman" w:hAnsi="Times New Roman" w:cs="Times New Roman"/>
          <w:sz w:val="24"/>
          <w:szCs w:val="24"/>
          <w:vertAlign w:val="superscript"/>
        </w:rPr>
        <w:t>+5</w:t>
      </w:r>
      <w:r w:rsidRPr="003609FB">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r>
          <w:rPr>
            <w:rFonts w:ascii="Cambria Math" w:hAnsi="Cambria Math" w:cs="Times New Roman"/>
            <w:sz w:val="24"/>
            <w:szCs w:val="24"/>
          </w:rPr>
          <m:t xml:space="preserve"> </m:t>
        </m:r>
      </m:oMath>
      <w:r w:rsidRPr="003609FB">
        <w:rPr>
          <w:rFonts w:ascii="Times New Roman" w:hAnsi="Times New Roman" w:cs="Times New Roman"/>
          <w:sz w:val="24"/>
          <w:szCs w:val="24"/>
        </w:rPr>
        <w:t>is 4</w:t>
      </w:r>
      <w:r w:rsidR="00962A9B" w:rsidRPr="003609FB">
        <w:rPr>
          <w:rFonts w:ascii="Times New Roman" w:hAnsi="Times New Roman" w:cs="Times New Roman"/>
          <w:sz w:val="24"/>
          <w:szCs w:val="24"/>
        </w:rPr>
        <w:t xml:space="preserve"> x10</w:t>
      </w:r>
      <w:r w:rsidRPr="00E370ED">
        <w:rPr>
          <w:rFonts w:ascii="Times New Roman" w:hAnsi="Times New Roman" w:cs="Times New Roman"/>
          <w:sz w:val="24"/>
          <w:szCs w:val="24"/>
          <w:vertAlign w:val="superscript"/>
        </w:rPr>
        <w:t>-4</w:t>
      </w:r>
      <w:r w:rsidRPr="003609FB">
        <w:rPr>
          <w:rFonts w:ascii="Times New Roman" w:hAnsi="Times New Roman" w:cs="Times New Roman"/>
          <w:sz w:val="24"/>
          <w:szCs w:val="24"/>
        </w:rPr>
        <w:t>. This</w:t>
      </w:r>
      <w:r w:rsidR="00BC2856" w:rsidRPr="003609FB">
        <w:rPr>
          <w:rFonts w:ascii="Times New Roman" w:hAnsi="Times New Roman" w:cs="Times New Roman"/>
          <w:sz w:val="24"/>
          <w:szCs w:val="24"/>
        </w:rPr>
        <w:t xml:space="preserve"> </w:t>
      </w:r>
      <m:oMath>
        <m:r>
          <w:rPr>
            <w:rFonts w:ascii="Cambria Math" w:hAnsi="Cambria Math" w:cs="Times New Roman"/>
            <w:sz w:val="24"/>
            <w:szCs w:val="24"/>
          </w:rPr>
          <m:t>ϕ</m:t>
        </m:r>
      </m:oMath>
      <w:r w:rsidRPr="003609FB">
        <w:rPr>
          <w:rFonts w:ascii="Times New Roman" w:hAnsi="Times New Roman" w:cs="Times New Roman"/>
          <w:sz w:val="24"/>
          <w:szCs w:val="24"/>
        </w:rPr>
        <w:t xml:space="preserve"> </w:t>
      </w:r>
      <w:r w:rsidR="00BC2856" w:rsidRPr="003609FB">
        <w:rPr>
          <w:rFonts w:ascii="Times New Roman" w:hAnsi="Times New Roman" w:cs="Times New Roman"/>
          <w:sz w:val="24"/>
          <w:szCs w:val="24"/>
        </w:rPr>
        <w:t xml:space="preserve">value comes </w:t>
      </w:r>
      <w:r w:rsidRPr="003609FB">
        <w:rPr>
          <w:rFonts w:ascii="Times New Roman" w:hAnsi="Times New Roman" w:cs="Times New Roman"/>
          <w:sz w:val="24"/>
          <w:szCs w:val="24"/>
        </w:rPr>
        <w:t xml:space="preserve">from </w:t>
      </w:r>
      <w:r w:rsidR="00BC2856" w:rsidRPr="003609FB">
        <w:rPr>
          <w:rFonts w:ascii="Times New Roman" w:hAnsi="Times New Roman" w:cs="Times New Roman"/>
          <w:sz w:val="24"/>
          <w:szCs w:val="24"/>
        </w:rPr>
        <w:t xml:space="preserve">the modeling of </w:t>
      </w:r>
      <w:r w:rsidR="007C3AD1" w:rsidRPr="003609FB">
        <w:rPr>
          <w:rFonts w:ascii="Times New Roman" w:hAnsi="Times New Roman" w:cs="Times New Roman"/>
          <w:sz w:val="24"/>
          <w:szCs w:val="24"/>
        </w:rPr>
        <w:t>EZ55</w:t>
      </w:r>
      <w:r w:rsidR="00BC2856" w:rsidRPr="003609FB">
        <w:rPr>
          <w:rFonts w:ascii="Times New Roman" w:hAnsi="Times New Roman" w:cs="Times New Roman"/>
          <w:sz w:val="24"/>
          <w:szCs w:val="24"/>
        </w:rPr>
        <w:t xml:space="preserve">, </w:t>
      </w:r>
      <w:r w:rsidR="007C3AD1" w:rsidRPr="003609FB">
        <w:rPr>
          <w:rFonts w:ascii="Times New Roman" w:hAnsi="Times New Roman" w:cs="Times New Roman"/>
          <w:sz w:val="24"/>
          <w:szCs w:val="24"/>
        </w:rPr>
        <w:t xml:space="preserve">a </w:t>
      </w:r>
      <w:r w:rsidR="00E86202" w:rsidRPr="003609FB">
        <w:rPr>
          <w:rFonts w:ascii="Times New Roman" w:hAnsi="Times New Roman" w:cs="Times New Roman"/>
          <w:sz w:val="24"/>
          <w:szCs w:val="24"/>
        </w:rPr>
        <w:t>laboratory</w:t>
      </w:r>
      <w:r w:rsidR="007C3AD1" w:rsidRPr="003609FB">
        <w:rPr>
          <w:rFonts w:ascii="Times New Roman" w:hAnsi="Times New Roman" w:cs="Times New Roman"/>
          <w:sz w:val="24"/>
          <w:szCs w:val="24"/>
        </w:rPr>
        <w:t xml:space="preserve"> strain of </w:t>
      </w:r>
      <w:proofErr w:type="spellStart"/>
      <w:r w:rsidR="007C3AD1" w:rsidRPr="00081DB2">
        <w:rPr>
          <w:rFonts w:ascii="Times New Roman" w:hAnsi="Times New Roman" w:cs="Times New Roman"/>
          <w:i/>
          <w:iCs/>
          <w:sz w:val="24"/>
          <w:szCs w:val="24"/>
        </w:rPr>
        <w:t>Alteromonas</w:t>
      </w:r>
      <w:proofErr w:type="spellEnd"/>
      <w:r w:rsidR="007C3AD1"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r w:rsidR="00401F47" w:rsidRPr="003609FB">
        <w:rPr>
          <w:rFonts w:ascii="Times New Roman" w:hAnsi="Times New Roman" w:cs="Times New Roman"/>
          <w:sz w:val="24"/>
          <w:szCs w:val="24"/>
        </w:rPr>
        <w:t>The</w:t>
      </w:r>
      <w:r w:rsidRPr="003609FB">
        <w:rPr>
          <w:rFonts w:ascii="Times New Roman" w:hAnsi="Times New Roman" w:cs="Times New Roman"/>
          <w:sz w:val="24"/>
          <w:szCs w:val="24"/>
        </w:rPr>
        <w:t xml:space="preserve"> coculture </w:t>
      </w:r>
      <w:r w:rsidR="00BC2856" w:rsidRPr="003609FB">
        <w:rPr>
          <w:rFonts w:ascii="Times New Roman" w:hAnsi="Times New Roman" w:cs="Times New Roman"/>
          <w:sz w:val="24"/>
          <w:szCs w:val="24"/>
        </w:rPr>
        <w:t>assays</w:t>
      </w:r>
      <w:r w:rsidR="00401F47" w:rsidRPr="003609FB">
        <w:rPr>
          <w:rFonts w:ascii="Times New Roman" w:hAnsi="Times New Roman" w:cs="Times New Roman"/>
          <w:sz w:val="24"/>
          <w:szCs w:val="24"/>
        </w:rPr>
        <w:t xml:space="preserve"> from which these parameters came are</w:t>
      </w:r>
      <w:r w:rsidR="00BC2856"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shown in </w:t>
      </w:r>
      <w:r w:rsidR="00E86202" w:rsidRPr="003609FB">
        <w:rPr>
          <w:rFonts w:ascii="Times New Roman" w:hAnsi="Times New Roman" w:cs="Times New Roman"/>
          <w:sz w:val="24"/>
          <w:szCs w:val="24"/>
        </w:rPr>
        <w:t>F</w:t>
      </w:r>
      <w:r w:rsidRPr="003609FB">
        <w:rPr>
          <w:rFonts w:ascii="Times New Roman" w:hAnsi="Times New Roman" w:cs="Times New Roman"/>
          <w:sz w:val="24"/>
          <w:szCs w:val="24"/>
        </w:rPr>
        <w:t xml:space="preserve">igure </w:t>
      </w:r>
      <w:r w:rsidR="00E86202" w:rsidRPr="003609FB">
        <w:rPr>
          <w:rFonts w:ascii="Times New Roman" w:hAnsi="Times New Roman" w:cs="Times New Roman"/>
          <w:sz w:val="24"/>
          <w:szCs w:val="24"/>
        </w:rPr>
        <w:t>3.</w:t>
      </w:r>
      <w:r w:rsidRPr="003609FB">
        <w:rPr>
          <w:rFonts w:ascii="Times New Roman" w:hAnsi="Times New Roman" w:cs="Times New Roman"/>
          <w:sz w:val="24"/>
          <w:szCs w:val="24"/>
        </w:rPr>
        <w:t>2 and</w:t>
      </w:r>
      <w:r w:rsidR="00E86202" w:rsidRPr="003609FB">
        <w:rPr>
          <w:rFonts w:ascii="Times New Roman" w:hAnsi="Times New Roman" w:cs="Times New Roman"/>
          <w:sz w:val="24"/>
          <w:szCs w:val="24"/>
        </w:rPr>
        <w:t xml:space="preserve"> Appendix </w:t>
      </w:r>
      <w:r w:rsidR="00962A9B" w:rsidRPr="003609FB">
        <w:rPr>
          <w:rFonts w:ascii="Times New Roman" w:hAnsi="Times New Roman" w:cs="Times New Roman"/>
          <w:sz w:val="24"/>
          <w:szCs w:val="24"/>
        </w:rPr>
        <w:t>A</w:t>
      </w:r>
      <w:r w:rsidR="00401F47" w:rsidRPr="003609FB">
        <w:rPr>
          <w:rFonts w:ascii="Times New Roman" w:hAnsi="Times New Roman" w:cs="Times New Roman"/>
          <w:sz w:val="24"/>
          <w:szCs w:val="24"/>
        </w:rPr>
        <w:t>.</w:t>
      </w:r>
      <w:r w:rsidRPr="003609FB">
        <w:rPr>
          <w:rFonts w:ascii="Times New Roman" w:hAnsi="Times New Roman" w:cs="Times New Roman"/>
          <w:sz w:val="24"/>
          <w:szCs w:val="24"/>
        </w:rPr>
        <w:t xml:space="preserve"> EZ55, </w:t>
      </w:r>
      <w:r w:rsidR="00BC2856" w:rsidRPr="003609FB">
        <w:rPr>
          <w:rFonts w:ascii="Times New Roman" w:hAnsi="Times New Roman" w:cs="Times New Roman"/>
          <w:sz w:val="24"/>
          <w:szCs w:val="24"/>
        </w:rPr>
        <w:t>a</w:t>
      </w:r>
      <w:r w:rsidR="00081DB2">
        <w:rPr>
          <w:rFonts w:ascii="Times New Roman" w:hAnsi="Times New Roman" w:cs="Times New Roman"/>
          <w:sz w:val="24"/>
          <w:szCs w:val="24"/>
        </w:rPr>
        <w:t xml:space="preserve">n isolate of </w:t>
      </w:r>
      <w:r w:rsidRPr="003609FB">
        <w:rPr>
          <w:rFonts w:ascii="Times New Roman" w:hAnsi="Times New Roman" w:cs="Times New Roman"/>
          <w:sz w:val="24"/>
          <w:szCs w:val="24"/>
        </w:rPr>
        <w:t xml:space="preserve">catalase </w:t>
      </w:r>
      <w:r w:rsidR="00081DB2">
        <w:rPr>
          <w:rFonts w:ascii="Times New Roman" w:hAnsi="Times New Roman" w:cs="Times New Roman"/>
          <w:sz w:val="24"/>
          <w:szCs w:val="24"/>
        </w:rPr>
        <w:t>positive</w:t>
      </w:r>
      <w:r w:rsidR="00081DB2" w:rsidRPr="00081DB2">
        <w:rPr>
          <w:rFonts w:ascii="Times New Roman" w:hAnsi="Times New Roman" w:cs="Times New Roman"/>
          <w:i/>
          <w:iCs/>
          <w:sz w:val="24"/>
          <w:szCs w:val="24"/>
        </w:rPr>
        <w:t xml:space="preserve"> </w:t>
      </w:r>
      <w:proofErr w:type="spellStart"/>
      <w:r w:rsidR="00081DB2" w:rsidRPr="00081DB2">
        <w:rPr>
          <w:rFonts w:ascii="Times New Roman" w:hAnsi="Times New Roman" w:cs="Times New Roman"/>
          <w:i/>
          <w:iCs/>
          <w:sz w:val="24"/>
          <w:szCs w:val="24"/>
        </w:rPr>
        <w:t>Alteromonas</w:t>
      </w:r>
      <w:proofErr w:type="spellEnd"/>
      <w:r w:rsidR="00A405CC">
        <w:rPr>
          <w:rFonts w:ascii="Times New Roman" w:hAnsi="Times New Roman" w:cs="Times New Roman"/>
          <w:sz w:val="24"/>
          <w:szCs w:val="24"/>
        </w:rPr>
        <w:t xml:space="preserve"> had </w:t>
      </w:r>
      <w:r w:rsidRPr="003609FB">
        <w:rPr>
          <w:rFonts w:ascii="Times New Roman" w:hAnsi="Times New Roman" w:cs="Times New Roman"/>
          <w:sz w:val="24"/>
          <w:szCs w:val="24"/>
        </w:rPr>
        <w:t xml:space="preserve">a roughly calculated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m:t>
            </m:r>
          </m:sub>
        </m:sSub>
      </m:oMath>
      <w:r w:rsidRPr="003609FB">
        <w:rPr>
          <w:rFonts w:ascii="Times New Roman" w:hAnsi="Times New Roman" w:cs="Times New Roman"/>
          <w:sz w:val="24"/>
          <w:szCs w:val="24"/>
        </w:rPr>
        <w:t xml:space="preserve"> of 4</w:t>
      </w:r>
      <w:r w:rsidR="00962A9B" w:rsidRPr="003609FB">
        <w:rPr>
          <w:rFonts w:ascii="Times New Roman" w:hAnsi="Times New Roman" w:cs="Times New Roman"/>
          <w:sz w:val="24"/>
          <w:szCs w:val="24"/>
        </w:rPr>
        <w:t xml:space="preserve"> x10</w:t>
      </w:r>
      <w:r w:rsidRPr="00E370ED">
        <w:rPr>
          <w:rFonts w:ascii="Times New Roman" w:hAnsi="Times New Roman" w:cs="Times New Roman"/>
          <w:sz w:val="24"/>
          <w:szCs w:val="24"/>
          <w:vertAlign w:val="superscript"/>
        </w:rPr>
        <w:t>-4</w:t>
      </w:r>
      <w:r w:rsidRPr="003609FB">
        <w:rPr>
          <w:rFonts w:ascii="Times New Roman" w:hAnsi="Times New Roman" w:cs="Times New Roman"/>
          <w:sz w:val="24"/>
          <w:szCs w:val="24"/>
        </w:rPr>
        <w:t xml:space="preserve"> mL cell</w:t>
      </w:r>
      <w:r w:rsidRPr="007A3113">
        <w:rPr>
          <w:rFonts w:ascii="Times New Roman" w:hAnsi="Times New Roman" w:cs="Times New Roman"/>
          <w:sz w:val="24"/>
          <w:szCs w:val="24"/>
          <w:vertAlign w:val="superscript"/>
        </w:rPr>
        <w:t xml:space="preserve">-1 </w:t>
      </w:r>
      <w:r w:rsidRPr="003609FB">
        <w:rPr>
          <w:rFonts w:ascii="Times New Roman" w:hAnsi="Times New Roman" w:cs="Times New Roman"/>
          <w:sz w:val="24"/>
          <w:szCs w:val="24"/>
        </w:rPr>
        <w:t>day</w:t>
      </w:r>
      <w:r w:rsidRPr="007A3113">
        <w:rPr>
          <w:rFonts w:ascii="Times New Roman" w:hAnsi="Times New Roman" w:cs="Times New Roman"/>
          <w:sz w:val="24"/>
          <w:szCs w:val="24"/>
          <w:vertAlign w:val="superscript"/>
        </w:rPr>
        <w:t>-1</w:t>
      </w:r>
      <w:r w:rsidR="00A405CC">
        <w:rPr>
          <w:rFonts w:ascii="Times New Roman" w:hAnsi="Times New Roman" w:cs="Times New Roman"/>
          <w:sz w:val="24"/>
          <w:szCs w:val="24"/>
        </w:rPr>
        <w:t xml:space="preserve">. This is </w:t>
      </w:r>
      <w:r w:rsidRPr="003609FB">
        <w:rPr>
          <w:rFonts w:ascii="Times New Roman" w:hAnsi="Times New Roman" w:cs="Times New Roman"/>
          <w:sz w:val="24"/>
          <w:szCs w:val="24"/>
        </w:rPr>
        <w:t xml:space="preserve">ten times that of </w:t>
      </w:r>
      <w:proofErr w:type="spellStart"/>
      <w:r w:rsidR="00691B65" w:rsidRPr="00691B65">
        <w:rPr>
          <w:rFonts w:ascii="Times New Roman" w:hAnsi="Times New Roman" w:cs="Times New Roman"/>
          <w:i/>
          <w:iCs/>
          <w:sz w:val="24"/>
          <w:szCs w:val="24"/>
        </w:rPr>
        <w:t>Synechococcus</w:t>
      </w:r>
      <w:proofErr w:type="spellEnd"/>
      <w:r w:rsidR="00A405CC">
        <w:rPr>
          <w:rFonts w:ascii="Times New Roman" w:hAnsi="Times New Roman" w:cs="Times New Roman"/>
          <w:sz w:val="24"/>
          <w:szCs w:val="24"/>
        </w:rPr>
        <w:t xml:space="preserve">. </w:t>
      </w:r>
      <w:r w:rsidR="00E4113C">
        <w:rPr>
          <w:rFonts w:ascii="Times New Roman" w:hAnsi="Times New Roman" w:cs="Times New Roman"/>
          <w:sz w:val="24"/>
          <w:szCs w:val="24"/>
        </w:rPr>
        <w:t xml:space="preserve">We evaluated </w:t>
      </w:r>
      <w:r w:rsidR="00A405CC">
        <w:rPr>
          <w:rFonts w:ascii="Times New Roman" w:hAnsi="Times New Roman" w:cs="Times New Roman"/>
          <w:sz w:val="24"/>
          <w:szCs w:val="24"/>
        </w:rPr>
        <w:t xml:space="preserve">EZ55 </w:t>
      </w:r>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m:t>
            </m:r>
          </m:sub>
        </m:sSub>
      </m:oMath>
      <w:r w:rsidR="00A405CC"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as a main control of coexistence </w:t>
      </w:r>
      <w:r w:rsidR="00E4113C">
        <w:rPr>
          <w:rFonts w:ascii="Times New Roman" w:hAnsi="Times New Roman" w:cs="Times New Roman"/>
          <w:sz w:val="24"/>
          <w:szCs w:val="24"/>
        </w:rPr>
        <w:t xml:space="preserve">for </w:t>
      </w:r>
      <w:r w:rsidR="00E4113C" w:rsidRPr="00E4113C">
        <w:rPr>
          <w:rFonts w:ascii="Times" w:hAnsi="Times" w:cs="Times New Roman"/>
          <w:i/>
          <w:iCs/>
          <w:color w:val="000000" w:themeColor="text1"/>
          <w:sz w:val="24"/>
          <w:szCs w:val="24"/>
        </w:rPr>
        <w:t>Prochlorococcus</w:t>
      </w:r>
      <w:r w:rsidR="00E4113C">
        <w:rPr>
          <w:rFonts w:ascii="Times New Roman" w:hAnsi="Times New Roman" w:cs="Times New Roman"/>
          <w:sz w:val="24"/>
          <w:szCs w:val="24"/>
        </w:rPr>
        <w:t xml:space="preserve"> and </w:t>
      </w:r>
      <w:proofErr w:type="spellStart"/>
      <w:r w:rsidR="00E4113C" w:rsidRPr="00E4113C">
        <w:rPr>
          <w:rFonts w:ascii="Times" w:hAnsi="Times" w:cs="Times New Roman"/>
          <w:i/>
          <w:iCs/>
          <w:color w:val="000000" w:themeColor="text1"/>
          <w:sz w:val="24"/>
          <w:szCs w:val="24"/>
        </w:rPr>
        <w:t>Synechococc</w:t>
      </w:r>
      <w:r w:rsidR="00170309">
        <w:rPr>
          <w:rFonts w:ascii="Times" w:hAnsi="Times" w:cs="Times New Roman"/>
          <w:i/>
          <w:iCs/>
          <w:color w:val="000000" w:themeColor="text1"/>
          <w:sz w:val="24"/>
          <w:szCs w:val="24"/>
        </w:rPr>
        <w:t>u</w:t>
      </w:r>
      <w:r w:rsidR="00E4113C" w:rsidRPr="00E4113C">
        <w:rPr>
          <w:rFonts w:ascii="Times" w:hAnsi="Times" w:cs="Times New Roman"/>
          <w:i/>
          <w:iCs/>
          <w:color w:val="000000" w:themeColor="text1"/>
          <w:sz w:val="24"/>
          <w:szCs w:val="24"/>
        </w:rPr>
        <w:t>s</w:t>
      </w:r>
      <w:proofErr w:type="spellEnd"/>
      <w:r w:rsidR="00E4113C">
        <w:rPr>
          <w:rFonts w:ascii="Times New Roman" w:hAnsi="Times New Roman" w:cs="Times New Roman"/>
          <w:sz w:val="24"/>
          <w:szCs w:val="24"/>
        </w:rPr>
        <w:t xml:space="preserve"> </w:t>
      </w:r>
      <w:r w:rsidRPr="003609FB">
        <w:rPr>
          <w:rFonts w:ascii="Times New Roman" w:hAnsi="Times New Roman" w:cs="Times New Roman"/>
          <w:sz w:val="24"/>
          <w:szCs w:val="24"/>
        </w:rPr>
        <w:t xml:space="preserve">through </w:t>
      </w:r>
      <w:r w:rsidR="00E4113C">
        <w:rPr>
          <w:rFonts w:ascii="Times New Roman" w:hAnsi="Times New Roman" w:cs="Times New Roman"/>
          <w:sz w:val="24"/>
          <w:szCs w:val="24"/>
        </w:rPr>
        <w:t xml:space="preserve">the </w:t>
      </w:r>
      <w:r w:rsidRPr="003609FB">
        <w:rPr>
          <w:rFonts w:ascii="Times New Roman" w:hAnsi="Times New Roman" w:cs="Times New Roman"/>
          <w:sz w:val="24"/>
          <w:szCs w:val="24"/>
        </w:rPr>
        <w:t>detoxification</w:t>
      </w:r>
      <w:r w:rsidR="00E4113C">
        <w:rPr>
          <w:rFonts w:ascii="Times New Roman" w:hAnsi="Times New Roman" w:cs="Times New Roman"/>
          <w:sz w:val="24"/>
          <w:szCs w:val="24"/>
        </w:rPr>
        <w:t xml:space="preserve"> of </w:t>
      </w:r>
      <w:r w:rsidR="00E4113C" w:rsidRPr="003609FB">
        <w:rPr>
          <w:rFonts w:ascii="Times New Roman" w:hAnsi="Times New Roman" w:cs="Times New Roman"/>
          <w:sz w:val="24"/>
          <w:szCs w:val="24"/>
        </w:rPr>
        <w:t>H</w:t>
      </w:r>
      <w:r w:rsidR="00E4113C" w:rsidRPr="00351FC4">
        <w:rPr>
          <w:rFonts w:ascii="Times New Roman" w:hAnsi="Times New Roman" w:cs="Times New Roman"/>
          <w:sz w:val="24"/>
          <w:szCs w:val="24"/>
          <w:vertAlign w:val="subscript"/>
        </w:rPr>
        <w:t>2</w:t>
      </w:r>
      <w:r w:rsidR="00E4113C" w:rsidRPr="003609FB">
        <w:rPr>
          <w:rFonts w:ascii="Times New Roman" w:hAnsi="Times New Roman" w:cs="Times New Roman"/>
          <w:sz w:val="24"/>
          <w:szCs w:val="24"/>
        </w:rPr>
        <w:t>O</w:t>
      </w:r>
      <w:r w:rsidR="00E4113C"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C93B3D">
        <w:rPr>
          <w:rFonts w:ascii="Times New Roman" w:hAnsi="Times New Roman" w:cs="Times New Roman"/>
          <w:sz w:val="24"/>
          <w:szCs w:val="24"/>
        </w:rPr>
        <w:t xml:space="preserve">(Modeling of this bacterial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m:t>
            </m:r>
          </m:sub>
        </m:sSub>
      </m:oMath>
      <w:r w:rsidR="00C93B3D">
        <w:rPr>
          <w:rFonts w:ascii="Times New Roman" w:hAnsi="Times New Roman" w:cs="Times New Roman"/>
          <w:sz w:val="24"/>
          <w:szCs w:val="24"/>
        </w:rPr>
        <w:t xml:space="preserve"> is found in A</w:t>
      </w:r>
      <w:proofErr w:type="spellStart"/>
      <w:r w:rsidR="00A834F4">
        <w:rPr>
          <w:rFonts w:ascii="Times New Roman" w:hAnsi="Times New Roman" w:cs="Times New Roman"/>
          <w:sz w:val="24"/>
          <w:szCs w:val="24"/>
        </w:rPr>
        <w:t>p</w:t>
      </w:r>
      <w:r w:rsidR="00C93B3D">
        <w:rPr>
          <w:rFonts w:ascii="Times New Roman" w:hAnsi="Times New Roman" w:cs="Times New Roman"/>
          <w:sz w:val="24"/>
          <w:szCs w:val="24"/>
        </w:rPr>
        <w:t>pendix</w:t>
      </w:r>
      <w:proofErr w:type="spellEnd"/>
      <w:r w:rsidR="00C93B3D">
        <w:rPr>
          <w:rFonts w:ascii="Times New Roman" w:hAnsi="Times New Roman" w:cs="Times New Roman"/>
          <w:sz w:val="24"/>
          <w:szCs w:val="24"/>
        </w:rPr>
        <w:t xml:space="preserve"> B.) </w:t>
      </w:r>
      <w:r w:rsidRPr="003609FB">
        <w:rPr>
          <w:rFonts w:ascii="Times New Roman" w:hAnsi="Times New Roman" w:cs="Times New Roman"/>
          <w:sz w:val="24"/>
          <w:szCs w:val="24"/>
        </w:rPr>
        <w:t xml:space="preserve">Dynamic and contour plots </w:t>
      </w:r>
      <w:r w:rsidR="00E1341D" w:rsidRPr="003609FB">
        <w:rPr>
          <w:rFonts w:ascii="Times New Roman" w:hAnsi="Times New Roman" w:cs="Times New Roman"/>
          <w:sz w:val="24"/>
          <w:szCs w:val="24"/>
        </w:rPr>
        <w:t xml:space="preserve">show </w:t>
      </w:r>
      <w:r w:rsidRPr="003609FB">
        <w:rPr>
          <w:rFonts w:ascii="Times New Roman" w:hAnsi="Times New Roman" w:cs="Times New Roman"/>
          <w:sz w:val="24"/>
          <w:szCs w:val="24"/>
        </w:rPr>
        <w:t xml:space="preserve">different EZ55 abundance scenarios to evaluate possible effect and possible ‘super helper – EZ55’ effect on </w:t>
      </w:r>
      <w:r w:rsidR="00691B65" w:rsidRPr="00691B65">
        <w:rPr>
          <w:rFonts w:ascii="Times New Roman" w:hAnsi="Times New Roman" w:cs="Times New Roman"/>
          <w:i/>
          <w:iCs/>
          <w:sz w:val="24"/>
          <w:szCs w:val="24"/>
        </w:rPr>
        <w:t>Prochlorococcus</w:t>
      </w:r>
      <w:r w:rsidR="00555356"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555356"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competition. </w:t>
      </w:r>
    </w:p>
    <w:p w14:paraId="06B9050F" w14:textId="35C00BE3" w:rsidR="00E370ED" w:rsidRDefault="001D007E"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Bacterial cell specific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00170309">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is ten times higher than that of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and thus allows coexistence between S and P at lower S</w:t>
      </w:r>
      <w:r w:rsidR="00531865" w:rsidRPr="00081DB2">
        <w:rPr>
          <w:rFonts w:ascii="Times New Roman" w:hAnsi="Times New Roman" w:cs="Times New Roman"/>
          <w:sz w:val="24"/>
          <w:szCs w:val="24"/>
          <w:vertAlign w:val="subscript"/>
        </w:rPr>
        <w:t>N</w:t>
      </w:r>
      <w:r w:rsidR="00531865" w:rsidRPr="003609FB">
        <w:rPr>
          <w:rFonts w:ascii="Times New Roman" w:hAnsi="Times New Roman" w:cs="Times New Roman"/>
          <w:sz w:val="24"/>
          <w:szCs w:val="24"/>
        </w:rPr>
        <w:t xml:space="preserve"> and higher S</w:t>
      </w:r>
      <w:r w:rsidR="00531865" w:rsidRPr="00081DB2">
        <w:rPr>
          <w:rFonts w:ascii="Times New Roman" w:hAnsi="Times New Roman" w:cs="Times New Roman"/>
          <w:sz w:val="24"/>
          <w:szCs w:val="24"/>
          <w:vertAlign w:val="subscript"/>
        </w:rPr>
        <w:t>H</w:t>
      </w:r>
      <w:r w:rsidR="00531865" w:rsidRPr="003609FB">
        <w:rPr>
          <w:rFonts w:ascii="Times New Roman" w:hAnsi="Times New Roman" w:cs="Times New Roman"/>
          <w:sz w:val="24"/>
          <w:szCs w:val="24"/>
        </w:rPr>
        <w:t xml:space="preserve"> values as compared to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00531865" w:rsidRPr="003609FB">
        <w:rPr>
          <w:rFonts w:ascii="Times New Roman" w:hAnsi="Times New Roman" w:cs="Times New Roman"/>
          <w:sz w:val="24"/>
          <w:szCs w:val="24"/>
        </w:rPr>
        <w:t xml:space="preserve"> alone. </w:t>
      </w:r>
      <w:r w:rsidR="00F87588" w:rsidRPr="003609FB">
        <w:rPr>
          <w:rFonts w:ascii="Times New Roman" w:hAnsi="Times New Roman" w:cs="Times New Roman"/>
          <w:sz w:val="24"/>
          <w:szCs w:val="24"/>
        </w:rPr>
        <w:t>Greater</w:t>
      </w:r>
      <w:r w:rsidR="00531865" w:rsidRPr="003609FB">
        <w:rPr>
          <w:rFonts w:ascii="Times New Roman" w:hAnsi="Times New Roman" w:cs="Times New Roman"/>
          <w:sz w:val="24"/>
          <w:szCs w:val="24"/>
        </w:rPr>
        <w:t xml:space="preserve"> ranges of coexistence </w:t>
      </w:r>
      <w:r w:rsidR="00F87588" w:rsidRPr="003609FB">
        <w:rPr>
          <w:rFonts w:ascii="Times New Roman" w:hAnsi="Times New Roman" w:cs="Times New Roman"/>
          <w:sz w:val="24"/>
          <w:szCs w:val="24"/>
        </w:rPr>
        <w:t xml:space="preserve">are permitted </w:t>
      </w:r>
      <w:r w:rsidR="00531865" w:rsidRPr="003609FB">
        <w:rPr>
          <w:rFonts w:ascii="Times New Roman" w:hAnsi="Times New Roman" w:cs="Times New Roman"/>
          <w:sz w:val="24"/>
          <w:szCs w:val="24"/>
        </w:rPr>
        <w:t xml:space="preserve">across large areas of an environment when bacteria and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are </w:t>
      </w:r>
      <w:r w:rsidR="00F87588" w:rsidRPr="003609FB">
        <w:rPr>
          <w:rFonts w:ascii="Times New Roman" w:hAnsi="Times New Roman" w:cs="Times New Roman"/>
          <w:sz w:val="24"/>
          <w:szCs w:val="24"/>
        </w:rPr>
        <w:t xml:space="preserve">both </w:t>
      </w:r>
      <w:r w:rsidR="00531865" w:rsidRPr="003609FB">
        <w:rPr>
          <w:rFonts w:ascii="Times New Roman" w:hAnsi="Times New Roman" w:cs="Times New Roman"/>
          <w:sz w:val="24"/>
          <w:szCs w:val="24"/>
        </w:rPr>
        <w:t xml:space="preserve">detoxifying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With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00531865" w:rsidRPr="003609FB">
        <w:rPr>
          <w:rFonts w:ascii="Times New Roman" w:hAnsi="Times New Roman" w:cs="Times New Roman"/>
          <w:sz w:val="24"/>
          <w:szCs w:val="24"/>
        </w:rPr>
        <w:t xml:space="preserve"> bringing standing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concentrations down to</w:t>
      </w:r>
      <w:r w:rsidR="00F87588" w:rsidRPr="003609FB">
        <w:rPr>
          <w:rFonts w:ascii="Times New Roman" w:hAnsi="Times New Roman" w:cs="Times New Roman"/>
          <w:sz w:val="24"/>
          <w:szCs w:val="24"/>
        </w:rPr>
        <w:t xml:space="preserve"> a</w:t>
      </w:r>
      <w:r w:rsidR="00531865" w:rsidRPr="003609FB">
        <w:rPr>
          <w:rFonts w:ascii="Times New Roman" w:hAnsi="Times New Roman" w:cs="Times New Roman"/>
          <w:sz w:val="24"/>
          <w:szCs w:val="24"/>
        </w:rPr>
        <w:t xml:space="preserve"> lower level, </w:t>
      </w:r>
      <w:proofErr w:type="spellStart"/>
      <w:r w:rsidR="00691B65" w:rsidRPr="00691B65">
        <w:rPr>
          <w:rFonts w:ascii="Times New Roman" w:hAnsi="Times New Roman" w:cs="Times New Roman"/>
          <w:i/>
          <w:iCs/>
          <w:sz w:val="24"/>
          <w:szCs w:val="24"/>
        </w:rPr>
        <w:t>Synechococcus</w:t>
      </w:r>
      <w:proofErr w:type="spellEnd"/>
      <w:r w:rsidR="00F87588" w:rsidRPr="003609FB">
        <w:rPr>
          <w:rFonts w:ascii="Times New Roman" w:hAnsi="Times New Roman" w:cs="Times New Roman"/>
          <w:sz w:val="24"/>
          <w:szCs w:val="24"/>
        </w:rPr>
        <w:t xml:space="preserve"> detoxification</w:t>
      </w:r>
      <w:r w:rsidR="00531865" w:rsidRPr="003609FB">
        <w:rPr>
          <w:rFonts w:ascii="Times New Roman" w:hAnsi="Times New Roman" w:cs="Times New Roman"/>
          <w:sz w:val="24"/>
          <w:szCs w:val="24"/>
        </w:rPr>
        <w:t xml:space="preserve"> </w:t>
      </w:r>
      <w:r w:rsidR="00F87588" w:rsidRPr="003609FB">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00531865" w:rsidRPr="003609FB">
        <w:rPr>
          <w:rFonts w:ascii="Times New Roman" w:hAnsi="Times New Roman" w:cs="Times New Roman"/>
          <w:sz w:val="24"/>
          <w:szCs w:val="24"/>
        </w:rPr>
        <w:t xml:space="preserve"> </w:t>
      </w:r>
      <w:r w:rsidR="004009F9" w:rsidRPr="003609FB">
        <w:rPr>
          <w:rFonts w:ascii="Times New Roman" w:hAnsi="Times New Roman" w:cs="Times New Roman"/>
          <w:sz w:val="24"/>
          <w:szCs w:val="24"/>
        </w:rPr>
        <w:t>i</w:t>
      </w:r>
      <w:r w:rsidR="00531865" w:rsidRPr="003609FB">
        <w:rPr>
          <w:rFonts w:ascii="Times New Roman" w:hAnsi="Times New Roman" w:cs="Times New Roman"/>
          <w:sz w:val="24"/>
          <w:szCs w:val="24"/>
        </w:rPr>
        <w:t xml:space="preserve">n </w:t>
      </w:r>
      <w:r w:rsidR="00F87588" w:rsidRPr="003609FB">
        <w:rPr>
          <w:rFonts w:ascii="Times New Roman" w:hAnsi="Times New Roman" w:cs="Times New Roman"/>
          <w:sz w:val="24"/>
          <w:szCs w:val="24"/>
        </w:rPr>
        <w:t>F</w:t>
      </w:r>
      <w:r w:rsidR="00531865" w:rsidRPr="003609FB">
        <w:rPr>
          <w:rFonts w:ascii="Times New Roman" w:hAnsi="Times New Roman" w:cs="Times New Roman"/>
          <w:sz w:val="24"/>
          <w:szCs w:val="24"/>
        </w:rPr>
        <w:t xml:space="preserve">igure </w:t>
      </w:r>
      <w:r w:rsidR="00F87588" w:rsidRPr="003609FB">
        <w:rPr>
          <w:rFonts w:ascii="Times New Roman" w:hAnsi="Times New Roman" w:cs="Times New Roman"/>
          <w:sz w:val="24"/>
          <w:szCs w:val="24"/>
        </w:rPr>
        <w:t>3.</w:t>
      </w:r>
      <w:r w:rsidR="00531865" w:rsidRPr="003609FB">
        <w:rPr>
          <w:rFonts w:ascii="Times New Roman" w:hAnsi="Times New Roman" w:cs="Times New Roman"/>
          <w:sz w:val="24"/>
          <w:szCs w:val="24"/>
        </w:rPr>
        <w:t>8</w:t>
      </w:r>
      <w:r w:rsidR="00F87588" w:rsidRPr="003609FB">
        <w:rPr>
          <w:rFonts w:ascii="Times New Roman" w:hAnsi="Times New Roman" w:cs="Times New Roman"/>
          <w:sz w:val="24"/>
          <w:szCs w:val="24"/>
        </w:rPr>
        <w:t>)</w:t>
      </w:r>
      <w:r w:rsidR="00531865" w:rsidRPr="003609FB">
        <w:rPr>
          <w:rFonts w:ascii="Times New Roman" w:hAnsi="Times New Roman" w:cs="Times New Roman"/>
          <w:sz w:val="24"/>
          <w:szCs w:val="24"/>
        </w:rPr>
        <w:t xml:space="preserve"> </w:t>
      </w:r>
      <w:r w:rsidR="00772765" w:rsidRPr="003609FB">
        <w:rPr>
          <w:rFonts w:ascii="Times New Roman" w:hAnsi="Times New Roman" w:cs="Times New Roman"/>
          <w:sz w:val="24"/>
          <w:szCs w:val="24"/>
        </w:rPr>
        <w:t>is then</w:t>
      </w:r>
      <w:r w:rsidR="00531865" w:rsidRPr="003609FB">
        <w:rPr>
          <w:rFonts w:ascii="Times New Roman" w:hAnsi="Times New Roman" w:cs="Times New Roman"/>
          <w:sz w:val="24"/>
          <w:szCs w:val="24"/>
        </w:rPr>
        <w:t xml:space="preserve"> enough to help save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F87588" w:rsidRPr="003609FB">
        <w:rPr>
          <w:rFonts w:ascii="Times New Roman" w:hAnsi="Times New Roman" w:cs="Times New Roman"/>
          <w:sz w:val="24"/>
          <w:szCs w:val="24"/>
        </w:rPr>
        <w:t xml:space="preserve">while also itself surviving on low nutrients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F87588" w:rsidRPr="003609FB">
        <w:rPr>
          <w:rFonts w:ascii="Times New Roman" w:hAnsi="Times New Roman" w:cs="Times New Roman"/>
          <w:sz w:val="24"/>
          <w:szCs w:val="24"/>
        </w:rPr>
        <w:t xml:space="preserve">otherwise outcompetes it for.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r>
          <w:rPr>
            <w:rFonts w:ascii="Cambria Math" w:hAnsi="Cambria Math" w:cs="Times New Roman"/>
            <w:sz w:val="24"/>
            <w:szCs w:val="24"/>
          </w:rPr>
          <m:t xml:space="preserve"> </m:t>
        </m:r>
      </m:oMath>
      <w:r w:rsidR="00531865" w:rsidRPr="003609FB">
        <w:rPr>
          <w:rFonts w:ascii="Times New Roman" w:hAnsi="Times New Roman" w:cs="Times New Roman"/>
          <w:sz w:val="24"/>
          <w:szCs w:val="24"/>
        </w:rPr>
        <w:t xml:space="preserve">is </w:t>
      </w:r>
      <w:r w:rsidR="00E865B1">
        <w:rPr>
          <w:rFonts w:ascii="Times New Roman" w:hAnsi="Times New Roman" w:cs="Times New Roman"/>
          <w:sz w:val="24"/>
          <w:szCs w:val="24"/>
        </w:rPr>
        <w:t xml:space="preserve">a </w:t>
      </w:r>
      <w:r w:rsidR="00531865" w:rsidRPr="003609FB">
        <w:rPr>
          <w:rFonts w:ascii="Times New Roman" w:hAnsi="Times New Roman" w:cs="Times New Roman"/>
          <w:sz w:val="24"/>
          <w:szCs w:val="24"/>
        </w:rPr>
        <w:t xml:space="preserve">rough estimate from </w:t>
      </w:r>
      <w:r w:rsidR="006D27A1" w:rsidRPr="003609FB">
        <w:rPr>
          <w:rFonts w:ascii="Times New Roman" w:hAnsi="Times New Roman" w:cs="Times New Roman"/>
          <w:sz w:val="24"/>
          <w:szCs w:val="24"/>
        </w:rPr>
        <w:t>one</w:t>
      </w:r>
      <w:r w:rsidR="00531865" w:rsidRPr="003609FB">
        <w:rPr>
          <w:rFonts w:ascii="Times New Roman" w:hAnsi="Times New Roman" w:cs="Times New Roman"/>
          <w:sz w:val="24"/>
          <w:szCs w:val="24"/>
        </w:rPr>
        <w:t xml:space="preserve"> species </w:t>
      </w:r>
      <w:r w:rsidR="005E024A">
        <w:rPr>
          <w:rFonts w:ascii="Times New Roman" w:hAnsi="Times New Roman" w:cs="Times New Roman"/>
          <w:sz w:val="24"/>
          <w:szCs w:val="24"/>
        </w:rPr>
        <w:t xml:space="preserve">(EZ55, </w:t>
      </w:r>
      <w:proofErr w:type="spellStart"/>
      <w:r w:rsidR="005E024A" w:rsidRPr="005E024A">
        <w:rPr>
          <w:rFonts w:ascii="Times" w:hAnsi="Times" w:cs="Times New Roman"/>
          <w:i/>
          <w:iCs/>
          <w:color w:val="000000" w:themeColor="text1"/>
          <w:sz w:val="24"/>
          <w:szCs w:val="24"/>
        </w:rPr>
        <w:t>Alteromonas</w:t>
      </w:r>
      <w:proofErr w:type="spellEnd"/>
      <w:r w:rsidR="005E024A">
        <w:rPr>
          <w:rFonts w:ascii="Times New Roman" w:hAnsi="Times New Roman" w:cs="Times New Roman"/>
          <w:sz w:val="24"/>
          <w:szCs w:val="24"/>
        </w:rPr>
        <w:t xml:space="preserve"> </w:t>
      </w:r>
      <w:r w:rsidR="005E024A" w:rsidRPr="005E024A">
        <w:rPr>
          <w:rFonts w:ascii="Times New Roman" w:hAnsi="Times New Roman" w:cs="Times New Roman"/>
          <w:i/>
          <w:iCs/>
          <w:sz w:val="24"/>
          <w:szCs w:val="24"/>
        </w:rPr>
        <w:t>sp.</w:t>
      </w:r>
      <w:r w:rsidR="005E024A">
        <w:rPr>
          <w:rFonts w:ascii="Times New Roman" w:hAnsi="Times New Roman" w:cs="Times New Roman"/>
          <w:sz w:val="24"/>
          <w:szCs w:val="24"/>
        </w:rPr>
        <w:t xml:space="preserve">) </w:t>
      </w:r>
      <w:r w:rsidR="00531865" w:rsidRPr="003609FB">
        <w:rPr>
          <w:rFonts w:ascii="Times New Roman" w:hAnsi="Times New Roman" w:cs="Times New Roman"/>
          <w:sz w:val="24"/>
          <w:szCs w:val="24"/>
        </w:rPr>
        <w:t>so we encourage future studies to explore</w:t>
      </w:r>
      <w:r w:rsidR="006D27A1" w:rsidRPr="003609FB">
        <w:rPr>
          <w:rFonts w:ascii="Times New Roman" w:hAnsi="Times New Roman" w:cs="Times New Roman"/>
          <w:sz w:val="24"/>
          <w:szCs w:val="24"/>
        </w:rPr>
        <w:t xml:space="preserve"> and </w:t>
      </w:r>
      <w:r w:rsidR="00531865" w:rsidRPr="003609FB">
        <w:rPr>
          <w:rFonts w:ascii="Times New Roman" w:hAnsi="Times New Roman" w:cs="Times New Roman"/>
          <w:sz w:val="24"/>
          <w:szCs w:val="24"/>
        </w:rPr>
        <w:t>characterize the detoxification range of marine bacterial populations. Further</w:t>
      </w:r>
      <w:r w:rsidR="006D27A1" w:rsidRPr="003609FB">
        <w:rPr>
          <w:rFonts w:ascii="Times New Roman" w:hAnsi="Times New Roman" w:cs="Times New Roman"/>
          <w:sz w:val="24"/>
          <w:szCs w:val="24"/>
        </w:rPr>
        <w:t>,</w:t>
      </w:r>
      <w:r w:rsidR="00531865" w:rsidRPr="003609FB">
        <w:rPr>
          <w:rFonts w:ascii="Times New Roman" w:hAnsi="Times New Roman" w:cs="Times New Roman"/>
          <w:sz w:val="24"/>
          <w:szCs w:val="24"/>
        </w:rPr>
        <w:t xml:space="preserve"> </w:t>
      </w:r>
      <w:r w:rsidR="006D27A1" w:rsidRPr="003609FB">
        <w:rPr>
          <w:rFonts w:ascii="Times New Roman" w:hAnsi="Times New Roman" w:cs="Times New Roman"/>
          <w:sz w:val="24"/>
          <w:szCs w:val="24"/>
        </w:rPr>
        <w:t>heterotrophic bacteria (</w:t>
      </w:r>
      <w:r w:rsidR="00531865" w:rsidRPr="003609FB">
        <w:rPr>
          <w:rFonts w:ascii="Times New Roman" w:hAnsi="Times New Roman" w:cs="Times New Roman"/>
          <w:sz w:val="24"/>
          <w:szCs w:val="24"/>
        </w:rPr>
        <w:t>B</w:t>
      </w:r>
      <w:r w:rsidR="006D27A1"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biomass </w:t>
      </w:r>
      <w:r w:rsidR="006D27A1" w:rsidRPr="003609FB">
        <w:rPr>
          <w:rFonts w:ascii="Times New Roman" w:hAnsi="Times New Roman" w:cs="Times New Roman"/>
          <w:sz w:val="24"/>
          <w:szCs w:val="24"/>
        </w:rPr>
        <w:t xml:space="preserve">was </w:t>
      </w:r>
      <w:r w:rsidR="00531865" w:rsidRPr="003609FB">
        <w:rPr>
          <w:rFonts w:ascii="Times New Roman" w:hAnsi="Times New Roman" w:cs="Times New Roman"/>
          <w:sz w:val="24"/>
          <w:szCs w:val="24"/>
        </w:rPr>
        <w:t xml:space="preserve">not tied to N here in </w:t>
      </w:r>
      <w:r w:rsidR="00F87588" w:rsidRPr="003609FB">
        <w:rPr>
          <w:rFonts w:ascii="Times New Roman" w:hAnsi="Times New Roman" w:cs="Times New Roman"/>
          <w:sz w:val="24"/>
          <w:szCs w:val="24"/>
        </w:rPr>
        <w:t>F</w:t>
      </w:r>
      <w:r w:rsidR="00531865" w:rsidRPr="003609FB">
        <w:rPr>
          <w:rFonts w:ascii="Times New Roman" w:hAnsi="Times New Roman" w:cs="Times New Roman"/>
          <w:sz w:val="24"/>
          <w:szCs w:val="24"/>
        </w:rPr>
        <w:t xml:space="preserve">igure </w:t>
      </w:r>
      <w:r w:rsidR="00F87588" w:rsidRPr="003609FB">
        <w:rPr>
          <w:rFonts w:ascii="Times New Roman" w:hAnsi="Times New Roman" w:cs="Times New Roman"/>
          <w:sz w:val="24"/>
          <w:szCs w:val="24"/>
        </w:rPr>
        <w:t>3.</w:t>
      </w:r>
      <w:r w:rsidR="00531865" w:rsidRPr="003609FB">
        <w:rPr>
          <w:rFonts w:ascii="Times New Roman" w:hAnsi="Times New Roman" w:cs="Times New Roman"/>
          <w:sz w:val="24"/>
          <w:szCs w:val="24"/>
        </w:rPr>
        <w:t xml:space="preserve">8. Thus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00531865" w:rsidRPr="003609FB">
        <w:rPr>
          <w:rFonts w:ascii="Times New Roman" w:hAnsi="Times New Roman" w:cs="Times New Roman"/>
          <w:sz w:val="24"/>
          <w:szCs w:val="24"/>
        </w:rPr>
        <w:t xml:space="preserve"> acts as a very steep abiotic </w:t>
      </w:r>
      <w:r w:rsidR="00775C04" w:rsidRPr="003609FB">
        <w:rPr>
          <w:rFonts w:ascii="Times New Roman" w:hAnsi="Times New Roman" w:cs="Times New Roman"/>
          <w:sz w:val="24"/>
          <w:szCs w:val="24"/>
        </w:rPr>
        <w:t>H</w:t>
      </w:r>
      <w:r w:rsidR="00775C04" w:rsidRPr="00351FC4">
        <w:rPr>
          <w:rFonts w:ascii="Times New Roman" w:hAnsi="Times New Roman" w:cs="Times New Roman"/>
          <w:sz w:val="24"/>
          <w:szCs w:val="24"/>
          <w:vertAlign w:val="subscript"/>
        </w:rPr>
        <w:t>2</w:t>
      </w:r>
      <w:r w:rsidR="00775C04" w:rsidRPr="003609FB">
        <w:rPr>
          <w:rFonts w:ascii="Times New Roman" w:hAnsi="Times New Roman" w:cs="Times New Roman"/>
          <w:sz w:val="24"/>
          <w:szCs w:val="24"/>
        </w:rPr>
        <w:t>O</w:t>
      </w:r>
      <w:r w:rsidR="00775C04" w:rsidRPr="00351FC4">
        <w:rPr>
          <w:rFonts w:ascii="Times New Roman" w:hAnsi="Times New Roman" w:cs="Times New Roman"/>
          <w:sz w:val="24"/>
          <w:szCs w:val="24"/>
          <w:vertAlign w:val="subscript"/>
        </w:rPr>
        <w:t>2</w:t>
      </w:r>
      <w:r w:rsidR="00775C04"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sink</w:t>
      </w:r>
      <w:r w:rsidR="00775C04">
        <w:rPr>
          <w:rFonts w:ascii="Times New Roman" w:hAnsi="Times New Roman" w:cs="Times New Roman"/>
          <w:sz w:val="24"/>
          <w:szCs w:val="24"/>
        </w:rPr>
        <w:t xml:space="preserve"> in this model formulation</w:t>
      </w:r>
      <w:r w:rsidR="00531865" w:rsidRPr="003609FB">
        <w:rPr>
          <w:rFonts w:ascii="Times New Roman" w:hAnsi="Times New Roman" w:cs="Times New Roman"/>
          <w:sz w:val="24"/>
          <w:szCs w:val="24"/>
        </w:rPr>
        <w:t xml:space="preserve">. This is continued in the </w:t>
      </w:r>
      <w:r w:rsidR="00775C04">
        <w:rPr>
          <w:rFonts w:ascii="Times New Roman" w:hAnsi="Times New Roman" w:cs="Times New Roman"/>
          <w:sz w:val="24"/>
          <w:szCs w:val="24"/>
        </w:rPr>
        <w:t>models</w:t>
      </w:r>
      <w:r w:rsidR="00531865" w:rsidRPr="003609FB">
        <w:rPr>
          <w:rFonts w:ascii="Times New Roman" w:hAnsi="Times New Roman" w:cs="Times New Roman"/>
          <w:sz w:val="24"/>
          <w:szCs w:val="24"/>
        </w:rPr>
        <w:t xml:space="preserve"> of Chapter 4. However</w:t>
      </w:r>
      <w:r w:rsidR="00775C04">
        <w:rPr>
          <w:rFonts w:ascii="Times New Roman" w:hAnsi="Times New Roman" w:cs="Times New Roman"/>
          <w:sz w:val="24"/>
          <w:szCs w:val="24"/>
        </w:rPr>
        <w:t xml:space="preserve">, we note that </w:t>
      </w:r>
      <w:r w:rsidR="00531865" w:rsidRPr="003609FB">
        <w:rPr>
          <w:rFonts w:ascii="Times New Roman" w:hAnsi="Times New Roman" w:cs="Times New Roman"/>
          <w:sz w:val="24"/>
          <w:szCs w:val="24"/>
        </w:rPr>
        <w:t xml:space="preserve">further biotic analysis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and nutrient impacts on </w:t>
      </w:r>
      <w:proofErr w:type="spellStart"/>
      <w:r w:rsidR="00F87588" w:rsidRPr="003609FB">
        <w:rPr>
          <w:rFonts w:ascii="Times New Roman" w:hAnsi="Times New Roman" w:cs="Times New Roman"/>
          <w:sz w:val="24"/>
          <w:szCs w:val="24"/>
        </w:rPr>
        <w:t>pico</w:t>
      </w:r>
      <w:r w:rsidR="006D27A1" w:rsidRPr="003609FB">
        <w:rPr>
          <w:rFonts w:ascii="Times New Roman" w:hAnsi="Times New Roman" w:cs="Times New Roman"/>
          <w:sz w:val="24"/>
          <w:szCs w:val="24"/>
        </w:rPr>
        <w:t>heterotrophs</w:t>
      </w:r>
      <w:proofErr w:type="spellEnd"/>
      <w:r w:rsidR="006D27A1" w:rsidRPr="003609FB">
        <w:rPr>
          <w:rFonts w:ascii="Times New Roman" w:hAnsi="Times New Roman" w:cs="Times New Roman"/>
          <w:sz w:val="24"/>
          <w:szCs w:val="24"/>
        </w:rPr>
        <w:t xml:space="preserve"> along with broad bacterial population responses</w:t>
      </w:r>
      <w:r w:rsidR="00775C04">
        <w:rPr>
          <w:rFonts w:ascii="Times New Roman" w:hAnsi="Times New Roman" w:cs="Times New Roman"/>
          <w:sz w:val="24"/>
          <w:szCs w:val="24"/>
        </w:rPr>
        <w:t>,</w:t>
      </w:r>
      <w:r w:rsidR="006D27A1" w:rsidRPr="003609FB">
        <w:rPr>
          <w:rFonts w:ascii="Times New Roman" w:hAnsi="Times New Roman" w:cs="Times New Roman"/>
          <w:sz w:val="24"/>
          <w:szCs w:val="24"/>
        </w:rPr>
        <w:t xml:space="preserve"> are </w:t>
      </w:r>
      <w:r w:rsidR="00F87588" w:rsidRPr="003609FB">
        <w:rPr>
          <w:rFonts w:ascii="Times New Roman" w:hAnsi="Times New Roman" w:cs="Times New Roman"/>
          <w:sz w:val="24"/>
          <w:szCs w:val="24"/>
        </w:rPr>
        <w:t>needed</w:t>
      </w:r>
      <w:r w:rsidR="00531865" w:rsidRPr="003609FB">
        <w:rPr>
          <w:rFonts w:ascii="Times New Roman" w:hAnsi="Times New Roman" w:cs="Times New Roman"/>
          <w:sz w:val="24"/>
          <w:szCs w:val="24"/>
        </w:rPr>
        <w:t xml:space="preserve"> to </w:t>
      </w:r>
      <w:r w:rsidR="006D27A1" w:rsidRPr="003609FB">
        <w:rPr>
          <w:rFonts w:ascii="Times New Roman" w:hAnsi="Times New Roman" w:cs="Times New Roman"/>
          <w:sz w:val="24"/>
          <w:szCs w:val="24"/>
        </w:rPr>
        <w:t xml:space="preserve">model </w:t>
      </w:r>
      <w:r w:rsidR="00531865" w:rsidRPr="003609FB">
        <w:rPr>
          <w:rFonts w:ascii="Times New Roman" w:hAnsi="Times New Roman" w:cs="Times New Roman"/>
          <w:sz w:val="24"/>
          <w:szCs w:val="24"/>
        </w:rPr>
        <w:t xml:space="preserve">these </w:t>
      </w:r>
      <w:r w:rsidR="00775C04">
        <w:rPr>
          <w:rFonts w:ascii="Times New Roman" w:hAnsi="Times New Roman" w:cs="Times New Roman"/>
          <w:sz w:val="24"/>
          <w:szCs w:val="24"/>
        </w:rPr>
        <w:t xml:space="preserve">heterotrophic </w:t>
      </w:r>
      <w:r w:rsidR="00531865" w:rsidRPr="003609FB">
        <w:rPr>
          <w:rFonts w:ascii="Times New Roman" w:hAnsi="Times New Roman" w:cs="Times New Roman"/>
          <w:sz w:val="24"/>
          <w:szCs w:val="24"/>
        </w:rPr>
        <w:t>microbes</w:t>
      </w:r>
      <w:r w:rsidR="006D27A1" w:rsidRPr="003609FB">
        <w:rPr>
          <w:rFonts w:ascii="Times New Roman" w:hAnsi="Times New Roman" w:cs="Times New Roman"/>
          <w:sz w:val="24"/>
          <w:szCs w:val="24"/>
        </w:rPr>
        <w:t xml:space="preserve"> </w:t>
      </w:r>
      <w:r w:rsidR="00775C04">
        <w:rPr>
          <w:rFonts w:ascii="Times New Roman" w:hAnsi="Times New Roman" w:cs="Times New Roman"/>
          <w:sz w:val="24"/>
          <w:szCs w:val="24"/>
        </w:rPr>
        <w:t xml:space="preserve">and resultant </w:t>
      </w:r>
      <w:r w:rsidR="00775C04" w:rsidRPr="003609FB">
        <w:rPr>
          <w:rFonts w:ascii="Times New Roman" w:hAnsi="Times New Roman" w:cs="Times New Roman"/>
          <w:sz w:val="24"/>
          <w:szCs w:val="24"/>
        </w:rPr>
        <w:t>H</w:t>
      </w:r>
      <w:r w:rsidR="00775C04" w:rsidRPr="00351FC4">
        <w:rPr>
          <w:rFonts w:ascii="Times New Roman" w:hAnsi="Times New Roman" w:cs="Times New Roman"/>
          <w:sz w:val="24"/>
          <w:szCs w:val="24"/>
          <w:vertAlign w:val="subscript"/>
        </w:rPr>
        <w:t>2</w:t>
      </w:r>
      <w:r w:rsidR="00775C04" w:rsidRPr="003609FB">
        <w:rPr>
          <w:rFonts w:ascii="Times New Roman" w:hAnsi="Times New Roman" w:cs="Times New Roman"/>
          <w:sz w:val="24"/>
          <w:szCs w:val="24"/>
        </w:rPr>
        <w:t>O</w:t>
      </w:r>
      <w:r w:rsidR="00775C04" w:rsidRPr="00351FC4">
        <w:rPr>
          <w:rFonts w:ascii="Times New Roman" w:hAnsi="Times New Roman" w:cs="Times New Roman"/>
          <w:sz w:val="24"/>
          <w:szCs w:val="24"/>
          <w:vertAlign w:val="subscript"/>
        </w:rPr>
        <w:t>2</w:t>
      </w:r>
      <w:r w:rsidR="00775C04" w:rsidRPr="003609FB">
        <w:rPr>
          <w:rFonts w:ascii="Times New Roman" w:hAnsi="Times New Roman" w:cs="Times New Roman"/>
          <w:sz w:val="24"/>
          <w:szCs w:val="24"/>
        </w:rPr>
        <w:t xml:space="preserve"> </w:t>
      </w:r>
      <w:r w:rsidR="00775C04">
        <w:rPr>
          <w:rFonts w:ascii="Times New Roman" w:hAnsi="Times New Roman" w:cs="Times New Roman"/>
          <w:sz w:val="24"/>
          <w:szCs w:val="24"/>
        </w:rPr>
        <w:t xml:space="preserve">detoxification </w:t>
      </w:r>
      <w:r w:rsidR="006D27A1" w:rsidRPr="003609FB">
        <w:rPr>
          <w:rFonts w:ascii="Times New Roman" w:hAnsi="Times New Roman" w:cs="Times New Roman"/>
          <w:sz w:val="24"/>
          <w:szCs w:val="24"/>
        </w:rPr>
        <w:t>more robustly</w:t>
      </w:r>
      <w:r w:rsidR="00531865" w:rsidRPr="003609FB">
        <w:rPr>
          <w:rFonts w:ascii="Times New Roman" w:hAnsi="Times New Roman" w:cs="Times New Roman"/>
          <w:sz w:val="24"/>
          <w:szCs w:val="24"/>
        </w:rPr>
        <w:t xml:space="preserve"> </w:t>
      </w:r>
      <w:r w:rsidR="006D27A1" w:rsidRPr="003609FB">
        <w:rPr>
          <w:rFonts w:ascii="Times New Roman" w:hAnsi="Times New Roman" w:cs="Times New Roman"/>
          <w:sz w:val="24"/>
          <w:szCs w:val="24"/>
        </w:rPr>
        <w:t>in</w:t>
      </w:r>
      <w:r w:rsidR="00531865" w:rsidRPr="003609FB">
        <w:rPr>
          <w:rFonts w:ascii="Times New Roman" w:hAnsi="Times New Roman" w:cs="Times New Roman"/>
          <w:sz w:val="24"/>
          <w:szCs w:val="24"/>
        </w:rPr>
        <w:t xml:space="preserve"> future studies. </w:t>
      </w:r>
    </w:p>
    <w:p w14:paraId="3BCEC5F6" w14:textId="21C9AD72" w:rsidR="00E370ED" w:rsidRDefault="00E370ED" w:rsidP="00AB2160">
      <w:pPr>
        <w:spacing w:line="360" w:lineRule="auto"/>
        <w:ind w:firstLine="720"/>
        <w:rPr>
          <w:rFonts w:ascii="Times New Roman" w:hAnsi="Times New Roman" w:cs="Times New Roman"/>
          <w:sz w:val="24"/>
          <w:szCs w:val="24"/>
        </w:rPr>
      </w:pPr>
    </w:p>
    <w:p w14:paraId="510FA449" w14:textId="2A6B8B8B" w:rsidR="00E370ED" w:rsidRDefault="00E370ED" w:rsidP="00AB2160">
      <w:pPr>
        <w:spacing w:line="360" w:lineRule="auto"/>
        <w:ind w:firstLine="720"/>
        <w:rPr>
          <w:rFonts w:ascii="Times New Roman" w:hAnsi="Times New Roman" w:cs="Times New Roman"/>
          <w:sz w:val="24"/>
          <w:szCs w:val="24"/>
        </w:rPr>
      </w:pPr>
    </w:p>
    <w:p w14:paraId="0AF18F93" w14:textId="1B9194E5" w:rsidR="00A834F4" w:rsidRPr="003609FB" w:rsidRDefault="00A834F4" w:rsidP="00AB2160">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3"/>
        <w:gridCol w:w="4377"/>
      </w:tblGrid>
      <w:tr w:rsidR="00A834F4" w:rsidRPr="003609FB" w14:paraId="3D25E81A" w14:textId="77777777" w:rsidTr="00A43D25">
        <w:trPr>
          <w:trHeight w:val="301"/>
        </w:trPr>
        <w:tc>
          <w:tcPr>
            <w:tcW w:w="5000" w:type="pct"/>
            <w:gridSpan w:val="2"/>
          </w:tcPr>
          <w:p w14:paraId="3A363688" w14:textId="63FA8707" w:rsidR="000866D7" w:rsidRPr="000866D7" w:rsidRDefault="000866D7" w:rsidP="000866D7">
            <w:pPr>
              <w:pStyle w:val="ListParagraph"/>
              <w:numPr>
                <w:ilvl w:val="0"/>
                <w:numId w:val="11"/>
              </w:numPr>
              <w:spacing w:line="360" w:lineRule="auto"/>
              <w:rPr>
                <w:rFonts w:ascii="Times New Roman" w:hAnsi="Times New Roman" w:cs="Times New Roman"/>
              </w:rPr>
            </w:pPr>
            <w:r>
              <w:rPr>
                <w:rFonts w:ascii="Times New Roman" w:hAnsi="Times New Roman" w:cs="Times New Roman"/>
              </w:rPr>
              <w:lastRenderedPageBreak/>
              <w:t xml:space="preserve">                                                                b.</w:t>
            </w:r>
          </w:p>
          <w:p w14:paraId="701DAA94" w14:textId="25AF74B1" w:rsidR="00A834F4" w:rsidRPr="000866D7" w:rsidRDefault="000866D7" w:rsidP="00AB2160">
            <w:pPr>
              <w:spacing w:line="360" w:lineRule="auto"/>
              <w:rPr>
                <w:rFonts w:ascii="Times New Roman" w:hAnsi="Times New Roman" w:cs="Times New Roman"/>
              </w:rPr>
            </w:pPr>
            <w:r w:rsidRPr="000866D7">
              <w:rPr>
                <w:rFonts w:ascii="Times New Roman" w:hAnsi="Times New Roman" w:cs="Times New Roman"/>
                <w:i/>
                <w:iCs/>
              </w:rPr>
              <w:t xml:space="preserve">       </w:t>
            </w:r>
            <w:r>
              <w:rPr>
                <w:rFonts w:ascii="Times New Roman" w:hAnsi="Times New Roman" w:cs="Times New Roman"/>
                <w:i/>
                <w:iCs/>
              </w:rPr>
              <w:t xml:space="preserve">          </w:t>
            </w:r>
            <w:r w:rsidRPr="000866D7">
              <w:rPr>
                <w:rFonts w:ascii="Times New Roman" w:hAnsi="Times New Roman" w:cs="Times New Roman"/>
                <w:i/>
                <w:iCs/>
              </w:rPr>
              <w:t xml:space="preserve">  </w:t>
            </w:r>
            <w:proofErr w:type="spellStart"/>
            <w:r w:rsidR="00A834F4" w:rsidRPr="000866D7">
              <w:rPr>
                <w:rFonts w:ascii="Times New Roman" w:hAnsi="Times New Roman" w:cs="Times New Roman"/>
                <w:i/>
                <w:iCs/>
              </w:rPr>
              <w:t>Synechococcus</w:t>
            </w:r>
            <w:proofErr w:type="spellEnd"/>
            <w:r w:rsidR="00A834F4" w:rsidRPr="000866D7">
              <w:rPr>
                <w:rFonts w:ascii="Times New Roman" w:hAnsi="Times New Roman" w:cs="Times New Roman"/>
              </w:rPr>
              <w:t xml:space="preserve"> ( </w:t>
            </w:r>
            <m:oMath>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max,S</m:t>
                  </m:r>
                </m:sub>
              </m:sSub>
            </m:oMath>
            <w:r w:rsidR="00A834F4" w:rsidRPr="000866D7">
              <w:rPr>
                <w:rFonts w:ascii="Times New Roman" w:hAnsi="Times New Roman" w:cs="Times New Roman"/>
              </w:rPr>
              <w:t xml:space="preserve"> )           </w:t>
            </w:r>
            <w:r w:rsidR="003E6CAB">
              <w:rPr>
                <w:rFonts w:ascii="Times New Roman" w:hAnsi="Times New Roman" w:cs="Times New Roman"/>
              </w:rPr>
              <w:t xml:space="preserve">               </w:t>
            </w:r>
            <w:r w:rsidR="00E0124F" w:rsidRPr="000866D7">
              <w:rPr>
                <w:rFonts w:ascii="Times New Roman" w:hAnsi="Times New Roman" w:cs="Times New Roman"/>
              </w:rPr>
              <w:t xml:space="preserve">  </w:t>
            </w:r>
            <w:proofErr w:type="spellStart"/>
            <w:r w:rsidR="00A834F4" w:rsidRPr="000866D7">
              <w:rPr>
                <w:rFonts w:ascii="Times New Roman" w:hAnsi="Times New Roman" w:cs="Times New Roman"/>
                <w:i/>
                <w:iCs/>
              </w:rPr>
              <w:t>Synechococcus</w:t>
            </w:r>
            <w:proofErr w:type="spellEnd"/>
            <w:r w:rsidR="00A834F4" w:rsidRPr="000866D7">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max,S</m:t>
                  </m:r>
                </m:sub>
              </m:sSub>
            </m:oMath>
            <w:r w:rsidR="003E6CAB">
              <w:rPr>
                <w:rFonts w:ascii="Times New Roman" w:hAnsi="Times New Roman" w:cs="Times New Roman"/>
              </w:rPr>
              <w:t xml:space="preserve">) </w:t>
            </w:r>
            <w:r w:rsidR="003E6CAB" w:rsidRPr="000866D7">
              <w:rPr>
                <w:rFonts w:ascii="Times New Roman" w:hAnsi="Times New Roman" w:cs="Times New Roman"/>
              </w:rPr>
              <w:t xml:space="preserve"> </w:t>
            </w:r>
            <w:r w:rsidR="00A834F4" w:rsidRPr="000866D7">
              <w:rPr>
                <w:rFonts w:ascii="Times New Roman" w:hAnsi="Times New Roman" w:cs="Times New Roman"/>
              </w:rPr>
              <w:t>and</w:t>
            </w:r>
            <w:r w:rsidR="00E0124F" w:rsidRPr="000866D7">
              <w:rPr>
                <w:rFonts w:ascii="Times New Roman" w:hAnsi="Times New Roman" w:cs="Times New Roman"/>
              </w:rPr>
              <w:t xml:space="preserve"> bacteria</w:t>
            </w:r>
            <w:r w:rsidR="00A834F4" w:rsidRPr="000866D7">
              <w:rPr>
                <w:rFonts w:ascii="Times New Roman" w:hAnsi="Times New Roman" w:cs="Times New Roman"/>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oMath>
            <w:r w:rsidR="00A834F4" w:rsidRPr="000866D7">
              <w:rPr>
                <w:rFonts w:ascii="Times New Roman" w:hAnsi="Times New Roman" w:cs="Times New Roman"/>
              </w:rPr>
              <w:t xml:space="preserve">) </w:t>
            </w:r>
          </w:p>
        </w:tc>
      </w:tr>
      <w:tr w:rsidR="00695B13" w:rsidRPr="003609FB" w14:paraId="170C9A16" w14:textId="77777777" w:rsidTr="00F8376C">
        <w:trPr>
          <w:trHeight w:val="2175"/>
        </w:trPr>
        <w:tc>
          <w:tcPr>
            <w:tcW w:w="2506" w:type="pct"/>
          </w:tcPr>
          <w:p w14:paraId="7245FC7E" w14:textId="1AEF4C6F" w:rsidR="00A834F4" w:rsidRPr="003609FB" w:rsidRDefault="00695B13" w:rsidP="00AB216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53F099" wp14:editId="11BDFE8F">
                  <wp:extent cx="3072150" cy="2300605"/>
                  <wp:effectExtent l="0" t="0" r="1270" b="0"/>
                  <wp:docPr id="2059388859" name="Picture 2059388859" descr="A chart with a gradient of green and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hart with a gradient of green and yellow&#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092919" cy="2316158"/>
                          </a:xfrm>
                          <a:prstGeom prst="rect">
                            <a:avLst/>
                          </a:prstGeom>
                        </pic:spPr>
                      </pic:pic>
                    </a:graphicData>
                  </a:graphic>
                </wp:inline>
              </w:drawing>
            </w:r>
          </w:p>
        </w:tc>
        <w:tc>
          <w:tcPr>
            <w:tcW w:w="2494" w:type="pct"/>
          </w:tcPr>
          <w:p w14:paraId="01F45FD2" w14:textId="1DF944E5" w:rsidR="00A834F4" w:rsidRPr="003609FB" w:rsidRDefault="00695B13" w:rsidP="00AB2160">
            <w:pPr>
              <w:keepNext/>
              <w:spacing w:line="360" w:lineRule="auto"/>
              <w:rPr>
                <w:rFonts w:ascii="Times New Roman" w:hAnsi="Times New Roman" w:cs="Times New Roman"/>
                <w:sz w:val="24"/>
                <w:szCs w:val="24"/>
              </w:rPr>
            </w:pPr>
            <w:r w:rsidRPr="0000728E">
              <w:rPr>
                <w:rFonts w:ascii="Times New Roman" w:hAnsi="Times New Roman" w:cs="Times New Roman"/>
                <w:noProof/>
                <w:sz w:val="24"/>
                <w:szCs w:val="24"/>
              </w:rPr>
              <w:drawing>
                <wp:inline distT="0" distB="0" distL="0" distR="0" wp14:anchorId="7ED4BD9C" wp14:editId="57E65723">
                  <wp:extent cx="2682912" cy="2300486"/>
                  <wp:effectExtent l="0" t="0" r="0" b="0"/>
                  <wp:docPr id="2059388858" name="Picture 205938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5484" t="6869" r="12093" b="4789"/>
                          <a:stretch/>
                        </pic:blipFill>
                        <pic:spPr bwMode="auto">
                          <a:xfrm>
                            <a:off x="0" y="0"/>
                            <a:ext cx="2709983" cy="2323698"/>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7A2894" w14:textId="62FE028E" w:rsidR="00B9399E" w:rsidRDefault="00F8376C" w:rsidP="00511118">
      <w:pPr>
        <w:pStyle w:val="Caption"/>
      </w:pPr>
      <w:bookmarkStart w:id="57" w:name="_Toc173148385"/>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8</w:t>
      </w:r>
      <w:r w:rsidR="00000000">
        <w:rPr>
          <w:noProof/>
        </w:rPr>
        <w:fldChar w:fldCharType="end"/>
      </w:r>
      <w:r>
        <w:t xml:space="preserve"> </w:t>
      </w:r>
      <w:r w:rsidR="00552363">
        <w:t>Different</w:t>
      </w:r>
      <w:r w:rsidRPr="004F2D05">
        <w:t xml:space="preserve"> coexistence landscapes available dependent upon who is detoxifying H</w:t>
      </w:r>
      <w:r>
        <w:t>.</w:t>
      </w:r>
      <w:bookmarkEnd w:id="57"/>
      <w:r>
        <w:t xml:space="preserve"> </w:t>
      </w:r>
    </w:p>
    <w:p w14:paraId="1BC9C7FB" w14:textId="4281F3B2" w:rsidR="00B9399E" w:rsidRPr="003609FB" w:rsidRDefault="008033E9" w:rsidP="00511118">
      <w:pPr>
        <w:pStyle w:val="Caption"/>
      </w:pPr>
      <w:r>
        <w:t>Heat map c</w:t>
      </w:r>
      <w:r w:rsidR="00B9399E" w:rsidRPr="003609FB">
        <w:t xml:space="preserve">ontours for dynamic </w:t>
      </w:r>
      <w:r>
        <w:t>c</w:t>
      </w:r>
      <w:r w:rsidR="00B9399E" w:rsidRPr="003609FB">
        <w:t xml:space="preserve">ompetition outcomes between </w:t>
      </w:r>
      <w:r w:rsidR="00B9399E" w:rsidRPr="00691B65">
        <w:rPr>
          <w:i/>
          <w:iCs/>
        </w:rPr>
        <w:t>Prochlorococcus</w:t>
      </w:r>
      <w:r w:rsidR="00B9399E" w:rsidRPr="003609FB">
        <w:t xml:space="preserve"> and </w:t>
      </w:r>
      <w:proofErr w:type="spellStart"/>
      <w:r w:rsidR="00B9399E" w:rsidRPr="00691B65">
        <w:rPr>
          <w:i/>
          <w:iCs/>
        </w:rPr>
        <w:t>Synechococcus</w:t>
      </w:r>
      <w:proofErr w:type="spellEnd"/>
      <w:r w:rsidR="00B9399E" w:rsidRPr="003609FB">
        <w:t xml:space="preserve"> </w:t>
      </w:r>
      <w:r w:rsidR="00952597">
        <w:t>over a range of S</w:t>
      </w:r>
      <w:r w:rsidR="00952597" w:rsidRPr="00952597">
        <w:rPr>
          <w:vertAlign w:val="subscript"/>
        </w:rPr>
        <w:t>N</w:t>
      </w:r>
      <w:r w:rsidR="00952597">
        <w:t xml:space="preserve"> (</w:t>
      </w:r>
      <w:r w:rsidR="00952597" w:rsidRPr="00952597">
        <w:rPr>
          <w:rFonts w:ascii="Cambria Math" w:hAnsi="Cambria Math"/>
          <w:i/>
        </w:rPr>
        <w:t xml:space="preserve"> </w:t>
      </w:r>
      <m:oMath>
        <m:r>
          <w:rPr>
            <w:rFonts w:ascii="Cambria Math" w:hAnsi="Cambria Math"/>
          </w:rPr>
          <m:t>μ</m:t>
        </m:r>
      </m:oMath>
      <w:r w:rsidR="00952597" w:rsidRPr="003609FB">
        <w:t>mol mL</w:t>
      </w:r>
      <w:r w:rsidR="00952597" w:rsidRPr="00347E7F">
        <w:rPr>
          <w:vertAlign w:val="superscript"/>
        </w:rPr>
        <w:t>-1</w:t>
      </w:r>
      <w:r w:rsidR="00952597" w:rsidRPr="003609FB">
        <w:t xml:space="preserve"> day</w:t>
      </w:r>
      <w:r w:rsidR="00952597" w:rsidRPr="00347E7F">
        <w:rPr>
          <w:vertAlign w:val="superscript"/>
        </w:rPr>
        <w:t>-1</w:t>
      </w:r>
      <w:r w:rsidR="00952597" w:rsidRPr="00952597">
        <w:t xml:space="preserve">) </w:t>
      </w:r>
      <w:r w:rsidR="00952597">
        <w:t>and S</w:t>
      </w:r>
      <w:r w:rsidR="00952597" w:rsidRPr="00952597">
        <w:rPr>
          <w:vertAlign w:val="subscript"/>
        </w:rPr>
        <w:t>H</w:t>
      </w:r>
      <w:r w:rsidR="00952597">
        <w:t xml:space="preserve"> (</w:t>
      </w:r>
      <w:r w:rsidR="00952597" w:rsidRPr="003609FB">
        <w:t>nmol mL</w:t>
      </w:r>
      <w:r w:rsidR="00952597" w:rsidRPr="00347E7F">
        <w:rPr>
          <w:vertAlign w:val="superscript"/>
        </w:rPr>
        <w:t>-1</w:t>
      </w:r>
      <w:r w:rsidR="00952597" w:rsidRPr="003609FB">
        <w:t xml:space="preserve"> day</w:t>
      </w:r>
      <w:r w:rsidR="00952597" w:rsidRPr="00347E7F">
        <w:rPr>
          <w:vertAlign w:val="superscript"/>
        </w:rPr>
        <w:t>-1</w:t>
      </w:r>
      <w:r w:rsidR="00952597">
        <w:t xml:space="preserve">) inflows. We compare here two </w:t>
      </w:r>
      <w:r w:rsidR="00B9399E" w:rsidRPr="003609FB">
        <w:t xml:space="preserve">different detoxification </w:t>
      </w:r>
      <w:proofErr w:type="gramStart"/>
      <w:r w:rsidR="00B9399E" w:rsidRPr="003609FB">
        <w:t>regimes</w:t>
      </w:r>
      <w:r w:rsidR="00952597">
        <w:t>;</w:t>
      </w:r>
      <w:proofErr w:type="gramEnd"/>
      <w:r w:rsidR="00952597">
        <w:t xml:space="preserve"> </w:t>
      </w:r>
      <w:proofErr w:type="spellStart"/>
      <w:r w:rsidR="00952597" w:rsidRPr="00275764">
        <w:rPr>
          <w:rFonts w:ascii="Times" w:hAnsi="Times"/>
          <w:i/>
          <w:iCs/>
        </w:rPr>
        <w:t>Synechococcus</w:t>
      </w:r>
      <w:proofErr w:type="spellEnd"/>
      <w:r w:rsidR="00952597">
        <w:t xml:space="preserve"> </w:t>
      </w:r>
      <w:r w:rsidR="003E6CAB">
        <w:t>detoxification (</w:t>
      </w:r>
      <m:oMath>
        <m:sSub>
          <m:sSubPr>
            <m:ctrlPr>
              <w:rPr>
                <w:rFonts w:ascii="Cambria Math" w:hAnsi="Cambria Math"/>
                <w:sz w:val="22"/>
                <w:szCs w:val="22"/>
              </w:rPr>
            </m:ctrlPr>
          </m:sSubPr>
          <m:e>
            <m:r>
              <w:rPr>
                <w:rFonts w:ascii="Cambria Math" w:hAnsi="Cambria Math"/>
                <w:sz w:val="22"/>
                <w:szCs w:val="22"/>
              </w:rPr>
              <m:t>ϕ</m:t>
            </m:r>
          </m:e>
          <m:sub>
            <m:r>
              <w:rPr>
                <w:rFonts w:ascii="Cambria Math" w:hAnsi="Cambria Math"/>
              </w:rPr>
              <m:t>max,</m:t>
            </m:r>
            <m:r>
              <w:rPr>
                <w:rFonts w:ascii="Cambria Math" w:hAnsi="Cambria Math"/>
                <w:sz w:val="22"/>
                <w:szCs w:val="22"/>
              </w:rPr>
              <m:t>S</m:t>
            </m:r>
          </m:sub>
        </m:sSub>
      </m:oMath>
      <w:r w:rsidR="003E6CAB">
        <w:rPr>
          <w:sz w:val="22"/>
          <w:szCs w:val="22"/>
        </w:rPr>
        <w:t xml:space="preserve">) </w:t>
      </w:r>
      <w:r w:rsidR="00952597">
        <w:t xml:space="preserve">one or </w:t>
      </w:r>
      <w:proofErr w:type="spellStart"/>
      <w:r w:rsidR="00952597" w:rsidRPr="00275764">
        <w:rPr>
          <w:rFonts w:ascii="Times" w:hAnsi="Times"/>
          <w:i/>
          <w:iCs/>
        </w:rPr>
        <w:t>Synechococcus</w:t>
      </w:r>
      <w:proofErr w:type="spellEnd"/>
      <w:r w:rsidR="00952597">
        <w:t xml:space="preserve"> and heterotrophic bacterial detoxification</w:t>
      </w:r>
      <w:r w:rsidR="003E6CAB">
        <w:t xml:space="preserve"> (</w:t>
      </w:r>
      <m:oMath>
        <m:sSub>
          <m:sSubPr>
            <m:ctrlPr>
              <w:rPr>
                <w:rFonts w:ascii="Cambria Math" w:hAnsi="Cambria Math"/>
              </w:rPr>
            </m:ctrlPr>
          </m:sSubPr>
          <m:e>
            <m:r>
              <w:rPr>
                <w:rFonts w:ascii="Cambria Math" w:hAnsi="Cambria Math"/>
              </w:rPr>
              <m:t>ϕ</m:t>
            </m:r>
          </m:e>
          <m:sub>
            <m:r>
              <w:rPr>
                <w:rFonts w:ascii="Cambria Math" w:hAnsi="Cambria Math"/>
              </w:rPr>
              <m:t>max,B</m:t>
            </m:r>
          </m:sub>
        </m:sSub>
      </m:oMath>
      <w:r w:rsidR="003E6CAB">
        <w:t>)</w:t>
      </w:r>
      <w:r w:rsidR="00952597">
        <w:t>.</w:t>
      </w:r>
      <w:r w:rsidR="0043136A">
        <w:t xml:space="preserve"> </w:t>
      </w:r>
      <w:proofErr w:type="spellStart"/>
      <w:r w:rsidR="00B9399E" w:rsidRPr="00691B65">
        <w:rPr>
          <w:i/>
          <w:iCs/>
        </w:rPr>
        <w:t>Synechococcus</w:t>
      </w:r>
      <w:proofErr w:type="spellEnd"/>
      <w:r w:rsidR="00B9399E" w:rsidRPr="003609FB">
        <w:t xml:space="preserve"> detoxification (</w:t>
      </w:r>
      <m:oMath>
        <m:sSub>
          <m:sSubPr>
            <m:ctrlPr>
              <w:rPr>
                <w:rFonts w:ascii="Cambria Math" w:hAnsi="Cambria Math"/>
              </w:rPr>
            </m:ctrlPr>
          </m:sSubPr>
          <m:e>
            <m:r>
              <w:rPr>
                <w:rFonts w:ascii="Cambria Math" w:hAnsi="Cambria Math"/>
              </w:rPr>
              <m:t>ϕ</m:t>
            </m:r>
          </m:e>
          <m:sub>
            <m:r>
              <w:rPr>
                <w:rFonts w:ascii="Cambria Math" w:hAnsi="Cambria Math"/>
              </w:rPr>
              <m:t>max,S</m:t>
            </m:r>
          </m:sub>
        </m:sSub>
        <m:r>
          <w:rPr>
            <w:rFonts w:ascii="Cambria Math" w:hAnsi="Cambria Math"/>
          </w:rPr>
          <m:t>)</m:t>
        </m:r>
      </m:oMath>
      <w:r w:rsidR="00B9399E" w:rsidRPr="003609FB">
        <w:t xml:space="preserve"> is 2.0 x10</w:t>
      </w:r>
      <w:r w:rsidR="00B9399E" w:rsidRPr="00E138AB">
        <w:rPr>
          <w:vertAlign w:val="superscript"/>
        </w:rPr>
        <w:t>-6</w:t>
      </w:r>
      <w:r w:rsidR="00B9399E" w:rsidRPr="003609FB">
        <w:t xml:space="preserve"> in both contour plots but bacterial detoxification (</w:t>
      </w:r>
      <m:oMath>
        <m:sSub>
          <m:sSubPr>
            <m:ctrlPr>
              <w:rPr>
                <w:rFonts w:ascii="Cambria Math" w:hAnsi="Cambria Math"/>
              </w:rPr>
            </m:ctrlPr>
          </m:sSubPr>
          <m:e>
            <m:r>
              <w:rPr>
                <w:rFonts w:ascii="Cambria Math" w:hAnsi="Cambria Math"/>
              </w:rPr>
              <m:t>ϕ</m:t>
            </m:r>
          </m:e>
          <m:sub>
            <m:r>
              <w:rPr>
                <w:rFonts w:ascii="Cambria Math" w:hAnsi="Cambria Math"/>
              </w:rPr>
              <m:t>max,B</m:t>
            </m:r>
          </m:sub>
        </m:sSub>
      </m:oMath>
      <w:r w:rsidR="00B9399E" w:rsidRPr="003609FB">
        <w:t>) is either 0 (</w:t>
      </w:r>
      <w:r w:rsidR="00631BEF">
        <w:t xml:space="preserve">a, </w:t>
      </w:r>
      <w:r w:rsidR="00B9399E" w:rsidRPr="003609FB">
        <w:t xml:space="preserve">left) or </w:t>
      </w:r>
      <w:r w:rsidR="00B9399E">
        <w:t>4</w:t>
      </w:r>
      <w:r w:rsidR="00B9399E" w:rsidRPr="003609FB">
        <w:t>.0 x10</w:t>
      </w:r>
      <w:r w:rsidR="00B9399E" w:rsidRPr="00E138AB">
        <w:rPr>
          <w:vertAlign w:val="superscript"/>
        </w:rPr>
        <w:t>-</w:t>
      </w:r>
      <w:r w:rsidR="00B9399E">
        <w:rPr>
          <w:vertAlign w:val="superscript"/>
        </w:rPr>
        <w:t>4</w:t>
      </w:r>
      <w:r w:rsidR="00B9399E" w:rsidRPr="003609FB">
        <w:t xml:space="preserve"> (</w:t>
      </w:r>
      <w:r w:rsidR="00631BEF">
        <w:t xml:space="preserve">b, </w:t>
      </w:r>
      <w:r w:rsidR="00B9399E" w:rsidRPr="003609FB">
        <w:t>right).</w:t>
      </w:r>
    </w:p>
    <w:tbl>
      <w:tblPr>
        <w:tblStyle w:val="TableGrid"/>
        <w:tblpPr w:leftFromText="187" w:rightFromText="187" w:vertAnchor="page" w:horzAnchor="margin" w:tblpXSpec="center" w:tblpY="85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834F4" w:rsidRPr="003609FB" w14:paraId="76667509" w14:textId="77777777" w:rsidTr="007E7A16">
        <w:trPr>
          <w:cantSplit/>
          <w:trHeight w:val="184"/>
        </w:trPr>
        <w:tc>
          <w:tcPr>
            <w:tcW w:w="5000" w:type="pct"/>
            <w:vAlign w:val="center"/>
          </w:tcPr>
          <w:p w14:paraId="77EDBC87" w14:textId="3F8193F1" w:rsidR="00A834F4" w:rsidRPr="003609FB" w:rsidRDefault="001E5983" w:rsidP="00AB2160">
            <w:pPr>
              <w:spacing w:line="360" w:lineRule="auto"/>
              <w:rPr>
                <w:rFonts w:ascii="Times New Roman" w:hAnsi="Times New Roman" w:cs="Times New Roman"/>
                <w:sz w:val="24"/>
                <w:szCs w:val="24"/>
              </w:rPr>
            </w:pPr>
            <w:r w:rsidRPr="00512863">
              <w:rPr>
                <w:rFonts w:ascii="Times New Roman" w:hAnsi="Times New Roman" w:cs="Times New Roman"/>
                <w:noProof/>
                <w:sz w:val="24"/>
                <w:szCs w:val="24"/>
              </w:rPr>
              <w:lastRenderedPageBreak/>
              <w:drawing>
                <wp:inline distT="0" distB="0" distL="0" distR="0" wp14:anchorId="69154FC7" wp14:editId="303C88A3">
                  <wp:extent cx="5615608" cy="4732609"/>
                  <wp:effectExtent l="0" t="0" r="0" b="5080"/>
                  <wp:docPr id="2059388848" name="Picture 205938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4606" t="6773" r="11139" b="4470"/>
                          <a:stretch/>
                        </pic:blipFill>
                        <pic:spPr bwMode="auto">
                          <a:xfrm>
                            <a:off x="0" y="0"/>
                            <a:ext cx="5631011" cy="4745590"/>
                          </a:xfrm>
                          <a:prstGeom prst="rect">
                            <a:avLst/>
                          </a:prstGeom>
                          <a:ln>
                            <a:noFill/>
                          </a:ln>
                          <a:extLst>
                            <a:ext uri="{53640926-AAD7-44D8-BBD7-CCE9431645EC}">
                              <a14:shadowObscured xmlns:a14="http://schemas.microsoft.com/office/drawing/2010/main"/>
                            </a:ext>
                          </a:extLst>
                        </pic:spPr>
                      </pic:pic>
                    </a:graphicData>
                  </a:graphic>
                </wp:inline>
              </w:drawing>
            </w:r>
          </w:p>
        </w:tc>
      </w:tr>
      <w:tr w:rsidR="00A834F4" w:rsidRPr="003609FB" w14:paraId="7BABFC01" w14:textId="77777777" w:rsidTr="007E7A16">
        <w:trPr>
          <w:cantSplit/>
          <w:trHeight w:val="184"/>
        </w:trPr>
        <w:tc>
          <w:tcPr>
            <w:tcW w:w="5000" w:type="pct"/>
            <w:vAlign w:val="center"/>
          </w:tcPr>
          <w:p w14:paraId="6E34E832" w14:textId="6C24CB53" w:rsidR="00A834F4" w:rsidRDefault="007F7E41" w:rsidP="00AB2160">
            <w:pPr>
              <w:spacing w:line="360" w:lineRule="auto"/>
              <w:jc w:val="center"/>
              <w:rPr>
                <w:rFonts w:ascii="Times New Roman" w:hAnsi="Times New Roman" w:cs="Times New Roman"/>
                <w:sz w:val="24"/>
                <w:szCs w:val="24"/>
                <w:vertAlign w:val="superscript"/>
              </w:rPr>
            </w:pPr>
            <m:oMath>
              <m:r>
                <w:rPr>
                  <w:rFonts w:ascii="Cambria Math" w:hAnsi="Cambria Math" w:cs="Times New Roman"/>
                  <w:sz w:val="24"/>
                  <w:szCs w:val="24"/>
                </w:rPr>
                <m:t>ϕ</m:t>
              </m:r>
            </m:oMath>
            <w:proofErr w:type="gramStart"/>
            <w:r>
              <w:rPr>
                <w:rFonts w:ascii="Times New Roman" w:hAnsi="Times New Roman" w:cs="Times New Roman"/>
                <w:sz w:val="24"/>
                <w:szCs w:val="24"/>
                <w:vertAlign w:val="subscript"/>
              </w:rPr>
              <w:t>max,B</w:t>
            </w:r>
            <w:proofErr w:type="gramEnd"/>
            <w:r w:rsidRPr="003609FB">
              <w:rPr>
                <w:rFonts w:ascii="Times New Roman" w:hAnsi="Times New Roman" w:cs="Times New Roman"/>
                <w:sz w:val="24"/>
                <w:szCs w:val="24"/>
              </w:rPr>
              <w:t xml:space="preserve">   </w:t>
            </w:r>
            <w:r w:rsidR="00A834F4" w:rsidRPr="003609FB">
              <w:rPr>
                <w:rFonts w:ascii="Times New Roman" w:hAnsi="Times New Roman" w:cs="Times New Roman"/>
                <w:sz w:val="24"/>
                <w:szCs w:val="24"/>
              </w:rPr>
              <w:t xml:space="preserve"> = 2.0 x10</w:t>
            </w:r>
            <w:r w:rsidR="00A834F4" w:rsidRPr="005941B1">
              <w:rPr>
                <w:rFonts w:ascii="Times New Roman" w:hAnsi="Times New Roman" w:cs="Times New Roman"/>
                <w:sz w:val="24"/>
                <w:szCs w:val="24"/>
                <w:vertAlign w:val="superscript"/>
              </w:rPr>
              <w:t>-5</w:t>
            </w:r>
            <w:r w:rsidR="00952597" w:rsidRPr="003609FB">
              <w:rPr>
                <w:rFonts w:ascii="Times New Roman" w:hAnsi="Times New Roman" w:cs="Times New Roman"/>
                <w:sz w:val="24"/>
                <w:szCs w:val="24"/>
              </w:rPr>
              <w:t xml:space="preserve"> mL cell</w:t>
            </w:r>
            <w:r w:rsidR="00952597" w:rsidRPr="00C4225C">
              <w:rPr>
                <w:rFonts w:ascii="Times New Roman" w:hAnsi="Times New Roman" w:cs="Times New Roman"/>
                <w:sz w:val="24"/>
                <w:szCs w:val="24"/>
                <w:vertAlign w:val="superscript"/>
              </w:rPr>
              <w:t>-1</w:t>
            </w:r>
            <w:r w:rsidR="00952597" w:rsidRPr="003609FB">
              <w:rPr>
                <w:rFonts w:ascii="Times New Roman" w:hAnsi="Times New Roman" w:cs="Times New Roman"/>
                <w:sz w:val="24"/>
                <w:szCs w:val="24"/>
              </w:rPr>
              <w:t xml:space="preserve"> day</w:t>
            </w:r>
            <w:r w:rsidR="00952597" w:rsidRPr="00C4225C">
              <w:rPr>
                <w:rFonts w:ascii="Times New Roman" w:hAnsi="Times New Roman" w:cs="Times New Roman"/>
                <w:sz w:val="24"/>
                <w:szCs w:val="24"/>
                <w:vertAlign w:val="superscript"/>
              </w:rPr>
              <w:t>-1</w:t>
            </w:r>
          </w:p>
          <w:p w14:paraId="226059BA" w14:textId="0605012F" w:rsidR="0054381E" w:rsidRPr="0054381E" w:rsidRDefault="0054381E" w:rsidP="00511118">
            <w:pPr>
              <w:pStyle w:val="Caption"/>
            </w:pPr>
            <w:bookmarkStart w:id="58" w:name="_Toc173148386"/>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3</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9</w:t>
            </w:r>
            <w:r w:rsidR="00000000">
              <w:rPr>
                <w:noProof/>
              </w:rPr>
              <w:fldChar w:fldCharType="end"/>
            </w:r>
            <w:r>
              <w:t xml:space="preserve"> Contour</w:t>
            </w:r>
            <w:r w:rsidRPr="00F029B5">
              <w:t xml:space="preserve"> outputs across a range of</w:t>
            </w:r>
            <w:r>
              <w:t xml:space="preserve"> S</w:t>
            </w:r>
            <w:r w:rsidRPr="007E7A16">
              <w:rPr>
                <w:vertAlign w:val="subscript"/>
              </w:rPr>
              <w:t>N</w:t>
            </w:r>
            <w:r>
              <w:t xml:space="preserve"> and S</w:t>
            </w:r>
            <w:r w:rsidRPr="007E7A16">
              <w:rPr>
                <w:vertAlign w:val="subscript"/>
              </w:rPr>
              <w:t>H</w:t>
            </w:r>
            <w:r>
              <w:t xml:space="preserve"> under different</w:t>
            </w:r>
            <w:r w:rsidRPr="00F029B5">
              <w:t xml:space="preserve"> </w:t>
            </w:r>
            <w:r>
              <w:t>heterotrophic detoxification (</w:t>
            </w:r>
            <w:proofErr w:type="spellStart"/>
            <w:r w:rsidRPr="00F029B5">
              <w:t>ϕ</w:t>
            </w:r>
            <w:proofErr w:type="gramStart"/>
            <w:r w:rsidR="001E5983">
              <w:rPr>
                <w:vertAlign w:val="subscript"/>
              </w:rPr>
              <w:t>max,B</w:t>
            </w:r>
            <w:proofErr w:type="spellEnd"/>
            <w:proofErr w:type="gramEnd"/>
            <w:r>
              <w:rPr>
                <w:vertAlign w:val="subscript"/>
              </w:rPr>
              <w:t xml:space="preserve"> </w:t>
            </w:r>
            <w:r w:rsidRPr="00952597">
              <w:t>)</w:t>
            </w:r>
            <w:r>
              <w:t xml:space="preserve"> regimes</w:t>
            </w:r>
            <w:bookmarkEnd w:id="58"/>
          </w:p>
          <w:p w14:paraId="7A4B3185" w14:textId="771FAB82" w:rsidR="0054381E" w:rsidRPr="003609FB" w:rsidRDefault="0054381E" w:rsidP="0054381E">
            <w:pPr>
              <w:spacing w:line="360" w:lineRule="auto"/>
              <w:rPr>
                <w:rFonts w:ascii="Times New Roman" w:hAnsi="Times New Roman" w:cs="Times New Roman"/>
                <w:sz w:val="24"/>
                <w:szCs w:val="24"/>
              </w:rPr>
            </w:pPr>
            <w:r w:rsidRPr="003609FB">
              <w:rPr>
                <w:rFonts w:ascii="Times New Roman" w:hAnsi="Times New Roman" w:cs="Times New Roman"/>
                <w:sz w:val="24"/>
                <w:szCs w:val="24"/>
              </w:rPr>
              <w:t>Dynamics ODEs (left) or equilibrium solution equations (right) are projected along a biomass ratio contour plot indication Syn/(</w:t>
            </w:r>
            <w:proofErr w:type="spellStart"/>
            <w:r w:rsidRPr="003609FB">
              <w:rPr>
                <w:rFonts w:ascii="Times New Roman" w:hAnsi="Times New Roman" w:cs="Times New Roman"/>
                <w:sz w:val="24"/>
                <w:szCs w:val="24"/>
              </w:rPr>
              <w:t>Pro+Syn</w:t>
            </w:r>
            <w:proofErr w:type="spellEnd"/>
            <w:r w:rsidRPr="003609FB">
              <w:rPr>
                <w:rFonts w:ascii="Times New Roman" w:hAnsi="Times New Roman" w:cs="Times New Roman"/>
                <w:sz w:val="24"/>
                <w:szCs w:val="24"/>
              </w:rPr>
              <w:t xml:space="preserve">).  </w:t>
            </w:r>
            <w:r w:rsidRPr="00274E47">
              <w:rPr>
                <w:rFonts w:asciiTheme="majorBidi" w:hAnsiTheme="majorBidi"/>
                <w:sz w:val="24"/>
                <w:szCs w:val="24"/>
              </w:rPr>
              <w:t>These competitions are evaluated over a range of S</w:t>
            </w:r>
            <w:r w:rsidRPr="00274E47">
              <w:rPr>
                <w:rFonts w:asciiTheme="majorBidi" w:hAnsiTheme="majorBidi"/>
                <w:sz w:val="24"/>
                <w:szCs w:val="24"/>
                <w:vertAlign w:val="subscript"/>
              </w:rPr>
              <w:t>N</w:t>
            </w:r>
            <w:r w:rsidRPr="00274E47">
              <w:rPr>
                <w:rFonts w:asciiTheme="majorBidi" w:hAnsiTheme="majorBidi"/>
                <w:sz w:val="24"/>
                <w:szCs w:val="24"/>
              </w:rPr>
              <w:t xml:space="preserve"> (</w:t>
            </w:r>
            <w:r w:rsidRPr="00274E47">
              <w:rPr>
                <w:rFonts w:asciiTheme="majorBidi" w:hAnsiTheme="majorBidi"/>
                <w:i/>
                <w:sz w:val="24"/>
                <w:szCs w:val="24"/>
              </w:rPr>
              <w:t xml:space="preserve"> </w:t>
            </w:r>
            <m:oMath>
              <m:r>
                <w:rPr>
                  <w:rFonts w:ascii="Cambria Math" w:hAnsi="Cambria Math"/>
                  <w:sz w:val="24"/>
                  <w:szCs w:val="24"/>
                </w:rPr>
                <m:t>μ</m:t>
              </m:r>
            </m:oMath>
            <w:r w:rsidRPr="00274E47">
              <w:rPr>
                <w:rFonts w:asciiTheme="majorBidi" w:hAnsiTheme="majorBidi"/>
                <w:sz w:val="24"/>
                <w:szCs w:val="24"/>
              </w:rPr>
              <w:t>mol mL</w:t>
            </w:r>
            <w:r w:rsidRPr="00274E47">
              <w:rPr>
                <w:rFonts w:asciiTheme="majorBidi" w:hAnsiTheme="majorBidi"/>
                <w:sz w:val="24"/>
                <w:szCs w:val="24"/>
                <w:vertAlign w:val="superscript"/>
              </w:rPr>
              <w:t>-1</w:t>
            </w:r>
            <w:r w:rsidRPr="00274E47">
              <w:rPr>
                <w:rFonts w:asciiTheme="majorBidi" w:hAnsiTheme="majorBidi"/>
                <w:sz w:val="24"/>
                <w:szCs w:val="24"/>
              </w:rPr>
              <w:t xml:space="preserve"> day</w:t>
            </w:r>
            <w:r w:rsidRPr="00274E47">
              <w:rPr>
                <w:rFonts w:asciiTheme="majorBidi" w:hAnsiTheme="majorBidi"/>
                <w:sz w:val="24"/>
                <w:szCs w:val="24"/>
                <w:vertAlign w:val="superscript"/>
              </w:rPr>
              <w:t>-1</w:t>
            </w:r>
            <w:r w:rsidRPr="00274E47">
              <w:rPr>
                <w:rFonts w:asciiTheme="majorBidi" w:hAnsiTheme="majorBidi"/>
                <w:sz w:val="24"/>
                <w:szCs w:val="24"/>
              </w:rPr>
              <w:t>) and S</w:t>
            </w:r>
            <w:r w:rsidRPr="00274E47">
              <w:rPr>
                <w:rFonts w:asciiTheme="majorBidi" w:hAnsiTheme="majorBidi"/>
                <w:sz w:val="24"/>
                <w:szCs w:val="24"/>
                <w:vertAlign w:val="subscript"/>
              </w:rPr>
              <w:t>H</w:t>
            </w:r>
            <w:r w:rsidRPr="00274E47">
              <w:rPr>
                <w:rFonts w:asciiTheme="majorBidi" w:hAnsiTheme="majorBidi"/>
                <w:sz w:val="24"/>
                <w:szCs w:val="24"/>
              </w:rPr>
              <w:t xml:space="preserve"> (nmol mL</w:t>
            </w:r>
            <w:r w:rsidRPr="00274E47">
              <w:rPr>
                <w:rFonts w:asciiTheme="majorBidi" w:hAnsiTheme="majorBidi"/>
                <w:sz w:val="24"/>
                <w:szCs w:val="24"/>
                <w:vertAlign w:val="superscript"/>
              </w:rPr>
              <w:t>-1</w:t>
            </w:r>
            <w:r w:rsidRPr="00274E47">
              <w:rPr>
                <w:rFonts w:asciiTheme="majorBidi" w:hAnsiTheme="majorBidi"/>
                <w:sz w:val="24"/>
                <w:szCs w:val="24"/>
              </w:rPr>
              <w:t xml:space="preserve"> day</w:t>
            </w:r>
            <w:r w:rsidRPr="00274E47">
              <w:rPr>
                <w:rFonts w:asciiTheme="majorBidi" w:hAnsiTheme="majorBidi"/>
                <w:sz w:val="24"/>
                <w:szCs w:val="24"/>
                <w:vertAlign w:val="superscript"/>
              </w:rPr>
              <w:t>-1</w:t>
            </w:r>
            <w:r w:rsidRPr="00274E47">
              <w:rPr>
                <w:rFonts w:asciiTheme="majorBidi" w:hAnsiTheme="majorBidi"/>
                <w:sz w:val="24"/>
                <w:szCs w:val="24"/>
              </w:rPr>
              <w:t>)</w:t>
            </w:r>
            <w:r>
              <w:rPr>
                <w:rFonts w:asciiTheme="majorBidi" w:hAnsiTheme="majorBidi"/>
                <w:sz w:val="24"/>
                <w:szCs w:val="24"/>
              </w:rPr>
              <w:t xml:space="preserve"> </w:t>
            </w:r>
            <w:r w:rsidRPr="00274E47">
              <w:rPr>
                <w:rFonts w:asciiTheme="majorBidi" w:hAnsiTheme="majorBidi"/>
                <w:sz w:val="24"/>
                <w:szCs w:val="24"/>
              </w:rPr>
              <w:t>inputs.</w:t>
            </w:r>
            <w:r>
              <w:t xml:space="preserve"> </w:t>
            </w:r>
            <w:r w:rsidRPr="003609FB">
              <w:rPr>
                <w:rFonts w:ascii="Times New Roman" w:hAnsi="Times New Roman" w:cs="Times New Roman"/>
                <w:sz w:val="24"/>
                <w:szCs w:val="24"/>
              </w:rPr>
              <w:t>Each row represents a different parameterization (value) of stationary phase heterotrophic Bacterial (B) culture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max,B</m:t>
                  </m:r>
                </m:sub>
              </m:sSub>
              <m:r>
                <w:rPr>
                  <w:rFonts w:ascii="Cambria Math" w:hAnsi="Cambria Math" w:cs="Times New Roman"/>
                  <w:sz w:val="24"/>
                  <w:szCs w:val="24"/>
                </w:rPr>
                <m:t>)</m:t>
              </m:r>
            </m:oMath>
            <w:r w:rsidRPr="003609FB">
              <w:rPr>
                <w:rFonts w:ascii="Times New Roman" w:hAnsi="Times New Roman" w:cs="Times New Roman"/>
                <w:sz w:val="24"/>
                <w:szCs w:val="24"/>
              </w:rPr>
              <w:t>.</w:t>
            </w:r>
          </w:p>
          <w:p w14:paraId="0612995C" w14:textId="77777777" w:rsidR="0054381E" w:rsidRDefault="0054381E" w:rsidP="00AB2160">
            <w:pPr>
              <w:spacing w:line="360" w:lineRule="auto"/>
              <w:jc w:val="center"/>
              <w:rPr>
                <w:rFonts w:ascii="Times New Roman" w:hAnsi="Times New Roman" w:cs="Times New Roman"/>
                <w:sz w:val="24"/>
                <w:szCs w:val="24"/>
                <w:vertAlign w:val="superscript"/>
              </w:rPr>
            </w:pPr>
          </w:p>
          <w:p w14:paraId="1D6D0D82" w14:textId="5CB4903B" w:rsidR="0054381E" w:rsidRPr="00952597" w:rsidRDefault="0054381E" w:rsidP="0054381E">
            <w:pPr>
              <w:spacing w:line="360" w:lineRule="auto"/>
              <w:rPr>
                <w:rFonts w:ascii="Times New Roman" w:hAnsi="Times New Roman" w:cs="Times New Roman"/>
                <w:sz w:val="24"/>
                <w:szCs w:val="24"/>
              </w:rPr>
            </w:pPr>
          </w:p>
        </w:tc>
      </w:tr>
      <w:tr w:rsidR="007E7A16" w:rsidRPr="003609FB" w14:paraId="74B528EF" w14:textId="77777777" w:rsidTr="007E7A16">
        <w:trPr>
          <w:cantSplit/>
          <w:trHeight w:val="184"/>
        </w:trPr>
        <w:tc>
          <w:tcPr>
            <w:tcW w:w="5000" w:type="pct"/>
            <w:vAlign w:val="center"/>
          </w:tcPr>
          <w:p w14:paraId="79B375A5" w14:textId="432B8251" w:rsidR="007E7A16" w:rsidRPr="003609FB" w:rsidRDefault="00A40F60" w:rsidP="00AB2160">
            <w:pPr>
              <w:spacing w:line="360" w:lineRule="auto"/>
              <w:jc w:val="center"/>
              <w:rPr>
                <w:rFonts w:ascii="Times New Roman" w:hAnsi="Times New Roman" w:cs="Times New Roman"/>
                <w:sz w:val="24"/>
                <w:szCs w:val="24"/>
              </w:rPr>
            </w:pPr>
            <w:r w:rsidRPr="0000728E">
              <w:rPr>
                <w:rFonts w:ascii="Times New Roman" w:hAnsi="Times New Roman" w:cs="Times New Roman"/>
                <w:noProof/>
                <w:sz w:val="24"/>
                <w:szCs w:val="24"/>
              </w:rPr>
              <w:lastRenderedPageBreak/>
              <w:drawing>
                <wp:inline distT="0" distB="0" distL="0" distR="0" wp14:anchorId="77333085" wp14:editId="09E9DDA1">
                  <wp:extent cx="4972702" cy="4263887"/>
                  <wp:effectExtent l="0" t="0" r="5715" b="3810"/>
                  <wp:docPr id="2059388852" name="Picture 205938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5484" t="6869" r="12093" b="4789"/>
                          <a:stretch/>
                        </pic:blipFill>
                        <pic:spPr bwMode="auto">
                          <a:xfrm>
                            <a:off x="0" y="0"/>
                            <a:ext cx="5002516" cy="4289451"/>
                          </a:xfrm>
                          <a:prstGeom prst="rect">
                            <a:avLst/>
                          </a:prstGeom>
                          <a:ln>
                            <a:noFill/>
                          </a:ln>
                          <a:extLst>
                            <a:ext uri="{53640926-AAD7-44D8-BBD7-CCE9431645EC}">
                              <a14:shadowObscured xmlns:a14="http://schemas.microsoft.com/office/drawing/2010/main"/>
                            </a:ext>
                          </a:extLst>
                        </pic:spPr>
                      </pic:pic>
                    </a:graphicData>
                  </a:graphic>
                </wp:inline>
              </w:drawing>
            </w:r>
          </w:p>
        </w:tc>
      </w:tr>
      <w:tr w:rsidR="00A834F4" w:rsidRPr="003609FB" w14:paraId="718ECA91" w14:textId="77777777" w:rsidTr="007E7A16">
        <w:trPr>
          <w:cantSplit/>
          <w:trHeight w:val="184"/>
        </w:trPr>
        <w:tc>
          <w:tcPr>
            <w:tcW w:w="5000" w:type="pct"/>
            <w:vAlign w:val="center"/>
          </w:tcPr>
          <w:p w14:paraId="64F04B8A" w14:textId="39A324CD" w:rsidR="00A834F4" w:rsidRPr="00952597" w:rsidRDefault="00A834F4" w:rsidP="00AB2160">
            <w:pPr>
              <w:spacing w:line="360" w:lineRule="auto"/>
              <w:jc w:val="center"/>
              <w:rPr>
                <w:rFonts w:ascii="Times New Roman" w:hAnsi="Times New Roman" w:cs="Times New Roman"/>
                <w:sz w:val="24"/>
                <w:szCs w:val="24"/>
              </w:rPr>
            </w:pPr>
            <m:oMath>
              <m:r>
                <w:rPr>
                  <w:rFonts w:ascii="Cambria Math" w:hAnsi="Cambria Math" w:cs="Times New Roman"/>
                  <w:sz w:val="24"/>
                  <w:szCs w:val="24"/>
                </w:rPr>
                <m:t>ϕ</m:t>
              </m:r>
            </m:oMath>
            <w:proofErr w:type="gramStart"/>
            <w:r w:rsidR="007F7E41">
              <w:rPr>
                <w:rFonts w:ascii="Times New Roman" w:hAnsi="Times New Roman" w:cs="Times New Roman"/>
                <w:sz w:val="24"/>
                <w:szCs w:val="24"/>
                <w:vertAlign w:val="subscript"/>
              </w:rPr>
              <w:t>max,B</w:t>
            </w:r>
            <w:proofErr w:type="gramEnd"/>
            <w:r w:rsidRPr="003609FB">
              <w:rPr>
                <w:rFonts w:ascii="Times New Roman" w:hAnsi="Times New Roman" w:cs="Times New Roman"/>
                <w:sz w:val="24"/>
                <w:szCs w:val="24"/>
              </w:rPr>
              <w:t xml:space="preserve">   = 8 x10</w:t>
            </w:r>
            <w:r w:rsidRPr="005941B1">
              <w:rPr>
                <w:rFonts w:ascii="Times New Roman" w:hAnsi="Times New Roman" w:cs="Times New Roman"/>
                <w:sz w:val="24"/>
                <w:szCs w:val="24"/>
                <w:vertAlign w:val="superscript"/>
              </w:rPr>
              <w:t>-5</w:t>
            </w:r>
            <w:r w:rsidR="00952597" w:rsidRPr="003609FB">
              <w:rPr>
                <w:rFonts w:ascii="Times New Roman" w:hAnsi="Times New Roman" w:cs="Times New Roman"/>
                <w:sz w:val="24"/>
                <w:szCs w:val="24"/>
              </w:rPr>
              <w:t xml:space="preserve"> mL cell</w:t>
            </w:r>
            <w:r w:rsidR="00952597" w:rsidRPr="00C4225C">
              <w:rPr>
                <w:rFonts w:ascii="Times New Roman" w:hAnsi="Times New Roman" w:cs="Times New Roman"/>
                <w:sz w:val="24"/>
                <w:szCs w:val="24"/>
                <w:vertAlign w:val="superscript"/>
              </w:rPr>
              <w:t>-1</w:t>
            </w:r>
            <w:r w:rsidR="00952597" w:rsidRPr="003609FB">
              <w:rPr>
                <w:rFonts w:ascii="Times New Roman" w:hAnsi="Times New Roman" w:cs="Times New Roman"/>
                <w:sz w:val="24"/>
                <w:szCs w:val="24"/>
              </w:rPr>
              <w:t xml:space="preserve"> day</w:t>
            </w:r>
            <w:r w:rsidR="00952597" w:rsidRPr="00C4225C">
              <w:rPr>
                <w:rFonts w:ascii="Times New Roman" w:hAnsi="Times New Roman" w:cs="Times New Roman"/>
                <w:sz w:val="24"/>
                <w:szCs w:val="24"/>
                <w:vertAlign w:val="superscript"/>
              </w:rPr>
              <w:t>-1</w:t>
            </w:r>
          </w:p>
        </w:tc>
      </w:tr>
      <w:tr w:rsidR="0054381E" w:rsidRPr="003609FB" w14:paraId="73A3FC11" w14:textId="77777777" w:rsidTr="007E7A16">
        <w:trPr>
          <w:cantSplit/>
          <w:trHeight w:val="184"/>
        </w:trPr>
        <w:tc>
          <w:tcPr>
            <w:tcW w:w="5000" w:type="pct"/>
            <w:vAlign w:val="center"/>
          </w:tcPr>
          <w:p w14:paraId="1B765FAE" w14:textId="77777777" w:rsidR="0054381E" w:rsidRDefault="0054381E" w:rsidP="00AB2160">
            <w:pPr>
              <w:spacing w:line="360" w:lineRule="auto"/>
              <w:jc w:val="center"/>
              <w:rPr>
                <w:rFonts w:ascii="Calibri Light" w:eastAsia="Yu Gothic Light" w:hAnsi="Calibri Light" w:cs="Times New Roman"/>
                <w:sz w:val="24"/>
                <w:szCs w:val="24"/>
              </w:rPr>
            </w:pPr>
          </w:p>
          <w:p w14:paraId="11161B32" w14:textId="77777777" w:rsidR="0054381E" w:rsidRDefault="0054381E" w:rsidP="00AB2160">
            <w:pPr>
              <w:spacing w:line="360" w:lineRule="auto"/>
              <w:jc w:val="center"/>
              <w:rPr>
                <w:rFonts w:ascii="Calibri Light" w:eastAsia="Yu Gothic Light" w:hAnsi="Calibri Light" w:cs="Times New Roman"/>
                <w:sz w:val="24"/>
                <w:szCs w:val="24"/>
              </w:rPr>
            </w:pPr>
          </w:p>
          <w:p w14:paraId="53479706" w14:textId="7864FD66" w:rsidR="0054381E" w:rsidRDefault="00511118" w:rsidP="00511118">
            <w:pPr>
              <w:spacing w:line="360" w:lineRule="auto"/>
              <w:rPr>
                <w:rFonts w:ascii="Calibri Light" w:eastAsia="Yu Gothic Light" w:hAnsi="Calibri Light" w:cs="Times New Roman"/>
                <w:sz w:val="24"/>
                <w:szCs w:val="24"/>
              </w:rPr>
            </w:pPr>
            <w:r w:rsidRPr="0038500D">
              <w:rPr>
                <w:rFonts w:ascii="Times New Roman" w:hAnsi="Times New Roman" w:cs="Times New Roman"/>
                <w:sz w:val="24"/>
                <w:szCs w:val="24"/>
              </w:rPr>
              <w:t>Figure 3</w:t>
            </w:r>
            <w:r>
              <w:rPr>
                <w:rFonts w:ascii="Times New Roman" w:hAnsi="Times New Roman" w:cs="Times New Roman"/>
                <w:sz w:val="24"/>
                <w:szCs w:val="24"/>
              </w:rPr>
              <w:t>.9</w:t>
            </w:r>
            <w:r>
              <w:t xml:space="preserve"> </w:t>
            </w:r>
            <w:r w:rsidRPr="0038500D">
              <w:rPr>
                <w:rFonts w:ascii="Times New Roman" w:hAnsi="Times New Roman" w:cs="Times New Roman"/>
                <w:sz w:val="24"/>
                <w:szCs w:val="24"/>
              </w:rPr>
              <w:t>continued</w:t>
            </w:r>
          </w:p>
          <w:p w14:paraId="6139D51B" w14:textId="77777777" w:rsidR="0054381E" w:rsidRDefault="0054381E" w:rsidP="00AB2160">
            <w:pPr>
              <w:spacing w:line="360" w:lineRule="auto"/>
              <w:jc w:val="center"/>
              <w:rPr>
                <w:rFonts w:ascii="Calibri Light" w:eastAsia="Yu Gothic Light" w:hAnsi="Calibri Light" w:cs="Times New Roman"/>
                <w:sz w:val="24"/>
                <w:szCs w:val="24"/>
              </w:rPr>
            </w:pPr>
          </w:p>
          <w:p w14:paraId="69097C48" w14:textId="77777777" w:rsidR="0054381E" w:rsidRDefault="0054381E" w:rsidP="00AB2160">
            <w:pPr>
              <w:spacing w:line="360" w:lineRule="auto"/>
              <w:jc w:val="center"/>
              <w:rPr>
                <w:rFonts w:ascii="Calibri Light" w:eastAsia="Yu Gothic Light" w:hAnsi="Calibri Light" w:cs="Times New Roman"/>
                <w:sz w:val="24"/>
                <w:szCs w:val="24"/>
              </w:rPr>
            </w:pPr>
          </w:p>
          <w:p w14:paraId="7545BDA6" w14:textId="77777777" w:rsidR="0011444E" w:rsidRDefault="0011444E" w:rsidP="005B3389">
            <w:pPr>
              <w:spacing w:line="360" w:lineRule="auto"/>
              <w:rPr>
                <w:rFonts w:ascii="Calibri Light" w:eastAsia="Yu Gothic Light" w:hAnsi="Calibri Light" w:cs="Times New Roman"/>
                <w:sz w:val="24"/>
                <w:szCs w:val="24"/>
              </w:rPr>
            </w:pPr>
          </w:p>
          <w:p w14:paraId="2584F1A0" w14:textId="77777777" w:rsidR="003F2DAA" w:rsidRDefault="003F2DAA" w:rsidP="005B3389">
            <w:pPr>
              <w:spacing w:line="360" w:lineRule="auto"/>
              <w:rPr>
                <w:rFonts w:ascii="Calibri Light" w:eastAsia="Yu Gothic Light" w:hAnsi="Calibri Light" w:cs="Times New Roman"/>
                <w:sz w:val="24"/>
                <w:szCs w:val="24"/>
              </w:rPr>
            </w:pPr>
          </w:p>
          <w:p w14:paraId="0D619529" w14:textId="50DE3A07" w:rsidR="0054381E" w:rsidRPr="0011444E" w:rsidRDefault="0054381E" w:rsidP="0011444E">
            <w:pPr>
              <w:spacing w:line="360" w:lineRule="auto"/>
              <w:rPr>
                <w:rFonts w:ascii="Times New Roman" w:hAnsi="Times New Roman" w:cs="Times New Roman"/>
                <w:sz w:val="24"/>
                <w:szCs w:val="24"/>
              </w:rPr>
            </w:pPr>
          </w:p>
        </w:tc>
      </w:tr>
      <w:tr w:rsidR="007E7A16" w:rsidRPr="003609FB" w14:paraId="62F96FF0" w14:textId="77777777" w:rsidTr="007E7A16">
        <w:trPr>
          <w:cantSplit/>
          <w:trHeight w:val="184"/>
        </w:trPr>
        <w:tc>
          <w:tcPr>
            <w:tcW w:w="5000" w:type="pct"/>
            <w:vAlign w:val="center"/>
          </w:tcPr>
          <w:p w14:paraId="65CF7647" w14:textId="1DDCDF52" w:rsidR="007E7A16" w:rsidRPr="003609FB" w:rsidRDefault="005B3389" w:rsidP="00AB2160">
            <w:pPr>
              <w:spacing w:line="360" w:lineRule="auto"/>
              <w:jc w:val="center"/>
              <w:rPr>
                <w:rFonts w:ascii="Times New Roman" w:hAnsi="Times New Roman" w:cs="Times New Roman"/>
                <w:sz w:val="24"/>
                <w:szCs w:val="24"/>
              </w:rPr>
            </w:pPr>
            <w:r w:rsidRPr="005B3389">
              <w:rPr>
                <w:rFonts w:ascii="Times New Roman" w:hAnsi="Times New Roman" w:cs="Times New Roman"/>
                <w:noProof/>
                <w:sz w:val="24"/>
                <w:szCs w:val="24"/>
              </w:rPr>
              <w:lastRenderedPageBreak/>
              <w:drawing>
                <wp:inline distT="0" distB="0" distL="0" distR="0" wp14:anchorId="3D701A44" wp14:editId="22DE3400">
                  <wp:extent cx="5319044" cy="4512365"/>
                  <wp:effectExtent l="0" t="0" r="2540" b="0"/>
                  <wp:docPr id="2059388855" name="Picture 205938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5369" t="7419" r="12416" b="5398"/>
                          <a:stretch/>
                        </pic:blipFill>
                        <pic:spPr bwMode="auto">
                          <a:xfrm>
                            <a:off x="0" y="0"/>
                            <a:ext cx="5346524" cy="4535678"/>
                          </a:xfrm>
                          <a:prstGeom prst="rect">
                            <a:avLst/>
                          </a:prstGeom>
                          <a:ln>
                            <a:noFill/>
                          </a:ln>
                          <a:extLst>
                            <a:ext uri="{53640926-AAD7-44D8-BBD7-CCE9431645EC}">
                              <a14:shadowObscured xmlns:a14="http://schemas.microsoft.com/office/drawing/2010/main"/>
                            </a:ext>
                          </a:extLst>
                        </pic:spPr>
                      </pic:pic>
                    </a:graphicData>
                  </a:graphic>
                </wp:inline>
              </w:drawing>
            </w:r>
          </w:p>
        </w:tc>
      </w:tr>
      <w:tr w:rsidR="00A834F4" w:rsidRPr="003609FB" w14:paraId="30F17CB7" w14:textId="77777777" w:rsidTr="007E7A16">
        <w:trPr>
          <w:cantSplit/>
          <w:trHeight w:val="184"/>
        </w:trPr>
        <w:tc>
          <w:tcPr>
            <w:tcW w:w="5000" w:type="pct"/>
            <w:vAlign w:val="center"/>
          </w:tcPr>
          <w:p w14:paraId="1648247B" w14:textId="41FCA4E8" w:rsidR="00A834F4" w:rsidRPr="00952597" w:rsidRDefault="007F7E41" w:rsidP="00AB2160">
            <w:pPr>
              <w:spacing w:line="360" w:lineRule="auto"/>
              <w:jc w:val="center"/>
              <w:rPr>
                <w:rFonts w:ascii="Times New Roman" w:hAnsi="Times New Roman" w:cs="Times New Roman"/>
                <w:sz w:val="24"/>
                <w:szCs w:val="24"/>
              </w:rPr>
            </w:pPr>
            <m:oMath>
              <m:r>
                <w:rPr>
                  <w:rFonts w:ascii="Cambria Math" w:hAnsi="Cambria Math" w:cs="Times New Roman"/>
                  <w:sz w:val="24"/>
                  <w:szCs w:val="24"/>
                </w:rPr>
                <m:t>ϕ</m:t>
              </m:r>
            </m:oMath>
            <w:proofErr w:type="gramStart"/>
            <w:r>
              <w:rPr>
                <w:rFonts w:ascii="Times New Roman" w:hAnsi="Times New Roman" w:cs="Times New Roman"/>
                <w:sz w:val="24"/>
                <w:szCs w:val="24"/>
                <w:vertAlign w:val="subscript"/>
              </w:rPr>
              <w:t>max,B</w:t>
            </w:r>
            <w:proofErr w:type="gramEnd"/>
            <w:r w:rsidRPr="003609FB">
              <w:rPr>
                <w:rFonts w:ascii="Times New Roman" w:hAnsi="Times New Roman" w:cs="Times New Roman"/>
                <w:sz w:val="24"/>
                <w:szCs w:val="24"/>
              </w:rPr>
              <w:t xml:space="preserve">   </w:t>
            </w:r>
            <w:r w:rsidR="00A834F4" w:rsidRPr="003609FB">
              <w:rPr>
                <w:rFonts w:ascii="Times New Roman" w:hAnsi="Times New Roman" w:cs="Times New Roman"/>
                <w:sz w:val="24"/>
                <w:szCs w:val="24"/>
              </w:rPr>
              <w:t>= 2.0 x10</w:t>
            </w:r>
            <w:r w:rsidR="00A834F4" w:rsidRPr="005941B1">
              <w:rPr>
                <w:rFonts w:ascii="Times New Roman" w:hAnsi="Times New Roman" w:cs="Times New Roman"/>
                <w:sz w:val="24"/>
                <w:szCs w:val="24"/>
                <w:vertAlign w:val="superscript"/>
              </w:rPr>
              <w:t>-4</w:t>
            </w:r>
            <w:r w:rsidR="00952597">
              <w:rPr>
                <w:rFonts w:ascii="Times New Roman" w:hAnsi="Times New Roman" w:cs="Times New Roman"/>
                <w:sz w:val="24"/>
                <w:szCs w:val="24"/>
              </w:rPr>
              <w:t xml:space="preserve"> </w:t>
            </w:r>
            <w:r w:rsidR="00952597" w:rsidRPr="003609FB">
              <w:rPr>
                <w:rFonts w:ascii="Times New Roman" w:hAnsi="Times New Roman" w:cs="Times New Roman"/>
                <w:sz w:val="24"/>
                <w:szCs w:val="24"/>
              </w:rPr>
              <w:t xml:space="preserve"> mL cell</w:t>
            </w:r>
            <w:r w:rsidR="00952597" w:rsidRPr="00C4225C">
              <w:rPr>
                <w:rFonts w:ascii="Times New Roman" w:hAnsi="Times New Roman" w:cs="Times New Roman"/>
                <w:sz w:val="24"/>
                <w:szCs w:val="24"/>
                <w:vertAlign w:val="superscript"/>
              </w:rPr>
              <w:t>-1</w:t>
            </w:r>
            <w:r w:rsidR="00952597" w:rsidRPr="003609FB">
              <w:rPr>
                <w:rFonts w:ascii="Times New Roman" w:hAnsi="Times New Roman" w:cs="Times New Roman"/>
                <w:sz w:val="24"/>
                <w:szCs w:val="24"/>
              </w:rPr>
              <w:t xml:space="preserve"> day</w:t>
            </w:r>
            <w:r w:rsidR="00952597" w:rsidRPr="00C4225C">
              <w:rPr>
                <w:rFonts w:ascii="Times New Roman" w:hAnsi="Times New Roman" w:cs="Times New Roman"/>
                <w:sz w:val="24"/>
                <w:szCs w:val="24"/>
                <w:vertAlign w:val="superscript"/>
              </w:rPr>
              <w:t>-1</w:t>
            </w:r>
          </w:p>
          <w:p w14:paraId="68AC3170" w14:textId="77777777" w:rsidR="00A834F4" w:rsidRPr="003609FB" w:rsidRDefault="00A834F4" w:rsidP="00AB2160">
            <w:pPr>
              <w:keepNext/>
              <w:spacing w:line="360" w:lineRule="auto"/>
              <w:jc w:val="center"/>
              <w:rPr>
                <w:rFonts w:ascii="Times New Roman" w:hAnsi="Times New Roman" w:cs="Times New Roman"/>
                <w:sz w:val="24"/>
                <w:szCs w:val="24"/>
              </w:rPr>
            </w:pPr>
          </w:p>
        </w:tc>
      </w:tr>
    </w:tbl>
    <w:p w14:paraId="4AB648D6" w14:textId="555A309C" w:rsidR="00A834F4" w:rsidRPr="003609FB" w:rsidRDefault="00511118" w:rsidP="00AB2160">
      <w:pPr>
        <w:spacing w:line="360" w:lineRule="auto"/>
        <w:rPr>
          <w:rFonts w:ascii="Times New Roman" w:hAnsi="Times New Roman" w:cs="Times New Roman"/>
          <w:sz w:val="24"/>
          <w:szCs w:val="24"/>
        </w:rPr>
      </w:pPr>
      <w:r w:rsidRPr="0038500D">
        <w:rPr>
          <w:rFonts w:ascii="Times New Roman" w:hAnsi="Times New Roman" w:cs="Times New Roman"/>
          <w:sz w:val="24"/>
          <w:szCs w:val="24"/>
        </w:rPr>
        <w:t>Figure 3</w:t>
      </w:r>
      <w:r>
        <w:rPr>
          <w:rFonts w:ascii="Times New Roman" w:hAnsi="Times New Roman" w:cs="Times New Roman"/>
          <w:sz w:val="24"/>
          <w:szCs w:val="24"/>
        </w:rPr>
        <w:t>.9</w:t>
      </w:r>
      <w:r>
        <w:t xml:space="preserve"> </w:t>
      </w:r>
      <w:r w:rsidRPr="0038500D">
        <w:rPr>
          <w:rFonts w:ascii="Times New Roman" w:hAnsi="Times New Roman" w:cs="Times New Roman"/>
          <w:sz w:val="24"/>
          <w:szCs w:val="24"/>
        </w:rPr>
        <w:t>continued</w:t>
      </w:r>
    </w:p>
    <w:p w14:paraId="4E151CF2" w14:textId="77777777" w:rsidR="00A834F4" w:rsidRPr="003609FB" w:rsidRDefault="00A834F4" w:rsidP="00AB2160">
      <w:pPr>
        <w:spacing w:line="360" w:lineRule="auto"/>
        <w:rPr>
          <w:rFonts w:ascii="Times New Roman" w:hAnsi="Times New Roman" w:cs="Times New Roman"/>
          <w:sz w:val="24"/>
          <w:szCs w:val="24"/>
        </w:rPr>
      </w:pPr>
    </w:p>
    <w:p w14:paraId="1B045CA3" w14:textId="77777777" w:rsidR="00A834F4" w:rsidRPr="003609FB" w:rsidRDefault="00A834F4" w:rsidP="00AB2160">
      <w:pPr>
        <w:spacing w:line="360" w:lineRule="auto"/>
        <w:rPr>
          <w:rFonts w:ascii="Times New Roman" w:hAnsi="Times New Roman" w:cs="Times New Roman"/>
          <w:sz w:val="24"/>
          <w:szCs w:val="24"/>
        </w:rPr>
      </w:pPr>
    </w:p>
    <w:p w14:paraId="1162A233" w14:textId="284AEA8C" w:rsidR="00A834F4" w:rsidRDefault="00A834F4" w:rsidP="00AB2160">
      <w:pPr>
        <w:spacing w:line="360" w:lineRule="auto"/>
        <w:rPr>
          <w:rFonts w:ascii="Times New Roman" w:hAnsi="Times New Roman" w:cs="Times New Roman"/>
          <w:sz w:val="24"/>
          <w:szCs w:val="24"/>
        </w:rPr>
      </w:pPr>
    </w:p>
    <w:p w14:paraId="5D14C696" w14:textId="01135E82" w:rsidR="0011444E" w:rsidRDefault="0011444E" w:rsidP="00AB2160">
      <w:pPr>
        <w:spacing w:line="360" w:lineRule="auto"/>
        <w:rPr>
          <w:rFonts w:ascii="Times New Roman" w:hAnsi="Times New Roman" w:cs="Times New Roman"/>
          <w:sz w:val="24"/>
          <w:szCs w:val="24"/>
        </w:rPr>
      </w:pPr>
    </w:p>
    <w:p w14:paraId="5F1D57EC" w14:textId="77777777" w:rsidR="0011444E" w:rsidRPr="003609FB" w:rsidRDefault="0011444E" w:rsidP="00AB2160">
      <w:pPr>
        <w:spacing w:line="360" w:lineRule="auto"/>
        <w:rPr>
          <w:rFonts w:ascii="Times New Roman" w:hAnsi="Times New Roman" w:cs="Times New Roman"/>
          <w:sz w:val="24"/>
          <w:szCs w:val="24"/>
        </w:rPr>
      </w:pPr>
    </w:p>
    <w:p w14:paraId="73538BC9" w14:textId="0007A293" w:rsidR="00A834F4" w:rsidRPr="003609FB" w:rsidRDefault="00A834F4" w:rsidP="005B3389">
      <w:pPr>
        <w:spacing w:line="360" w:lineRule="auto"/>
        <w:rPr>
          <w:rFonts w:ascii="Times New Roman" w:hAnsi="Times New Roman" w:cs="Times New Roman"/>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834F4" w:rsidRPr="003609FB" w14:paraId="448030DF" w14:textId="77777777" w:rsidTr="00A43D25">
        <w:trPr>
          <w:trHeight w:val="463"/>
        </w:trPr>
        <w:tc>
          <w:tcPr>
            <w:tcW w:w="5000" w:type="pct"/>
          </w:tcPr>
          <w:p w14:paraId="4F1DC7A0" w14:textId="27BD9D22" w:rsidR="00A834F4" w:rsidRPr="00F8376C" w:rsidRDefault="00F8376C" w:rsidP="00AB2160">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834F4" w:rsidRPr="00F8376C">
              <w:rPr>
                <w:rFonts w:ascii="Times New Roman" w:hAnsi="Times New Roman" w:cs="Times New Roman"/>
                <w:sz w:val="24"/>
                <w:szCs w:val="24"/>
              </w:rPr>
              <w:t xml:space="preserve">                                                              b. </w:t>
            </w:r>
          </w:p>
        </w:tc>
      </w:tr>
      <w:tr w:rsidR="00A834F4" w:rsidRPr="003609FB" w14:paraId="164F13AE" w14:textId="77777777" w:rsidTr="00A43D25">
        <w:trPr>
          <w:trHeight w:val="4467"/>
        </w:trPr>
        <w:tc>
          <w:tcPr>
            <w:tcW w:w="5000" w:type="pct"/>
          </w:tcPr>
          <w:p w14:paraId="04DFBC7F" w14:textId="4AE9E9CA" w:rsidR="00A834F4" w:rsidRPr="003609FB" w:rsidRDefault="005B3389" w:rsidP="00AB2160">
            <w:pPr>
              <w:keepNext/>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25824" behindDoc="1" locked="0" layoutInCell="1" allowOverlap="1" wp14:anchorId="4CF4B55B" wp14:editId="5FED39ED">
                  <wp:simplePos x="0" y="0"/>
                  <wp:positionH relativeFrom="column">
                    <wp:posOffset>2927350</wp:posOffset>
                  </wp:positionH>
                  <wp:positionV relativeFrom="paragraph">
                    <wp:posOffset>0</wp:posOffset>
                  </wp:positionV>
                  <wp:extent cx="2922905" cy="2254885"/>
                  <wp:effectExtent l="0" t="0" r="0" b="5715"/>
                  <wp:wrapTight wrapText="bothSides">
                    <wp:wrapPolygon edited="0">
                      <wp:start x="0" y="0"/>
                      <wp:lineTo x="0" y="20195"/>
                      <wp:lineTo x="4693" y="21411"/>
                      <wp:lineTo x="4693" y="21533"/>
                      <wp:lineTo x="21492" y="21533"/>
                      <wp:lineTo x="21492" y="0"/>
                      <wp:lineTo x="0" y="0"/>
                    </wp:wrapPolygon>
                  </wp:wrapTight>
                  <wp:docPr id="2059388857" name="Picture 2059388857" descr="A graph of a supply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57" name="Picture 2059388857" descr="A graph of a supply of water&#10;&#10;Description automatically generated with medium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922905" cy="225488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726848" behindDoc="1" locked="0" layoutInCell="1" allowOverlap="1" wp14:anchorId="5683D533" wp14:editId="0ABAD130">
                  <wp:simplePos x="0" y="0"/>
                  <wp:positionH relativeFrom="column">
                    <wp:posOffset>635</wp:posOffset>
                  </wp:positionH>
                  <wp:positionV relativeFrom="paragraph">
                    <wp:posOffset>0</wp:posOffset>
                  </wp:positionV>
                  <wp:extent cx="3001010" cy="2291080"/>
                  <wp:effectExtent l="0" t="0" r="0" b="0"/>
                  <wp:wrapTight wrapText="bothSides">
                    <wp:wrapPolygon edited="0">
                      <wp:start x="0" y="0"/>
                      <wp:lineTo x="0" y="21432"/>
                      <wp:lineTo x="21481" y="21432"/>
                      <wp:lineTo x="21481" y="0"/>
                      <wp:lineTo x="0" y="0"/>
                    </wp:wrapPolygon>
                  </wp:wrapTight>
                  <wp:docPr id="2059388856" name="Picture 2059388856" descr="A chart of a supply of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56" name="Picture 2059388856" descr="A chart of a supply of water&#10;&#10;Description automatically generated with medium confidenc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01010" cy="2291080"/>
                          </a:xfrm>
                          <a:prstGeom prst="rect">
                            <a:avLst/>
                          </a:prstGeom>
                        </pic:spPr>
                      </pic:pic>
                    </a:graphicData>
                  </a:graphic>
                  <wp14:sizeRelH relativeFrom="page">
                    <wp14:pctWidth>0</wp14:pctWidth>
                  </wp14:sizeRelH>
                  <wp14:sizeRelV relativeFrom="page">
                    <wp14:pctHeight>0</wp14:pctHeight>
                  </wp14:sizeRelV>
                </wp:anchor>
              </w:drawing>
            </w:r>
          </w:p>
        </w:tc>
      </w:tr>
    </w:tbl>
    <w:p w14:paraId="42D59392" w14:textId="77777777" w:rsidR="00511118" w:rsidRPr="00531D33" w:rsidRDefault="00070702" w:rsidP="00511118">
      <w:pPr>
        <w:spacing w:line="360" w:lineRule="auto"/>
        <w:rPr>
          <w:rFonts w:ascii="Times New Roman" w:hAnsi="Times New Roman" w:cs="Times New Roman"/>
          <w:sz w:val="24"/>
          <w:szCs w:val="24"/>
        </w:rPr>
      </w:pPr>
      <w:bookmarkStart w:id="59" w:name="_Toc173148387"/>
      <w:r>
        <w:t xml:space="preserve">Figure </w:t>
      </w:r>
      <w:r>
        <w:fldChar w:fldCharType="begin"/>
      </w:r>
      <w:r>
        <w:instrText xml:space="preserve"> STYLEREF 1 \s </w:instrText>
      </w:r>
      <w:r>
        <w:fldChar w:fldCharType="separate"/>
      </w:r>
      <w:r w:rsidR="000D7BCF">
        <w:rPr>
          <w:noProof/>
          <w:cs/>
        </w:rPr>
        <w:t>‎</w:t>
      </w:r>
      <w:r w:rsidR="000D7BCF">
        <w:rPr>
          <w:noProof/>
        </w:rPr>
        <w:t>3</w:t>
      </w:r>
      <w:r>
        <w:rPr>
          <w:noProof/>
        </w:rPr>
        <w:fldChar w:fldCharType="end"/>
      </w:r>
      <w:r w:rsidR="000D7BCF">
        <w:t>.</w:t>
      </w:r>
      <w:r>
        <w:fldChar w:fldCharType="begin"/>
      </w:r>
      <w:r>
        <w:instrText xml:space="preserve"> SEQ Figure \* ARABIC \s 1 </w:instrText>
      </w:r>
      <w:r>
        <w:fldChar w:fldCharType="separate"/>
      </w:r>
      <w:r w:rsidR="000D7BCF">
        <w:rPr>
          <w:noProof/>
        </w:rPr>
        <w:t>10</w:t>
      </w:r>
      <w:r>
        <w:rPr>
          <w:noProof/>
        </w:rPr>
        <w:fldChar w:fldCharType="end"/>
      </w:r>
      <w:r>
        <w:t xml:space="preserve"> </w:t>
      </w:r>
      <w:r w:rsidRPr="0068375B">
        <w:t xml:space="preserve"> </w:t>
      </w:r>
      <w:r w:rsidRPr="0055479E">
        <w:rPr>
          <w:i/>
          <w:iCs/>
        </w:rPr>
        <w:t>Prochlorococcus</w:t>
      </w:r>
      <w:r w:rsidRPr="0068375B">
        <w:t xml:space="preserve"> and </w:t>
      </w:r>
      <w:proofErr w:type="spellStart"/>
      <w:r w:rsidRPr="0055479E">
        <w:rPr>
          <w:i/>
          <w:iCs/>
        </w:rPr>
        <w:t>Synechococcus</w:t>
      </w:r>
      <w:proofErr w:type="spellEnd"/>
      <w:r w:rsidRPr="0055479E">
        <w:rPr>
          <w:i/>
          <w:iCs/>
        </w:rPr>
        <w:t xml:space="preserve"> </w:t>
      </w:r>
      <w:r w:rsidRPr="0068375B">
        <w:t xml:space="preserve">competitive outcomes </w:t>
      </w:r>
      <w:proofErr w:type="gramStart"/>
      <w:r w:rsidRPr="0068375B">
        <w:t>as a result of</w:t>
      </w:r>
      <w:proofErr w:type="gramEnd"/>
      <w:r w:rsidRPr="0068375B">
        <w:t xml:space="preserve"> EZ55 cell density</w:t>
      </w:r>
      <w:bookmarkEnd w:id="59"/>
      <w:r w:rsidR="00511118">
        <w:t xml:space="preserve">. </w:t>
      </w:r>
      <w:r w:rsidR="00511118" w:rsidRPr="00531D33">
        <w:rPr>
          <w:rFonts w:ascii="Times New Roman" w:hAnsi="Times New Roman" w:cs="Times New Roman"/>
          <w:sz w:val="24"/>
          <w:szCs w:val="24"/>
        </w:rPr>
        <w:t>a.</w:t>
      </w:r>
      <w:r w:rsidR="00511118">
        <w:rPr>
          <w:rFonts w:asciiTheme="majorBidi" w:hAnsiTheme="majorBidi"/>
          <w:sz w:val="24"/>
          <w:szCs w:val="24"/>
        </w:rPr>
        <w:t xml:space="preserve"> </w:t>
      </w:r>
      <w:r w:rsidR="00511118" w:rsidRPr="00531D33">
        <w:rPr>
          <w:rFonts w:asciiTheme="majorBidi" w:hAnsiTheme="majorBidi"/>
          <w:sz w:val="24"/>
          <w:szCs w:val="24"/>
        </w:rPr>
        <w:t xml:space="preserve">Competition outcomes of P and S across a range of EZ55 </w:t>
      </w:r>
      <w:r w:rsidR="00511118" w:rsidRPr="00531D33">
        <w:rPr>
          <w:rFonts w:asciiTheme="majorBidi" w:hAnsiTheme="majorBidi"/>
        </w:rPr>
        <w:t xml:space="preserve">(cell </w:t>
      </w:r>
      <w:r w:rsidR="00511118" w:rsidRPr="00531D33">
        <w:rPr>
          <w:rFonts w:asciiTheme="majorBidi" w:hAnsiTheme="majorBidi"/>
          <w:sz w:val="24"/>
          <w:szCs w:val="24"/>
        </w:rPr>
        <w:t>mL</w:t>
      </w:r>
      <w:r w:rsidR="00511118" w:rsidRPr="00531D33">
        <w:rPr>
          <w:rFonts w:asciiTheme="majorBidi" w:hAnsiTheme="majorBidi"/>
          <w:sz w:val="24"/>
          <w:szCs w:val="24"/>
          <w:vertAlign w:val="superscript"/>
        </w:rPr>
        <w:t>-1</w:t>
      </w:r>
      <w:r w:rsidR="00511118" w:rsidRPr="00531D33">
        <w:rPr>
          <w:rFonts w:asciiTheme="majorBidi" w:hAnsiTheme="majorBidi"/>
          <w:sz w:val="24"/>
          <w:szCs w:val="24"/>
        </w:rPr>
        <w:t xml:space="preserve">) and </w:t>
      </w:r>
      <w:r w:rsidR="00511118" w:rsidRPr="00531D33">
        <w:rPr>
          <w:rFonts w:asciiTheme="majorBidi" w:hAnsiTheme="majorBidi"/>
        </w:rPr>
        <w:t>S</w:t>
      </w:r>
      <w:r w:rsidR="00511118" w:rsidRPr="00531D33">
        <w:rPr>
          <w:rFonts w:asciiTheme="majorBidi" w:hAnsiTheme="majorBidi"/>
          <w:vertAlign w:val="subscript"/>
        </w:rPr>
        <w:t>H</w:t>
      </w:r>
      <w:r w:rsidR="00511118" w:rsidRPr="00531D33">
        <w:rPr>
          <w:rFonts w:asciiTheme="majorBidi" w:hAnsiTheme="majorBidi"/>
        </w:rPr>
        <w:t xml:space="preserve"> (</w:t>
      </w:r>
      <w:r w:rsidR="00511118" w:rsidRPr="00531D33">
        <w:rPr>
          <w:rFonts w:asciiTheme="majorBidi" w:hAnsiTheme="majorBidi"/>
          <w:sz w:val="24"/>
          <w:szCs w:val="24"/>
        </w:rPr>
        <w:t>nmol mL</w:t>
      </w:r>
      <w:r w:rsidR="00511118" w:rsidRPr="00531D33">
        <w:rPr>
          <w:rFonts w:asciiTheme="majorBidi" w:hAnsiTheme="majorBidi"/>
          <w:sz w:val="24"/>
          <w:szCs w:val="24"/>
          <w:vertAlign w:val="superscript"/>
        </w:rPr>
        <w:t>-1</w:t>
      </w:r>
      <w:r w:rsidR="00511118" w:rsidRPr="00531D33">
        <w:rPr>
          <w:rFonts w:asciiTheme="majorBidi" w:hAnsiTheme="majorBidi"/>
          <w:sz w:val="24"/>
          <w:szCs w:val="24"/>
        </w:rPr>
        <w:t xml:space="preserve"> day</w:t>
      </w:r>
      <w:r w:rsidR="00511118" w:rsidRPr="00531D33">
        <w:rPr>
          <w:rFonts w:asciiTheme="majorBidi" w:hAnsiTheme="majorBidi"/>
          <w:sz w:val="24"/>
          <w:szCs w:val="24"/>
          <w:vertAlign w:val="superscript"/>
        </w:rPr>
        <w:t>-1</w:t>
      </w:r>
      <w:r w:rsidR="00511118" w:rsidRPr="00531D33">
        <w:rPr>
          <w:rFonts w:asciiTheme="majorBidi" w:hAnsiTheme="majorBidi"/>
        </w:rPr>
        <w:t xml:space="preserve">) </w:t>
      </w:r>
      <w:r w:rsidR="00511118" w:rsidRPr="00531D33">
        <w:rPr>
          <w:rFonts w:asciiTheme="majorBidi" w:hAnsiTheme="majorBidi"/>
          <w:sz w:val="24"/>
          <w:szCs w:val="24"/>
        </w:rPr>
        <w:t>values</w:t>
      </w:r>
      <w:r w:rsidR="00511118" w:rsidRPr="00531D33">
        <w:rPr>
          <w:rFonts w:ascii="Times New Roman" w:hAnsi="Times New Roman" w:cs="Times New Roman"/>
          <w:sz w:val="24"/>
          <w:szCs w:val="24"/>
        </w:rPr>
        <w:t xml:space="preserve">. Dark Green represents </w:t>
      </w:r>
      <w:r w:rsidR="00511118" w:rsidRPr="00531D33">
        <w:rPr>
          <w:rFonts w:ascii="Times New Roman" w:hAnsi="Times New Roman" w:cs="Times New Roman"/>
          <w:i/>
          <w:iCs/>
          <w:sz w:val="24"/>
          <w:szCs w:val="24"/>
        </w:rPr>
        <w:t>Prochlorococcus</w:t>
      </w:r>
      <w:r w:rsidR="00511118" w:rsidRPr="00531D33">
        <w:rPr>
          <w:rFonts w:ascii="Times New Roman" w:hAnsi="Times New Roman" w:cs="Times New Roman"/>
          <w:sz w:val="24"/>
          <w:szCs w:val="24"/>
        </w:rPr>
        <w:t xml:space="preserve"> dominated (end state) competitive exclusion while yellow represents </w:t>
      </w:r>
      <w:proofErr w:type="spellStart"/>
      <w:r w:rsidR="00511118" w:rsidRPr="00531D33">
        <w:rPr>
          <w:rFonts w:ascii="Times New Roman" w:hAnsi="Times New Roman" w:cs="Times New Roman"/>
          <w:i/>
          <w:iCs/>
          <w:sz w:val="24"/>
          <w:szCs w:val="24"/>
        </w:rPr>
        <w:t>Synechococcus</w:t>
      </w:r>
      <w:proofErr w:type="spellEnd"/>
      <w:r w:rsidR="00511118" w:rsidRPr="00531D33">
        <w:rPr>
          <w:rFonts w:ascii="Times New Roman" w:hAnsi="Times New Roman" w:cs="Times New Roman"/>
          <w:sz w:val="24"/>
          <w:szCs w:val="24"/>
        </w:rPr>
        <w:t xml:space="preserve"> – dominated competitive exclusion. </w:t>
      </w:r>
      <w:proofErr w:type="gramStart"/>
      <w:r w:rsidR="00511118" w:rsidRPr="00531D33">
        <w:rPr>
          <w:rFonts w:ascii="Times New Roman" w:hAnsi="Times New Roman" w:cs="Times New Roman"/>
          <w:sz w:val="24"/>
          <w:szCs w:val="24"/>
        </w:rPr>
        <w:t>Yellow-green</w:t>
      </w:r>
      <w:proofErr w:type="gramEnd"/>
      <w:r w:rsidR="00511118" w:rsidRPr="00531D33">
        <w:rPr>
          <w:rFonts w:ascii="Times New Roman" w:hAnsi="Times New Roman" w:cs="Times New Roman"/>
          <w:sz w:val="24"/>
          <w:szCs w:val="24"/>
        </w:rPr>
        <w:t xml:space="preserve"> represents various coexistence ratios of </w:t>
      </w:r>
      <w:r w:rsidR="00511118" w:rsidRPr="00531D33">
        <w:rPr>
          <w:rFonts w:ascii="Times New Roman" w:hAnsi="Times New Roman" w:cs="Times New Roman"/>
          <w:i/>
          <w:iCs/>
          <w:sz w:val="24"/>
          <w:szCs w:val="24"/>
        </w:rPr>
        <w:t>Prochlorococcus</w:t>
      </w:r>
      <w:r w:rsidR="00511118" w:rsidRPr="00531D33">
        <w:rPr>
          <w:rFonts w:ascii="Times New Roman" w:hAnsi="Times New Roman" w:cs="Times New Roman"/>
          <w:sz w:val="24"/>
          <w:szCs w:val="24"/>
        </w:rPr>
        <w:t xml:space="preserve"> and </w:t>
      </w:r>
      <w:proofErr w:type="spellStart"/>
      <w:r w:rsidR="00511118" w:rsidRPr="00531D33">
        <w:rPr>
          <w:rFonts w:ascii="Times New Roman" w:hAnsi="Times New Roman" w:cs="Times New Roman"/>
          <w:i/>
          <w:iCs/>
          <w:sz w:val="24"/>
          <w:szCs w:val="24"/>
        </w:rPr>
        <w:t>Synechococcus</w:t>
      </w:r>
      <w:proofErr w:type="spellEnd"/>
      <w:r w:rsidR="00511118" w:rsidRPr="00531D33">
        <w:rPr>
          <w:rFonts w:ascii="Times New Roman" w:hAnsi="Times New Roman" w:cs="Times New Roman"/>
          <w:sz w:val="24"/>
          <w:szCs w:val="24"/>
        </w:rPr>
        <w:t xml:space="preserve">. b. Right contour shows how EZ55 concentration, </w:t>
      </w:r>
      <m:oMath>
        <m:r>
          <w:rPr>
            <w:rFonts w:ascii="Cambria Math" w:hAnsi="Cambria Math" w:cs="Times New Roman"/>
            <w:sz w:val="24"/>
            <w:szCs w:val="24"/>
          </w:rPr>
          <m:t>ϕ</m:t>
        </m:r>
      </m:oMath>
      <w:proofErr w:type="gramStart"/>
      <w:r w:rsidR="00511118" w:rsidRPr="00531D33">
        <w:rPr>
          <w:rFonts w:ascii="Times New Roman" w:hAnsi="Times New Roman" w:cs="Times New Roman"/>
          <w:sz w:val="24"/>
          <w:szCs w:val="24"/>
          <w:vertAlign w:val="subscript"/>
        </w:rPr>
        <w:t>max,</w:t>
      </w:r>
      <w:r w:rsidR="00511118">
        <w:rPr>
          <w:rFonts w:ascii="Times New Roman" w:hAnsi="Times New Roman" w:cs="Times New Roman"/>
          <w:sz w:val="24"/>
          <w:szCs w:val="24"/>
          <w:vertAlign w:val="subscript"/>
        </w:rPr>
        <w:t>D</w:t>
      </w:r>
      <w:proofErr w:type="gramEnd"/>
      <w:r w:rsidR="00511118" w:rsidRPr="00531D33">
        <w:rPr>
          <w:rFonts w:ascii="Times New Roman" w:hAnsi="Times New Roman" w:cs="Times New Roman"/>
          <w:sz w:val="24"/>
          <w:szCs w:val="24"/>
        </w:rPr>
        <w:t>, and S</w:t>
      </w:r>
      <w:r w:rsidR="00511118" w:rsidRPr="00531D33">
        <w:rPr>
          <w:rFonts w:ascii="Times New Roman" w:hAnsi="Times New Roman" w:cs="Times New Roman"/>
          <w:sz w:val="24"/>
          <w:szCs w:val="24"/>
          <w:vertAlign w:val="subscript"/>
        </w:rPr>
        <w:t>H</w:t>
      </w:r>
      <w:r w:rsidR="00511118" w:rsidRPr="00531D33">
        <w:rPr>
          <w:rFonts w:ascii="Times New Roman" w:hAnsi="Times New Roman" w:cs="Times New Roman"/>
          <w:sz w:val="24"/>
          <w:szCs w:val="24"/>
        </w:rPr>
        <w:t xml:space="preserve"> input</w:t>
      </w:r>
      <w:r w:rsidR="00511118">
        <w:rPr>
          <w:rFonts w:ascii="Times New Roman" w:hAnsi="Times New Roman" w:cs="Times New Roman"/>
          <w:sz w:val="24"/>
          <w:szCs w:val="24"/>
        </w:rPr>
        <w:t xml:space="preserve"> parameters</w:t>
      </w:r>
      <w:r w:rsidR="00511118" w:rsidRPr="00531D33">
        <w:rPr>
          <w:rFonts w:ascii="Times New Roman" w:hAnsi="Times New Roman" w:cs="Times New Roman"/>
          <w:sz w:val="24"/>
          <w:szCs w:val="24"/>
        </w:rPr>
        <w:t xml:space="preserve"> work together to create standing stock H</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O</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 xml:space="preserve"> concentrations that</w:t>
      </w:r>
      <w:r w:rsidR="00511118">
        <w:rPr>
          <w:rFonts w:ascii="Times New Roman" w:hAnsi="Times New Roman" w:cs="Times New Roman"/>
          <w:sz w:val="24"/>
          <w:szCs w:val="24"/>
        </w:rPr>
        <w:t xml:space="preserve"> a</w:t>
      </w:r>
      <w:r w:rsidR="00511118" w:rsidRPr="00531D33">
        <w:rPr>
          <w:rFonts w:ascii="Times New Roman" w:hAnsi="Times New Roman" w:cs="Times New Roman"/>
          <w:sz w:val="24"/>
          <w:szCs w:val="24"/>
        </w:rPr>
        <w:t xml:space="preserve">ffect the </w:t>
      </w:r>
      <w:r w:rsidR="00511118" w:rsidRPr="00531D33">
        <w:rPr>
          <w:rFonts w:ascii="Times New Roman" w:hAnsi="Times New Roman" w:cs="Times New Roman"/>
          <w:i/>
          <w:iCs/>
          <w:sz w:val="24"/>
          <w:szCs w:val="24"/>
        </w:rPr>
        <w:t>Prochlorococcus</w:t>
      </w:r>
      <w:r w:rsidR="00511118" w:rsidRPr="00531D33">
        <w:rPr>
          <w:rFonts w:ascii="Times New Roman" w:hAnsi="Times New Roman" w:cs="Times New Roman"/>
          <w:sz w:val="24"/>
          <w:szCs w:val="24"/>
        </w:rPr>
        <w:t xml:space="preserve"> and </w:t>
      </w:r>
      <w:proofErr w:type="spellStart"/>
      <w:r w:rsidR="00511118" w:rsidRPr="00531D33">
        <w:rPr>
          <w:rFonts w:ascii="Times New Roman" w:hAnsi="Times New Roman" w:cs="Times New Roman"/>
          <w:i/>
          <w:iCs/>
          <w:sz w:val="24"/>
          <w:szCs w:val="24"/>
        </w:rPr>
        <w:t>Synechococcus</w:t>
      </w:r>
      <w:proofErr w:type="spellEnd"/>
      <w:r w:rsidR="00511118" w:rsidRPr="00531D33">
        <w:rPr>
          <w:rFonts w:ascii="Times New Roman" w:hAnsi="Times New Roman" w:cs="Times New Roman"/>
          <w:sz w:val="24"/>
          <w:szCs w:val="24"/>
        </w:rPr>
        <w:t xml:space="preserve"> equilibria. Note here that H</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O</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 xml:space="preserve"> concentrations hover between 10 and 200nM, much like daily ambient H</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O</w:t>
      </w:r>
      <w:r w:rsidR="00511118" w:rsidRPr="00531D33">
        <w:rPr>
          <w:rFonts w:ascii="Times New Roman" w:hAnsi="Times New Roman" w:cs="Times New Roman"/>
          <w:sz w:val="24"/>
          <w:szCs w:val="24"/>
          <w:vertAlign w:val="subscript"/>
        </w:rPr>
        <w:t>2</w:t>
      </w:r>
      <w:r w:rsidR="00511118" w:rsidRPr="00531D33">
        <w:rPr>
          <w:rFonts w:ascii="Times New Roman" w:hAnsi="Times New Roman" w:cs="Times New Roman"/>
          <w:sz w:val="24"/>
          <w:szCs w:val="24"/>
        </w:rPr>
        <w:t xml:space="preserve"> seen </w:t>
      </w:r>
      <w:r w:rsidR="00511118" w:rsidRPr="00825514">
        <w:rPr>
          <w:rFonts w:ascii="Times New Roman" w:hAnsi="Times New Roman" w:cs="Times New Roman"/>
          <w:i/>
          <w:iCs/>
          <w:sz w:val="24"/>
          <w:szCs w:val="24"/>
        </w:rPr>
        <w:t>in situ</w:t>
      </w:r>
      <w:r w:rsidR="00511118">
        <w:rPr>
          <w:rFonts w:ascii="Times New Roman" w:hAnsi="Times New Roman" w:cs="Times New Roman"/>
          <w:sz w:val="24"/>
          <w:szCs w:val="24"/>
        </w:rPr>
        <w:t xml:space="preserve"> </w:t>
      </w:r>
      <w:r w:rsidR="00511118" w:rsidRPr="00531D33">
        <w:rPr>
          <w:rFonts w:ascii="Times New Roman" w:hAnsi="Times New Roman" w:cs="Times New Roman"/>
          <w:sz w:val="24"/>
          <w:szCs w:val="24"/>
        </w:rPr>
        <w:fldChar w:fldCharType="begin"/>
      </w:r>
      <w:r w:rsidR="00511118" w:rsidRPr="00531D33">
        <w:rPr>
          <w:rFonts w:ascii="Times New Roman" w:hAnsi="Times New Roman" w:cs="Times New Roman"/>
          <w:sz w:val="24"/>
          <w:szCs w:val="24"/>
        </w:rPr>
        <w:instrText xml:space="preserve"> ADDIN ZOTERO_ITEM CSL_CITATION {"citationID":"ofgeAVLn","properties":{"formattedCitation":"(Morris et al. 2016; Zhu et al. 2022; Hopwood et al. 2017)","plainCitation":"(Morris et al. 2016; Zhu et al. 2022; Hopwood et al. 2017)","noteIndex":0},"citationItems":[{"id":1698,"uris":["http://zotero.org/users/6128296/items/EVC4QN3I"],"itemData":{"id":1698,"type":"article-journal","container-title":"Journal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511118" w:rsidRPr="00531D33">
        <w:rPr>
          <w:rFonts w:ascii="Cambria Math" w:hAnsi="Cambria Math" w:cs="Cambria Math"/>
          <w:sz w:val="24"/>
          <w:szCs w:val="24"/>
        </w:rPr>
        <w:instrText>∼</w:instrText>
      </w:r>
      <w:r w:rsidR="00511118" w:rsidRPr="00531D3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L."}],"issued":{"date-parts":[["2022",10,20]]}}},{"id":4253,"uris":["http://zotero.org/users/6128296/items/CEDCHT6C"],"itemData":{"id":4253,"type":"article-journal","abstract":"Abstract\n            \n              Hydrogen peroxide (H\n              2\n              O\n              2\n              ) is present ubiquitously in marine surface waters where it is a reactive intermediate in the cycling of many trace elements. Photochemical processes are considered the dominant natural H\n              2\n              O\n              2\n              source, yet cannot explain nanomolar H\n              2\n              O\n              2\n              concentrations below the photic zone. Here, we determined the concentration of H\n              2\n              O\n              2\n              in full depth profiles across three ocean basins (Mediterranean Sea, South Atlantic and South Pacific Oceans). To determine the accuracy of H\n              2\n              O\n              2\n              measurements in the deep ocean we also re-assessed the contribution of interfering species to ‘apparent H\n              2\n              O\n              2\n              ’, as analysed by the luminol based chemiluminescence technique. Within the vicinity of coastal oxygen minimum zones, accurate measurement of H\n              2\n              O\n              2\n              was not possible due to interference from Fe(II). Offshore, in deep (&gt;1000 m) waters H\n              2\n              O\n              2\n              concentrations ranged from 0.25 ± 0.27 nM (Mediterranean, Balearics-Algeria) to 2.9 ± 2.2 nM (Mediterranean, Corsica-France). Our results indicate that a dark, pelagic H\n              2\n              O\n              2\n              production mechanism must occur throughout the deep ocean. A bacterial source of H\n              2\n              O\n              2\n              is the most likely origin and we show that this source is likely sufficient to account for all of the observed H\n              2\n              O\n              2\n              in the deep ocean.","container-title":"Scientific Reports","DOI":"10.1038/srep43436","ISSN":"2045-2322","issue":"1","journalAbbreviation":"Sci Rep","language":"en","page":"43436","source":"DOI.org (Crossref)","title":"Hydrogen peroxide in deep waters from the Mediterranean Sea, South Atlantic and South Pacific Oceans","volume":"7","author":[{"family":"Hopwood","given":""},{"family":"Rapp","given":"Insa"},{"family":"Schlosser","given":"Christian"},{"family":"Achterberg","given":"Eric P."}],"issued":{"date-parts":[["2017",3,7]]}}}],"schema":"https://github.com/citation-style-language/schema/raw/master/csl-citation.json"} </w:instrText>
      </w:r>
      <w:r w:rsidR="00511118" w:rsidRPr="00531D33">
        <w:rPr>
          <w:rFonts w:ascii="Times New Roman" w:hAnsi="Times New Roman" w:cs="Times New Roman"/>
          <w:sz w:val="24"/>
          <w:szCs w:val="24"/>
        </w:rPr>
        <w:fldChar w:fldCharType="separate"/>
      </w:r>
      <w:r w:rsidR="00511118" w:rsidRPr="00531D33">
        <w:rPr>
          <w:rFonts w:ascii="Times New Roman" w:hAnsi="Times New Roman" w:cs="Times New Roman"/>
          <w:sz w:val="24"/>
          <w:szCs w:val="24"/>
        </w:rPr>
        <w:t xml:space="preserve">(Morris </w:t>
      </w:r>
      <w:r w:rsidR="00511118" w:rsidRPr="00183222">
        <w:rPr>
          <w:rFonts w:ascii="Times New Roman" w:hAnsi="Times New Roman" w:cs="Times New Roman"/>
          <w:i/>
          <w:iCs/>
          <w:sz w:val="24"/>
          <w:szCs w:val="24"/>
        </w:rPr>
        <w:t>et al</w:t>
      </w:r>
      <w:r w:rsidR="00511118" w:rsidRPr="00531D33">
        <w:rPr>
          <w:rFonts w:ascii="Times New Roman" w:hAnsi="Times New Roman" w:cs="Times New Roman"/>
          <w:sz w:val="24"/>
          <w:szCs w:val="24"/>
        </w:rPr>
        <w:t xml:space="preserve">. 2016; Zhu </w:t>
      </w:r>
      <w:r w:rsidR="00511118" w:rsidRPr="00183222">
        <w:rPr>
          <w:rFonts w:ascii="Times New Roman" w:hAnsi="Times New Roman" w:cs="Times New Roman"/>
          <w:i/>
          <w:iCs/>
          <w:sz w:val="24"/>
          <w:szCs w:val="24"/>
        </w:rPr>
        <w:t>et al</w:t>
      </w:r>
      <w:r w:rsidR="00511118" w:rsidRPr="00531D33">
        <w:rPr>
          <w:rFonts w:ascii="Times New Roman" w:hAnsi="Times New Roman" w:cs="Times New Roman"/>
          <w:sz w:val="24"/>
          <w:szCs w:val="24"/>
        </w:rPr>
        <w:t xml:space="preserve">. 2022; Hopwood </w:t>
      </w:r>
      <w:r w:rsidR="00511118" w:rsidRPr="00183222">
        <w:rPr>
          <w:rFonts w:ascii="Times New Roman" w:hAnsi="Times New Roman" w:cs="Times New Roman"/>
          <w:i/>
          <w:iCs/>
          <w:sz w:val="24"/>
          <w:szCs w:val="24"/>
        </w:rPr>
        <w:t>et al</w:t>
      </w:r>
      <w:r w:rsidR="00511118" w:rsidRPr="00531D33">
        <w:rPr>
          <w:rFonts w:ascii="Times New Roman" w:hAnsi="Times New Roman" w:cs="Times New Roman"/>
          <w:sz w:val="24"/>
          <w:szCs w:val="24"/>
        </w:rPr>
        <w:t>. 2017)</w:t>
      </w:r>
      <w:r w:rsidR="00511118" w:rsidRPr="00531D33">
        <w:rPr>
          <w:rFonts w:ascii="Times New Roman" w:hAnsi="Times New Roman" w:cs="Times New Roman"/>
          <w:sz w:val="24"/>
          <w:szCs w:val="24"/>
        </w:rPr>
        <w:fldChar w:fldCharType="end"/>
      </w:r>
      <w:r w:rsidR="00511118" w:rsidRPr="00531D33">
        <w:rPr>
          <w:rFonts w:ascii="Times New Roman" w:hAnsi="Times New Roman" w:cs="Times New Roman"/>
          <w:sz w:val="24"/>
          <w:szCs w:val="24"/>
        </w:rPr>
        <w:t>.</w:t>
      </w:r>
    </w:p>
    <w:p w14:paraId="168B1A77" w14:textId="77777777" w:rsidR="00511118" w:rsidRPr="003609FB" w:rsidRDefault="00511118" w:rsidP="00511118">
      <w:pPr>
        <w:spacing w:line="360" w:lineRule="auto"/>
        <w:rPr>
          <w:rFonts w:ascii="Times New Roman" w:hAnsi="Times New Roman" w:cs="Times New Roman"/>
          <w:sz w:val="24"/>
          <w:szCs w:val="24"/>
        </w:rPr>
      </w:pPr>
    </w:p>
    <w:p w14:paraId="39107A76" w14:textId="7182F336" w:rsidR="00A834F4" w:rsidRDefault="00A834F4" w:rsidP="00511118">
      <w:pPr>
        <w:pStyle w:val="Caption"/>
      </w:pPr>
    </w:p>
    <w:p w14:paraId="1D70A838" w14:textId="77777777" w:rsidR="00511118" w:rsidRPr="003609FB" w:rsidRDefault="00511118" w:rsidP="00511118">
      <w:pPr>
        <w:pStyle w:val="Caption"/>
      </w:pPr>
    </w:p>
    <w:p w14:paraId="0EF0CFDB" w14:textId="77777777" w:rsidR="00A834F4" w:rsidRDefault="00A834F4" w:rsidP="00AB2160">
      <w:pPr>
        <w:spacing w:line="360" w:lineRule="auto"/>
        <w:rPr>
          <w:rFonts w:ascii="Times New Roman" w:hAnsi="Times New Roman" w:cs="Times New Roman"/>
          <w:sz w:val="24"/>
          <w:szCs w:val="24"/>
        </w:rPr>
      </w:pPr>
    </w:p>
    <w:p w14:paraId="7EE0F1C4" w14:textId="2746B861" w:rsidR="00797D20" w:rsidRPr="00797D20" w:rsidRDefault="00531865" w:rsidP="00AB2160">
      <w:pPr>
        <w:pStyle w:val="Heading2"/>
        <w:spacing w:line="360" w:lineRule="auto"/>
      </w:pPr>
      <w:bookmarkStart w:id="60" w:name="_Toc173250038"/>
      <w:r w:rsidRPr="00A72D41">
        <w:lastRenderedPageBreak/>
        <w:t>Discussion</w:t>
      </w:r>
      <w:bookmarkEnd w:id="60"/>
    </w:p>
    <w:p w14:paraId="21E41FCC" w14:textId="6C89D90F" w:rsidR="00B351A0" w:rsidRPr="003609FB" w:rsidRDefault="00B351A0" w:rsidP="00365D9C">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Resource competition theory </w:t>
      </w:r>
      <w:r w:rsidR="0091373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{"citationID":"GjHvQTI5","properties":{"formattedCitation":"(Tilman 1982; Grover 1997)","plainCitation":"(Tilman 1982; Grover 1997)","noteIndex":0},"citationItems":[{"id":1560,"uris":["http://zotero.org/users/6128296/items/77X327JA"],"itemData":{"id":1560,"type":"book","title":"Resource Competition and Community Structure.","volume":"Volume 17","author":[{"family":"Tilman","given":""}],"issued":{"date-parts":[["1982"]]}}},{"id":193,"uris":["http://zotero.org/users/6128296/items/6QA3SKQK"],"itemData":{"id":193,"type":"book","abstract":"Resources are entities which contribute positively to population growth, and are consumed in the process. They may be classified as biotic or abiotic: the former are capable of reproduction, but the latter are not. Supply processes for biotic resources are potentially complex, but in many cases, the dynamics of abiotic resources are adequately described by simple expressions of mass conservation. Such mass-balance properties characterize systems for which all resource transformations are budgeted. At equilibrium, a population's loss rate determines its resource demand, and in many simple models of abiotic resources, the equilibrium is stable. Biotic consumer-resource interactions may have unstable equilibria or mUltiple equilibria. When an equilibrium is stable and unique, resource availability goes to a long-term value R*, which can be calculated from the population's resource-dependent growth function and its loss rate. This number is a synthetic parameter summarizing much biology in an informative way. Competition refers to mutually negative interactions among two or more individuals or populations. At the population level, such mutually negative interactions cause reductions in growth rates. This phenomenon can arise from consumption of the same resources, whence the term resource competition. The well-known Lotka-Volterra equations of competition describe the population phenomenon of competition, but attempts to relate their parameters to mechanisms of resource utilization have not been wholly successful. An alternative approach, taken in this book, is to build towards an understanding of the phenomenon of competition from an elementary knowledge of resource consumption and resourcedependent population growth.","event-place":"Boston, MA","ISBN":"978-1-4613-7939-3","language":"en","note":"OCLC: 869862774","publisher":"Springer US","publisher-place":"Boston, MA","source":"Open WorldCat","title":"Resource Competition","author":[{"family":"Grover","given":""}],"issued":{"date-parts":[["1997"]]}}}],"schema":"https://github.com/citation-style-language/schema/raw/master/csl-citation.json"} </w:instrText>
      </w:r>
      <w:r w:rsidR="00913734"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(Tilman 1982; Grover 1997)</w:t>
      </w:r>
      <w:r w:rsidR="00913734" w:rsidRPr="003609FB">
        <w:rPr>
          <w:rFonts w:ascii="Times New Roman" w:hAnsi="Times New Roman" w:cs="Times New Roman"/>
          <w:sz w:val="24"/>
          <w:szCs w:val="24"/>
        </w:rPr>
        <w:fldChar w:fldCharType="end"/>
      </w:r>
      <w:r w:rsidR="00913734" w:rsidRPr="003609FB">
        <w:rPr>
          <w:rFonts w:ascii="Times New Roman" w:hAnsi="Times New Roman" w:cs="Times New Roman"/>
          <w:sz w:val="24"/>
          <w:szCs w:val="24"/>
        </w:rPr>
        <w:t xml:space="preserve"> indicate</w:t>
      </w:r>
      <w:r w:rsidRPr="003609FB">
        <w:rPr>
          <w:rFonts w:ascii="Times New Roman" w:hAnsi="Times New Roman" w:cs="Times New Roman"/>
          <w:sz w:val="24"/>
          <w:szCs w:val="24"/>
        </w:rPr>
        <w:t xml:space="preserve">s that when two or more organisms </w:t>
      </w:r>
      <w:r w:rsidR="00913734" w:rsidRPr="003609FB">
        <w:rPr>
          <w:rFonts w:ascii="Times New Roman" w:hAnsi="Times New Roman" w:cs="Times New Roman"/>
          <w:sz w:val="24"/>
          <w:szCs w:val="24"/>
        </w:rPr>
        <w:t xml:space="preserve">attempts to </w:t>
      </w:r>
      <w:r w:rsidRPr="003609FB">
        <w:rPr>
          <w:rFonts w:ascii="Times New Roman" w:hAnsi="Times New Roman" w:cs="Times New Roman"/>
          <w:sz w:val="24"/>
          <w:szCs w:val="24"/>
        </w:rPr>
        <w:t>coexist in an environment on one nutrient, the better competitor organism should eventually outcompete the other</w:t>
      </w:r>
      <w:r w:rsidR="00913734" w:rsidRPr="003609FB">
        <w:rPr>
          <w:rFonts w:ascii="Times New Roman" w:hAnsi="Times New Roman" w:cs="Times New Roman"/>
          <w:sz w:val="24"/>
          <w:szCs w:val="24"/>
        </w:rPr>
        <w:t>,</w:t>
      </w:r>
      <w:r w:rsidRPr="003609FB">
        <w:rPr>
          <w:rFonts w:ascii="Times New Roman" w:hAnsi="Times New Roman" w:cs="Times New Roman"/>
          <w:sz w:val="24"/>
          <w:szCs w:val="24"/>
        </w:rPr>
        <w:t xml:space="preserve"> unless </w:t>
      </w:r>
      <w:r w:rsidR="00913734" w:rsidRPr="003609FB">
        <w:rPr>
          <w:rFonts w:ascii="Times New Roman" w:hAnsi="Times New Roman" w:cs="Times New Roman"/>
          <w:sz w:val="24"/>
          <w:szCs w:val="24"/>
        </w:rPr>
        <w:t>the competitor develops the ability to utilize</w:t>
      </w:r>
      <w:r w:rsidRPr="003609FB">
        <w:rPr>
          <w:rFonts w:ascii="Times New Roman" w:hAnsi="Times New Roman" w:cs="Times New Roman"/>
          <w:sz w:val="24"/>
          <w:szCs w:val="24"/>
        </w:rPr>
        <w:t xml:space="preserve"> </w:t>
      </w:r>
      <w:r w:rsidR="00913734" w:rsidRPr="003609FB">
        <w:rPr>
          <w:rFonts w:ascii="Times New Roman" w:hAnsi="Times New Roman" w:cs="Times New Roman"/>
          <w:sz w:val="24"/>
          <w:szCs w:val="24"/>
        </w:rPr>
        <w:t>other</w:t>
      </w:r>
      <w:r w:rsidRPr="003609FB">
        <w:rPr>
          <w:rFonts w:ascii="Times New Roman" w:hAnsi="Times New Roman" w:cs="Times New Roman"/>
          <w:sz w:val="24"/>
          <w:szCs w:val="24"/>
        </w:rPr>
        <w:t xml:space="preserve"> nutrient pools </w:t>
      </w:r>
      <w:r w:rsidR="00913734"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{"citationID":"TSKg6uxt","properties":{"formattedCitation":"(Armstrong and McGehee 1980; Hardin 1960; Hutchinson 1967)","plainCitation":"(Armstrong and McGehee 1980; Hardin 1960; Hutchinson 1967)","noteIndex":0},"citationItems":[{"id":77,"uris":["http://zotero.org/users/6128296/items/6XSUJZRT"],"itemData":{"id":77,"type":"article-journal","abstract":"Koch (1974b) was the first to point out via computer simulation that two species could coexist on one biotic resource. This coexistence occurred along what appeared to be a periodic orbit, not at an equilibrium point. The coexistence of two species on one biotic resource was later confirmed analytically (McGehee and Armstrong 1977) and expanded to the case of n species coexisting on one biotic resource (Zicarelli 1975). In this section we provide insight into the mechanism behind this coexistence. We will present an intuitive look at why the coexistence depends both on the nonlinearity of the growth functions ui and on the lack of system equilibrium. Those who desire complete proofs should consult the papers of McGehee and Armstrong (1977) and Zicarelli (1975).","container-title":"Am. Nat. 1980.","language":"en","page":"151-170","source":"Zotero","title":"Competitive Exclusion","volume":"Vol. 115,","author":[{"family":"Armstrong","given":""},{"family":"McGehee","given":"Richard"}],"issued":{"date-parts":[["1980"]]}}},{"id":206,"uris":["http://zotero.org/users/6128296/items/72GSA8QA"],"itemData":{"id":206,"type":"article-journal","container-title":"Science","DOI":"10.1126/science.131.3409.1292","ISSN":"0036-8075, 1095-9203","issue":"3409","journalAbbreviation":"Science","language":"en","page":"1292-1297","source":"DOI.org (Crossref)","title":"The Competitive Exclusion Principle","volume":"131","author":[{"family":"Hardin","given":""}],"issued":{"date-parts":[["1960",4,29]]}}},{"id":97,"uris":["http://zotero.org/users/6128296/items/DLT5ZCEX"],"itemData":{"id":97,"type":"article-journal","language":"en","page":"10","source":"Zotero","title":"The Paradox of the Plankton","author":[{"family":"Hutchinson","given":""}],"issued":{"date-parts":[["1967"]]}}}],"schema":"https://github.com/citation-style-language/schema/raw/master/csl-citation.json"} </w:instrText>
      </w:r>
      <w:r w:rsidR="00913734"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(Armstrong and McGehee 1980; Hardin 1960; Hutchinson 1967)</w:t>
      </w:r>
      <w:r w:rsidR="00913734" w:rsidRPr="003609FB">
        <w:rPr>
          <w:rFonts w:ascii="Times New Roman" w:hAnsi="Times New Roman" w:cs="Times New Roman"/>
          <w:sz w:val="24"/>
          <w:szCs w:val="24"/>
        </w:rPr>
        <w:fldChar w:fldCharType="end"/>
      </w:r>
      <w:r w:rsidR="00913734" w:rsidRPr="003609FB">
        <w:rPr>
          <w:rFonts w:ascii="Times New Roman" w:hAnsi="Times New Roman" w:cs="Times New Roman"/>
          <w:sz w:val="24"/>
          <w:szCs w:val="24"/>
        </w:rPr>
        <w:t xml:space="preserve">. </w:t>
      </w:r>
      <w:r w:rsidR="00295B14" w:rsidRPr="003609FB">
        <w:rPr>
          <w:rFonts w:ascii="Times New Roman" w:hAnsi="Times New Roman" w:cs="Times New Roman"/>
          <w:sz w:val="24"/>
          <w:szCs w:val="24"/>
        </w:rPr>
        <w:t xml:space="preserve">The full extent of resource partitioning in the ocean and associated </w:t>
      </w:r>
      <w:r w:rsidR="004E2460" w:rsidRPr="003609FB">
        <w:rPr>
          <w:rFonts w:ascii="Times New Roman" w:hAnsi="Times New Roman" w:cs="Times New Roman"/>
          <w:sz w:val="24"/>
          <w:szCs w:val="24"/>
        </w:rPr>
        <w:t xml:space="preserve">microbial community composition </w:t>
      </w:r>
      <w:r w:rsidR="00295B14" w:rsidRPr="003609FB">
        <w:rPr>
          <w:rFonts w:ascii="Times New Roman" w:hAnsi="Times New Roman" w:cs="Times New Roman"/>
          <w:sz w:val="24"/>
          <w:szCs w:val="24"/>
        </w:rPr>
        <w:t>is far from understood</w:t>
      </w:r>
      <w:r w:rsidR="004E2460" w:rsidRPr="003609FB">
        <w:rPr>
          <w:rFonts w:ascii="Times New Roman" w:hAnsi="Times New Roman" w:cs="Times New Roman"/>
          <w:sz w:val="24"/>
          <w:szCs w:val="24"/>
        </w:rPr>
        <w:t xml:space="preserve"> </w:t>
      </w:r>
      <w:r w:rsidR="004E2460" w:rsidRPr="003609FB">
        <w:rPr>
          <w:rFonts w:ascii="Times New Roman" w:hAnsi="Times New Roman" w:cs="Times New Roman"/>
          <w:sz w:val="24"/>
          <w:szCs w:val="24"/>
        </w:rPr>
        <w:fldChar w:fldCharType="begin"/>
      </w:r>
      <w:r w:rsidR="00492027">
        <w:rPr>
          <w:rFonts w:ascii="Times New Roman" w:hAnsi="Times New Roman" w:cs="Times New Roman"/>
          <w:sz w:val="24"/>
          <w:szCs w:val="24"/>
        </w:rPr>
        <w:instrText xml:space="preserve"> ADDIN ZOTERO_ITEM CSL_CITATION {"citationID":"99LEI0ap","properties":{"formattedCitation":"(Hutchinson 1967; Bier et al. 2015; Litchman et al. 2006; Saba et al. 2010)","plainCitation":"(Hutchinson 1967; Bier et al. 2015; Litchman et al. 2006; Saba et al. 2010)","noteIndex":0},"citationItems":[{"id":97,"uris":["http://zotero.org/users/6128296/items/DLT5ZCEX"],"itemData":{"id":97,"type":"article-journal","language":"en","page":"10","source":"Zotero","title":"The Paradox of the Plankton","author":[{"family":"Hutchinson","given":""}],"issued":{"date-parts":[["1967"]]}}},{"id":3714,"uris":["http://zotero.org/users/6128296/items/HHB7XR9U"],"itemData":{"id":3714,"type":"article-journal","abstract":"A major goal of microbial ecology is to identify links between microbial community structure and microbial processes. Although this objective seems straightforward, there are conceptual and methodological challenges to designing studies that explicitly evaluate this link. Here, we analyzed literature documenting structure and process responses to manipulations to determine the frequency of structure-process links and whether experimental approaches and techniques influence link detection. We examined nine journals (published 2009–13) and retained 148 experimental studies measuring microbial community structure and processes. Many qualifying papers (112 of 148) documented structure and process responses, but few (38 of 112 papers) reported statistically testing for a link. Of these tested links, 75% were significant and typically used Spearman or Pearson’s correlation analysis (68%). No particular approach for characterizing structure or processes was more likely to produce significant links. Process responses were detected earlier on average than responses in structure or both structure and process. Together, our findings suggest that few publications report statistically testing structure-process links. However, when links are tested for they often occur but share few commonalities in the processes or structures that were linked and the techniques used for measuring them.","container-title":"FEMS Microbiology Ecology","DOI":"10.1093/femsec/fiv113","ISSN":"1574-6941","issue":"10","journalAbbreviation":"FEMS Microbiology Ecology","language":"en","page":"fiv113","source":"DOI.org (Crossref)","title":"Linking microbial community structure and microbial processes: an empirical and conceptual overview","title-short":"Linking microbial community structure and microbial processes","volume":"91","author":[{"family":"Bier","given":""},{"family":"Bernhardt","given":"Emily S."},{"family":"Boot","given":"Claudia M."},{"family":"Graham","given":"Emily B."},{"family":"Hall","given":"Edward K."},{"family":"Lennon","given":"Jay T."},{"family":"Nemergut","given":"Diana R."},{"family":"Osborne","given":"Brooke B."},{"family":"Ruiz-González","given":"Clara"},{"family":"Schimel","given":"Joshua P."},{"family":"Waldrop","given":"Mark P."},{"family":"Wallenstein","given":"Matthew D."}],"editor":[{"family":"Muyzer","given":"Gerard"}],"issued":{"date-parts":[["2015",10]]}}},{"id":214,"uris":["http://zotero.org/users/6128296/items/J2FLCVUF"],"itemData":{"id":214,"type":"article-journal","abstract":"Phytoplankton community composition profoundly affects patterns of nutrient cycling and the dynamics of marine food webs; therefore predicting present and future phytoplankton community structure is crucial to understand how ocean ecosystems respond to physical forcing and nutrient limitations. We develop a mechanistic model of phytoplankton communities that includes multiple taxonomic groups (diatoms, coccolithophores and prasinophytes), nutrients (nitrate, ammonium, phosphate, silicate and iron), light, and a generalist zooplankton grazer. Each taxonomic group was parameterized based on an extensive literature survey. We test the model at two contrasting sites in the modern ocean, the North Atlantic (North Atlantic Bloom Experiment, NABE) and subarctic North Pacific (ocean station Papa, OSP). The model successfully predicts general patterns of community composition and succession at both sites: In the North Atlantic, the model predicts a spring diatom bloom, followed by coccolithophore and prasinophyte blooms later in the season. In the North Pacific, the model reproduces the low chlorophyll community dominated by prasinophytes and coccolithophores, with low total biomass variability and high nutrient concentrations throughout the year. Sensitivity analysis revealed that the identity of the most sensitive parameters and the range of acceptable parameters differed between the two sites. We then use the model to predict community reorganization under different global change scenarios: a later onset and extended duration of stratification, with shallower mixed layer depths due to increased greenhouse gas concentrations; increase in deep water nitrogen; decrease in deep water phosphorus and increase or decrease in iron concentration. To estimate uncertainty in our predictions, we used a Monte Carlo sampling of the parameter space where future scenarios were run using parameter combinations that produced acceptable modern day outcomes and the robustCorrespondence to: E. Litchman (litchman@msu.edu) ness of the predictions was determined. Change in the onset and duration of stratification altered the timing and the magnitude of the spring diatom bloom in the North Atlantic and increased total phytoplankton and zooplankton biomass in the North Pacific. Changes in nutrient concentrations in some cases changed dominance patterns of major groups, as well as total chlorophyll and zooplankton biomass. Based on these scenarios, our model suggests that global environmental change will inevitably alter phytoplankton community structure and potentially impact global biogeochemical cycle.","language":"en","page":"22","source":"Zotero","title":"Multi-nutrient, multi-group model of present and future oceanic phytoplankton communities","author":[{"family":"Litchman","given":""},{"family":"Klausmeier","given":"C A"},{"family":"Miller","given":"J R"},{"family":"Schoﬁeld","given":"O M"},{"family":"Falkowski","given":"P G"}],"issued":{"date-parts":[["2006"]]}}},{"id":225,"uris":["http://zotero.org/users/6128296/items/SAGTHVHX"],"itemData":{"id":225,"type":"article-journal","container-title":"Global Biogeochemical Cycles","DOI":"10.1029/2009GB003655","ISSN":"08866236","issue":"3","journalAbbreviation":"Global Biogeochem. Cycles","language":"en","page":"n/a-n/a","source":"DOI.org (Crossref)","title":"Challenges of modeling depth-integrated marine primary productivity over multiple decades: A case study at BATS and HOT: modeling marine primary productivity","title-short":"Challenges of modeling depth-integrated marine primary productivity over multiple decades","volume":"24","author":[{"family":"Saba","given":""},{"family":"Friedrichs","given":"Marjorie A. M."},{"family":"Carr","given":"Mary-Elena"},{"family":"Antoine","given":"David"},{"family":"Armstrong","given":"Robert A."},{"family":"Asanuma","given":"Ichio"},{"family":"Aumont","given":"Olivier"},{"family":"Bates","given":"Nicholas R."},{"family":"Behrenfeld","given":"Michael J."},{"family":"Bennington","given":"Val"},{"family":"Bopp","given":"Laurent"},{"family":"Bruggeman","given":"Jorn"},{"family":"Buitenhuis","given":"Erik T."},{"family":"Church","given":"Matthew J."},{"family":"Ciotti","given":"Aurea M."},{"family":"Doney","given":"Scott C."},{"family":"Dowell","given":"Mark"},{"family":"Dunne","given":"John"},{"family":"Dutkiewicz","given":"Stephanie"},{"family":"Gregg","given":"Watson"},{"family":"Hoepffner","given":"Nicolas"},{"family":"Hyde","given":"Kimberly J. W."},{"family":"Ishizaka","given":"Joji"},{"family":"Kameda","given":"Takahiko"},{"family":"Karl","given":"David M."},{"family":"Lima","given":"Ivan"},{"family":"Lomas","given":"Michael W."},{"family":"Marra","given":"John"},{"family":"McKinley","given":"Galen A."},{"family":"Mélin","given":"Frédéric"},{"family":"Moore","given":"J. Keith"},{"family":"Morel","given":"André"},{"family":"O'Reilly","given":"John"},{"family":"Salihoglu","given":"Baris"},{"family":"Scardi","given":"Michele"},{"family":"Smyth","given":"Tim J."},{"family":"Tang","given":"Shilin"},{"family":"Tjiputra","given":"Jerry"},{"family":"Uitz","given":"Julia"},{"family":"Vichi","given":"Marcello"},{"family":"Waters","given":"Kirk"},{"family":"Westberry","given":"Toby K."},{"family":"Yool","given":"Andrew"}],"issued":{"date-parts":[["2010",9]]}}}],"schema":"https://github.com/citation-style-language/schema/raw/master/csl-citation.json"} </w:instrText>
      </w:r>
      <w:r w:rsidR="004E2460"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(Hutchinson 1967; Bier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Litchman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2006; Saba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2010)</w:t>
      </w:r>
      <w:r w:rsidR="004E2460" w:rsidRPr="003609FB">
        <w:rPr>
          <w:rFonts w:ascii="Times New Roman" w:hAnsi="Times New Roman" w:cs="Times New Roman"/>
          <w:sz w:val="24"/>
          <w:szCs w:val="24"/>
        </w:rPr>
        <w:fldChar w:fldCharType="end"/>
      </w:r>
      <w:r w:rsidR="00295B14" w:rsidRPr="003609FB">
        <w:rPr>
          <w:rFonts w:ascii="Times New Roman" w:hAnsi="Times New Roman" w:cs="Times New Roman"/>
          <w:sz w:val="24"/>
          <w:szCs w:val="24"/>
        </w:rPr>
        <w:t xml:space="preserve">. </w:t>
      </w:r>
      <w:r w:rsidRPr="003609FB">
        <w:rPr>
          <w:rFonts w:ascii="Times New Roman" w:hAnsi="Times New Roman" w:cs="Times New Roman"/>
          <w:sz w:val="24"/>
          <w:szCs w:val="24"/>
        </w:rPr>
        <w:t>While differential nutrient acquisition has long been considered and modeled as an important driver of ecological niches</w:t>
      </w:r>
      <w:r w:rsidR="00A2561F">
        <w:rPr>
          <w:rFonts w:ascii="Times New Roman" w:hAnsi="Times New Roman" w:cs="Times New Roman"/>
          <w:sz w:val="24"/>
          <w:szCs w:val="24"/>
        </w:rPr>
        <w:t>,</w:t>
      </w:r>
      <w:r w:rsidRPr="003609FB">
        <w:rPr>
          <w:rFonts w:ascii="Times New Roman" w:hAnsi="Times New Roman" w:cs="Times New Roman"/>
          <w:sz w:val="24"/>
          <w:szCs w:val="24"/>
        </w:rPr>
        <w:t xml:space="preserve"> Berube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BF52EA" w:rsidRPr="003609FB">
        <w:rPr>
          <w:rFonts w:ascii="Times New Roman" w:hAnsi="Times New Roman" w:cs="Times New Roman"/>
          <w:sz w:val="24"/>
          <w:szCs w:val="24"/>
        </w:rPr>
        <w:t>(</w:t>
      </w:r>
      <w:r w:rsidRPr="003609FB">
        <w:rPr>
          <w:rFonts w:ascii="Times New Roman" w:hAnsi="Times New Roman" w:cs="Times New Roman"/>
          <w:sz w:val="24"/>
          <w:szCs w:val="24"/>
        </w:rPr>
        <w:t>2023</w:t>
      </w:r>
      <w:r w:rsidR="00BF52EA" w:rsidRPr="003609FB">
        <w:rPr>
          <w:rFonts w:ascii="Times New Roman" w:hAnsi="Times New Roman" w:cs="Times New Roman"/>
          <w:sz w:val="24"/>
          <w:szCs w:val="24"/>
        </w:rPr>
        <w:t>)</w:t>
      </w:r>
      <w:r w:rsidRPr="003609FB">
        <w:rPr>
          <w:rFonts w:ascii="Times New Roman" w:hAnsi="Times New Roman" w:cs="Times New Roman"/>
          <w:sz w:val="24"/>
          <w:szCs w:val="24"/>
        </w:rPr>
        <w:t xml:space="preserve"> and Calfee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BF52EA" w:rsidRPr="003609FB">
        <w:rPr>
          <w:rFonts w:ascii="Times New Roman" w:hAnsi="Times New Roman" w:cs="Times New Roman"/>
          <w:sz w:val="24"/>
          <w:szCs w:val="24"/>
        </w:rPr>
        <w:t>(</w:t>
      </w:r>
      <w:r w:rsidRPr="003609FB">
        <w:rPr>
          <w:rFonts w:ascii="Times New Roman" w:hAnsi="Times New Roman" w:cs="Times New Roman"/>
          <w:sz w:val="24"/>
          <w:szCs w:val="24"/>
        </w:rPr>
        <w:t>2022</w:t>
      </w:r>
      <w:r w:rsidR="00BF52EA" w:rsidRPr="003609FB">
        <w:rPr>
          <w:rFonts w:ascii="Times New Roman" w:hAnsi="Times New Roman" w:cs="Times New Roman"/>
          <w:sz w:val="24"/>
          <w:szCs w:val="24"/>
        </w:rPr>
        <w:t>)</w:t>
      </w:r>
      <w:r w:rsidRPr="003609FB">
        <w:rPr>
          <w:rFonts w:ascii="Times New Roman" w:hAnsi="Times New Roman" w:cs="Times New Roman"/>
          <w:sz w:val="24"/>
          <w:szCs w:val="24"/>
        </w:rPr>
        <w:t xml:space="preserve"> showed that cross feeding of </w:t>
      </w:r>
      <w:r w:rsidR="00BF52EA" w:rsidRPr="003609FB">
        <w:rPr>
          <w:rFonts w:ascii="Times New Roman" w:hAnsi="Times New Roman" w:cs="Times New Roman"/>
          <w:sz w:val="24"/>
          <w:szCs w:val="24"/>
        </w:rPr>
        <w:t>nitrogen (N)</w:t>
      </w:r>
      <w:r w:rsidRPr="003609FB">
        <w:rPr>
          <w:rFonts w:ascii="Times New Roman" w:hAnsi="Times New Roman" w:cs="Times New Roman"/>
          <w:sz w:val="24"/>
          <w:szCs w:val="24"/>
        </w:rPr>
        <w:t xml:space="preserve"> or </w:t>
      </w:r>
      <w:r w:rsidR="00BF52EA" w:rsidRPr="003609FB">
        <w:rPr>
          <w:rFonts w:ascii="Times New Roman" w:hAnsi="Times New Roman" w:cs="Times New Roman"/>
          <w:sz w:val="24"/>
          <w:szCs w:val="24"/>
        </w:rPr>
        <w:t>carbon</w:t>
      </w:r>
      <w:r w:rsidRPr="003609FB">
        <w:rPr>
          <w:rFonts w:ascii="Times New Roman" w:hAnsi="Times New Roman" w:cs="Times New Roman"/>
          <w:sz w:val="24"/>
          <w:szCs w:val="24"/>
        </w:rPr>
        <w:t xml:space="preserve"> </w:t>
      </w:r>
      <w:r w:rsidR="00BF52EA" w:rsidRPr="003609FB">
        <w:rPr>
          <w:rFonts w:ascii="Times New Roman" w:hAnsi="Times New Roman" w:cs="Times New Roman"/>
          <w:sz w:val="24"/>
          <w:szCs w:val="24"/>
        </w:rPr>
        <w:t xml:space="preserve">(C) molecular </w:t>
      </w:r>
      <w:r w:rsidRPr="003609FB">
        <w:rPr>
          <w:rFonts w:ascii="Times New Roman" w:hAnsi="Times New Roman" w:cs="Times New Roman"/>
          <w:sz w:val="24"/>
          <w:szCs w:val="24"/>
        </w:rPr>
        <w:t xml:space="preserve">species in oligotrophic genera may sustain coexistence </w:t>
      </w:r>
      <w:r w:rsidR="00BF52EA"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{"citationID":"uqk1I5Rh","properties":{"formattedCitation":"(Berube et al. 2023; Calfee, Glasgo, and Zinser 2022)","plainCitation":"(Berube et al. 2023; Calfee, Glasgo, and Zinser 2022)","noteIndex":0},"citationItems":[{"id":3722,"uris":["http://zotero.org/users/6128296/items/66DX874V"],"itemData":{"id":3722,"type":"article-journal","abstract":"Prochlorococcus is an abundant photosynthetic bacterium in the open ocean, where nitrogen (N) often limits phytoplankton growth. In the low-light-adapted LLI clade of Prochlorococcus, nearly all cells can assimilate nitrite (NO2−), with a subset capable of assimilating nitrate (NO3−). LLI cells are maximally abundant near the primary NO2− maximum layer, an oceanographic feature that may, in part, be due to incom­ plete assimilatory NO3− reduction and subsequent NO2− release by phytoplankton. We hypothesized that some Prochlorococcus exhibit incomplete assimilatory NO3− reduction and examined NO2− accumulation in cultures of three Prochlorococcus strains (MIT0915, MIT0917, and SB) and two Synechococcus strains (WH8102 and WH7803). Only MIT0917 and SB accumulated external NO2− during growth on NO3−. Approximately 20–30% of the NO3− transported into the cell by MIT0917 was released as NO2−, with the rest assimilated into biomass. We further observed that co-cultures using NO3− as the sole N source could be established for MIT0917 and Prochlorococcus strain MIT1214 that can assimilate NO2− but not NO3−. In these co-cultures, the NO2− released by MIT0917 is efficiently consumed by its partner strain, MIT1214. Our findings highlight the poten­ tial for emergent metabolic partnerships that are mediated by the production and consumption of N cycle intermediates within Prochlorococcus populations.","container-title":"mBio","DOI":"10.1128/mbio.01236-23","ISSN":"2150-7511","journalAbbreviation":"mBio","language":"en","page":"e01236-23","source":"DOI.org (Crossref)","title":"Production and cross-feeding of nitrite within &lt;i&gt;Prochlorococcus&lt;/i&gt; populations","author":[{"family":"Berube","given":""},{"family":"O'Keefe","given":"Tyler J."},{"family":"Rasmussen","given":"Anna"},{"family":"LeMaster","given":"Trent"},{"family":"Chisholm","given":"Sallie W."}],"editor":[{"family":"Dubilier","given":"Nicole"}],"issued":{"date-parts":[["2023",7,5]]}}},{"id":3126,"uris":["http://zotero.org/users/6128296/items/XY85MD2M"],"itemData":{"id":3126,"type":"article-journal","abstract":"The marine cyanobacterium Prochlorococcus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Prochlorococcus outcompetes its rivals for scarce nutrients and that this advantage leads to its numerical success in nutrient-limited waters. Strains of Prochlorococcus and its sister genus Synechococcus grew well in both mono- and cocultures when nutrients were replete. However, in nitrogen-limited medium, Prochlorococcus outgrew Synechococcus but only when heterotrophic bacteria were also present. In the nitrogen-limited medium, the heterotroph Alteromonas macleodii outcompeted Synechococcus for nitrogen but only if stimulated by the exudate released by Prochlorococcus or if a proxy organic carbon source was provided. Genetic analysis of Alteromonas suggested that it outcompetes Synechococcus for nitrate and/or nitrite, during which cocultured Prochlorococcus grows on ammonia or other available nitrogen species. We propose that Prochlorococcus can stimulate antagonism between heterotrophic bacteria and potential phytoplankton competitors through a metabolic cross-feeding interaction, and this stimulation could contribute to the numerical success of Prochlorococcus in nutrient-limited regions of the ocean.","issue":"1","language":"en","page":"14","source":"Zotero","title":"Prochlorococcus Exudate Stimulates Heterotrophic Bacterial Competition with Rival Phytoplankton for Available Nitrogen","volume":"13","author":[{"family":"Calfee","given":""},{"family":"Glasgo","given":"Liz"},{"family":"Zinser","given":"E. R."}],"issued":{"date-parts":[["2022"]]}}}],"schema":"https://github.com/citation-style-language/schema/raw/master/csl-citation.json"} </w:instrText>
      </w:r>
      <w:r w:rsidR="00BF52EA"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2023; Calfee, Glasgo, and Zinser 2022)</w:t>
      </w:r>
      <w:r w:rsidR="00BF52EA" w:rsidRPr="003609FB">
        <w:rPr>
          <w:rFonts w:ascii="Times New Roman" w:hAnsi="Times New Roman" w:cs="Times New Roman"/>
          <w:sz w:val="24"/>
          <w:szCs w:val="24"/>
        </w:rPr>
        <w:fldChar w:fldCharType="end"/>
      </w:r>
      <w:r w:rsidRPr="003609FB">
        <w:rPr>
          <w:rFonts w:ascii="Times New Roman" w:hAnsi="Times New Roman" w:cs="Times New Roman"/>
          <w:sz w:val="24"/>
          <w:szCs w:val="24"/>
        </w:rPr>
        <w:t>)</w:t>
      </w:r>
      <w:r w:rsidR="00A2561F">
        <w:rPr>
          <w:rFonts w:ascii="Times New Roman" w:hAnsi="Times New Roman" w:cs="Times New Roman"/>
          <w:sz w:val="24"/>
          <w:szCs w:val="24"/>
        </w:rPr>
        <w:t>. H</w:t>
      </w:r>
      <w:r w:rsidRPr="003609FB">
        <w:rPr>
          <w:rFonts w:ascii="Times New Roman" w:hAnsi="Times New Roman" w:cs="Times New Roman"/>
          <w:sz w:val="24"/>
          <w:szCs w:val="24"/>
        </w:rPr>
        <w:t xml:space="preserve">ere we show that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pressure should also be considered a niche-expanding mechanism and thus be modeled accordingly. We first evaluated </w:t>
      </w:r>
      <w:r w:rsidR="00365D9C">
        <w:rPr>
          <w:rFonts w:ascii="Times New Roman" w:hAnsi="Times New Roman" w:cs="Times New Roman"/>
          <w:sz w:val="24"/>
          <w:szCs w:val="24"/>
        </w:rPr>
        <w:t xml:space="preserve">the </w:t>
      </w:r>
      <w:r w:rsidRPr="003609FB">
        <w:rPr>
          <w:rFonts w:ascii="Times New Roman" w:hAnsi="Times New Roman" w:cs="Times New Roman"/>
          <w:sz w:val="24"/>
          <w:szCs w:val="24"/>
        </w:rPr>
        <w:t xml:space="preserve">hypotheses that superior nutrient acquisition mechanisms, devoid of other forcings, were enough to allow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to competitively exclude community members for nutrients. Our initial modeling shows that nutrient affinity indeed controls our system in the absence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6F1469">
        <w:rPr>
          <w:rFonts w:ascii="Times New Roman" w:hAnsi="Times New Roman" w:cs="Times New Roman"/>
          <w:sz w:val="24"/>
          <w:szCs w:val="24"/>
        </w:rPr>
        <w:t xml:space="preserve">zero for </w:t>
      </w:r>
      <w:r w:rsidR="00BA20C8" w:rsidRPr="003609FB">
        <w:rPr>
          <w:rFonts w:ascii="Times New Roman" w:hAnsi="Times New Roman" w:cs="Times New Roman"/>
          <w:sz w:val="24"/>
          <w:szCs w:val="24"/>
        </w:rPr>
        <w:t>supply</w:t>
      </w:r>
      <w:r w:rsidR="00241988">
        <w:rPr>
          <w:rFonts w:ascii="Times New Roman" w:hAnsi="Times New Roman" w:cs="Times New Roman"/>
          <w:sz w:val="24"/>
          <w:szCs w:val="24"/>
        </w:rPr>
        <w:t xml:space="preserve"> (S</w:t>
      </w:r>
      <w:r w:rsidR="00241988" w:rsidRPr="00241988">
        <w:rPr>
          <w:rFonts w:ascii="Times New Roman" w:hAnsi="Times New Roman" w:cs="Times New Roman"/>
          <w:sz w:val="24"/>
          <w:szCs w:val="24"/>
          <w:vertAlign w:val="subscript"/>
        </w:rPr>
        <w:t>H</w:t>
      </w:r>
      <w:r w:rsidR="00241988">
        <w:rPr>
          <w:rFonts w:ascii="Times New Roman" w:hAnsi="Times New Roman" w:cs="Times New Roman"/>
          <w:sz w:val="24"/>
          <w:szCs w:val="24"/>
        </w:rPr>
        <w:t xml:space="preserve"> = 0)</w:t>
      </w:r>
      <w:r w:rsidR="00BA20C8" w:rsidRPr="003609FB">
        <w:rPr>
          <w:rFonts w:ascii="Times New Roman" w:hAnsi="Times New Roman" w:cs="Times New Roman"/>
          <w:sz w:val="24"/>
          <w:szCs w:val="24"/>
        </w:rPr>
        <w:t xml:space="preserve"> and initial conditions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6F1469">
        <w:rPr>
          <w:rFonts w:ascii="Times New Roman" w:hAnsi="Times New Roman" w:cs="Times New Roman"/>
          <w:sz w:val="24"/>
          <w:szCs w:val="24"/>
          <w:vertAlign w:val="subscript"/>
        </w:rPr>
        <w:t xml:space="preserve"> </w:t>
      </w:r>
      <w:r w:rsidR="006F1469" w:rsidRPr="006F1469">
        <w:rPr>
          <w:rFonts w:ascii="Times New Roman" w:hAnsi="Times New Roman" w:cs="Times New Roman"/>
          <w:sz w:val="24"/>
          <w:szCs w:val="24"/>
        </w:rPr>
        <w:t>(</w:t>
      </w:r>
      <w:proofErr w:type="gramStart"/>
      <w:r w:rsidR="006F1469" w:rsidRPr="006F1469">
        <w:rPr>
          <w:rFonts w:ascii="Times New Roman" w:hAnsi="Times New Roman" w:cs="Times New Roman"/>
          <w:sz w:val="24"/>
          <w:szCs w:val="24"/>
        </w:rPr>
        <w:t>H</w:t>
      </w:r>
      <w:r w:rsidR="00241988">
        <w:rPr>
          <w:rFonts w:ascii="Times New Roman" w:hAnsi="Times New Roman" w:cs="Times New Roman"/>
          <w:sz w:val="24"/>
          <w:szCs w:val="24"/>
        </w:rPr>
        <w:t>(</w:t>
      </w:r>
      <w:proofErr w:type="gramEnd"/>
      <w:r w:rsidR="00241988">
        <w:rPr>
          <w:rFonts w:ascii="Times New Roman" w:hAnsi="Times New Roman" w:cs="Times New Roman"/>
          <w:sz w:val="24"/>
          <w:szCs w:val="24"/>
        </w:rPr>
        <w:t>0)</w:t>
      </w:r>
      <w:r w:rsidRPr="003609FB">
        <w:rPr>
          <w:rFonts w:ascii="Times New Roman" w:hAnsi="Times New Roman" w:cs="Times New Roman"/>
          <w:sz w:val="24"/>
          <w:szCs w:val="24"/>
        </w:rPr>
        <w:t xml:space="preserve"> = 0)</w:t>
      </w:r>
      <w:r w:rsidR="006F1469">
        <w:rPr>
          <w:rFonts w:ascii="Times New Roman" w:hAnsi="Times New Roman" w:cs="Times New Roman"/>
          <w:sz w:val="24"/>
          <w:szCs w:val="24"/>
        </w:rPr>
        <w:t>)</w:t>
      </w:r>
      <w:r w:rsidRPr="003609FB">
        <w:rPr>
          <w:rFonts w:ascii="Times New Roman" w:hAnsi="Times New Roman" w:cs="Times New Roman"/>
          <w:sz w:val="24"/>
          <w:szCs w:val="24"/>
        </w:rPr>
        <w:t xml:space="preserve"> and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dominates.</w:t>
      </w:r>
      <w:r w:rsidR="00A2561F">
        <w:rPr>
          <w:rFonts w:ascii="Times New Roman" w:hAnsi="Times New Roman" w:cs="Times New Roman"/>
          <w:sz w:val="24"/>
          <w:szCs w:val="24"/>
        </w:rPr>
        <w:t xml:space="preserve"> </w:t>
      </w:r>
      <w:r w:rsidRPr="003609FB">
        <w:rPr>
          <w:rFonts w:ascii="Times New Roman" w:hAnsi="Times New Roman" w:cs="Times New Roman"/>
          <w:sz w:val="24"/>
          <w:szCs w:val="24"/>
        </w:rPr>
        <w:t xml:space="preserve">However, when we put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in an environment where there is a cost to nutrient affinity in the form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susceptibility (</w:t>
      </w:r>
      <w:r w:rsidR="00913734" w:rsidRPr="00D91A5C">
        <w:rPr>
          <w:rFonts w:ascii="Times New Roman" w:hAnsi="Times New Roman" w:cs="Times New Roman"/>
          <w:i/>
          <w:iCs/>
          <w:sz w:val="24"/>
          <w:szCs w:val="24"/>
        </w:rPr>
        <w:t>i.e</w:t>
      </w:r>
      <w:r w:rsidR="00913734" w:rsidRPr="003609FB">
        <w:rPr>
          <w:rFonts w:ascii="Times New Roman" w:hAnsi="Times New Roman" w:cs="Times New Roman"/>
          <w:sz w:val="24"/>
          <w:szCs w:val="24"/>
        </w:rPr>
        <w:t>.,</w:t>
      </w:r>
      <w:r w:rsidRPr="003609FB">
        <w:rPr>
          <w:rFonts w:ascii="Times New Roman" w:hAnsi="Times New Roman" w:cs="Times New Roman"/>
          <w:sz w:val="24"/>
          <w:szCs w:val="24"/>
        </w:rPr>
        <w:t xml:space="preserve"> catalase loss from evolutionary streamlining) it is clear, that nutrient success alone is not sufficient to allow survival when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non-zero, as is true in the oligotrophic ocean.</w:t>
      </w:r>
      <w:r w:rsidR="00A2561F">
        <w:rPr>
          <w:rFonts w:ascii="Times New Roman" w:hAnsi="Times New Roman" w:cs="Times New Roman"/>
          <w:sz w:val="24"/>
          <w:szCs w:val="24"/>
        </w:rPr>
        <w:t xml:space="preserve"> </w:t>
      </w:r>
      <w:r w:rsidRPr="003609FB">
        <w:rPr>
          <w:rFonts w:ascii="Times New Roman" w:hAnsi="Times New Roman" w:cs="Times New Roman"/>
          <w:sz w:val="24"/>
          <w:szCs w:val="24"/>
        </w:rPr>
        <w:t xml:space="preserve">While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has optimized its ability to obtain ammonia,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can utilize sources of nitrogen, such as nitrate, that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cannot access </w:t>
      </w:r>
      <w:r w:rsidR="008856C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{"citationID":"ZamohtjI","properties":{"formattedCitation":"(Garcia-Fernandez, de Marsac, and Diez 2004)","plainCitation":"(Garcia-Fernandez, de Marsac, and Diez 2004)","noteIndex":0},"citationItems":[{"id":92,"uris":["http://zotero.org/users/6128296/items/NBRTUMCT"],"itemData":{"id":92,"type":"article-journal","container-title":"Microbiology and Molecular Biology Reviews","DOI":"10.1128/MMBR.68.4.630-638.2004","ISSN":"1092-2172","issue":"4","journalAbbreviation":"Microbiology and Molecular Biology Reviews","language":"en","page":"630-638","source":"DOI.org (Crossref)","title":"Streamlined Regulation and Gene Loss as Adaptive Mechanisms in Prochlorococcus for Optimized Nitrogen Utilization in Oligotrophic Environments","volume":"68","author":[{"family":"Garcia-Fernandez","given":""},{"family":"Marsac","given":"N. T.","non-dropping-particle":"de"},{"family":"Diez","given":"J."}],"issued":{"date-parts":[["2004",12,1]]}}}],"schema":"https://github.com/citation-style-language/schema/raw/master/csl-citation.json"} </w:instrText>
      </w:r>
      <w:r w:rsidR="008856C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(Garcia-Fernandez, de Marsac, and Diez 2004)</w:t>
      </w:r>
      <w:r w:rsidR="008856CE" w:rsidRPr="003609FB">
        <w:rPr>
          <w:rFonts w:ascii="Times New Roman" w:hAnsi="Times New Roman" w:cs="Times New Roman"/>
          <w:sz w:val="24"/>
          <w:szCs w:val="24"/>
        </w:rPr>
        <w:fldChar w:fldCharType="end"/>
      </w:r>
      <w:r w:rsidR="00365D9C">
        <w:rPr>
          <w:rFonts w:ascii="Times New Roman" w:hAnsi="Times New Roman" w:cs="Times New Roman"/>
          <w:sz w:val="24"/>
          <w:szCs w:val="24"/>
        </w:rPr>
        <w:t xml:space="preserve"> thus this </w:t>
      </w:r>
      <w:r w:rsidR="00365D9C" w:rsidRPr="00365D9C">
        <w:rPr>
          <w:rFonts w:ascii="Times New Roman" w:hAnsi="Times New Roman" w:cs="Times New Roman"/>
          <w:i/>
          <w:iCs/>
          <w:sz w:val="24"/>
          <w:szCs w:val="24"/>
        </w:rPr>
        <w:t>in silico</w:t>
      </w:r>
      <w:r w:rsidR="00365D9C">
        <w:rPr>
          <w:rFonts w:ascii="Times New Roman" w:hAnsi="Times New Roman" w:cs="Times New Roman"/>
          <w:sz w:val="24"/>
          <w:szCs w:val="24"/>
        </w:rPr>
        <w:t xml:space="preserve"> scenario allowed for the isolation of interactions that cannot isolated directly from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365D9C" w:rsidRPr="00365D9C">
        <w:rPr>
          <w:rFonts w:ascii="Times New Roman" w:hAnsi="Times New Roman" w:cs="Times New Roman"/>
          <w:sz w:val="24"/>
          <w:szCs w:val="24"/>
        </w:rPr>
        <w:t xml:space="preserve">sampling. </w:t>
      </w:r>
      <w:r w:rsidRPr="003609FB">
        <w:rPr>
          <w:rFonts w:ascii="Times New Roman" w:hAnsi="Times New Roman" w:cs="Times New Roman"/>
          <w:sz w:val="24"/>
          <w:szCs w:val="24"/>
        </w:rPr>
        <w:t xml:space="preserve">Different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8856CE"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{"citationID":"1MCR6HVG","properties":{"formattedCitation":"(Berube et al. 2023)","plainCitation":"(Berube et al. 2023)","noteIndex":0},"citationItems":[{"id":3722,"uris":["http://zotero.org/users/6128296/items/66DX874V"],"itemData":{"id":3722,"type":"article-journal","abstract":"Prochlorococcus is an abundant photosynthetic bacterium in the open ocean, where nitrogen (N) often limits phytoplankton growth. In the low-light-adapted LLI clade of Prochlorococcus, nearly all cells can assimilate nitrite (NO2−), with a subset capable of assimilating nitrate (NO3−). LLI cells are maximally abundant near the primary NO2− maximum layer, an oceanographic feature that may, in part, be due to incom­ plete assimilatory NO3− reduction and subsequent NO2− release by phytoplankton. We hypothesized that some Prochlorococcus exhibit incomplete assimilatory NO3− reduction and examined NO2− accumulation in cultures of three Prochlorococcus strains (MIT0915, MIT0917, and SB) and two Synechococcus strains (WH8102 and WH7803). Only MIT0917 and SB accumulated external NO2− during growth on NO3−. Approximately 20–30% of the NO3− transported into the cell by MIT0917 was released as NO2−, with the rest assimilated into biomass. We further observed that co-cultures using NO3− as the sole N source could be established for MIT0917 and Prochlorococcus strain MIT1214 that can assimilate NO2− but not NO3−. In these co-cultures, the NO2− released by MIT0917 is efficiently consumed by its partner strain, MIT1214. Our findings highlight the poten­ tial for emergent metabolic partnerships that are mediated by the production and consumption of N cycle intermediates within Prochlorococcus populations.","container-title":"mBio","DOI":"10.1128/mbio.01236-23","ISSN":"2150-7511","journalAbbreviation":"mBio","language":"en","page":"e01236-23","source":"DOI.org (Crossref)","title":"Production and cross-feeding of nitrite within &lt;i&gt;Prochlorococcus&lt;/i&gt; populations","author":[{"family":"Berube","given":""},{"family":"O'Keefe","given":"Tyler J."},{"family":"Rasmussen","given":"Anna"},{"family":"LeMaster","given":"Trent"},{"family":"Chisholm","given":"Sallie W."}],"editor":[{"family":"Dubilier","given":"Nicole"}],"issued":{"date-parts":[["2023",7,5]]}}}],"schema":"https://github.com/citation-style-language/schema/raw/master/csl-citation.json"} </w:instrText>
      </w:r>
      <w:r w:rsidR="008856C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2023)</w:t>
      </w:r>
      <w:r w:rsidR="008856CE" w:rsidRPr="003609FB">
        <w:rPr>
          <w:rFonts w:ascii="Times New Roman" w:hAnsi="Times New Roman" w:cs="Times New Roman"/>
          <w:sz w:val="24"/>
          <w:szCs w:val="24"/>
        </w:rPr>
        <w:fldChar w:fldCharType="end"/>
      </w:r>
      <w:r w:rsidR="008856CE"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or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ecotypes </w:t>
      </w:r>
      <w:r w:rsidR="008856CE"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{"citationID":"AM1of2X9","properties":{"formattedCitation":"(Masuda et al. 2023)","plainCitation":"(Masuda et al. 2023)","noteIndex":0},"citationItems":[{"id":3707,"uris":["http://zotero.org/users/6128296/items/LYVJQAKR"],"itemData":{"id":3707,"type":"article-journal","abstract":"Prochlorococcus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Ying"}],"issued":{"date-parts":[["2023",8,17]]}}}],"schema":"https://github.com/citation-style-language/schema/raw/master/csl-citation.json"} </w:instrText>
      </w:r>
      <w:r w:rsidR="008856C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(Masuda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2023)</w:t>
      </w:r>
      <w:r w:rsidR="008856CE" w:rsidRPr="003609FB">
        <w:rPr>
          <w:rFonts w:ascii="Times New Roman" w:hAnsi="Times New Roman" w:cs="Times New Roman"/>
          <w:sz w:val="24"/>
          <w:szCs w:val="24"/>
        </w:rPr>
        <w:fldChar w:fldCharType="end"/>
      </w:r>
      <w:r w:rsidR="008856CE" w:rsidRPr="003609FB">
        <w:rPr>
          <w:rFonts w:ascii="Times New Roman" w:hAnsi="Times New Roman" w:cs="Times New Roman"/>
          <w:sz w:val="24"/>
          <w:szCs w:val="24"/>
        </w:rPr>
        <w:t xml:space="preserve"> </w:t>
      </w:r>
      <w:r w:rsidRPr="003609FB">
        <w:rPr>
          <w:rFonts w:ascii="Times New Roman" w:hAnsi="Times New Roman" w:cs="Times New Roman"/>
          <w:sz w:val="24"/>
          <w:szCs w:val="24"/>
        </w:rPr>
        <w:t>can coexist on different N sources (with NO</w:t>
      </w:r>
      <w:r w:rsidRPr="00A2561F">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or NO</w:t>
      </w:r>
      <w:r w:rsidRPr="00A2561F">
        <w:rPr>
          <w:rFonts w:ascii="Times New Roman" w:hAnsi="Times New Roman" w:cs="Times New Roman"/>
          <w:sz w:val="24"/>
          <w:szCs w:val="24"/>
          <w:vertAlign w:val="subscript"/>
        </w:rPr>
        <w:t>3</w:t>
      </w:r>
      <w:r w:rsidRPr="003609FB">
        <w:rPr>
          <w:rFonts w:ascii="Times New Roman" w:hAnsi="Times New Roman" w:cs="Times New Roman"/>
          <w:sz w:val="24"/>
          <w:szCs w:val="24"/>
        </w:rPr>
        <w:t xml:space="preserve"> adding niche room for coexistence), with the phenomenon modeled by Masuda alongside ecologically relevant data. Our results provide context to the competition dynamics that allow coexistence on a shared </w:t>
      </w:r>
      <w:r w:rsidR="000C4DF8">
        <w:rPr>
          <w:rFonts w:ascii="Times New Roman" w:hAnsi="Times New Roman" w:cs="Times New Roman"/>
          <w:sz w:val="24"/>
          <w:szCs w:val="24"/>
        </w:rPr>
        <w:t>ammonium (</w:t>
      </w:r>
      <w:r w:rsidRPr="003609FB">
        <w:rPr>
          <w:rFonts w:ascii="Times New Roman" w:hAnsi="Times New Roman" w:cs="Times New Roman"/>
          <w:sz w:val="24"/>
          <w:szCs w:val="24"/>
        </w:rPr>
        <w:t>N</w:t>
      </w:r>
      <w:r w:rsidR="000C4DF8">
        <w:rPr>
          <w:rFonts w:ascii="Times New Roman" w:hAnsi="Times New Roman" w:cs="Times New Roman"/>
          <w:sz w:val="24"/>
          <w:szCs w:val="24"/>
        </w:rPr>
        <w:t>)</w:t>
      </w:r>
      <w:r w:rsidRPr="003609FB">
        <w:rPr>
          <w:rFonts w:ascii="Times New Roman" w:hAnsi="Times New Roman" w:cs="Times New Roman"/>
          <w:sz w:val="24"/>
          <w:szCs w:val="24"/>
        </w:rPr>
        <w:t xml:space="preserve"> source. </w:t>
      </w:r>
    </w:p>
    <w:p w14:paraId="47A488CF" w14:textId="3EEB885C" w:rsidR="00B351A0" w:rsidRPr="003609FB" w:rsidRDefault="00B351A0"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Non-leaky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causes the predicted dynamic outcomes to switch from </w:t>
      </w:r>
      <w:r w:rsidR="00941176" w:rsidRPr="003609FB">
        <w:rPr>
          <w:rFonts w:ascii="Times New Roman" w:hAnsi="Times New Roman" w:cs="Times New Roman"/>
          <w:sz w:val="24"/>
          <w:szCs w:val="24"/>
        </w:rPr>
        <w:t xml:space="preserve">competitive exclusion of </w:t>
      </w:r>
      <w:proofErr w:type="spellStart"/>
      <w:r w:rsidR="00691B65" w:rsidRPr="00691B65">
        <w:rPr>
          <w:rFonts w:ascii="Times New Roman" w:hAnsi="Times New Roman" w:cs="Times New Roman"/>
          <w:i/>
          <w:iCs/>
          <w:sz w:val="24"/>
          <w:szCs w:val="24"/>
        </w:rPr>
        <w:t>Synechococcus</w:t>
      </w:r>
      <w:proofErr w:type="spellEnd"/>
      <w:r w:rsidR="00941176" w:rsidRPr="003609FB">
        <w:rPr>
          <w:rFonts w:ascii="Times New Roman" w:hAnsi="Times New Roman" w:cs="Times New Roman"/>
          <w:sz w:val="24"/>
          <w:szCs w:val="24"/>
        </w:rPr>
        <w:t xml:space="preserve"> to the competitive exclusion of </w:t>
      </w:r>
      <w:r w:rsidR="00691B65" w:rsidRPr="00691B65">
        <w:rPr>
          <w:rFonts w:ascii="Times New Roman" w:hAnsi="Times New Roman" w:cs="Times New Roman"/>
          <w:i/>
          <w:iCs/>
          <w:sz w:val="24"/>
          <w:szCs w:val="24"/>
        </w:rPr>
        <w:t>Prochlorococcus</w:t>
      </w:r>
      <w:r w:rsidR="00941176" w:rsidRPr="003609FB">
        <w:rPr>
          <w:rFonts w:ascii="Times New Roman" w:hAnsi="Times New Roman" w:cs="Times New Roman"/>
          <w:sz w:val="24"/>
          <w:szCs w:val="24"/>
        </w:rPr>
        <w:t>.</w:t>
      </w:r>
      <w:r w:rsidRPr="003609FB">
        <w:rPr>
          <w:rFonts w:ascii="Times New Roman" w:hAnsi="Times New Roman" w:cs="Times New Roman"/>
          <w:sz w:val="24"/>
          <w:szCs w:val="24"/>
        </w:rPr>
        <w:t xml:space="preserve"> In this </w:t>
      </w:r>
      <w:r w:rsidRPr="003609FB">
        <w:rPr>
          <w:rFonts w:ascii="Times New Roman" w:hAnsi="Times New Roman" w:cs="Times New Roman"/>
          <w:sz w:val="24"/>
          <w:szCs w:val="24"/>
        </w:rPr>
        <w:lastRenderedPageBreak/>
        <w:t xml:space="preserve">case, ‘non-leaky’ detox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keeps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safe but does not allow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to reap the benefit of community detox. (This is done </w:t>
      </w:r>
      <w:r w:rsidR="00D378FC">
        <w:rPr>
          <w:rFonts w:ascii="Times New Roman" w:hAnsi="Times New Roman" w:cs="Times New Roman"/>
          <w:sz w:val="24"/>
          <w:szCs w:val="24"/>
        </w:rPr>
        <w:t>practically</w:t>
      </w:r>
      <w:r w:rsidRPr="003609FB">
        <w:rPr>
          <w:rFonts w:ascii="Times New Roman" w:hAnsi="Times New Roman" w:cs="Times New Roman"/>
          <w:sz w:val="24"/>
          <w:szCs w:val="24"/>
        </w:rPr>
        <w:t xml:space="preserve"> with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2905FC">
        <w:rPr>
          <w:rFonts w:ascii="Times New Roman" w:hAnsi="Times New Roman" w:cs="Times New Roman"/>
          <w:sz w:val="24"/>
          <w:szCs w:val="24"/>
        </w:rPr>
        <w:t xml:space="preserve">ODE </w:t>
      </w:r>
      <w:r w:rsidR="00D378FC">
        <w:rPr>
          <w:rFonts w:ascii="Times New Roman" w:hAnsi="Times New Roman" w:cs="Times New Roman"/>
          <w:sz w:val="24"/>
          <w:szCs w:val="24"/>
        </w:rPr>
        <w:t>dynamics</w:t>
      </w:r>
      <w:r w:rsidR="002905FC">
        <w:rPr>
          <w:rFonts w:ascii="Times New Roman" w:hAnsi="Times New Roman" w:cs="Times New Roman"/>
          <w:sz w:val="24"/>
          <w:szCs w:val="24"/>
        </w:rPr>
        <w:t xml:space="preserve"> containing</w:t>
      </w:r>
      <w:r w:rsidRPr="003609FB">
        <w:rPr>
          <w:rFonts w:ascii="Times New Roman" w:hAnsi="Times New Roman" w:cs="Times New Roman"/>
          <w:sz w:val="24"/>
          <w:szCs w:val="24"/>
        </w:rPr>
        <w:t xml:space="preserve"> no </w:t>
      </w:r>
      <w:r w:rsidR="002905FC" w:rsidRPr="003609FB">
        <w:rPr>
          <w:rFonts w:ascii="Times New Roman" w:hAnsi="Times New Roman" w:cs="Times New Roman"/>
          <w:sz w:val="24"/>
          <w:szCs w:val="24"/>
        </w:rPr>
        <w:t>H</w:t>
      </w:r>
      <w:r w:rsidR="002905FC" w:rsidRPr="00351FC4">
        <w:rPr>
          <w:rFonts w:ascii="Times New Roman" w:hAnsi="Times New Roman" w:cs="Times New Roman"/>
          <w:sz w:val="24"/>
          <w:szCs w:val="24"/>
          <w:vertAlign w:val="subscript"/>
        </w:rPr>
        <w:t>2</w:t>
      </w:r>
      <w:r w:rsidR="002905FC" w:rsidRPr="003609FB">
        <w:rPr>
          <w:rFonts w:ascii="Times New Roman" w:hAnsi="Times New Roman" w:cs="Times New Roman"/>
          <w:sz w:val="24"/>
          <w:szCs w:val="24"/>
        </w:rPr>
        <w:t>O</w:t>
      </w:r>
      <w:r w:rsidR="002905FC" w:rsidRPr="00351FC4">
        <w:rPr>
          <w:rFonts w:ascii="Times New Roman" w:hAnsi="Times New Roman" w:cs="Times New Roman"/>
          <w:sz w:val="24"/>
          <w:szCs w:val="24"/>
          <w:vertAlign w:val="subscript"/>
        </w:rPr>
        <w:t>2</w:t>
      </w:r>
      <w:r w:rsidR="002905FC">
        <w:rPr>
          <w:rFonts w:ascii="Times New Roman" w:hAnsi="Times New Roman" w:cs="Times New Roman"/>
          <w:sz w:val="24"/>
          <w:szCs w:val="24"/>
          <w:vertAlign w:val="subscript"/>
        </w:rPr>
        <w:t xml:space="preserve"> -</w:t>
      </w:r>
      <w:r w:rsidR="002905FC" w:rsidRPr="002905FC">
        <w:rPr>
          <w:rFonts w:ascii="Times New Roman" w:hAnsi="Times New Roman" w:cs="Times New Roman"/>
          <w:sz w:val="24"/>
          <w:szCs w:val="24"/>
        </w:rPr>
        <w:t xml:space="preserve">based </w:t>
      </w:r>
      <w:r w:rsidR="002905FC">
        <w:rPr>
          <w:rFonts w:ascii="Times New Roman" w:hAnsi="Times New Roman" w:cs="Times New Roman"/>
          <w:sz w:val="24"/>
          <w:szCs w:val="24"/>
        </w:rPr>
        <w:t>damage rate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dam,s</m:t>
            </m:r>
          </m:sub>
        </m:sSub>
        <m:r>
          <w:rPr>
            <w:rFonts w:ascii="Cambria Math" w:hAnsi="Cambria Math" w:cs="Times New Roman"/>
            <w:sz w:val="24"/>
            <w:szCs w:val="24"/>
          </w:rPr>
          <m:t>)</m:t>
        </m:r>
      </m:oMath>
      <w:r w:rsidRPr="003609FB">
        <w:rPr>
          <w:rFonts w:ascii="Times New Roman" w:hAnsi="Times New Roman" w:cs="Times New Roman"/>
          <w:sz w:val="24"/>
          <w:szCs w:val="24"/>
        </w:rPr>
        <w:t xml:space="preserve"> and </w:t>
      </w:r>
      <w:r w:rsidR="00A2561F">
        <w:rPr>
          <w:rFonts w:ascii="Times New Roman" w:hAnsi="Times New Roman" w:cs="Times New Roman"/>
          <w:sz w:val="24"/>
          <w:szCs w:val="24"/>
        </w:rPr>
        <w:t>the ODE controlling H (See equations 3.1-3.5)</w:t>
      </w:r>
      <w:r w:rsidRPr="003609FB">
        <w:rPr>
          <w:rFonts w:ascii="Times New Roman" w:hAnsi="Times New Roman" w:cs="Times New Roman"/>
          <w:sz w:val="24"/>
          <w:szCs w:val="24"/>
        </w:rPr>
        <w:t xml:space="preserve"> having no biotic detoxification term.) Thus,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is ‘agnostic’ to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leaves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to be damaged by the external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w:t>
      </w:r>
      <w:r w:rsidR="00A10215">
        <w:rPr>
          <w:rFonts w:ascii="Times New Roman" w:hAnsi="Times New Roman" w:cs="Times New Roman"/>
          <w:sz w:val="24"/>
          <w:szCs w:val="24"/>
        </w:rPr>
        <w:t xml:space="preserve"> </w:t>
      </w:r>
      <w:r w:rsidRPr="003609FB">
        <w:rPr>
          <w:rFonts w:ascii="Times New Roman" w:hAnsi="Times New Roman" w:cs="Times New Roman"/>
          <w:sz w:val="24"/>
          <w:szCs w:val="24"/>
        </w:rPr>
        <w:t xml:space="preserve">Despite </w:t>
      </w:r>
      <w:r w:rsidR="00691B65" w:rsidRPr="00691B65">
        <w:rPr>
          <w:rFonts w:ascii="Times New Roman" w:hAnsi="Times New Roman" w:cs="Times New Roman"/>
          <w:i/>
          <w:iCs/>
          <w:sz w:val="24"/>
          <w:szCs w:val="24"/>
        </w:rPr>
        <w:t>Prochlorococcus</w:t>
      </w:r>
      <w:r w:rsidR="00A10215">
        <w:rPr>
          <w:rFonts w:ascii="Times New Roman" w:hAnsi="Times New Roman" w:cs="Times New Roman"/>
          <w:sz w:val="24"/>
          <w:szCs w:val="24"/>
        </w:rPr>
        <w:t xml:space="preserve">’ </w:t>
      </w:r>
      <w:r w:rsidRPr="003609FB">
        <w:rPr>
          <w:rFonts w:ascii="Times New Roman" w:hAnsi="Times New Roman" w:cs="Times New Roman"/>
          <w:sz w:val="24"/>
          <w:szCs w:val="24"/>
        </w:rPr>
        <w:t xml:space="preserve">superior nutrient affinity, this burden of toxic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too much for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to overcome. Omar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3C0845" w:rsidRPr="003609FB">
        <w:rPr>
          <w:rFonts w:ascii="Times New Roman" w:hAnsi="Times New Roman" w:cs="Times New Roman"/>
          <w:sz w:val="24"/>
          <w:szCs w:val="24"/>
        </w:rPr>
        <w:t>(</w:t>
      </w:r>
      <w:r w:rsidRPr="003609FB">
        <w:rPr>
          <w:rFonts w:ascii="Times New Roman" w:hAnsi="Times New Roman" w:cs="Times New Roman"/>
          <w:sz w:val="24"/>
          <w:szCs w:val="24"/>
        </w:rPr>
        <w:t>2022</w:t>
      </w:r>
      <w:r w:rsidR="003C0845" w:rsidRPr="003609FB">
        <w:rPr>
          <w:rFonts w:ascii="Times New Roman" w:hAnsi="Times New Roman" w:cs="Times New Roman"/>
          <w:sz w:val="24"/>
          <w:szCs w:val="24"/>
        </w:rPr>
        <w:t>)</w:t>
      </w:r>
      <w:r w:rsidRPr="003609FB">
        <w:rPr>
          <w:rFonts w:ascii="Times New Roman" w:hAnsi="Times New Roman" w:cs="Times New Roman"/>
          <w:sz w:val="24"/>
          <w:szCs w:val="24"/>
        </w:rPr>
        <w:t xml:space="preserve"> showed that diffusional and spatial properties of the oligotrophic environment make it unlikely that microbes receive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w:t>
      </w:r>
      <w:r w:rsidR="00A10215">
        <w:rPr>
          <w:rFonts w:ascii="Times New Roman" w:hAnsi="Times New Roman" w:cs="Times New Roman"/>
          <w:sz w:val="24"/>
          <w:szCs w:val="24"/>
        </w:rPr>
        <w:t>ification</w:t>
      </w:r>
      <w:r w:rsidRPr="003609FB">
        <w:rPr>
          <w:rFonts w:ascii="Times New Roman" w:hAnsi="Times New Roman" w:cs="Times New Roman"/>
          <w:sz w:val="24"/>
          <w:szCs w:val="24"/>
        </w:rPr>
        <w:t xml:space="preserve"> help directly via cell</w:t>
      </w:r>
      <w:r w:rsidR="00A10215">
        <w:rPr>
          <w:rFonts w:ascii="Times New Roman" w:hAnsi="Times New Roman" w:cs="Times New Roman"/>
          <w:sz w:val="24"/>
          <w:szCs w:val="24"/>
        </w:rPr>
        <w:t xml:space="preserve"> contact but rather through diffusive</w:t>
      </w:r>
      <w:r w:rsidRPr="003609FB">
        <w:rPr>
          <w:rFonts w:ascii="Times New Roman" w:hAnsi="Times New Roman" w:cs="Times New Roman"/>
          <w:sz w:val="24"/>
          <w:szCs w:val="24"/>
        </w:rPr>
        <w:t xml:space="preserve"> interactions Thus, we suspect our current form of inadvertent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is a good fit biologically and mathematically for this system.</w:t>
      </w:r>
      <w:r w:rsidR="007C798D" w:rsidRPr="007C798D">
        <w:rPr>
          <w:rFonts w:ascii="Times New Roman" w:hAnsi="Times New Roman" w:cs="Times New Roman"/>
          <w:sz w:val="24"/>
          <w:szCs w:val="24"/>
        </w:rPr>
        <w:t xml:space="preserve"> </w:t>
      </w:r>
      <w:r w:rsidR="007F3176" w:rsidRPr="003609FB">
        <w:rPr>
          <w:rFonts w:ascii="Times New Roman" w:hAnsi="Times New Roman" w:cs="Times New Roman"/>
          <w:sz w:val="24"/>
          <w:szCs w:val="24"/>
        </w:rPr>
        <w:t>We assess</w:t>
      </w:r>
      <w:r w:rsidR="007F3176">
        <w:rPr>
          <w:rFonts w:ascii="Times New Roman" w:hAnsi="Times New Roman" w:cs="Times New Roman"/>
          <w:sz w:val="24"/>
          <w:szCs w:val="24"/>
        </w:rPr>
        <w:t>ed</w:t>
      </w:r>
      <w:r w:rsidR="007F3176" w:rsidRPr="003609FB">
        <w:rPr>
          <w:rFonts w:ascii="Times New Roman" w:hAnsi="Times New Roman" w:cs="Times New Roman"/>
          <w:sz w:val="24"/>
          <w:szCs w:val="24"/>
        </w:rPr>
        <w:t xml:space="preserve"> our </w:t>
      </w:r>
      <w:r w:rsidR="007F3176">
        <w:rPr>
          <w:rFonts w:ascii="Times New Roman" w:hAnsi="Times New Roman" w:cs="Times New Roman"/>
          <w:sz w:val="24"/>
          <w:szCs w:val="24"/>
        </w:rPr>
        <w:t xml:space="preserve">non-leaky </w:t>
      </w:r>
      <w:r w:rsidR="007F3176" w:rsidRPr="003609FB">
        <w:rPr>
          <w:rFonts w:ascii="Times New Roman" w:hAnsi="Times New Roman" w:cs="Times New Roman"/>
          <w:sz w:val="24"/>
          <w:szCs w:val="24"/>
        </w:rPr>
        <w:t>framework</w:t>
      </w:r>
      <w:r w:rsidR="007F3176">
        <w:rPr>
          <w:rFonts w:ascii="Times New Roman" w:hAnsi="Times New Roman" w:cs="Times New Roman"/>
          <w:sz w:val="24"/>
          <w:szCs w:val="24"/>
        </w:rPr>
        <w:t>’s</w:t>
      </w:r>
      <w:r w:rsidR="007F3176" w:rsidRPr="003609FB">
        <w:rPr>
          <w:rFonts w:ascii="Times New Roman" w:hAnsi="Times New Roman" w:cs="Times New Roman"/>
          <w:sz w:val="24"/>
          <w:szCs w:val="24"/>
        </w:rPr>
        <w:t xml:space="preserve"> ability to capture </w:t>
      </w:r>
      <w:r w:rsidR="007F3176" w:rsidRPr="007F3176">
        <w:rPr>
          <w:rFonts w:ascii="Times" w:hAnsi="Times" w:cs="Times New Roman"/>
          <w:i/>
          <w:iCs/>
          <w:color w:val="000000" w:themeColor="text1"/>
          <w:sz w:val="24"/>
          <w:szCs w:val="24"/>
        </w:rPr>
        <w:t>Prochlorococcus</w:t>
      </w:r>
      <w:r w:rsidR="007F3176">
        <w:rPr>
          <w:rFonts w:ascii="Times New Roman" w:hAnsi="Times New Roman" w:cs="Times New Roman"/>
          <w:sz w:val="24"/>
          <w:szCs w:val="24"/>
        </w:rPr>
        <w:t xml:space="preserve"> and </w:t>
      </w:r>
      <w:proofErr w:type="spellStart"/>
      <w:r w:rsidR="007F3176" w:rsidRPr="007F3176">
        <w:rPr>
          <w:rFonts w:ascii="Times" w:hAnsi="Times" w:cs="Times New Roman"/>
          <w:i/>
          <w:iCs/>
          <w:color w:val="000000" w:themeColor="text1"/>
          <w:sz w:val="24"/>
          <w:szCs w:val="24"/>
        </w:rPr>
        <w:t>Synechococcus</w:t>
      </w:r>
      <w:proofErr w:type="spellEnd"/>
      <w:r w:rsidR="007F3176">
        <w:rPr>
          <w:rFonts w:ascii="Times New Roman" w:hAnsi="Times New Roman" w:cs="Times New Roman"/>
          <w:sz w:val="24"/>
          <w:szCs w:val="24"/>
        </w:rPr>
        <w:t xml:space="preserve"> </w:t>
      </w:r>
      <w:r w:rsidR="007F3176" w:rsidRPr="003609FB">
        <w:rPr>
          <w:rFonts w:ascii="Times New Roman" w:hAnsi="Times New Roman" w:cs="Times New Roman"/>
          <w:sz w:val="24"/>
          <w:szCs w:val="24"/>
        </w:rPr>
        <w:t>competitive interactions</w:t>
      </w:r>
      <w:r w:rsidR="007F3176">
        <w:rPr>
          <w:rFonts w:ascii="Times New Roman" w:hAnsi="Times New Roman" w:cs="Times New Roman"/>
          <w:sz w:val="24"/>
          <w:szCs w:val="24"/>
        </w:rPr>
        <w:t xml:space="preserve"> across ranges of nutrient and </w:t>
      </w:r>
      <w:r w:rsidR="007F3176" w:rsidRPr="003609FB">
        <w:rPr>
          <w:rFonts w:ascii="Times New Roman" w:hAnsi="Times New Roman" w:cs="Times New Roman"/>
          <w:sz w:val="24"/>
          <w:szCs w:val="24"/>
        </w:rPr>
        <w:t>H</w:t>
      </w:r>
      <w:r w:rsidR="007F3176" w:rsidRPr="00351FC4">
        <w:rPr>
          <w:rFonts w:ascii="Times New Roman" w:hAnsi="Times New Roman" w:cs="Times New Roman"/>
          <w:sz w:val="24"/>
          <w:szCs w:val="24"/>
          <w:vertAlign w:val="subscript"/>
        </w:rPr>
        <w:t>2</w:t>
      </w:r>
      <w:r w:rsidR="007F3176" w:rsidRPr="003609FB">
        <w:rPr>
          <w:rFonts w:ascii="Times New Roman" w:hAnsi="Times New Roman" w:cs="Times New Roman"/>
          <w:sz w:val="24"/>
          <w:szCs w:val="24"/>
        </w:rPr>
        <w:t>O</w:t>
      </w:r>
      <w:r w:rsidR="007F3176" w:rsidRPr="00351FC4">
        <w:rPr>
          <w:rFonts w:ascii="Times New Roman" w:hAnsi="Times New Roman" w:cs="Times New Roman"/>
          <w:sz w:val="24"/>
          <w:szCs w:val="24"/>
          <w:vertAlign w:val="subscript"/>
        </w:rPr>
        <w:t>2</w:t>
      </w:r>
      <w:r w:rsidR="007F3176">
        <w:rPr>
          <w:rFonts w:ascii="Times New Roman" w:hAnsi="Times New Roman" w:cs="Times New Roman"/>
          <w:sz w:val="24"/>
          <w:szCs w:val="24"/>
          <w:vertAlign w:val="subscript"/>
        </w:rPr>
        <w:t xml:space="preserve"> </w:t>
      </w:r>
      <w:r w:rsidR="007F3176" w:rsidRPr="00365D9C">
        <w:rPr>
          <w:rFonts w:ascii="Times New Roman" w:hAnsi="Times New Roman" w:cs="Times New Roman"/>
          <w:sz w:val="24"/>
          <w:szCs w:val="24"/>
        </w:rPr>
        <w:t>inputs,</w:t>
      </w:r>
      <w:r w:rsidR="007F3176">
        <w:rPr>
          <w:rFonts w:ascii="Times New Roman" w:hAnsi="Times New Roman" w:cs="Times New Roman"/>
          <w:sz w:val="24"/>
          <w:szCs w:val="24"/>
          <w:vertAlign w:val="subscript"/>
        </w:rPr>
        <w:t xml:space="preserve"> </w:t>
      </w:r>
      <w:r w:rsidR="007F3176">
        <w:rPr>
          <w:rFonts w:ascii="Times New Roman" w:hAnsi="Times New Roman" w:cs="Times New Roman"/>
          <w:sz w:val="24"/>
          <w:szCs w:val="24"/>
        </w:rPr>
        <w:t xml:space="preserve">reminiscent of a sampling transect across the surface marine environment. Despite the varied inputs, only two community outcomes were found to be possible withing a non-leaky </w:t>
      </w:r>
      <w:r w:rsidR="007F3176" w:rsidRPr="003609FB">
        <w:rPr>
          <w:rFonts w:ascii="Times New Roman" w:hAnsi="Times New Roman" w:cs="Times New Roman"/>
          <w:sz w:val="24"/>
          <w:szCs w:val="24"/>
        </w:rPr>
        <w:t>H</w:t>
      </w:r>
      <w:r w:rsidR="007F3176" w:rsidRPr="00351FC4">
        <w:rPr>
          <w:rFonts w:ascii="Times New Roman" w:hAnsi="Times New Roman" w:cs="Times New Roman"/>
          <w:sz w:val="24"/>
          <w:szCs w:val="24"/>
          <w:vertAlign w:val="subscript"/>
        </w:rPr>
        <w:t>2</w:t>
      </w:r>
      <w:r w:rsidR="007F3176" w:rsidRPr="003609FB">
        <w:rPr>
          <w:rFonts w:ascii="Times New Roman" w:hAnsi="Times New Roman" w:cs="Times New Roman"/>
          <w:sz w:val="24"/>
          <w:szCs w:val="24"/>
        </w:rPr>
        <w:t>O</w:t>
      </w:r>
      <w:r w:rsidR="007F3176" w:rsidRPr="00351FC4">
        <w:rPr>
          <w:rFonts w:ascii="Times New Roman" w:hAnsi="Times New Roman" w:cs="Times New Roman"/>
          <w:sz w:val="24"/>
          <w:szCs w:val="24"/>
          <w:vertAlign w:val="subscript"/>
        </w:rPr>
        <w:t>2</w:t>
      </w:r>
      <w:r w:rsidR="007F3176">
        <w:rPr>
          <w:rFonts w:ascii="Times New Roman" w:hAnsi="Times New Roman" w:cs="Times New Roman"/>
          <w:sz w:val="24"/>
          <w:szCs w:val="24"/>
          <w:vertAlign w:val="subscript"/>
        </w:rPr>
        <w:t xml:space="preserve"> </w:t>
      </w:r>
      <w:r w:rsidR="007F3176">
        <w:rPr>
          <w:rFonts w:ascii="Times New Roman" w:hAnsi="Times New Roman" w:cs="Times New Roman"/>
          <w:sz w:val="24"/>
          <w:szCs w:val="24"/>
        </w:rPr>
        <w:t>framework.</w:t>
      </w:r>
    </w:p>
    <w:p w14:paraId="0E2153C8" w14:textId="5BD25093" w:rsidR="00B351A0" w:rsidRPr="003609FB" w:rsidRDefault="00B351A0"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Detoxification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7F3176">
        <w:rPr>
          <w:rFonts w:ascii="Times New Roman" w:hAnsi="Times New Roman" w:cs="Times New Roman"/>
          <w:sz w:val="24"/>
          <w:szCs w:val="24"/>
        </w:rPr>
        <w:t xml:space="preserve">however is known to be </w:t>
      </w:r>
      <w:r w:rsidRPr="003609FB">
        <w:rPr>
          <w:rFonts w:ascii="Times New Roman" w:hAnsi="Times New Roman" w:cs="Times New Roman"/>
          <w:sz w:val="24"/>
          <w:szCs w:val="24"/>
        </w:rPr>
        <w:t xml:space="preserve">a leaky process, where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is detoxified by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 microbial community members. We were required to allow for </w:t>
      </w:r>
      <w:r w:rsidR="00C53240">
        <w:rPr>
          <w:rFonts w:ascii="Times New Roman" w:hAnsi="Times New Roman" w:cs="Times New Roman"/>
          <w:sz w:val="24"/>
          <w:szCs w:val="24"/>
        </w:rPr>
        <w:t xml:space="preserve">leaky </w:t>
      </w:r>
      <w:r w:rsidRPr="003609FB">
        <w:rPr>
          <w:rFonts w:ascii="Times New Roman" w:hAnsi="Times New Roman" w:cs="Times New Roman"/>
          <w:sz w:val="24"/>
          <w:szCs w:val="24"/>
        </w:rPr>
        <w:t xml:space="preserve">community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w:t>
      </w:r>
      <w:r w:rsidR="00C53240">
        <w:rPr>
          <w:rFonts w:ascii="Times New Roman" w:hAnsi="Times New Roman" w:cs="Times New Roman"/>
          <w:sz w:val="24"/>
          <w:szCs w:val="24"/>
        </w:rPr>
        <w:t xml:space="preserve"> first from </w:t>
      </w:r>
      <w:proofErr w:type="spellStart"/>
      <w:r w:rsidR="00C53240" w:rsidRPr="00C53240">
        <w:rPr>
          <w:rFonts w:ascii="Times" w:hAnsi="Times" w:cs="Times New Roman"/>
          <w:i/>
          <w:iCs/>
          <w:color w:val="000000" w:themeColor="text1"/>
          <w:sz w:val="24"/>
          <w:szCs w:val="24"/>
        </w:rPr>
        <w:t>Synechococcus</w:t>
      </w:r>
      <w:proofErr w:type="spellEnd"/>
      <w:r w:rsidR="00C53240">
        <w:rPr>
          <w:rFonts w:ascii="Times New Roman" w:hAnsi="Times New Roman" w:cs="Times New Roman"/>
          <w:sz w:val="24"/>
          <w:szCs w:val="24"/>
        </w:rPr>
        <w:t xml:space="preserve"> </w:t>
      </w:r>
      <w:r w:rsidR="001F5159">
        <w:rPr>
          <w:rFonts w:ascii="Times New Roman" w:hAnsi="Times New Roman" w:cs="Times New Roman"/>
          <w:sz w:val="24"/>
          <w:szCs w:val="24"/>
        </w:rPr>
        <w:t xml:space="preserve">alone, in case 3, </w:t>
      </w:r>
      <w:r w:rsidR="00C53240">
        <w:rPr>
          <w:rFonts w:ascii="Times New Roman" w:hAnsi="Times New Roman" w:cs="Times New Roman"/>
          <w:sz w:val="24"/>
          <w:szCs w:val="24"/>
        </w:rPr>
        <w:t>and then from heterotrophic bacteria</w:t>
      </w:r>
      <w:r w:rsidR="001F5159">
        <w:rPr>
          <w:rFonts w:ascii="Times New Roman" w:hAnsi="Times New Roman" w:cs="Times New Roman"/>
          <w:sz w:val="24"/>
          <w:szCs w:val="24"/>
        </w:rPr>
        <w:t>, in case 4, that were quantified with</w:t>
      </w:r>
      <w:r w:rsidR="00C53240">
        <w:rPr>
          <w:rFonts w:ascii="Times New Roman" w:hAnsi="Times New Roman" w:cs="Times New Roman"/>
          <w:sz w:val="24"/>
          <w:szCs w:val="24"/>
        </w:rPr>
        <w:t xml:space="preserve"> Chapter 2 </w:t>
      </w:r>
      <w:r w:rsidR="001F5159">
        <w:rPr>
          <w:rFonts w:ascii="Times New Roman" w:hAnsi="Times New Roman" w:cs="Times New Roman"/>
          <w:sz w:val="24"/>
          <w:szCs w:val="24"/>
        </w:rPr>
        <w:t xml:space="preserve">methods </w:t>
      </w:r>
      <w:r w:rsidR="00C53240">
        <w:rPr>
          <w:rFonts w:ascii="Times New Roman" w:hAnsi="Times New Roman" w:cs="Times New Roman"/>
          <w:sz w:val="24"/>
          <w:szCs w:val="24"/>
        </w:rPr>
        <w:t>(</w:t>
      </w:r>
      <m:oMath>
        <m:r>
          <w:rPr>
            <w:rFonts w:ascii="Cambria Math" w:hAnsi="Cambria Math" w:cs="Times New Roman"/>
            <w:sz w:val="24"/>
            <w:szCs w:val="24"/>
          </w:rPr>
          <m:t>ϕ</m:t>
        </m:r>
      </m:oMath>
      <w:proofErr w:type="gramStart"/>
      <w:r w:rsidR="00E67411">
        <w:rPr>
          <w:rFonts w:ascii="Times New Roman" w:hAnsi="Times New Roman" w:cs="Times New Roman"/>
          <w:sz w:val="24"/>
          <w:szCs w:val="24"/>
          <w:vertAlign w:val="subscript"/>
        </w:rPr>
        <w:t>max,S</w:t>
      </w:r>
      <w:proofErr w:type="gramEnd"/>
      <w:r w:rsidR="00E67411" w:rsidRPr="003609FB">
        <w:rPr>
          <w:rFonts w:ascii="Times New Roman" w:hAnsi="Times New Roman" w:cs="Times New Roman"/>
          <w:sz w:val="24"/>
          <w:szCs w:val="24"/>
        </w:rPr>
        <w:t xml:space="preserve"> </w:t>
      </w:r>
      <w:r w:rsidR="00C53240">
        <w:rPr>
          <w:rFonts w:ascii="Times New Roman" w:hAnsi="Times New Roman" w:cs="Times New Roman"/>
          <w:sz w:val="24"/>
          <w:szCs w:val="24"/>
        </w:rPr>
        <w:t xml:space="preserve">and </w:t>
      </w:r>
      <m:oMath>
        <m:r>
          <w:rPr>
            <w:rFonts w:ascii="Cambria Math" w:hAnsi="Cambria Math" w:cs="Times New Roman"/>
            <w:sz w:val="24"/>
            <w:szCs w:val="24"/>
          </w:rPr>
          <m:t>ϕ</m:t>
        </m:r>
      </m:oMath>
      <w:r w:rsidR="00E67411">
        <w:rPr>
          <w:rFonts w:ascii="Times New Roman" w:hAnsi="Times New Roman" w:cs="Times New Roman"/>
          <w:sz w:val="24"/>
          <w:szCs w:val="24"/>
          <w:vertAlign w:val="subscript"/>
        </w:rPr>
        <w:t>max,B</w:t>
      </w:r>
      <w:r w:rsidR="00C53240">
        <w:rPr>
          <w:rFonts w:ascii="Times New Roman" w:hAnsi="Times New Roman" w:cs="Times New Roman"/>
          <w:sz w:val="24"/>
          <w:szCs w:val="24"/>
        </w:rPr>
        <w:t>).</w:t>
      </w:r>
      <w:r w:rsidRPr="003609FB">
        <w:rPr>
          <w:rFonts w:ascii="Times New Roman" w:hAnsi="Times New Roman" w:cs="Times New Roman"/>
          <w:sz w:val="24"/>
          <w:szCs w:val="24"/>
        </w:rPr>
        <w:t xml:space="preserve"> </w:t>
      </w:r>
      <w:r w:rsidR="00C53240">
        <w:rPr>
          <w:rFonts w:ascii="Times New Roman" w:hAnsi="Times New Roman" w:cs="Times New Roman"/>
          <w:sz w:val="24"/>
          <w:szCs w:val="24"/>
        </w:rPr>
        <w:t>Inclusion of these allowed for cell-based</w:t>
      </w:r>
      <w:r w:rsidRPr="003609FB">
        <w:rPr>
          <w:rFonts w:ascii="Times New Roman" w:hAnsi="Times New Roman" w:cs="Times New Roman"/>
          <w:sz w:val="24"/>
          <w:szCs w:val="24"/>
        </w:rPr>
        <w:t xml:space="preserve"> drawdown ambient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concentrations</w:t>
      </w:r>
      <w:r w:rsidR="00C53240">
        <w:rPr>
          <w:rFonts w:ascii="Times New Roman" w:hAnsi="Times New Roman" w:cs="Times New Roman"/>
          <w:sz w:val="24"/>
          <w:szCs w:val="24"/>
        </w:rPr>
        <w:t xml:space="preserve"> in the model, allowing</w:t>
      </w:r>
      <w:r w:rsidRPr="003609FB">
        <w:rPr>
          <w:rFonts w:ascii="Times New Roman" w:hAnsi="Times New Roman" w:cs="Times New Roman"/>
          <w:sz w:val="24"/>
          <w:szCs w:val="24"/>
        </w:rPr>
        <w:t xml:space="preserve"> </w:t>
      </w:r>
      <w:r w:rsidR="00C53240">
        <w:rPr>
          <w:rFonts w:ascii="Times New Roman" w:hAnsi="Times New Roman" w:cs="Times New Roman"/>
          <w:sz w:val="24"/>
          <w:szCs w:val="24"/>
        </w:rPr>
        <w:t xml:space="preserve">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C53240">
        <w:rPr>
          <w:rFonts w:ascii="Times New Roman" w:hAnsi="Times New Roman" w:cs="Times New Roman"/>
          <w:sz w:val="24"/>
          <w:szCs w:val="24"/>
        </w:rPr>
        <w:t>to</w:t>
      </w:r>
      <w:r w:rsidRPr="003609FB">
        <w:rPr>
          <w:rFonts w:ascii="Times New Roman" w:hAnsi="Times New Roman" w:cs="Times New Roman"/>
          <w:sz w:val="24"/>
          <w:szCs w:val="24"/>
        </w:rPr>
        <w:t xml:space="preserve"> survive and </w:t>
      </w:r>
      <w:r w:rsidR="00C53240">
        <w:rPr>
          <w:rFonts w:ascii="Times New Roman" w:hAnsi="Times New Roman" w:cs="Times New Roman"/>
          <w:sz w:val="24"/>
          <w:szCs w:val="24"/>
        </w:rPr>
        <w:t xml:space="preserve">compete with its </w:t>
      </w:r>
      <w:r w:rsidRPr="003609FB">
        <w:rPr>
          <w:rFonts w:ascii="Times New Roman" w:hAnsi="Times New Roman" w:cs="Times New Roman"/>
          <w:sz w:val="24"/>
          <w:szCs w:val="24"/>
        </w:rPr>
        <w:t>community members via greater nutrient acquisition</w:t>
      </w:r>
      <w:r w:rsidR="00C53240">
        <w:rPr>
          <w:rFonts w:ascii="Times New Roman" w:hAnsi="Times New Roman" w:cs="Times New Roman"/>
          <w:sz w:val="24"/>
          <w:szCs w:val="24"/>
        </w:rPr>
        <w:t xml:space="preserve"> ability.</w:t>
      </w:r>
      <w:r w:rsidRPr="003609FB">
        <w:rPr>
          <w:rFonts w:ascii="Times New Roman" w:hAnsi="Times New Roman" w:cs="Times New Roman"/>
          <w:sz w:val="24"/>
          <w:szCs w:val="24"/>
        </w:rPr>
        <w:t xml:space="preserve"> We first attempted to do this </w:t>
      </w:r>
      <w:r w:rsidR="00A54E93">
        <w:rPr>
          <w:rFonts w:ascii="Times New Roman" w:hAnsi="Times New Roman" w:cs="Times New Roman"/>
          <w:sz w:val="24"/>
          <w:szCs w:val="24"/>
        </w:rPr>
        <w:t xml:space="preserve">in the leaky model case 3 </w:t>
      </w:r>
      <w:r w:rsidRPr="003609FB">
        <w:rPr>
          <w:rFonts w:ascii="Times New Roman" w:hAnsi="Times New Roman" w:cs="Times New Roman"/>
          <w:sz w:val="24"/>
          <w:szCs w:val="24"/>
        </w:rPr>
        <w:t xml:space="preserve">with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‘help’ alone</w:t>
      </w:r>
      <w:r w:rsidR="00C53240">
        <w:rPr>
          <w:rFonts w:ascii="Times New Roman" w:hAnsi="Times New Roman" w:cs="Times New Roman"/>
          <w:sz w:val="24"/>
          <w:szCs w:val="24"/>
        </w:rPr>
        <w:t xml:space="preserve"> (</w:t>
      </w:r>
      <m:oMath>
        <m:r>
          <w:rPr>
            <w:rFonts w:ascii="Cambria Math" w:hAnsi="Cambria Math" w:cs="Times New Roman"/>
            <w:sz w:val="24"/>
            <w:szCs w:val="24"/>
          </w:rPr>
          <m:t>ϕ</m:t>
        </m:r>
      </m:oMath>
      <w:proofErr w:type="gramStart"/>
      <w:r w:rsidR="00E67411">
        <w:rPr>
          <w:rFonts w:ascii="Times New Roman" w:hAnsi="Times New Roman" w:cs="Times New Roman"/>
          <w:sz w:val="24"/>
          <w:szCs w:val="24"/>
          <w:vertAlign w:val="subscript"/>
        </w:rPr>
        <w:t>max,S</w:t>
      </w:r>
      <w:proofErr w:type="gramEnd"/>
      <w:r w:rsidR="00C53240" w:rsidRPr="00C53240">
        <w:rPr>
          <w:rFonts w:ascii="Times New Roman" w:hAnsi="Times New Roman" w:cs="Times New Roman"/>
          <w:sz w:val="24"/>
          <w:szCs w:val="24"/>
        </w:rPr>
        <w:t>)</w:t>
      </w:r>
      <w:r w:rsidRPr="003609FB">
        <w:rPr>
          <w:rFonts w:ascii="Times New Roman" w:hAnsi="Times New Roman" w:cs="Times New Roman"/>
          <w:sz w:val="24"/>
          <w:szCs w:val="24"/>
        </w:rPr>
        <w:t xml:space="preserve">, but the detoxification efficiency </w:t>
      </w:r>
      <w:r w:rsidR="00A54E93">
        <w:rPr>
          <w:rFonts w:ascii="Times New Roman" w:hAnsi="Times New Roman" w:cs="Times New Roman"/>
          <w:sz w:val="24"/>
          <w:szCs w:val="24"/>
        </w:rPr>
        <w:t xml:space="preserve">of </w:t>
      </w:r>
      <w:proofErr w:type="spellStart"/>
      <w:r w:rsidR="00A54E93" w:rsidRPr="00A54E93">
        <w:rPr>
          <w:rFonts w:ascii="Times" w:hAnsi="Times" w:cs="Times New Roman"/>
          <w:i/>
          <w:iCs/>
          <w:color w:val="000000" w:themeColor="text1"/>
          <w:sz w:val="24"/>
          <w:szCs w:val="24"/>
        </w:rPr>
        <w:t>Synechococcus</w:t>
      </w:r>
      <w:proofErr w:type="spellEnd"/>
      <w:r w:rsidR="00A54E93">
        <w:rPr>
          <w:rFonts w:ascii="Times New Roman" w:hAnsi="Times New Roman" w:cs="Times New Roman"/>
          <w:sz w:val="24"/>
          <w:szCs w:val="24"/>
        </w:rPr>
        <w:t xml:space="preserve"> </w:t>
      </w:r>
      <w:r w:rsidRPr="003609FB">
        <w:rPr>
          <w:rFonts w:ascii="Times New Roman" w:hAnsi="Times New Roman" w:cs="Times New Roman"/>
          <w:sz w:val="24"/>
          <w:szCs w:val="24"/>
        </w:rPr>
        <w:t xml:space="preserve">was not </w:t>
      </w:r>
      <w:r w:rsidR="00A54E93">
        <w:rPr>
          <w:rFonts w:ascii="Times New Roman" w:hAnsi="Times New Roman" w:cs="Times New Roman"/>
          <w:sz w:val="24"/>
          <w:szCs w:val="24"/>
        </w:rPr>
        <w:t xml:space="preserve">high </w:t>
      </w:r>
      <w:r w:rsidRPr="003609FB">
        <w:rPr>
          <w:rFonts w:ascii="Times New Roman" w:hAnsi="Times New Roman" w:cs="Times New Roman"/>
          <w:sz w:val="24"/>
          <w:szCs w:val="24"/>
        </w:rPr>
        <w:t xml:space="preserve">enough to allow coexistence </w:t>
      </w:r>
      <w:r w:rsidR="00A54E93">
        <w:rPr>
          <w:rFonts w:ascii="Times New Roman" w:hAnsi="Times New Roman" w:cs="Times New Roman"/>
          <w:sz w:val="24"/>
          <w:szCs w:val="24"/>
        </w:rPr>
        <w:t xml:space="preserve">of </w:t>
      </w:r>
      <w:r w:rsidR="00A54E93" w:rsidRPr="00A54E93">
        <w:rPr>
          <w:rFonts w:ascii="Times" w:hAnsi="Times" w:cs="Times New Roman"/>
          <w:i/>
          <w:iCs/>
          <w:color w:val="000000" w:themeColor="text1"/>
          <w:sz w:val="24"/>
          <w:szCs w:val="24"/>
        </w:rPr>
        <w:t>Prochlorococcus</w:t>
      </w:r>
      <w:r w:rsidR="00A54E93">
        <w:rPr>
          <w:rFonts w:ascii="Times New Roman" w:hAnsi="Times New Roman" w:cs="Times New Roman"/>
          <w:sz w:val="24"/>
          <w:szCs w:val="24"/>
        </w:rPr>
        <w:t xml:space="preserve"> and </w:t>
      </w:r>
      <w:proofErr w:type="spellStart"/>
      <w:r w:rsidR="00A54E93" w:rsidRPr="00A54E93">
        <w:rPr>
          <w:rFonts w:ascii="Times" w:hAnsi="Times" w:cs="Times New Roman"/>
          <w:i/>
          <w:iCs/>
          <w:color w:val="000000" w:themeColor="text1"/>
          <w:sz w:val="24"/>
          <w:szCs w:val="24"/>
        </w:rPr>
        <w:t>Synechococcus</w:t>
      </w:r>
      <w:proofErr w:type="spellEnd"/>
      <w:r w:rsidR="00A54E93">
        <w:rPr>
          <w:rFonts w:ascii="Times New Roman" w:hAnsi="Times New Roman" w:cs="Times New Roman"/>
          <w:sz w:val="24"/>
          <w:szCs w:val="24"/>
        </w:rPr>
        <w:t xml:space="preserve"> analogues </w:t>
      </w:r>
      <w:r w:rsidRPr="003609FB">
        <w:rPr>
          <w:rFonts w:ascii="Times New Roman" w:hAnsi="Times New Roman" w:cs="Times New Roman"/>
          <w:sz w:val="24"/>
          <w:szCs w:val="24"/>
        </w:rPr>
        <w:t xml:space="preserve">in a biologically reasonable range of </w:t>
      </w:r>
      <w:r w:rsidR="00C53240">
        <w:rPr>
          <w:rFonts w:ascii="Times New Roman" w:hAnsi="Times New Roman" w:cs="Times New Roman"/>
          <w:sz w:val="24"/>
          <w:szCs w:val="24"/>
        </w:rPr>
        <w:t xml:space="preserve">ammonium and </w:t>
      </w:r>
      <w:r w:rsidR="00C53240" w:rsidRPr="003609FB">
        <w:rPr>
          <w:rFonts w:ascii="Times New Roman" w:hAnsi="Times New Roman" w:cs="Times New Roman"/>
          <w:sz w:val="24"/>
          <w:szCs w:val="24"/>
        </w:rPr>
        <w:t>H</w:t>
      </w:r>
      <w:r w:rsidR="00C53240" w:rsidRPr="00351FC4">
        <w:rPr>
          <w:rFonts w:ascii="Times New Roman" w:hAnsi="Times New Roman" w:cs="Times New Roman"/>
          <w:sz w:val="24"/>
          <w:szCs w:val="24"/>
          <w:vertAlign w:val="subscript"/>
        </w:rPr>
        <w:t>2</w:t>
      </w:r>
      <w:r w:rsidR="00C53240" w:rsidRPr="003609FB">
        <w:rPr>
          <w:rFonts w:ascii="Times New Roman" w:hAnsi="Times New Roman" w:cs="Times New Roman"/>
          <w:sz w:val="24"/>
          <w:szCs w:val="24"/>
        </w:rPr>
        <w:t>O</w:t>
      </w:r>
      <w:r w:rsidR="00C53240" w:rsidRPr="00351FC4">
        <w:rPr>
          <w:rFonts w:ascii="Times New Roman" w:hAnsi="Times New Roman" w:cs="Times New Roman"/>
          <w:sz w:val="24"/>
          <w:szCs w:val="24"/>
          <w:vertAlign w:val="subscript"/>
        </w:rPr>
        <w:t>2</w:t>
      </w:r>
      <w:r w:rsidR="00C53240">
        <w:rPr>
          <w:rFonts w:ascii="Times New Roman" w:hAnsi="Times New Roman" w:cs="Times New Roman"/>
          <w:sz w:val="24"/>
          <w:szCs w:val="24"/>
        </w:rPr>
        <w:t xml:space="preserve"> concentrations</w:t>
      </w:r>
      <w:r w:rsidRPr="003609FB">
        <w:rPr>
          <w:rFonts w:ascii="Times New Roman" w:hAnsi="Times New Roman" w:cs="Times New Roman"/>
          <w:sz w:val="24"/>
          <w:szCs w:val="24"/>
        </w:rPr>
        <w:t>. An additional</w:t>
      </w:r>
      <w:r w:rsidR="00C53240">
        <w:rPr>
          <w:rFonts w:ascii="Times New Roman" w:hAnsi="Times New Roman" w:cs="Times New Roman"/>
          <w:sz w:val="24"/>
          <w:szCs w:val="24"/>
        </w:rPr>
        <w:t xml:space="preserve"> heterotrophic bacterial</w:t>
      </w:r>
      <w:r w:rsidRPr="003609FB">
        <w:rPr>
          <w:rFonts w:ascii="Times New Roman" w:hAnsi="Times New Roman" w:cs="Times New Roman"/>
          <w:sz w:val="24"/>
          <w:szCs w:val="24"/>
        </w:rPr>
        <w:t xml:space="preserve"> helper </w:t>
      </w:r>
      <w:r w:rsidR="00C53240">
        <w:rPr>
          <w:rFonts w:ascii="Times New Roman" w:hAnsi="Times New Roman" w:cs="Times New Roman"/>
          <w:sz w:val="24"/>
          <w:szCs w:val="24"/>
        </w:rPr>
        <w:t>(</w:t>
      </w:r>
      <w:r w:rsidRPr="003609FB">
        <w:rPr>
          <w:rFonts w:ascii="Times New Roman" w:hAnsi="Times New Roman" w:cs="Times New Roman"/>
          <w:sz w:val="24"/>
          <w:szCs w:val="24"/>
        </w:rPr>
        <w:t>B</w:t>
      </w:r>
      <w:r w:rsidR="00C53240">
        <w:rPr>
          <w:rFonts w:ascii="Times New Roman" w:hAnsi="Times New Roman" w:cs="Times New Roman"/>
          <w:sz w:val="24"/>
          <w:szCs w:val="24"/>
        </w:rPr>
        <w:t>)</w:t>
      </w:r>
      <w:r w:rsidRPr="003609FB">
        <w:rPr>
          <w:rFonts w:ascii="Times New Roman" w:hAnsi="Times New Roman" w:cs="Times New Roman"/>
          <w:sz w:val="24"/>
          <w:szCs w:val="24"/>
        </w:rPr>
        <w:t xml:space="preserve">, an </w:t>
      </w:r>
      <w:r w:rsidRPr="007A3113">
        <w:rPr>
          <w:rFonts w:ascii="Times New Roman" w:hAnsi="Times New Roman" w:cs="Times New Roman"/>
          <w:i/>
          <w:iCs/>
          <w:sz w:val="24"/>
          <w:szCs w:val="24"/>
        </w:rPr>
        <w:t xml:space="preserve">A. </w:t>
      </w:r>
      <w:proofErr w:type="spellStart"/>
      <w:r w:rsidRPr="007A3113">
        <w:rPr>
          <w:rFonts w:ascii="Times New Roman" w:hAnsi="Times New Roman" w:cs="Times New Roman"/>
          <w:i/>
          <w:iCs/>
          <w:sz w:val="24"/>
          <w:szCs w:val="24"/>
        </w:rPr>
        <w:t>macleodii</w:t>
      </w:r>
      <w:proofErr w:type="spellEnd"/>
      <w:r w:rsidRPr="003609FB">
        <w:rPr>
          <w:rFonts w:ascii="Times New Roman" w:hAnsi="Times New Roman" w:cs="Times New Roman"/>
          <w:sz w:val="24"/>
          <w:szCs w:val="24"/>
        </w:rPr>
        <w:t xml:space="preserve"> analogue</w:t>
      </w:r>
      <w:r w:rsidR="00C53240">
        <w:rPr>
          <w:rFonts w:ascii="Times New Roman" w:hAnsi="Times New Roman" w:cs="Times New Roman"/>
          <w:sz w:val="24"/>
          <w:szCs w:val="24"/>
        </w:rPr>
        <w:t xml:space="preserve"> with associated detoxification rate (</w:t>
      </w:r>
      <m:oMath>
        <m:r>
          <w:rPr>
            <w:rFonts w:ascii="Cambria Math" w:hAnsi="Cambria Math" w:cs="Times New Roman"/>
            <w:sz w:val="24"/>
            <w:szCs w:val="24"/>
          </w:rPr>
          <m:t>ϕ</m:t>
        </m:r>
      </m:oMath>
      <w:proofErr w:type="gramStart"/>
      <w:r w:rsidR="00E67411">
        <w:rPr>
          <w:rFonts w:ascii="Times New Roman" w:hAnsi="Times New Roman" w:cs="Times New Roman"/>
          <w:sz w:val="24"/>
          <w:szCs w:val="24"/>
          <w:vertAlign w:val="subscript"/>
        </w:rPr>
        <w:t>max,B</w:t>
      </w:r>
      <w:proofErr w:type="gramEnd"/>
      <w:r w:rsidR="00C53240" w:rsidRPr="00C53240">
        <w:rPr>
          <w:rFonts w:ascii="Times New Roman" w:hAnsi="Times New Roman" w:cs="Times New Roman"/>
          <w:sz w:val="24"/>
          <w:szCs w:val="24"/>
        </w:rPr>
        <w:t>)</w:t>
      </w:r>
      <w:r w:rsidR="00C53240"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was able to drawdown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allow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to survive and coexist with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at lower ranges of N and higher range</w:t>
      </w:r>
      <w:r w:rsidR="00C53240">
        <w:rPr>
          <w:rFonts w:ascii="Times New Roman" w:hAnsi="Times New Roman" w:cs="Times New Roman"/>
          <w:sz w:val="24"/>
          <w:szCs w:val="24"/>
        </w:rPr>
        <w:t>s</w:t>
      </w:r>
      <w:r w:rsidRPr="003609FB">
        <w:rPr>
          <w:rFonts w:ascii="Times New Roman" w:hAnsi="Times New Roman" w:cs="Times New Roman"/>
          <w:sz w:val="24"/>
          <w:szCs w:val="24"/>
        </w:rPr>
        <w:t xml:space="preserve"> of H.</w:t>
      </w:r>
    </w:p>
    <w:p w14:paraId="110A4E31" w14:textId="34536AA2" w:rsidR="00F036CA" w:rsidRPr="003609FB" w:rsidRDefault="00B351A0" w:rsidP="00AB2160">
      <w:pPr>
        <w:spacing w:line="360" w:lineRule="auto"/>
        <w:ind w:firstLine="720"/>
        <w:rPr>
          <w:rFonts w:ascii="Times New Roman" w:hAnsi="Times New Roman" w:cs="Times New Roman"/>
          <w:sz w:val="24"/>
          <w:szCs w:val="24"/>
        </w:rPr>
      </w:pPr>
      <w:r w:rsidRPr="00EC65AE">
        <w:rPr>
          <w:rFonts w:ascii="Times New Roman" w:hAnsi="Times New Roman" w:cs="Times New Roman"/>
          <w:i/>
          <w:iCs/>
          <w:sz w:val="24"/>
          <w:szCs w:val="24"/>
        </w:rPr>
        <w:t xml:space="preserve">A. </w:t>
      </w:r>
      <w:proofErr w:type="spellStart"/>
      <w:r w:rsidRPr="00EC65AE">
        <w:rPr>
          <w:rFonts w:ascii="Times New Roman" w:hAnsi="Times New Roman" w:cs="Times New Roman"/>
          <w:i/>
          <w:iCs/>
          <w:sz w:val="24"/>
          <w:szCs w:val="24"/>
        </w:rPr>
        <w:t>macleodii</w:t>
      </w:r>
      <w:proofErr w:type="spellEnd"/>
      <w:r w:rsidRPr="003609FB">
        <w:rPr>
          <w:rFonts w:ascii="Times New Roman" w:hAnsi="Times New Roman" w:cs="Times New Roman"/>
          <w:sz w:val="24"/>
          <w:szCs w:val="24"/>
        </w:rPr>
        <w:t xml:space="preserve"> is an ecologically important marine community member. </w:t>
      </w:r>
      <w:r w:rsidRPr="00E370ED">
        <w:rPr>
          <w:rFonts w:ascii="Times New Roman" w:hAnsi="Times New Roman" w:cs="Times New Roman"/>
          <w:i/>
          <w:iCs/>
          <w:sz w:val="24"/>
          <w:szCs w:val="24"/>
        </w:rPr>
        <w:t xml:space="preserve">A. </w:t>
      </w:r>
      <w:proofErr w:type="spellStart"/>
      <w:r w:rsidRPr="00E370ED">
        <w:rPr>
          <w:rFonts w:ascii="Times New Roman" w:hAnsi="Times New Roman" w:cs="Times New Roman"/>
          <w:i/>
          <w:iCs/>
          <w:sz w:val="24"/>
          <w:szCs w:val="24"/>
        </w:rPr>
        <w:t>macleodii</w:t>
      </w:r>
      <w:proofErr w:type="spellEnd"/>
      <w:r w:rsidRPr="00E370ED">
        <w:rPr>
          <w:rFonts w:ascii="Times New Roman" w:hAnsi="Times New Roman" w:cs="Times New Roman"/>
          <w:i/>
          <w:iCs/>
          <w:sz w:val="24"/>
          <w:szCs w:val="24"/>
        </w:rPr>
        <w:t xml:space="preserve"> </w:t>
      </w:r>
      <w:r w:rsidRPr="003609FB">
        <w:rPr>
          <w:rFonts w:ascii="Times New Roman" w:hAnsi="Times New Roman" w:cs="Times New Roman"/>
          <w:sz w:val="24"/>
          <w:szCs w:val="24"/>
        </w:rPr>
        <w:t xml:space="preserve">produces a photoreactive siderophore on a scale that have been modeled to significantly </w:t>
      </w:r>
      <w:r w:rsidRPr="003609FB">
        <w:rPr>
          <w:rFonts w:ascii="Times New Roman" w:hAnsi="Times New Roman" w:cs="Times New Roman"/>
          <w:sz w:val="24"/>
          <w:szCs w:val="24"/>
        </w:rPr>
        <w:lastRenderedPageBreak/>
        <w:t xml:space="preserve">influence global </w:t>
      </w:r>
      <w:r w:rsidR="00B07751" w:rsidRPr="003609FB">
        <w:rPr>
          <w:rFonts w:ascii="Times New Roman" w:hAnsi="Times New Roman" w:cs="Times New Roman"/>
          <w:sz w:val="24"/>
          <w:szCs w:val="24"/>
        </w:rPr>
        <w:t xml:space="preserve">iron </w:t>
      </w:r>
      <w:r w:rsidRPr="003609FB">
        <w:rPr>
          <w:rFonts w:ascii="Times New Roman" w:hAnsi="Times New Roman" w:cs="Times New Roman"/>
          <w:sz w:val="24"/>
          <w:szCs w:val="24"/>
        </w:rPr>
        <w:t xml:space="preserve">patterns </w:t>
      </w:r>
      <w:r w:rsidR="003C084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{"citationID":"KEIW96tV","properties":{"formattedCitation":"(Manck et al. 2022)","plainCitation":"(Manck et al. 2022)","noteIndex":0},"citationItems":[{"id":5913,"uris":["http://zotero.org/users/6128296/items/TQ3D8X6P"],"itemData":{"id":5913,"type":"article-journal","abstract":"Abstract\n            It is now widely accepted that siderophores play a role in marine iron biogeochemical cycling. However, the mechanisms by which siderophores affect the availability of iron from specific sources and the resulting significance of these processes on iron biogeochemical cycling as a whole have remained largely untested. In this study, we develop a model system for testing the effects of siderophore production on iron bioavailability using the marine copiotroph Alteromonas macleodii ATCC 27126. Through the generation of the knockout cell line ΔasbB::kmr, which lacks siderophore biosynthetic capabilities, we demonstrate that the production of the siderophore petrobactin enables the acquisition of iron from mineral sources and weaker iron-ligand complexes. Notably, the utilization of lithogenic iron, such as that from atmospheric dust, indicates a significant role for siderophores in the incorporation of new iron into marine systems. We have also detected petrobactin, a photoreactive siderophore, directly from seawater in the mid-latitudes of the North Pacific and have identified the biosynthetic pathway for petrobactin in bacterial metagenome-assembled genomes widely distributed across the global ocean. Together, these results improve our mechanistic understanding of the role of siderophore production in iron biogeochemical cycling in the marine environment wherein iron speciation, bioavailability, and residence time can be directly influenced by microbial activities.","container-title":"The ISME Journal","DOI":"10.1038/s41396-021-01065-y","ISSN":"1751-7362, 1751-7370","issue":"2","language":"en","page":"358-369","source":"DOI.org (Crossref)","title":"Petrobactin, a siderophore produced by &lt;i&gt;Alteromonas&lt;/i&gt; , mediates community iron acquisition in the global ocean","volume":"16","author":[{"family":"Manck","given":""},{"family":"Park","given":"Jiwoon"},{"family":"Tully","given":"Benjamin J"},{"family":"Poire","given":"Alfonso M"},{"family":"Bundy","given":"Randelle M"},{"family":"Dupont","given":"Christopher L"},{"family":"Barbeau","given":"Katherine A"}],"issued":{"date-parts":[["2022",2,1]]}}}],"schema":"https://github.com/citation-style-language/schema/raw/master/csl-citation.json"} </w:instrText>
      </w:r>
      <w:r w:rsidR="003C084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(Manck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3C0845" w:rsidRPr="003609FB">
        <w:rPr>
          <w:rFonts w:ascii="Times New Roman" w:hAnsi="Times New Roman" w:cs="Times New Roman"/>
          <w:sz w:val="24"/>
          <w:szCs w:val="24"/>
        </w:rPr>
        <w:fldChar w:fldCharType="end"/>
      </w:r>
      <w:r w:rsidR="007E79DE">
        <w:rPr>
          <w:rFonts w:ascii="Times New Roman" w:hAnsi="Times New Roman" w:cs="Times New Roman"/>
          <w:sz w:val="24"/>
          <w:szCs w:val="24"/>
        </w:rPr>
        <w:t xml:space="preserve">. </w:t>
      </w:r>
      <w:proofErr w:type="spellStart"/>
      <w:r w:rsidR="007E79DE">
        <w:rPr>
          <w:rFonts w:ascii="Times New Roman" w:hAnsi="Times New Roman" w:cs="Times New Roman"/>
          <w:sz w:val="24"/>
          <w:szCs w:val="24"/>
        </w:rPr>
        <w:t>M</w:t>
      </w:r>
      <w:r w:rsidRPr="003609FB">
        <w:rPr>
          <w:rFonts w:ascii="Times New Roman" w:hAnsi="Times New Roman" w:cs="Times New Roman"/>
          <w:sz w:val="24"/>
          <w:szCs w:val="24"/>
        </w:rPr>
        <w:t>etatranscriptomic</w:t>
      </w:r>
      <w:proofErr w:type="spellEnd"/>
      <w:r w:rsidRPr="003609FB">
        <w:rPr>
          <w:rFonts w:ascii="Times New Roman" w:hAnsi="Times New Roman" w:cs="Times New Roman"/>
          <w:sz w:val="24"/>
          <w:szCs w:val="24"/>
        </w:rPr>
        <w:t xml:space="preserve"> analysis of marine waters also suggested </w:t>
      </w:r>
      <w:proofErr w:type="spellStart"/>
      <w:r w:rsidRPr="00E370ED">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w:t>
      </w:r>
      <w:r w:rsidR="00B07751" w:rsidRPr="003609FB">
        <w:rPr>
          <w:rFonts w:ascii="Times New Roman" w:hAnsi="Times New Roman" w:cs="Times New Roman"/>
          <w:sz w:val="24"/>
          <w:szCs w:val="24"/>
        </w:rPr>
        <w:t>iron</w:t>
      </w:r>
      <w:r w:rsidRPr="003609FB">
        <w:rPr>
          <w:rFonts w:ascii="Times New Roman" w:hAnsi="Times New Roman" w:cs="Times New Roman"/>
          <w:sz w:val="24"/>
          <w:szCs w:val="24"/>
        </w:rPr>
        <w:t xml:space="preserve"> </w:t>
      </w:r>
      <w:r w:rsidR="007E79DE">
        <w:rPr>
          <w:rFonts w:ascii="Times New Roman" w:hAnsi="Times New Roman" w:cs="Times New Roman"/>
          <w:sz w:val="24"/>
          <w:szCs w:val="24"/>
        </w:rPr>
        <w:t xml:space="preserve">specialization </w:t>
      </w:r>
      <w:r w:rsidRPr="003609FB">
        <w:rPr>
          <w:rFonts w:ascii="Times New Roman" w:hAnsi="Times New Roman" w:cs="Times New Roman"/>
          <w:sz w:val="24"/>
          <w:szCs w:val="24"/>
        </w:rPr>
        <w:t xml:space="preserve">and </w:t>
      </w:r>
      <w:r w:rsidR="00B07751" w:rsidRPr="003609FB">
        <w:rPr>
          <w:rFonts w:ascii="Times New Roman" w:hAnsi="Times New Roman" w:cs="Times New Roman"/>
          <w:sz w:val="24"/>
          <w:szCs w:val="24"/>
        </w:rPr>
        <w:t xml:space="preserve">carbon </w:t>
      </w:r>
      <w:r w:rsidRPr="003609FB">
        <w:rPr>
          <w:rFonts w:ascii="Times New Roman" w:hAnsi="Times New Roman" w:cs="Times New Roman"/>
          <w:sz w:val="24"/>
          <w:szCs w:val="24"/>
        </w:rPr>
        <w:t xml:space="preserve">metabolism are closely tied </w:t>
      </w:r>
      <w:r w:rsidR="0010521F"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{"citationID":"nTib8ZNz","properties":{"formattedCitation":"(Henr\\uc0\\u237{}quez-Castillo et al. 2022)","plainCitation":"(Henríquez-Castillo et al. 2022)","noteIndex":0},"citationItems":[{"id":5923,"uris":["http://zotero.org/users/6128296/items/88JRG2YD"],"itemData":{"id":5923,"type":"article-journal","abstract":"Gammaproteobacteria of the genus\n              Alteromonas\n              are prominent members of pelagic marine microbial communities, playing critical roles in the aerobic degradation of particulate organic matter. Comparative genomic studies of these microorganisms have mainly focused on the metabolic and genomic plasticity of strains isolated primarily from oxygenated environments. In this study, we show that\n              Alteromonas\n              significantly contribute to marine microbial communities from suboxic waters ([O\n              2\n              ] &amp;lt; 5 uM) in both the free-living (FL) and particle-attached (PA) fractions, but considerably decrease in abundance in the anoxic waters. The highest proportion of\n              Alteromonas\n              transcripts was found within the secondary fluorescence maximum (SFM) of Oxygen Minimum Zones (OMZs). This metatranscriptomic information suggests an\n              in situ\n              coupling of\n              Alteromonas\n              iron (Fe) and carbon metabolisms, and a relevant role of the glyoxylate cycle across the different layers of the OMZs. This study demonstrates that\n              Alteromonas\n              is an abundant and active member of the OMZ microbial communities, with a potentially significant impact on the carbon cycling in these ecosystems. These results provide valuable environmental evidence to support previous culture-based studies assessing the physiology and ecology of these ubiquitous marine heterotrophs under low-oxygen conditions.","container-title":"Frontiers in Marine Science","DOI":"10.3389/fmars.2022.993667","ISSN":"2296-7745","journalAbbreviation":"Front. Mar. Sci.","language":"en","page":"993667","source":"DOI.org (Crossref)","title":"Metaomics unveils the contribution of Alteromonas bacteria to carbon cycling in marine oxygen minimum zones","volume":"9","author":[{"family":"Henríquez-Castillo","given":""},{"family":"Plominsky","given":"Alvaro M."},{"family":"Ramírez-Flandes","given":"Salvador"},{"family":"Bertagnolli","given":"Anthony D."},{"family":"Stewart","given":"Frank J."},{"family":"Ulloa","given":"Osvaldo"}],"issued":{"date-parts":[["2022",9,20]]}}}],"schema":"https://github.com/citation-style-language/schema/raw/master/csl-citation.json"} </w:instrText>
      </w:r>
      <w:r w:rsidR="0010521F" w:rsidRPr="003609FB">
        <w:rPr>
          <w:rFonts w:ascii="Times New Roman" w:hAnsi="Times New Roman" w:cs="Times New Roman"/>
          <w:sz w:val="24"/>
          <w:szCs w:val="24"/>
        </w:rPr>
        <w:fldChar w:fldCharType="separate"/>
      </w:r>
      <w:r w:rsidR="006C2922" w:rsidRPr="006C2922">
        <w:rPr>
          <w:rFonts w:ascii="Times New Roman" w:hAnsi="Times New Roman" w:cs="Times New Roman"/>
          <w:sz w:val="24"/>
        </w:rPr>
        <w:t xml:space="preserve">(Henríquez-Castillo </w:t>
      </w:r>
      <w:r w:rsidR="00183222" w:rsidRPr="00183222">
        <w:rPr>
          <w:rFonts w:ascii="Times New Roman" w:hAnsi="Times New Roman" w:cs="Times New Roman"/>
          <w:i/>
          <w:iCs/>
          <w:sz w:val="24"/>
          <w:szCs w:val="24"/>
        </w:rPr>
        <w:t>et al</w:t>
      </w:r>
      <w:r w:rsidR="006C2922" w:rsidRPr="006C2922">
        <w:rPr>
          <w:rFonts w:ascii="Times New Roman" w:hAnsi="Times New Roman" w:cs="Times New Roman"/>
          <w:sz w:val="24"/>
        </w:rPr>
        <w:t>. 2022)</w:t>
      </w:r>
      <w:r w:rsidR="0010521F"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0B2C6B" w:rsidRPr="003609FB">
        <w:rPr>
          <w:rFonts w:ascii="Times New Roman" w:hAnsi="Times New Roman" w:cs="Times New Roman"/>
          <w:sz w:val="24"/>
          <w:szCs w:val="24"/>
        </w:rPr>
        <w:t>m</w:t>
      </w:r>
      <w:r w:rsidRPr="003609FB">
        <w:rPr>
          <w:rFonts w:ascii="Times New Roman" w:hAnsi="Times New Roman" w:cs="Times New Roman"/>
          <w:sz w:val="24"/>
          <w:szCs w:val="24"/>
        </w:rPr>
        <w:t xml:space="preserve">eaning this </w:t>
      </w:r>
      <w:r w:rsidR="007E79DE">
        <w:rPr>
          <w:rFonts w:ascii="Times New Roman" w:hAnsi="Times New Roman" w:cs="Times New Roman"/>
          <w:sz w:val="24"/>
          <w:szCs w:val="24"/>
        </w:rPr>
        <w:t xml:space="preserve">microbe </w:t>
      </w:r>
      <w:r w:rsidRPr="003609FB">
        <w:rPr>
          <w:rFonts w:ascii="Times New Roman" w:hAnsi="Times New Roman" w:cs="Times New Roman"/>
          <w:sz w:val="24"/>
          <w:szCs w:val="24"/>
        </w:rPr>
        <w:t xml:space="preserve">may also affect its overall draw down of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concentrations via prevention of </w:t>
      </w:r>
      <w:r w:rsidR="008A7EE8">
        <w:rPr>
          <w:rFonts w:ascii="Times New Roman" w:hAnsi="Times New Roman" w:cs="Times New Roman"/>
          <w:sz w:val="24"/>
          <w:szCs w:val="24"/>
        </w:rPr>
        <w:t xml:space="preserve">iron based, </w:t>
      </w:r>
      <w:r w:rsidRPr="003609FB">
        <w:rPr>
          <w:rFonts w:ascii="Times New Roman" w:hAnsi="Times New Roman" w:cs="Times New Roman"/>
          <w:sz w:val="24"/>
          <w:szCs w:val="24"/>
        </w:rPr>
        <w:t>Fenton-like</w:t>
      </w:r>
      <w:r w:rsidR="008A7EE8">
        <w:rPr>
          <w:rFonts w:ascii="Times New Roman" w:hAnsi="Times New Roman" w:cs="Times New Roman"/>
          <w:sz w:val="24"/>
          <w:szCs w:val="24"/>
        </w:rPr>
        <w:t>,</w:t>
      </w:r>
      <w:r w:rsidRPr="003609FB">
        <w:rPr>
          <w:rFonts w:ascii="Times New Roman" w:hAnsi="Times New Roman" w:cs="Times New Roman"/>
          <w:sz w:val="24"/>
          <w:szCs w:val="24"/>
        </w:rPr>
        <w:t xml:space="preserve"> reactions </w:t>
      </w:r>
      <w:r w:rsidR="002065D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{"citationID":"WSJIuSTS","properties":{"formattedCitation":"(Zinser 2018b; Zhang, Del Vecchio, and Blough 2012)","plainCitation":"(Zinser 2018b; Zhang, Del Vecchio, and Blough 2012)","noteIndex":0},"citationItems":[{"id":132,"uris":["http://zotero.org/users/6128296/items/KAMBLWML"],"itemData":{"id":132,"type":"article-journal","abstract":"This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ecosystems","volume":"10","author":[{"family":"Zinser","given":""}],"issued":{"date-parts":[["2018",8]]}}},{"id":3681,"uris":["http://zotero.org/users/6128296/items/KPXTBR8E"],"itemData":{"id":3681,"type":"article-journal","abstract":"The mechanism(s) by which hydrogen peroxide (H2O2) is photoproduced by humic substances and chromophoric dissolved organic matter was probed by examining the dependence of the initial H2O2 photoproduction rate (RH2O2) and apparent H2O2 quantum yields on dioxygen concentration for both untreated and borohydride-reduced samples. Although borohydride reduction substantially reduced light absorption, the RH2O2 values were largely unaﬀected. Apparent monochromatic and polychromatic quantum yields thus increased following reduction. The results indicate that light absorption by chargetransfer states or by (aromatic) ketone/aldehydes does not lead to signiﬁcant H2O2 photoproduction. High concentrations of triplet quenchers relative to that of dioxygen produced only small decreases (sorbic acid) or small increases (Cl− and Br−) in RH2O2, indicating that neither 1O2 nor excited triplet states of quinones contribute signiﬁcantly to H2O2 photoproduction. The dependence of RH2O2 on O2 concentration provides evidence that the intermediate(s) reacting with O2 to produce superoxide are relatively long-lived (approximately tens of microseconds or more). Evidence of the photochemical formation of O2-reducing intermediates under anaerobic conditions was also obtained; these reducing intermediates appeared to be relatively stable in the absence of O2. Our data suggest that these O2-reducing intermediates are generated by intramolecular electron transfer from short-lived excited states of electron donors to ground-state acceptors.","container-title":"Environmental Science &amp; Technology","DOI":"10.1021/es3029582","ISSN":"0013-936X, 1520-5851","issue":"21","journalAbbreviation":"Environ. Sci. Technol.","language":"en","page":"11836-11843","source":"DOI.org (Crossref)","title":"Investigating the Mechanism of Hydrogen Peroxide Photoproduction by Humic Substances","volume":"46","author":[{"family":"Zhang","given":""},{"family":"Del Vecchio","given":"Rossana"},{"family":"Blough","given":"Neil V."}],"issued":{"date-parts":[["2012",11,6]]}}}],"schema":"https://github.com/citation-style-language/schema/raw/master/csl-citation.json"} </w:instrText>
      </w:r>
      <w:r w:rsidR="002065DF"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(Zinser 2018b; Zhang, Del Vecchio, and Blough 2012)</w:t>
      </w:r>
      <w:r w:rsidR="002065DF" w:rsidRPr="003609FB">
        <w:rPr>
          <w:rFonts w:ascii="Times New Roman" w:hAnsi="Times New Roman" w:cs="Times New Roman"/>
          <w:sz w:val="24"/>
          <w:szCs w:val="24"/>
        </w:rPr>
        <w:fldChar w:fldCharType="end"/>
      </w:r>
      <w:r w:rsidR="002065DF" w:rsidRPr="003609FB">
        <w:rPr>
          <w:rFonts w:ascii="Times New Roman" w:hAnsi="Times New Roman" w:cs="Times New Roman"/>
          <w:sz w:val="24"/>
          <w:szCs w:val="24"/>
        </w:rPr>
        <w:t>.</w:t>
      </w:r>
      <w:r w:rsidR="007E79DE">
        <w:rPr>
          <w:rFonts w:ascii="Times New Roman" w:hAnsi="Times New Roman" w:cs="Times New Roman"/>
          <w:sz w:val="24"/>
          <w:szCs w:val="24"/>
        </w:rPr>
        <w:t xml:space="preserve"> </w:t>
      </w:r>
      <w:r w:rsidRPr="00EC65AE">
        <w:rPr>
          <w:rFonts w:ascii="Times New Roman" w:hAnsi="Times New Roman" w:cs="Times New Roman"/>
          <w:i/>
          <w:iCs/>
          <w:sz w:val="24"/>
          <w:szCs w:val="24"/>
        </w:rPr>
        <w:t xml:space="preserve">A. </w:t>
      </w:r>
      <w:proofErr w:type="spellStart"/>
      <w:r w:rsidRPr="00EC65AE">
        <w:rPr>
          <w:rFonts w:ascii="Times New Roman" w:hAnsi="Times New Roman" w:cs="Times New Roman"/>
          <w:i/>
          <w:iCs/>
          <w:sz w:val="24"/>
          <w:szCs w:val="24"/>
        </w:rPr>
        <w:t>macleodii</w:t>
      </w:r>
      <w:proofErr w:type="spellEnd"/>
      <w:r w:rsidR="009A6559">
        <w:rPr>
          <w:rFonts w:ascii="Times New Roman" w:hAnsi="Times New Roman" w:cs="Times New Roman"/>
          <w:sz w:val="24"/>
          <w:szCs w:val="24"/>
        </w:rPr>
        <w:t xml:space="preserve"> is a diverse genera with a</w:t>
      </w:r>
      <w:r w:rsidR="009A6559" w:rsidRPr="003609FB">
        <w:rPr>
          <w:rFonts w:ascii="Times New Roman" w:hAnsi="Times New Roman" w:cs="Times New Roman"/>
          <w:sz w:val="24"/>
          <w:szCs w:val="24"/>
        </w:rPr>
        <w:t xml:space="preserve"> pangenome </w:t>
      </w:r>
      <w:r w:rsidR="009A6559">
        <w:rPr>
          <w:rFonts w:ascii="Times New Roman" w:hAnsi="Times New Roman" w:cs="Times New Roman"/>
          <w:sz w:val="24"/>
          <w:szCs w:val="24"/>
        </w:rPr>
        <w:t>composed of</w:t>
      </w:r>
      <w:r w:rsidR="009A6559" w:rsidRPr="003609FB">
        <w:rPr>
          <w:rFonts w:ascii="Times New Roman" w:hAnsi="Times New Roman" w:cs="Times New Roman"/>
          <w:sz w:val="24"/>
          <w:szCs w:val="24"/>
        </w:rPr>
        <w:t xml:space="preserve"> 7819 </w:t>
      </w:r>
      <w:r w:rsidR="009A6559">
        <w:rPr>
          <w:rFonts w:ascii="Times New Roman" w:hAnsi="Times New Roman" w:cs="Times New Roman"/>
          <w:sz w:val="24"/>
          <w:szCs w:val="24"/>
        </w:rPr>
        <w:t xml:space="preserve">total </w:t>
      </w:r>
      <w:r w:rsidR="009A6559" w:rsidRPr="003609FB">
        <w:rPr>
          <w:rFonts w:ascii="Times New Roman" w:hAnsi="Times New Roman" w:cs="Times New Roman"/>
          <w:sz w:val="24"/>
          <w:szCs w:val="24"/>
        </w:rPr>
        <w:t xml:space="preserve">genes </w:t>
      </w:r>
      <w:r w:rsidR="002065D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{"citationID":"BI9fKnMy","properties":{"formattedCitation":"(Nayfach et al. 2016)","plainCitation":"(Nayfach et al. 2016)","noteIndex":0},"citationItems":[{"id":6638,"uris":["http://zotero.org/users/6128296/items/PVEAZDDG"],"itemData":{"id":6638,"type":"article-journal","abstract":"We present the\n              M\n              etagenomic\n              I\n              ntra-species\n              D\n              iversity\n              A\n              nalysis\n              S\n              ystem (MIDAS), which is an integrated computational pipeline for quantifying bacterial species abundance and strain-level genomic variation, including gene content and single-nucleotide polymorphisms (SNPs), from shotgun metagenomes. Our method leverages a database of more than 30,000 bacterial reference genomes that we clustered into species groups. These cover the majority of abundant species in the human microbiome but only a small proportion of microbes in other environments, including soil and seawater. We applied MIDAS to stool metagenomes from 98 Swedish mothers and their infants over one year and used rare SNPs to track strains between hosts. Using this approach, we found that although species compositions of mothers and infants converged over time, strain-level similarity diverged. Specifically, early colonizing bacteria were often transmitted from an infant’s mother, while late colonizing bacteria were often transmitted from other sources in the environment and were enriched for spore-formation genes. We also applied MIDAS to 198 globally distributed marine metagenomes and used gene content to show that many prevalent bacterial species have population structure that correlates with geographic location. Strain-level genetic variants present in metagenomes clearly reveal extensive structure and dynamics that are obscured when data are analyzed at a coarser taxonomic resolution.","container-title":"Genome Research","DOI":"10.1101/gr.201863.115","ISSN":"1088-9051, 1549-5469","issue":"11","journalAbbreviation":"Genome Res.","language":"en","page":"1612-1625","source":"DOI.org (Crossref)","title":"An integrated metagenomics pipeline for strain profiling reveals novel patterns of bacterial transmission and biogeography","volume":"26","author":[{"family":"Nayfach","given":""},{"family":"Rodriguez-Mueller","given":"Beltran"},{"family":"Garud","given":"Nandita"},{"family":"Pollard","given":"Katherine S."}],"issued":{"date-parts":[["2016",11]]}}}],"schema":"https://github.com/citation-style-language/schema/raw/master/csl-citation.json"} </w:instrText>
      </w:r>
      <w:r w:rsidR="002065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w:t>
      </w:r>
      <w:proofErr w:type="spellStart"/>
      <w:r w:rsidR="006C2922">
        <w:rPr>
          <w:rFonts w:ascii="Times New Roman" w:hAnsi="Times New Roman" w:cs="Times New Roman"/>
          <w:sz w:val="24"/>
          <w:szCs w:val="24"/>
        </w:rPr>
        <w:t>Nayfach</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2016)</w:t>
      </w:r>
      <w:r w:rsidR="002065DF" w:rsidRPr="003609FB">
        <w:rPr>
          <w:rFonts w:ascii="Times New Roman" w:hAnsi="Times New Roman" w:cs="Times New Roman"/>
          <w:sz w:val="24"/>
          <w:szCs w:val="24"/>
        </w:rPr>
        <w:fldChar w:fldCharType="end"/>
      </w:r>
      <w:r w:rsidR="002065DF" w:rsidRPr="003609FB">
        <w:rPr>
          <w:rFonts w:ascii="Times New Roman" w:hAnsi="Times New Roman" w:cs="Times New Roman"/>
          <w:sz w:val="24"/>
          <w:szCs w:val="24"/>
        </w:rPr>
        <w:t xml:space="preserve"> </w:t>
      </w:r>
      <w:r w:rsidR="009A6559">
        <w:rPr>
          <w:rFonts w:ascii="Times New Roman" w:hAnsi="Times New Roman" w:cs="Times New Roman"/>
          <w:sz w:val="24"/>
          <w:szCs w:val="24"/>
        </w:rPr>
        <w:t xml:space="preserve">that is divided into </w:t>
      </w:r>
      <w:r w:rsidRPr="003609FB">
        <w:rPr>
          <w:rFonts w:ascii="Times New Roman" w:hAnsi="Times New Roman" w:cs="Times New Roman"/>
          <w:sz w:val="24"/>
          <w:szCs w:val="24"/>
        </w:rPr>
        <w:t xml:space="preserve">35 species as of </w:t>
      </w:r>
      <w:r w:rsidR="008A7EE8">
        <w:rPr>
          <w:rFonts w:ascii="Times New Roman" w:hAnsi="Times New Roman" w:cs="Times New Roman"/>
          <w:sz w:val="24"/>
          <w:szCs w:val="24"/>
        </w:rPr>
        <w:t xml:space="preserve">November </w:t>
      </w:r>
      <w:r w:rsidRPr="003609FB">
        <w:rPr>
          <w:rFonts w:ascii="Times New Roman" w:hAnsi="Times New Roman" w:cs="Times New Roman"/>
          <w:sz w:val="24"/>
          <w:szCs w:val="24"/>
        </w:rPr>
        <w:t>2022</w:t>
      </w:r>
      <w:r w:rsidR="00B07751" w:rsidRPr="003609FB">
        <w:rPr>
          <w:rFonts w:ascii="Times New Roman" w:hAnsi="Times New Roman" w:cs="Times New Roman"/>
          <w:sz w:val="24"/>
          <w:szCs w:val="24"/>
        </w:rPr>
        <w:t xml:space="preserve"> </w:t>
      </w:r>
      <w:r w:rsidR="002065D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{"citationID":"H4faiS6B","properties":{"formattedCitation":"(Wietz et al. 2022)","plainCitation":"(Wietz et al. 2022)","noteIndex":0},"citationItems":[{"id":5927,"uris":["http://zotero.org/users/6128296/items/6EDJNA37"],"itemData":{"id":5927,"type":"article-journal","abstract":"Alteromonas macleodii is a marine heterotrophic bacterium with widespread distribution − from temperate to tropical oceans, and from surface to deep waters. Strains of A. macleodii exhibit considerable genomic and metabolic variability, and can grow rapidly on diverse organic compounds. A. macleodii is a model organism for the study of population genomics, physiological adaptations and microbial interactions, with individual genomes encoding diverse phenotypic traits influenced by recombination and horizontal gene transfer.","container-title":"Microbiology","DOI":"10.1099/mic.0.001236","ISSN":"1350-0872, 1465-2080","issue":"11","language":"en","source":"DOI.org (Crossref)","title":"Microbe Profile: Alteromonas macleodii − a widespread, fast-responding, ‘interactive’ marine bacterium","title-short":"Microbe Profile","URL":"https://www.microbiologyresearch.org/content/journal/micro/10.1099/mic.0.001236","volume":"168","author":[{"family":"Wietz","given":""},{"family":"López-Pérez","given":"Mario"},{"family":"Sher","given":"Daniel"},{"family":"Biller","given":"Steven J."},{"family":"Rodriguez-Valera","given":"Francisco"}],"accessed":{"date-parts":[["2024",3,26]]},"issued":{"date-parts":[["2022",11,30]]}}}],"schema":"https://github.com/citation-style-language/schema/raw/master/csl-citation.json"} </w:instrText>
      </w:r>
      <w:r w:rsidR="002065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(Wietz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2065DF" w:rsidRPr="003609FB">
        <w:rPr>
          <w:rFonts w:ascii="Times New Roman" w:hAnsi="Times New Roman" w:cs="Times New Roman"/>
          <w:sz w:val="24"/>
          <w:szCs w:val="24"/>
        </w:rPr>
        <w:fldChar w:fldCharType="end"/>
      </w:r>
      <w:r w:rsidR="002065DF" w:rsidRPr="003609FB">
        <w:rPr>
          <w:rFonts w:ascii="Times New Roman" w:hAnsi="Times New Roman" w:cs="Times New Roman"/>
          <w:sz w:val="24"/>
          <w:szCs w:val="24"/>
        </w:rPr>
        <w:t>.</w:t>
      </w:r>
      <w:r w:rsidRPr="003609FB">
        <w:rPr>
          <w:rFonts w:ascii="Times New Roman" w:hAnsi="Times New Roman" w:cs="Times New Roman"/>
          <w:sz w:val="24"/>
          <w:szCs w:val="24"/>
        </w:rPr>
        <w:t xml:space="preserve"> Surface and deep </w:t>
      </w:r>
      <w:r w:rsidR="009A6559">
        <w:rPr>
          <w:rFonts w:ascii="Times New Roman" w:hAnsi="Times New Roman" w:cs="Times New Roman"/>
          <w:sz w:val="24"/>
          <w:szCs w:val="24"/>
        </w:rPr>
        <w:t xml:space="preserve">species of </w:t>
      </w:r>
      <w:r w:rsidR="009A6559" w:rsidRPr="00EC65AE">
        <w:rPr>
          <w:rFonts w:ascii="Times New Roman" w:hAnsi="Times New Roman" w:cs="Times New Roman"/>
          <w:i/>
          <w:iCs/>
          <w:sz w:val="24"/>
          <w:szCs w:val="24"/>
        </w:rPr>
        <w:t xml:space="preserve">A. </w:t>
      </w:r>
      <w:proofErr w:type="spellStart"/>
      <w:r w:rsidR="009A6559" w:rsidRPr="00EC65AE">
        <w:rPr>
          <w:rFonts w:ascii="Times New Roman" w:hAnsi="Times New Roman" w:cs="Times New Roman"/>
          <w:i/>
          <w:iCs/>
          <w:sz w:val="24"/>
          <w:szCs w:val="24"/>
        </w:rPr>
        <w:t>macleodii</w:t>
      </w:r>
      <w:proofErr w:type="spellEnd"/>
      <w:r w:rsidR="009A6559">
        <w:rPr>
          <w:rFonts w:ascii="Times New Roman" w:hAnsi="Times New Roman" w:cs="Times New Roman"/>
          <w:sz w:val="24"/>
          <w:szCs w:val="24"/>
        </w:rPr>
        <w:t xml:space="preserve"> </w:t>
      </w:r>
      <w:r w:rsidRPr="003609FB">
        <w:rPr>
          <w:rFonts w:ascii="Times New Roman" w:hAnsi="Times New Roman" w:cs="Times New Roman"/>
          <w:sz w:val="24"/>
          <w:szCs w:val="24"/>
        </w:rPr>
        <w:t xml:space="preserve"> differ in organic C </w:t>
      </w:r>
      <w:r w:rsidR="009A6559">
        <w:rPr>
          <w:rFonts w:ascii="Times New Roman" w:hAnsi="Times New Roman" w:cs="Times New Roman"/>
          <w:sz w:val="24"/>
          <w:szCs w:val="24"/>
        </w:rPr>
        <w:t xml:space="preserve">or N </w:t>
      </w:r>
      <w:r w:rsidRPr="003609FB">
        <w:rPr>
          <w:rFonts w:ascii="Times New Roman" w:hAnsi="Times New Roman" w:cs="Times New Roman"/>
          <w:sz w:val="24"/>
          <w:szCs w:val="24"/>
        </w:rPr>
        <w:t>usage</w:t>
      </w:r>
      <w:r w:rsidR="002065DF" w:rsidRPr="003609FB">
        <w:rPr>
          <w:rFonts w:ascii="Times New Roman" w:hAnsi="Times New Roman" w:cs="Times New Roman"/>
          <w:sz w:val="24"/>
          <w:szCs w:val="24"/>
        </w:rPr>
        <w:t xml:space="preserve"> </w:t>
      </w:r>
      <w:r w:rsidR="002065D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{"citationID":"WApJZIaC","properties":{"formattedCitation":"(Biller, Berube, et al. 2015; V. Klochko et al. 2012)","plainCitation":"(Biller, Berube, et al. 2015; V. Klochko et al. 2012)","noteIndex":0},"citationItems":[{"id":195,"uris":["http://zotero.org/users/6128296/items/T8KNN5NA"],"itemData":{"id":195,"type":"article-journal","abstract":"The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W."}],"issued":{"date-parts":[["2015",1]]}}},{"id":5924,"uris":["http://zotero.org/users/6128296/items/D4MFM5CR"],"itemData":{"id":5924,"type":"article-journal","container-title":"The Journal of General and Applied Microbiology","DOI":"10.2323/jgam.58.129","ISSN":"0022-1260, 1349-8037","issue":"2","journalAbbreviation":"J. Gen. Appl. Microbiol.","language":"en","page":"129-135","source":"DOI.org (Crossref)","title":"Peculiarities of &lt;I&gt;Alteromonas macleodii&lt;/I&gt; strains reflects their deep/surface habitation rather than geographical distribution","volume":"58","author":[{"family":"V. Klochko","given":""},{"family":"B. Zelena","given":"Liubov"},{"family":"I. Voychuk","given":"Sergei"},{"family":"N. Ostapchuk","given":"Andriy"}],"issued":{"date-parts":[["2012"]]}}}],"schema":"https://github.com/citation-style-language/schema/raw/master/csl-citation.json"} </w:instrText>
      </w:r>
      <w:r w:rsidR="002065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(Biller, Berube,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V. </w:t>
      </w:r>
      <w:proofErr w:type="spellStart"/>
      <w:r w:rsidR="006C2922">
        <w:rPr>
          <w:rFonts w:ascii="Times New Roman" w:hAnsi="Times New Roman" w:cs="Times New Roman"/>
          <w:sz w:val="24"/>
          <w:szCs w:val="24"/>
        </w:rPr>
        <w:t>Klochko</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2012)</w:t>
      </w:r>
      <w:r w:rsidR="002065DF" w:rsidRPr="003609FB">
        <w:rPr>
          <w:rFonts w:ascii="Times New Roman" w:hAnsi="Times New Roman" w:cs="Times New Roman"/>
          <w:sz w:val="24"/>
          <w:szCs w:val="24"/>
        </w:rPr>
        <w:fldChar w:fldCharType="end"/>
      </w:r>
      <w:r w:rsidR="002065DF" w:rsidRPr="003609FB">
        <w:rPr>
          <w:rFonts w:ascii="Times New Roman" w:hAnsi="Times New Roman" w:cs="Times New Roman"/>
          <w:sz w:val="24"/>
          <w:szCs w:val="24"/>
        </w:rPr>
        <w:t xml:space="preserve"> </w:t>
      </w:r>
      <w:r w:rsidR="009A6559">
        <w:rPr>
          <w:rFonts w:ascii="Times New Roman" w:hAnsi="Times New Roman" w:cs="Times New Roman"/>
          <w:sz w:val="24"/>
          <w:szCs w:val="24"/>
        </w:rPr>
        <w:t>and</w:t>
      </w:r>
      <w:r w:rsidRPr="003609FB">
        <w:rPr>
          <w:rFonts w:ascii="Times New Roman" w:hAnsi="Times New Roman" w:cs="Times New Roman"/>
          <w:sz w:val="24"/>
          <w:szCs w:val="24"/>
        </w:rPr>
        <w:t xml:space="preserve"> pH optima </w:t>
      </w:r>
      <w:r w:rsidR="002065DF"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{"citationID":"sVEV3E9A","properties":{"formattedCitation":"(Ivanova et al. 2015)","plainCitation":"(Ivanova et al. 2015)","noteIndex":0},"citationItems":[{"id":5931,"uris":["http://zotero.org/users/6128296/items/CVWSVDJ3"],"itemData":{"id":5931,"type":"article-journal","container-title":"Antonie van Leeuwenhoek","DOI":"10.1007/s10482-014-0309-y","ISSN":"0003-6072, 1572-9699","issue":"1","journalAbbreviation":"Antonie van Leeuwenhoek","language":"en","page":"119-132","source":"DOI.org (Crossref)","title":"Ecophysiological diversity of a novel member of the genus Alteromonas, and description of Alteromonas mediterranea sp. nov.","volume":"107","author":[{"family":"Ivanova","given":""},{"family":"López-Pérez","given":"Mario"},{"family":"Zabalos","given":"Mila"},{"family":"Nguyen","given":"Song Ha"},{"family":"Webb","given":"Hayden K."},{"family":"Ryan","given":"Jason"},{"family":"Lagutin","given":"Kiril"},{"family":"Vyssotski","given":"Mikhail"},{"family":"Crawford","given":"Russell J."},{"family":"Rodriguez-Valera","given":"Francisco"}],"issued":{"date-parts":[["2015",1]]}}}],"schema":"https://github.com/citation-style-language/schema/raw/master/csl-citation.json"} </w:instrText>
      </w:r>
      <w:r w:rsidR="002065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(Ivanova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2015)</w:t>
      </w:r>
      <w:r w:rsidR="002065DF" w:rsidRPr="003609FB">
        <w:rPr>
          <w:rFonts w:ascii="Times New Roman" w:hAnsi="Times New Roman" w:cs="Times New Roman"/>
          <w:sz w:val="24"/>
          <w:szCs w:val="24"/>
        </w:rPr>
        <w:fldChar w:fldCharType="end"/>
      </w:r>
      <w:r w:rsidR="009A6559">
        <w:rPr>
          <w:rFonts w:ascii="Times New Roman" w:hAnsi="Times New Roman" w:cs="Times New Roman"/>
          <w:sz w:val="24"/>
          <w:szCs w:val="24"/>
        </w:rPr>
        <w:t>. This mirrors the</w:t>
      </w:r>
      <w:r w:rsidRPr="003609FB">
        <w:rPr>
          <w:rFonts w:ascii="Times New Roman" w:hAnsi="Times New Roman" w:cs="Times New Roman"/>
          <w:sz w:val="24"/>
          <w:szCs w:val="24"/>
        </w:rPr>
        <w:t xml:space="preserve"> differentiation regimes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genera </w:t>
      </w:r>
      <w:r w:rsidR="00B07751" w:rsidRPr="003609FB">
        <w:rPr>
          <w:rFonts w:ascii="Times New Roman" w:hAnsi="Times New Roman" w:cs="Times New Roman"/>
          <w:sz w:val="24"/>
          <w:szCs w:val="24"/>
        </w:rPr>
        <w:t xml:space="preserve">through nitrogen, light, and temperature </w:t>
      </w:r>
      <w:r w:rsidR="002065D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{"citationID":"E8cy8na0","properties":{"formattedCitation":"(Delmont and Eren 2018; Johnson 2006; Kujawinski et al. 2023; Sohm et al. 2016)","plainCitation":"(Delmont and Eren 2018; Johnson 2006; Kujawinski et al. 2023; Sohm et al. 2016)","noteIndex":0},"citationItems":[{"id":1778,"uris":["http://zotero.org/users/6128296/items/DKAEGIVJ"],"itemData":{"id":1778,"type":"article-journal","abstract":"Pangenomes offer detailed characterizations of core and accessory genes found in a set of closely related microbial genomes, generally by clustering genes based on sequence homology. In comparison, metagenomes facilitate highly resolved investigations of the relative distribution of microbial genomes and individual genes across environments through read recruitment analyses. Combining these complementary approaches can yield unique insights into the functional basis of microbial niche partitioning and fitness, however, advanced software solutions are lacking. Here we present an integrated analysis and visualization strategy that provides an interactive and reproducible framework to generate pangenomes and to study them in conjunction with metagenomes. To investigate its utility, we applied this strategy to a Prochlorococcus pangenome in the context of a large-scale marine metagenomic survey. The resulting Prochlorococcus metapangenome revealed remarkable differential abundance patterns between very closely related isolates that belonged to the same phylogenetic cluster and that differed by only a small number of gene clusters in the pangenome. While the relationships between these genomes based on gene clusters correlated with their environmental distribution patterns, phylogenetic analyses using marker genes or concatenated single-copy core genes did not recapitulate these patterns. The metapangenome also revealed a small set of core genes that mostly occurred in hypervariable genomic islands of the Prochlorococcus populations, which systematically lacked read recruitment from surface ocean metagenomes. Notably, these core gene clusters were all linked to sugar metabolism, suggesting potential benefits to Prochlorococcus from a high sequence diversity of sugar metabolism genes. The rapidly growing number of microbial genomes and increasing availability of environmental metagenomes provide new opportunities to investigate the functioning and the ecology of microbial populations, and metapangenomes can provide unique insights for any taxon and biome for which genomic and sufficiently deep metagenomic data are available.","container-title":"PeerJ","DOI":"10.7717/peerj.4320","ISSN":"2167-8359","language":"en","page":"e4320","source":"DOI.org (Crossref)","title":"Linking pangenomes and metagenomes: the &lt;i&gt;Prochlorococcus&lt;/i&gt; metapangenome","title-short":"Linking pangenomes and metagenomes","volume":"6","author":[{"family":"Delmont","given":""},{"family":"Eren","given":"A. Murat"}],"issued":{"date-parts":[["2018",1,25]]}}},{"id":98,"uris":["http://zotero.org/users/6128296/items/TMRNWUJU"],"itemData":{"id":98,"type":"article-journal","container-title":"Science","DOI":"10.1126/science.1118052","ISSN":"0036-8075, 1095-9203","issue":"5768","journalAbbreviation":"Science","language":"en","page":"1737-1740","source":"DOI.org (Crossref)","title":"Niche Partitioning Among Prochlorococcus Ecotypes Along Ocean-Scale Environmental Gradients","volume":"311","author":[{"family":"Johnson","given":""}],"issued":{"date-parts":[["2006",3,24]]}}},{"id":4603,"uris":["http://zotero.org/users/6128296/items/LWBAMY44"],"itemData":{"id":4603,"type":"article-journal","abstract":"The euphotic zone of the surface ocean contains distinct physical-chemi­ cal regimes that vary in light and nutrient concentrations as an inverse function of depth. The most numerous phytoplankter of the mid- and low-latitude ocean is the picocyanobacterium Prochlorococcus, which consists of ecologically distinct subpopula­ tions (i.e., “ecotypes”). Ecotypes have different temperature, light, and nutrient optima and display distinct relative abundances along gradients of these niche dimensions. As a primary producer, Prochlorococcus fixes and releases organic carbon to neighbor­ ing microbes as part of the microbial loop. However, little is known about the spe­ cific molecules Prochlorococcus accumulates and releases or how these processes vary among its ecotypes. Here, we characterize the metabolite diversity of Prochlorococcus by profiling three ecologically distinct cultured strains: MIT9301, representing a highlight-adapted ecotype dominating shallow tropical and sub-tropical waters; MIT0801, representing a low-light-adapted ecotype found throughout the euphotic zone; and MIT9313, representing a low-light-adapted ecotype relatively most abundant at the base of the euphotic zone. In both intracellular and extracellular metabolite profiles, we observe striking differences across strains in the accumulation and release of molecules, such as the DNA methylating agent S-adenosyl-methionine (intracellular) and the branched-chain amino acids (intracellular) and their precursors (extracellular). While some differences reflect variable genome content across the strains, others likely reflect variable regulation of conserved pathways. In the extracellular profiles, we identify molecules such as pantothenic acid and aromatic amino acids that may serve as currencies in Prochlorococcus’ interactions with neighboring microbes and, therefore, merit further investigation.","container-title":"mSystems","DOI":"10.1128/msystems.01261-22","ISSN":"2379-5077","issue":"5","journalAbbreviation":"mSystems","language":"en","page":"e01261-22","source":"DOI.org (Crossref)","title":"Metabolite diversity among representatives of divergent &lt;i&gt;Prochlorococcus&lt;/i&gt; ecotypes","volume":"8","author":[{"family":"Kujawinski","given":""},{"family":"Braakman","given":"Rogier"},{"family":"Longnecker","given":"Krista"},{"family":"Becker","given":"Jamie W."},{"family":"Chisholm","given":"Sallie W."},{"family":"Dooley","given":"Keven"},{"family":"Kido Soule","given":"Melissa C."},{"family":"Swarr","given":"Gretchen J."},{"family":"Halloran","given":"Kathryn"}],"editor":[{"family":"Gilbert","given":"Jack A."}],"issued":{"date-parts":[["2023",10,26]]}}},{"id":227,"uris":["http://zotero.org/users/6128296/items/NGMVWDDF"],"itemData":{"id":227,"type":"article-journal","container-title":"The ISME Journal","DOI":"10.1038/ismej.2015.115","ISSN":"1751-7362, 1751-7370","issue":"2","journalAbbreviation":"ISME J","language":"en","page":"333-345","source":"DOI.org (Crossref)","title":"Co-occurring Synechococcus ecotypes occupy four major oceanic regimes defined by temperature, macronutrients and iron","volume":"10","author":[{"family":"Sohm","given":""},{"family":"Ahlgren","given":"Nathan A"},{"family":"Thomson","given":"Zachary J"},{"family":"Williams","given":"Cheryl"},{"family":"Moffett","given":"James W"},{"family":"Saito","given":"Mak A"},{"family":"Webb","given":"Eric A"},{"family":"Rocap","given":"Gabrielle"}],"issued":{"date-parts":[["2016",2]]}}}],"schema":"https://github.com/citation-style-language/schema/raw/master/csl-citation.json"} </w:instrText>
      </w:r>
      <w:r w:rsidR="002065DF"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(Delmont and Eren 2018; Johnson 2006; </w:t>
      </w:r>
      <w:proofErr w:type="spellStart"/>
      <w:r w:rsidR="006C2922">
        <w:rPr>
          <w:rFonts w:ascii="Times New Roman" w:hAnsi="Times New Roman" w:cs="Times New Roman"/>
          <w:sz w:val="24"/>
          <w:szCs w:val="24"/>
        </w:rPr>
        <w:t>Kujawinski</w:t>
      </w:r>
      <w:proofErr w:type="spellEnd"/>
      <w:r w:rsidR="006C2922">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2023; Sohm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2016)</w:t>
      </w:r>
      <w:r w:rsidR="002065DF" w:rsidRPr="003609FB">
        <w:rPr>
          <w:rFonts w:ascii="Times New Roman" w:hAnsi="Times New Roman" w:cs="Times New Roman"/>
          <w:sz w:val="24"/>
          <w:szCs w:val="24"/>
        </w:rPr>
        <w:fldChar w:fldCharType="end"/>
      </w:r>
      <w:r w:rsidR="002065DF" w:rsidRPr="003609FB">
        <w:rPr>
          <w:rFonts w:ascii="Times New Roman" w:hAnsi="Times New Roman" w:cs="Times New Roman"/>
          <w:sz w:val="24"/>
          <w:szCs w:val="24"/>
        </w:rPr>
        <w:t xml:space="preserve">. </w:t>
      </w:r>
      <w:r w:rsidRPr="003609FB">
        <w:rPr>
          <w:rFonts w:ascii="Times New Roman" w:hAnsi="Times New Roman" w:cs="Times New Roman"/>
          <w:sz w:val="24"/>
          <w:szCs w:val="24"/>
        </w:rPr>
        <w:t>Thus</w:t>
      </w:r>
      <w:r w:rsidR="002065DF" w:rsidRPr="003609FB">
        <w:rPr>
          <w:rFonts w:ascii="Times New Roman" w:hAnsi="Times New Roman" w:cs="Times New Roman"/>
          <w:sz w:val="24"/>
          <w:szCs w:val="24"/>
        </w:rPr>
        <w:t>,</w:t>
      </w:r>
      <w:r w:rsidRPr="003609FB">
        <w:rPr>
          <w:rFonts w:ascii="Times New Roman" w:hAnsi="Times New Roman" w:cs="Times New Roman"/>
          <w:sz w:val="24"/>
          <w:szCs w:val="24"/>
        </w:rPr>
        <w:t xml:space="preserve"> we expect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B07751" w:rsidRPr="003609FB">
        <w:rPr>
          <w:rFonts w:ascii="Times New Roman" w:hAnsi="Times New Roman" w:cs="Times New Roman"/>
          <w:sz w:val="24"/>
          <w:szCs w:val="24"/>
        </w:rPr>
        <w:t xml:space="preserve"> </w:t>
      </w:r>
      <w:proofErr w:type="gramStart"/>
      <w:r w:rsidR="00DE27C3">
        <w:rPr>
          <w:rFonts w:ascii="Times New Roman" w:hAnsi="Times New Roman" w:cs="Times New Roman"/>
          <w:sz w:val="24"/>
          <w:szCs w:val="24"/>
        </w:rPr>
        <w:t>influences</w:t>
      </w:r>
      <w:proofErr w:type="gramEnd"/>
      <w:r w:rsidRPr="003609FB">
        <w:rPr>
          <w:rFonts w:ascii="Times New Roman" w:hAnsi="Times New Roman" w:cs="Times New Roman"/>
          <w:sz w:val="24"/>
          <w:szCs w:val="24"/>
        </w:rPr>
        <w:t xml:space="preserve"> </w:t>
      </w:r>
      <w:r w:rsidR="00DE27C3">
        <w:rPr>
          <w:rFonts w:ascii="Times New Roman" w:hAnsi="Times New Roman" w:cs="Times New Roman"/>
          <w:sz w:val="24"/>
          <w:szCs w:val="24"/>
        </w:rPr>
        <w:t xml:space="preserve">the </w:t>
      </w:r>
      <w:r w:rsidRPr="003609FB">
        <w:rPr>
          <w:rFonts w:ascii="Times New Roman" w:hAnsi="Times New Roman" w:cs="Times New Roman"/>
          <w:sz w:val="24"/>
          <w:szCs w:val="24"/>
        </w:rPr>
        <w:t>community</w:t>
      </w:r>
      <w:r w:rsidR="00B07751" w:rsidRPr="003609FB">
        <w:rPr>
          <w:rFonts w:ascii="Times New Roman" w:hAnsi="Times New Roman" w:cs="Times New Roman"/>
          <w:sz w:val="24"/>
          <w:szCs w:val="24"/>
        </w:rPr>
        <w:t xml:space="preserve"> composition</w:t>
      </w:r>
      <w:r w:rsidRPr="003609FB">
        <w:rPr>
          <w:rFonts w:ascii="Times New Roman" w:hAnsi="Times New Roman" w:cs="Times New Roman"/>
          <w:sz w:val="24"/>
          <w:szCs w:val="24"/>
        </w:rPr>
        <w:t xml:space="preserve"> </w:t>
      </w:r>
      <w:r w:rsidR="00DE27C3">
        <w:rPr>
          <w:rFonts w:ascii="Times New Roman" w:hAnsi="Times New Roman" w:cs="Times New Roman"/>
          <w:sz w:val="24"/>
          <w:szCs w:val="24"/>
        </w:rPr>
        <w:t xml:space="preserve">between these organisms </w:t>
      </w:r>
      <w:r w:rsidRPr="003609FB">
        <w:rPr>
          <w:rFonts w:ascii="Times New Roman" w:hAnsi="Times New Roman" w:cs="Times New Roman"/>
          <w:sz w:val="24"/>
          <w:szCs w:val="24"/>
        </w:rPr>
        <w:t xml:space="preserve">over a wide range of </w:t>
      </w:r>
      <w:r w:rsidR="00B07751" w:rsidRPr="003609FB">
        <w:rPr>
          <w:rFonts w:ascii="Times New Roman" w:hAnsi="Times New Roman" w:cs="Times New Roman"/>
          <w:sz w:val="24"/>
          <w:szCs w:val="24"/>
        </w:rPr>
        <w:t>environments</w:t>
      </w:r>
      <w:r w:rsidRPr="003609FB">
        <w:rPr>
          <w:rFonts w:ascii="Times New Roman" w:hAnsi="Times New Roman" w:cs="Times New Roman"/>
          <w:sz w:val="24"/>
          <w:szCs w:val="24"/>
        </w:rPr>
        <w:t xml:space="preserve"> within the ocean. </w:t>
      </w:r>
      <w:r w:rsidR="003137ED" w:rsidRPr="003609FB">
        <w:rPr>
          <w:rFonts w:ascii="Times New Roman" w:hAnsi="Times New Roman" w:cs="Times New Roman"/>
          <w:sz w:val="24"/>
          <w:szCs w:val="24"/>
        </w:rPr>
        <w:t xml:space="preserve">Chapter 4 will delve into </w:t>
      </w:r>
      <w:r w:rsidR="00B07751" w:rsidRPr="003609FB">
        <w:rPr>
          <w:rFonts w:ascii="Times New Roman" w:hAnsi="Times New Roman" w:cs="Times New Roman"/>
          <w:sz w:val="24"/>
          <w:szCs w:val="24"/>
        </w:rPr>
        <w:t xml:space="preserve">a </w:t>
      </w:r>
      <w:r w:rsidR="00411A2E" w:rsidRPr="003609FB">
        <w:rPr>
          <w:rFonts w:ascii="Times New Roman" w:hAnsi="Times New Roman" w:cs="Times New Roman"/>
          <w:sz w:val="24"/>
          <w:szCs w:val="24"/>
        </w:rPr>
        <w:t>global circulation model’s extrapolation</w:t>
      </w:r>
      <w:r w:rsidR="003137ED" w:rsidRPr="003609FB">
        <w:rPr>
          <w:rFonts w:ascii="Times New Roman" w:hAnsi="Times New Roman" w:cs="Times New Roman"/>
          <w:sz w:val="24"/>
          <w:szCs w:val="24"/>
        </w:rPr>
        <w:t xml:space="preserve"> of </w:t>
      </w:r>
      <w:r w:rsidR="00B07751" w:rsidRPr="003609FB">
        <w:rPr>
          <w:rFonts w:ascii="Times New Roman" w:hAnsi="Times New Roman" w:cs="Times New Roman"/>
          <w:sz w:val="24"/>
          <w:szCs w:val="24"/>
        </w:rPr>
        <w:t xml:space="preserve">our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B07751" w:rsidRPr="003609FB">
        <w:rPr>
          <w:rFonts w:ascii="Times New Roman" w:hAnsi="Times New Roman" w:cs="Times New Roman"/>
          <w:sz w:val="24"/>
          <w:szCs w:val="24"/>
        </w:rPr>
        <w:t xml:space="preserve"> </w:t>
      </w:r>
      <w:r w:rsidR="003137ED" w:rsidRPr="003609FB">
        <w:rPr>
          <w:rFonts w:ascii="Times New Roman" w:hAnsi="Times New Roman" w:cs="Times New Roman"/>
          <w:sz w:val="24"/>
          <w:szCs w:val="24"/>
        </w:rPr>
        <w:t xml:space="preserve">framework to explore natural variation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137ED" w:rsidRPr="003609FB">
        <w:rPr>
          <w:rFonts w:ascii="Times New Roman" w:hAnsi="Times New Roman" w:cs="Times New Roman"/>
          <w:sz w:val="24"/>
          <w:szCs w:val="24"/>
        </w:rPr>
        <w:t xml:space="preserve"> and nutrient sources in the global ocean.</w:t>
      </w:r>
    </w:p>
    <w:p w14:paraId="7E531A1A" w14:textId="54B56695" w:rsidR="001E7F57" w:rsidRPr="001E7F57" w:rsidRDefault="00531865" w:rsidP="00AB2160">
      <w:pPr>
        <w:pStyle w:val="Heading2"/>
        <w:spacing w:line="360" w:lineRule="auto"/>
      </w:pPr>
      <w:bookmarkStart w:id="61" w:name="_Toc173250039"/>
      <w:r w:rsidRPr="003609FB">
        <w:t>Conclusions</w:t>
      </w:r>
      <w:bookmarkEnd w:id="61"/>
    </w:p>
    <w:p w14:paraId="2A329F20" w14:textId="1ADC0BD5" w:rsidR="005041AE" w:rsidRDefault="00605F91"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This exploration into parameter</w:t>
      </w:r>
      <w:r w:rsidR="00531865" w:rsidRPr="003609FB">
        <w:rPr>
          <w:rFonts w:ascii="Times New Roman" w:hAnsi="Times New Roman" w:cs="Times New Roman"/>
          <w:sz w:val="24"/>
          <w:szCs w:val="24"/>
        </w:rPr>
        <w:t xml:space="preserve"> theoretical space </w:t>
      </w:r>
      <w:r w:rsidRPr="003609FB">
        <w:rPr>
          <w:rFonts w:ascii="Times New Roman" w:hAnsi="Times New Roman" w:cs="Times New Roman"/>
          <w:sz w:val="24"/>
          <w:szCs w:val="24"/>
        </w:rPr>
        <w:t>is used to</w:t>
      </w:r>
      <w:r w:rsidR="00531865" w:rsidRPr="003609FB">
        <w:rPr>
          <w:rFonts w:ascii="Times New Roman" w:hAnsi="Times New Roman" w:cs="Times New Roman"/>
          <w:sz w:val="24"/>
          <w:szCs w:val="24"/>
        </w:rPr>
        <w:t xml:space="preserve"> show that microbial detoxification of exogenous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is </w:t>
      </w:r>
      <w:r w:rsidRPr="003609FB">
        <w:rPr>
          <w:rFonts w:ascii="Times New Roman" w:hAnsi="Times New Roman" w:cs="Times New Roman"/>
          <w:sz w:val="24"/>
          <w:szCs w:val="24"/>
        </w:rPr>
        <w:t xml:space="preserve">a key toggle </w:t>
      </w:r>
      <w:r w:rsidR="00531865" w:rsidRPr="003609FB">
        <w:rPr>
          <w:rFonts w:ascii="Times New Roman" w:hAnsi="Times New Roman" w:cs="Times New Roman"/>
          <w:sz w:val="24"/>
          <w:szCs w:val="24"/>
        </w:rPr>
        <w:t xml:space="preserve">for </w:t>
      </w:r>
      <w:r w:rsidR="00691B65" w:rsidRPr="00691B65">
        <w:rPr>
          <w:rFonts w:ascii="Times New Roman" w:hAnsi="Times New Roman" w:cs="Times New Roman"/>
          <w:i/>
          <w:iCs/>
          <w:sz w:val="24"/>
          <w:szCs w:val="24"/>
        </w:rPr>
        <w:t>Prochlorococcus</w:t>
      </w:r>
      <w:r w:rsidR="00531865" w:rsidRPr="003609FB">
        <w:rPr>
          <w:rFonts w:ascii="Times New Roman" w:hAnsi="Times New Roman" w:cs="Times New Roman"/>
          <w:sz w:val="24"/>
          <w:szCs w:val="24"/>
        </w:rPr>
        <w:t xml:space="preserve"> niche</w:t>
      </w:r>
      <w:r w:rsidRPr="003609FB">
        <w:rPr>
          <w:rFonts w:ascii="Times New Roman" w:hAnsi="Times New Roman" w:cs="Times New Roman"/>
          <w:sz w:val="24"/>
          <w:szCs w:val="24"/>
        </w:rPr>
        <w:t xml:space="preserve"> space</w:t>
      </w:r>
      <w:r w:rsidR="00531865" w:rsidRPr="003609FB">
        <w:rPr>
          <w:rFonts w:ascii="Times New Roman" w:hAnsi="Times New Roman" w:cs="Times New Roman"/>
          <w:sz w:val="24"/>
          <w:szCs w:val="24"/>
        </w:rPr>
        <w:t xml:space="preserve"> and is key in allowing coexistence </w:t>
      </w:r>
      <w:r w:rsidRPr="003609FB">
        <w:rPr>
          <w:rFonts w:ascii="Times New Roman" w:hAnsi="Times New Roman" w:cs="Times New Roman"/>
          <w:sz w:val="24"/>
          <w:szCs w:val="24"/>
        </w:rPr>
        <w:t>in</w:t>
      </w:r>
      <w:r w:rsidR="005318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singular </w:t>
      </w:r>
      <w:r w:rsidR="00531865" w:rsidRPr="003609FB">
        <w:rPr>
          <w:rFonts w:ascii="Times New Roman" w:hAnsi="Times New Roman" w:cs="Times New Roman"/>
          <w:sz w:val="24"/>
          <w:szCs w:val="24"/>
        </w:rPr>
        <w:t xml:space="preserve">nutrient </w:t>
      </w:r>
      <w:r w:rsidRPr="003609FB">
        <w:rPr>
          <w:rFonts w:ascii="Times New Roman" w:hAnsi="Times New Roman" w:cs="Times New Roman"/>
          <w:sz w:val="24"/>
          <w:szCs w:val="24"/>
        </w:rPr>
        <w:t>scenario</w:t>
      </w:r>
      <w:r w:rsidR="007E79DE">
        <w:rPr>
          <w:rFonts w:ascii="Times New Roman" w:hAnsi="Times New Roman" w:cs="Times New Roman"/>
          <w:sz w:val="24"/>
          <w:szCs w:val="24"/>
        </w:rPr>
        <w:t>s and thus a</w:t>
      </w:r>
      <w:r w:rsidRPr="003609FB">
        <w:rPr>
          <w:rFonts w:ascii="Times New Roman" w:hAnsi="Times New Roman" w:cs="Times New Roman"/>
          <w:sz w:val="24"/>
          <w:szCs w:val="24"/>
        </w:rPr>
        <w:t>llow</w:t>
      </w:r>
      <w:r w:rsidR="007E79DE">
        <w:rPr>
          <w:rFonts w:ascii="Times New Roman" w:hAnsi="Times New Roman" w:cs="Times New Roman"/>
          <w:sz w:val="24"/>
          <w:szCs w:val="24"/>
        </w:rPr>
        <w:t xml:space="preserve">s microbial dynamics to </w:t>
      </w:r>
      <w:r w:rsidRPr="003609FB">
        <w:rPr>
          <w:rFonts w:ascii="Times New Roman" w:hAnsi="Times New Roman" w:cs="Times New Roman"/>
          <w:sz w:val="24"/>
          <w:szCs w:val="24"/>
        </w:rPr>
        <w:t>switch between</w:t>
      </w:r>
      <w:r w:rsidR="00531865" w:rsidRPr="003609FB">
        <w:rPr>
          <w:rFonts w:ascii="Times New Roman" w:hAnsi="Times New Roman" w:cs="Times New Roman"/>
          <w:sz w:val="24"/>
          <w:szCs w:val="24"/>
        </w:rPr>
        <w:t xml:space="preserve"> competitive exclusion</w:t>
      </w:r>
      <w:r w:rsidRPr="003609FB">
        <w:rPr>
          <w:rFonts w:ascii="Times New Roman" w:hAnsi="Times New Roman" w:cs="Times New Roman"/>
          <w:sz w:val="24"/>
          <w:szCs w:val="24"/>
        </w:rPr>
        <w:t xml:space="preserve"> and coexistence</w:t>
      </w:r>
      <w:r w:rsidR="00531865" w:rsidRPr="003609FB">
        <w:rPr>
          <w:rFonts w:ascii="Times New Roman" w:hAnsi="Times New Roman" w:cs="Times New Roman"/>
          <w:sz w:val="24"/>
          <w:szCs w:val="24"/>
        </w:rPr>
        <w:t xml:space="preserve">. The streamlined nature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 is touted as the way in which it dominates current marine biogeography</w:t>
      </w:r>
      <w:r w:rsidR="004D52E5" w:rsidRPr="003609FB">
        <w:rPr>
          <w:rFonts w:ascii="Times New Roman" w:hAnsi="Times New Roman" w:cs="Times New Roman"/>
          <w:sz w:val="24"/>
          <w:szCs w:val="24"/>
        </w:rPr>
        <w:t xml:space="preserve"> </w:t>
      </w:r>
      <w:r w:rsidR="004D52E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{"citationID":"TYiYgGZF","properties":{"formattedCitation":"(Visintini, Martiny, and Flombaum 2021; Flombaum et al. 2013; Partensky, Hess, and Vaulot 1999)","plainCitation":"(Visintini, Martiny, and Flombaum 2021; Flombaum et al. 2013; Partensky, Hess, and Vaulot 1999)","noteIndex":0},"citationItems":[{"id":3999,"uris":["http://zotero.org/users/6128296/items/8G87M8S5"],"itemData":{"id":3999,"type":"article-journal","abstract":"Abstract\n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C."}],"issued":{"date-parts":[["2013",6,11]]}}},{"id":4143,"uris":["http://zotero.org/users/6128296/items/D6ZNXNHI"],"itemData":{"id":4143,"type":"article-journal","abstract":"SUMMARY\n              \n                The minute photosynthetic prokaryote Prochlorococcus, which was discovered about 10 years ago, has proven exceptional from several standpoints. Its tiny size (0.5 to 0.7 μm in diameter) makes it the smallest known photosynthetic organism. Its ubiquity within the 40°S to 40°N latitudinal band of oceans and its occurrence at high density from the surface down to depths of 200 m make it presumably the most abundant photosynthetic organism on Earth. Prochlorococcus typically divides once a day in the subsurface layer of oligotrophic areas, where it dominates the photosynthetic biomass. It also possesses a remarkable pigment complement which includes divinyl derivatives of chlorophyll a (Chl a) and Chl b, the so-called Chl a\n                2\n                and Chl b\n                2\n                , and, in some strains, small amounts of a new type of phycoerythrin. Phylogenetically, Prochlorococcus has also proven fascinating. Recent studies suggest that it evolved from an ancestral cyanobacterium by reducing its cell and genome sizes and by recruiting a protein originally synthesized under conditions of iron depletion to build a reduced antenna system as a replacement for large phycobilisomes. Environmental constraints clearly played a predominant role in Prochlorococcus evolution. Its tiny size is an advantage for its adaptation to nutrient-deprived environments. Furthermore, genetically distinct ecotypes, with different antenna systems and ecophysiological characteristics, are present at depth and in surface waters. This vertical species variation has allowed Prochlorococcus to adapt to the natural light gradient occurring in the upper layer of oceans. The present review critically assesses the basic knowledge acquired about Prochlorococcus both in the ocean and in the laboratory.","container-title":"Microbiology and Molecular Biology Reviews","DOI":"10.1128/MMBR.63.1.106-127.1999","ISSN":"1092-2172, 1098-5557","issue":"1","journalAbbreviation":"Microbiol Mol Biol Rev","language":"en","page":"106-127","source":"DOI.org (Crossref)","title":"&lt;i&gt;Prochlorococcus&lt;/i&gt; , a Marine Photosynthetic Prokaryote of Global Significance","volume":"63","author":[{"family":"Partensky","given":""},{"family":"Hess","given":"W. R."},{"family":"Vaulot","given":"D."}],"issued":{"date-parts":[["1999",3]]}}}],"schema":"https://github.com/citation-style-language/schema/raw/master/csl-citation.json"} </w:instrText>
      </w:r>
      <w:r w:rsidR="004D52E5"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(Visintini, Martiny, and </w:t>
      </w:r>
      <w:proofErr w:type="spellStart"/>
      <w:r w:rsidR="009D7443">
        <w:rPr>
          <w:rFonts w:ascii="Times New Roman" w:hAnsi="Times New Roman" w:cs="Times New Roman"/>
          <w:sz w:val="24"/>
          <w:szCs w:val="24"/>
        </w:rPr>
        <w:t>Flombaum</w:t>
      </w:r>
      <w:proofErr w:type="spellEnd"/>
      <w:r w:rsidR="009D7443">
        <w:rPr>
          <w:rFonts w:ascii="Times New Roman" w:hAnsi="Times New Roman" w:cs="Times New Roman"/>
          <w:sz w:val="24"/>
          <w:szCs w:val="24"/>
        </w:rPr>
        <w:t xml:space="preserve"> 2021; </w:t>
      </w:r>
      <w:proofErr w:type="spellStart"/>
      <w:r w:rsidR="009D7443">
        <w:rPr>
          <w:rFonts w:ascii="Times New Roman" w:hAnsi="Times New Roman" w:cs="Times New Roman"/>
          <w:sz w:val="24"/>
          <w:szCs w:val="24"/>
        </w:rPr>
        <w:t>Flombaum</w:t>
      </w:r>
      <w:proofErr w:type="spellEnd"/>
      <w:r w:rsidR="009D7443">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xml:space="preserve">. 2013; </w:t>
      </w:r>
      <w:proofErr w:type="spellStart"/>
      <w:r w:rsidR="009D7443">
        <w:rPr>
          <w:rFonts w:ascii="Times New Roman" w:hAnsi="Times New Roman" w:cs="Times New Roman"/>
          <w:sz w:val="24"/>
          <w:szCs w:val="24"/>
        </w:rPr>
        <w:t>Partensky</w:t>
      </w:r>
      <w:proofErr w:type="spellEnd"/>
      <w:r w:rsidR="009D7443">
        <w:rPr>
          <w:rFonts w:ascii="Times New Roman" w:hAnsi="Times New Roman" w:cs="Times New Roman"/>
          <w:sz w:val="24"/>
          <w:szCs w:val="24"/>
        </w:rPr>
        <w:t xml:space="preserve">, Hess, and </w:t>
      </w:r>
      <w:proofErr w:type="spellStart"/>
      <w:r w:rsidR="009D7443">
        <w:rPr>
          <w:rFonts w:ascii="Times New Roman" w:hAnsi="Times New Roman" w:cs="Times New Roman"/>
          <w:sz w:val="24"/>
          <w:szCs w:val="24"/>
        </w:rPr>
        <w:t>Vaulot</w:t>
      </w:r>
      <w:proofErr w:type="spellEnd"/>
      <w:r w:rsidR="009D7443">
        <w:rPr>
          <w:rFonts w:ascii="Times New Roman" w:hAnsi="Times New Roman" w:cs="Times New Roman"/>
          <w:sz w:val="24"/>
          <w:szCs w:val="24"/>
        </w:rPr>
        <w:t xml:space="preserve"> 1999)</w:t>
      </w:r>
      <w:r w:rsidR="004D52E5" w:rsidRPr="003609FB">
        <w:rPr>
          <w:rFonts w:ascii="Times New Roman" w:hAnsi="Times New Roman" w:cs="Times New Roman"/>
          <w:sz w:val="24"/>
          <w:szCs w:val="24"/>
        </w:rPr>
        <w:fldChar w:fldCharType="end"/>
      </w:r>
      <w:r w:rsidR="00531865" w:rsidRPr="003609FB">
        <w:rPr>
          <w:rFonts w:ascii="Times New Roman" w:hAnsi="Times New Roman" w:cs="Times New Roman"/>
          <w:sz w:val="24"/>
          <w:szCs w:val="24"/>
        </w:rPr>
        <w:t xml:space="preserve">. </w:t>
      </w:r>
      <w:r w:rsidR="001208CE" w:rsidRPr="003609FB">
        <w:rPr>
          <w:rFonts w:ascii="Times New Roman" w:hAnsi="Times New Roman" w:cs="Times New Roman"/>
          <w:sz w:val="24"/>
          <w:szCs w:val="24"/>
        </w:rPr>
        <w:t>However,</w:t>
      </w:r>
      <w:r w:rsidR="00531865" w:rsidRPr="003609FB">
        <w:rPr>
          <w:rFonts w:ascii="Times New Roman" w:hAnsi="Times New Roman" w:cs="Times New Roman"/>
          <w:sz w:val="24"/>
          <w:szCs w:val="24"/>
        </w:rPr>
        <w:t xml:space="preserve"> the downside, mainly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w:t>
      </w:r>
      <w:r w:rsidR="00B07751" w:rsidRPr="003609FB">
        <w:rPr>
          <w:rFonts w:ascii="Times New Roman" w:hAnsi="Times New Roman" w:cs="Times New Roman"/>
          <w:sz w:val="24"/>
          <w:szCs w:val="24"/>
        </w:rPr>
        <w:t xml:space="preserve">– based </w:t>
      </w:r>
      <w:r w:rsidR="00531865" w:rsidRPr="003609FB">
        <w:rPr>
          <w:rFonts w:ascii="Times New Roman" w:hAnsi="Times New Roman" w:cs="Times New Roman"/>
          <w:sz w:val="24"/>
          <w:szCs w:val="24"/>
        </w:rPr>
        <w:t xml:space="preserve">lethality, of </w:t>
      </w:r>
      <w:r w:rsidR="00B07751" w:rsidRPr="003609FB">
        <w:rPr>
          <w:rFonts w:ascii="Times New Roman" w:hAnsi="Times New Roman" w:cs="Times New Roman"/>
          <w:sz w:val="24"/>
          <w:szCs w:val="24"/>
        </w:rPr>
        <w:t>its</w:t>
      </w:r>
      <w:r w:rsidR="00531865" w:rsidRPr="003609FB">
        <w:rPr>
          <w:rFonts w:ascii="Times New Roman" w:hAnsi="Times New Roman" w:cs="Times New Roman"/>
          <w:sz w:val="24"/>
          <w:szCs w:val="24"/>
        </w:rPr>
        <w:t xml:space="preserve"> streamlined nature is not currently quantitively established. We use the base ODE models from Chapter 2 and evaluate the effect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on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31865"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531865" w:rsidRPr="003609FB">
        <w:rPr>
          <w:rFonts w:ascii="Times New Roman" w:hAnsi="Times New Roman" w:cs="Times New Roman"/>
          <w:sz w:val="24"/>
          <w:szCs w:val="24"/>
        </w:rPr>
        <w:t xml:space="preserve"> analogs in a competition framework. We first use values isolated from </w:t>
      </w:r>
      <w:r w:rsidR="00B36257">
        <w:rPr>
          <w:rFonts w:ascii="Times New Roman" w:hAnsi="Times New Roman" w:cs="Times New Roman"/>
          <w:sz w:val="24"/>
          <w:szCs w:val="24"/>
        </w:rPr>
        <w:t xml:space="preserve">quantitative </w:t>
      </w:r>
      <w:r w:rsidR="00531865" w:rsidRPr="003609FB">
        <w:rPr>
          <w:rFonts w:ascii="Times New Roman" w:hAnsi="Times New Roman" w:cs="Times New Roman"/>
          <w:sz w:val="24"/>
          <w:szCs w:val="24"/>
        </w:rPr>
        <w:t>model</w:t>
      </w:r>
      <w:r w:rsidR="00B36257">
        <w:rPr>
          <w:rFonts w:ascii="Times New Roman" w:hAnsi="Times New Roman" w:cs="Times New Roman"/>
          <w:sz w:val="24"/>
          <w:szCs w:val="24"/>
        </w:rPr>
        <w:t>ing methods</w:t>
      </w:r>
      <w:r w:rsidR="00531865" w:rsidRPr="003609FB">
        <w:rPr>
          <w:rFonts w:ascii="Times New Roman" w:hAnsi="Times New Roman" w:cs="Times New Roman"/>
          <w:sz w:val="24"/>
          <w:szCs w:val="24"/>
        </w:rPr>
        <w:t xml:space="preserve"> in </w:t>
      </w:r>
      <w:r w:rsidR="008E3C69" w:rsidRPr="003609FB">
        <w:rPr>
          <w:rFonts w:ascii="Times New Roman" w:hAnsi="Times New Roman" w:cs="Times New Roman"/>
          <w:sz w:val="24"/>
          <w:szCs w:val="24"/>
        </w:rPr>
        <w:t>C</w:t>
      </w:r>
      <w:r w:rsidR="00531865" w:rsidRPr="003609FB">
        <w:rPr>
          <w:rFonts w:ascii="Times New Roman" w:hAnsi="Times New Roman" w:cs="Times New Roman"/>
          <w:sz w:val="24"/>
          <w:szCs w:val="24"/>
        </w:rPr>
        <w:t xml:space="preserve">hapter 2 and expand with bacterial </w:t>
      </w:r>
      <w:r w:rsidR="003137ED" w:rsidRPr="003609FB">
        <w:rPr>
          <w:rFonts w:ascii="Times New Roman" w:hAnsi="Times New Roman" w:cs="Times New Roman"/>
          <w:sz w:val="24"/>
          <w:szCs w:val="24"/>
        </w:rPr>
        <w:t>detoxification</w:t>
      </w:r>
      <w:r w:rsidR="00531865" w:rsidRPr="003609FB">
        <w:rPr>
          <w:rFonts w:ascii="Times New Roman" w:hAnsi="Times New Roman" w:cs="Times New Roman"/>
          <w:sz w:val="24"/>
          <w:szCs w:val="24"/>
        </w:rPr>
        <w:t xml:space="preserve"> and abundance stock values to analyze the different possible community structures available under relevant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31865" w:rsidRPr="003609FB">
        <w:rPr>
          <w:rFonts w:ascii="Times New Roman" w:hAnsi="Times New Roman" w:cs="Times New Roman"/>
          <w:sz w:val="24"/>
          <w:szCs w:val="24"/>
        </w:rPr>
        <w:t xml:space="preserve"> and nutrient inputs. Predicted decreases in overall average cell size of the surface ocean </w:t>
      </w:r>
      <w:r w:rsidR="000418C4">
        <w:rPr>
          <w:rFonts w:ascii="Times New Roman" w:hAnsi="Times New Roman" w:cs="Times New Roman"/>
          <w:sz w:val="24"/>
          <w:szCs w:val="24"/>
        </w:rPr>
        <w:t xml:space="preserve">microbes </w:t>
      </w:r>
      <w:r w:rsidR="00531865" w:rsidRPr="003609FB">
        <w:rPr>
          <w:rFonts w:ascii="Times New Roman" w:hAnsi="Times New Roman" w:cs="Times New Roman"/>
          <w:sz w:val="24"/>
          <w:szCs w:val="24"/>
        </w:rPr>
        <w:t xml:space="preserve">(a predicted outcome for future ocean nutrient inputs due to climate change </w:t>
      </w:r>
      <w:r w:rsidR="004D52E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{"citationID":"FqE6QCyp","properties":{"formattedCitation":"(Dutkiewicz et al. 2015; Litchman et al. 2006)","plainCitation":"(Dutkiewicz et al. 2015; Litchman et al. 2006)","noteIndex":0},"citationItems":[{"id":3188,"uris":["http://zotero.org/users/6128296/items/C5M8U2TV"],"itemData":{"id":3188,"type":"article-journal","abstract":"Phytoplankton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T."},{"family":"Berman-Frank","given":"Ilana"}],"issued":{"date-parts":[["2015",11]]}}},{"id":214,"uris":["http://zotero.org/users/6128296/items/J2FLCVUF"],"itemData":{"id":214,"type":"article-journal","abstract":"Phytoplankton community composition profoundly affects patterns of nutrient cycling and the dynamics of marine food webs; therefore predicting present and future phytoplankton community structure is crucial to understand how ocean ecosystems respond to physical forcing and nutrient limitations. We develop a mechanistic model of phytoplankton communities that includes multiple taxonomic groups (diatoms, coccolithophores and prasinophytes), nutrients (nitrate, ammonium, phosphate, silicate and iron), light, and a generalist zooplankton grazer. Each taxonomic group was parameterized based on an extensive literature survey. We test the model at two contrasting sites in the modern ocean, the North Atlantic (North Atlantic Bloom Experiment, NABE) and subarctic North Pacific (ocean station Papa, OSP). The model successfully predicts general patterns of community composition and succession at both sites: In the North Atlantic, the model predicts a spring diatom bloom, followed by coccolithophore and prasinophyte blooms later in the season. In the North Pacific, the model reproduces the low chlorophyll community dominated by prasinophytes and coccolithophores, with low total biomass variability and high nutrient concentrations throughout the year. Sensitivity analysis revealed that the identity of the most sensitive parameters and the range of acceptable parameters differed between the two sites. We then use the model to predict community reorganization under different global change scenarios: a later onset and extended duration of stratification, with shallower mixed layer depths due to increased greenhouse gas concentrations; increase in deep water nitrogen; decrease in deep water phosphorus and increase or decrease in iron concentration. To estimate uncertainty in our predictions, we used a Monte Carlo sampling of the parameter space where future scenarios were run using parameter combinations that produced acceptable modern day outcomes and the robustCorrespondence to: E. Litchman (litchman@msu.edu) ness of the predictions was determined. Change in the onset and duration of stratification altered the timing and the magnitude of the spring diatom bloom in the North Atlantic and increased total phytoplankton and zooplankton biomass in the North Pacific. Changes in nutrient concentrations in some cases changed dominance patterns of major groups, as well as total chlorophyll and zooplankton biomass. Based on these scenarios, our model suggests that global environmental change will inevitably alter phytoplankton community structure and potentially impact global biogeochemical cycle.","language":"en","page":"22","source":"Zotero","title":"Multi-nutrient, multi-group model of present and future oceanic phytoplankton communities","author":[{"family":"Litchman","given":""},{"family":"Klausmeier","given":"C A"},{"family":"Miller","given":"J R"},{"family":"Schoﬁeld","given":"O M"},{"family":"Falkowski","given":"P G"}],"issued":{"date-parts":[["2006"]]}}}],"schema":"https://github.com/citation-style-language/schema/raw/master/csl-citation.json"} </w:instrText>
      </w:r>
      <w:r w:rsidR="004D52E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(Dutkiewicz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xml:space="preserve">. 2015; Litchman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2006)</w:t>
      </w:r>
      <w:r w:rsidR="004D52E5" w:rsidRPr="003609FB">
        <w:rPr>
          <w:rFonts w:ascii="Times New Roman" w:hAnsi="Times New Roman" w:cs="Times New Roman"/>
          <w:sz w:val="24"/>
          <w:szCs w:val="24"/>
        </w:rPr>
        <w:fldChar w:fldCharType="end"/>
      </w:r>
      <w:r w:rsidR="00531865" w:rsidRPr="003609FB">
        <w:rPr>
          <w:rFonts w:ascii="Times New Roman" w:hAnsi="Times New Roman" w:cs="Times New Roman"/>
          <w:sz w:val="24"/>
          <w:szCs w:val="24"/>
        </w:rPr>
        <w:t xml:space="preserve">) is modeled to </w:t>
      </w:r>
      <w:r w:rsidR="000418C4">
        <w:rPr>
          <w:rFonts w:ascii="Times New Roman" w:hAnsi="Times New Roman" w:cs="Times New Roman"/>
          <w:sz w:val="24"/>
          <w:szCs w:val="24"/>
        </w:rPr>
        <w:t>change</w:t>
      </w:r>
      <w:r w:rsidR="00531865" w:rsidRPr="003609FB">
        <w:rPr>
          <w:rFonts w:ascii="Times New Roman" w:hAnsi="Times New Roman" w:cs="Times New Roman"/>
          <w:sz w:val="24"/>
          <w:szCs w:val="24"/>
        </w:rPr>
        <w:t xml:space="preserve"> </w:t>
      </w:r>
      <w:r w:rsidR="00145083">
        <w:rPr>
          <w:rFonts w:ascii="Times New Roman" w:hAnsi="Times New Roman" w:cs="Times New Roman"/>
          <w:sz w:val="24"/>
          <w:szCs w:val="24"/>
        </w:rPr>
        <w:t xml:space="preserve">the </w:t>
      </w:r>
      <w:r w:rsidR="00531865" w:rsidRPr="003609FB">
        <w:rPr>
          <w:rFonts w:ascii="Times New Roman" w:hAnsi="Times New Roman" w:cs="Times New Roman"/>
          <w:sz w:val="24"/>
          <w:szCs w:val="24"/>
        </w:rPr>
        <w:t xml:space="preserve">downward </w:t>
      </w:r>
      <w:r w:rsidR="00672225">
        <w:rPr>
          <w:rFonts w:ascii="Times New Roman" w:hAnsi="Times New Roman" w:cs="Times New Roman"/>
          <w:sz w:val="24"/>
          <w:szCs w:val="24"/>
        </w:rPr>
        <w:t xml:space="preserve">concentration and </w:t>
      </w:r>
      <w:r w:rsidR="00145083">
        <w:rPr>
          <w:rFonts w:ascii="Times New Roman" w:hAnsi="Times New Roman" w:cs="Times New Roman"/>
          <w:sz w:val="24"/>
          <w:szCs w:val="24"/>
        </w:rPr>
        <w:t xml:space="preserve">flux of carbon to the sequestration deep ocean </w:t>
      </w:r>
      <w:r w:rsidR="00945857">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{"citationID":"h8byNe6p","properties":{"formattedCitation":"(Levin and Le Bris 2015; Falkowski 1997; Hutchins and Fu 2017)","plainCitation":"(Levin and Le Bris 2015; Falkowski 1997; Hutchins and Fu 2017)","noteIndex":0},"citationItems":[{"id":3989,"uris":["http://zotero.org/users/6128296/items/SFZ3IB33"],"itemData":{"id":3989,"type":"article-journal","abstract":"The deep ocean absorbs vast amounts of heat and carbon dioxide, providing a critical buffer to climate change but exposing vulnerable ecosystems to combined stresses of warming, ocean acidification, deoxygenation, and altered food inputs. Resulting changes may threaten biodiversity and compromise key ocean services that maintain a healthy planet and human livelihoods. There exist large gaps in understanding of the physical and ecological feedbacks that will occur. Explicit recognition of deep-ocean climate mitigation and inclusion in adaptation planning by the United Nations Framework Convention on Climate Change (UNFCCC) could help to expand deep-ocean research and observation and to protect the integrity and functions of deep-ocean ecosystems.","container-title":"Science","DOI":"10.1126/science.aad0126","ISSN":"0036-8075, 1095-9203","issue":"6262","journalAbbreviation":"Science","language":"en","page":"766-768","source":"DOI.org (Crossref)","title":"The deep ocean under climate change","volume":"350","author":[{"family":"Levin","given":""},{"family":"Le Bris","given":"Nadine"}],"issued":{"date-parts":[["2015",11,13]]}}},{"id":1585,"uris":["http://zotero.org/users/6128296/items/RLLFBVCL"],"itemData":{"id":1585,"type":"article-journal","container-title":"Nature","title":"Evolution of the nitrogen cycle and its influence on the biological sequestration of CO2 in the ocean","volume":"387","author":[{"family":"Falkowski","given":""}],"issued":{"date-parts":[["1997"]]}}},{"id":1661,"uris":["http://zotero.org/users/6128296/items/W5C6RR5T"],"itemData":{"id":1661,"type":"article-journal","container-title":"Nature Microbiology","DOI":"10.1038/nmicrobiol.2017.58","ISSN":"2058-5276","issue":"6","journalAbbreviation":"Nat Microbiol","language":"en","page":"17058","source":"DOI.org (Crossref)","title":"Microorganisms and ocean global change","volume":"2","author":[{"family":"Hutchins","given":""},{"family":"Fu","given":""}],"issued":{"date-parts":[["2017",6]]}}}],"schema":"https://github.com/citation-style-language/schema/raw/master/csl-citation.json"} </w:instrText>
      </w:r>
      <w:r w:rsidR="00945857">
        <w:rPr>
          <w:rFonts w:ascii="Times New Roman" w:hAnsi="Times New Roman" w:cs="Times New Roman"/>
          <w:sz w:val="24"/>
          <w:szCs w:val="24"/>
        </w:rPr>
        <w:fldChar w:fldCharType="separate"/>
      </w:r>
      <w:r w:rsidR="00922909">
        <w:rPr>
          <w:rFonts w:ascii="Times New Roman" w:hAnsi="Times New Roman" w:cs="Times New Roman"/>
          <w:noProof/>
          <w:sz w:val="24"/>
          <w:szCs w:val="24"/>
        </w:rPr>
        <w:t xml:space="preserve">(Levin and Le Bris </w:t>
      </w:r>
      <w:r w:rsidR="00922909">
        <w:rPr>
          <w:rFonts w:ascii="Times New Roman" w:hAnsi="Times New Roman" w:cs="Times New Roman"/>
          <w:noProof/>
          <w:sz w:val="24"/>
          <w:szCs w:val="24"/>
        </w:rPr>
        <w:lastRenderedPageBreak/>
        <w:t>2015; Falkowski 1997; Hutchins and Fu 2017)</w:t>
      </w:r>
      <w:r w:rsidR="00945857">
        <w:rPr>
          <w:rFonts w:ascii="Times New Roman" w:hAnsi="Times New Roman" w:cs="Times New Roman"/>
          <w:sz w:val="24"/>
          <w:szCs w:val="24"/>
        </w:rPr>
        <w:fldChar w:fldCharType="end"/>
      </w:r>
      <w:r w:rsidR="00145083">
        <w:rPr>
          <w:rFonts w:ascii="Times New Roman" w:hAnsi="Times New Roman" w:cs="Times New Roman"/>
          <w:sz w:val="24"/>
          <w:szCs w:val="24"/>
        </w:rPr>
        <w:t xml:space="preserve"> through changing community composition</w:t>
      </w:r>
      <w:r w:rsidR="000418C4">
        <w:rPr>
          <w:rFonts w:ascii="Times New Roman" w:hAnsi="Times New Roman" w:cs="Times New Roman"/>
          <w:sz w:val="24"/>
          <w:szCs w:val="24"/>
        </w:rPr>
        <w:t xml:space="preserve"> augmenting </w:t>
      </w:r>
      <w:r w:rsidR="00476002">
        <w:rPr>
          <w:rFonts w:ascii="Times New Roman" w:hAnsi="Times New Roman" w:cs="Times New Roman"/>
          <w:sz w:val="24"/>
          <w:szCs w:val="24"/>
        </w:rPr>
        <w:t xml:space="preserve">internal mixed layer fluxes </w:t>
      </w:r>
      <w:r w:rsidR="000418C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{"citationID":"DPzreD0U","properties":{"formattedCitation":"(Ducklow, Quinby, and Carlson 1995; Dutkiewicz, Scott, and Follows 2013; Barreto Filho et al. 2022; Henson et al. 2021; Wagner and Adrian 2009; Beman et al. 2011; Dutkiewicz et al. 2015; Traving, Clokie, and Middelboe 2014; Lomas and Lipschultz 2006)","plainCitation":"(Ducklow, Quinby, and Carlson 1995; Dutkiewicz, Scott, and Follows 2013; Barreto Filho et al. 2022; Henson et al. 2021; Wagner and Adrian 2009; Beman et al. 2011; Dutkiewicz et al. 2015; Traving, Clokie, and Middelboe 2014; Lomas and Lipschultz 2006)","noteIndex":0},"citationItems":[{"id":761,"uris":["http://zotero.org/users/6128296/items/2N9JVGUQ"],"itemData":{"id":761,"type":"article-journal","abstract":"The stocks and dynamics of bacterioplankton in the upper 200 m were studied in detail providing daily temporal resolution and finescale vertical resolution during two ca 20-day occupations of a station on the equator at the U. S. JGOFS EgPac transect along 140°W longitude, in March–April and October 1992. Euphotic-zone bacterial biomass averaged 70% of phytoplankton carbon on the two cruises. This moderately high ratio was a consequence of low phytoplankton biomass, characteristic of high nutrient, low chlorophyll (HNLC) regimes, rather than high bacterial abundance, which averaged 6–8 × 108 cells l−1 in the upper 100 m. Turnover rates and thus production were low, with bacterial production (BP) averaging less than 20% of primary production (PP) for the two cruises. Biomass was higher and production was lower under the non-El Niño conditions prevailing in October, compared to the March–April observations made in El Niño conditions. Overall, bacterial production was a low fraction of primary production near the equator during both El Niño conditions. We suggest this might be the result of two possible but untested phenomena: (1) BP:PP is generally low (i.e. &lt;20%) in oceanic waters, except during event-scale related disturbances of quasi-steady state conditions in trophic flow structure; and (2) bacteria respond more slowly in upwelling fields than phytoplankton, causing persistent uncoupling between the two groups. This latter condition might be relieved during El Niho when upwelling is reduced.","container-title":"Deep Sea Research Part II: Topical Studies in Oceanography","DOI":"10.1016/0967-0645(95)00022-I","ISSN":"0967-0645","issue":"2","journalAbbreviation":"Deep Sea Research Part II: Topical Studies in Oceanography","language":"en","page":"621-638","source":"ScienceDirect","title":"Bacterioplankton dynamics in the equatorial Pacific during the 1992 El Niño","volume":"42","author":[{"family":"Ducklow","given":""},{"family":"Quinby","given":"Helen L."},{"family":"Carlson","given":"Craig A."}],"issued":{"date-parts":[["1995",1,1]]}}},{"id":4149,"uris":["http://zotero.org/users/6128296/items/522R3HZR"],"itemData":{"id":4149,"type":"article-journal","abstract":"We employ a marine ecosystem model, with diverse and flexible phytoplankton communities, coupled to an Earth system model of intermediate complexity to explore mechanisms that will alter the biogeography and productivity of phytoplankton populations in a warming world. Simple theoretical frameworks and sensitivity experiments reveal that ecological and biogeochemical changes are driven by a balance between two impacts of a warming climate: higher metabolic rates (the “direct” effect), and changes in the supply of limiting nutrients and altered light environments (the “indirect” effect). On globally integrated productivity, the two effects compensate to a large degree. Regionally, the competition between effects is more complicated; patterns of productivity changes are different between high and low latitudes and are also regulated by how the supply of the limiting nutrient changes. These complex regional patterns are also found in the changes to broad phytoplankton functional groups. On the finer ecological scale of diversity within functional groups, we find that ranges of some phytoplankton types are reduced, while those of others (potentially minor players in the present ocean) expand. Combined change in areal extent of range and in regionally available nutrients leads to global “winners and losers.” The model suggests that the strongest and most robust signal of the warming ocean is likely to be the large turnover in local phytoplankton community composition.\nProductivity changes are balance of direct and indirect effects of warming\n Phytoplankton type range shifts lead to global and regional winners and losers\n Clearest signal of climate change will be shifts in community at specieslevel","container-title":"Global Biogeochemical Cycles","DOI":"10.1002/gbc.20042","ISSN":"0886-6236, 1944-9224","issue":"2","journalAbbreviation":"Global Biogeochemical Cycles","language":"en","page":"463-477","source":"DOI.org (Crossref)","title":"Winners and losers: Ecological and biogeochemical changes in a warming ocean","title-short":"Winners and losers","volume":"27","author":[{"family":"Dutkiewicz","given":""},{"family":"Scott","given":"J. R."},{"family":"Follows","given":"M. J."}],"issued":{"date-parts":[["2013",6]]}}},{"id":4148,"uris":["http://zotero.org/users/6128296/items/CH4CPXZ8"],"itemData":{"id":4148,"type":"article-journal","abstract":"Abstract\n            Many microbial photoautotrophs depend on heterotrophic bacteria for accomplishing essential functions. Environmental changes, however, could alter or eliminate such interactions. We investigated the effects of changing pCO2 on gene transcription in co-cultures of 3 strains of picocyanobacteria (Synechococcus strains CC9311 and WH8102 and Prochlorococcus strain MIT9312) paired with the ‘helper’ bacterium Alteromonas macleodii EZ55. Co-culture with cyanobacteria resulted in a much higher number of up- and down-regulated genes in EZ55 than pCO2 by itself. Pathway analysis revealed significantly different transcription of genes involved in carbohydrate metabolism, stress response, and chemotaxis, with different patterns of up- or down-regulation in co-culture with different cyanobacterial strains. Gene transcription patterns of organic and inorganic nutrient transporter and catabolism genes in EZ55 suggested resources available in the culture media were altered under elevated (800 ppm) pCO2 conditions. Altogether, changing transcription patterns were consistent with the possibility that the composition of cyanobacterial excretions changed under the two pCO2 regimes, causing extensive ecophysiological changes in both members of the co-cultures. Additionally, significant downregulation of oxidative stress genes in MIT9312/EZ55 cocultures at 800 ppm pCO2 were consistent with a link between the predicted reduced availability of photorespiratory byproducts (i.e., glycolate/2PG) under this condition and observed reductions in internal oxidative stress loads for EZ55, providing a possible explanation for the previously observed lack of “help” provided by EZ55 to MIT9312 under elevated pCO2. If similar broad alterations in microbial ecophysiology occur in the ocean as atmospheric pCO2 increases, they could lead to substantially altered ecosystem functioning and community composition.","container-title":"ISME Communications","DOI":"10.1038/s43705-022-00197-2","ISSN":"2730-6151","issue":"1","language":"en","page":"113","source":"DOI.org (Crossref)","title":"Community context and pCO2 impact the transcriptome of the “helper” bacterium &lt;i&gt;Alteromonas&lt;/i&gt; in co-culture with picocyanobacteria","volume":"2","author":[{"family":"Barreto Filho","given":""},{"family":"Lu","given":"Zhiying"},{"family":"Walker","given":"Melissa"},{"family":"Morris","given":"J Jeffrey"}],"issued":{"date-parts":[["2022",12,1]]}}},{"id":4150,"uris":["http://zotero.org/users/6128296/items/LLDD9BXM"],"itemData":{"id":4150,"type":"article-journal","abstract":"Abstract\n            The future response of marine ecosystem diversity to continued anthropogenic forcing is poorly constrained. Phytoplankton are a diverse set of organisms that form the base of the marine ecosystem. Currently, ocean biogeochemistry and ecosystem models used for climate change projections typically include only 2−3 phytoplankton types and are, therefore, too simple to adequately assess the potential for changes in plankton community structure. Here, we analyse a complex ecosystem model with 35 phytoplankton types to evaluate the changes in phytoplankton community composition, turnover and size structure over the 21st century. We find that the rate of turnover in the phytoplankton community becomes faster during this century, that is, the community structure becomes increasingly unstable in response to climate change. Combined with alterations to phytoplankton diversity, our results imply a loss of ecological resilience with likely knock-on effects on the productivity and functioning of the marine environment.","container-title":"Nature Communications","DOI":"10.1038/s41467-021-25699-w","ISSN":"2041-1723","issue":"1","journalAbbreviation":"Nat Commun","language":"en","page":"5372","source":"DOI.org (Crossref)","title":"Future phytoplankton diversity in a changing climate","volume":"12","author":[{"family":"Henson","given":""},{"family":"Cael","given":"B. B."},{"family":"Allen","given":"Stephanie R."},{"family":"Dutkiewicz","given":"Stephanie"}],"issued":{"date-parts":[["2021",9,10]]}}},{"id":1541,"uris":["http://zotero.org/users/6128296/items/MZNGQLWC"],"itemData":{"id":1541,"type":"article-journal","abstract":"An increase in cyanobacteria bloom formation within lakes has been forecasted as a result of global warming. We investigated the particular physical and chemical thresholds for cyanobacteria performance in a lake model system, the polymictic eutrophic Mu¨ ggelsee, which has been affected by significant warming trends and substantial reductions in external nutrient load. To identify key physical and nutrient thresholds favoring cyanobacterial performance, we applied classification tree analysis to water temperature, Schmidt stability, oxygen, pH, nutrients (including phosphorus, nitrogen, and their relative ratios), and zooplankton abundance during periods of summer thermal stratification. Although total phosphorus (TP) concentration was the principal force driving cyanobacteria contribution to total algal mass, climate-induced changes in the thermal regime, rather than direct temperature effects, positively influenced cyanobacteria dominance. Stratification periods exceeding 3 weeks and exhibiting a Schmidt stability of .44 g cm cm22 favored cyanobacteria proliferation within a critical TP concentration range (70–215 mg L21). The dominating genera Aphanizomenon, Anabaena, and Microcystis achieved the highest biomass in cases in which total nitrogen concentrations exceeded 1.29 mg L21, stratified conditions exceeded a duration of 3 weeks, and TP concentrations exceeded 215 mg L21, respectively. Given the observed broad range of TP thresholds within which climate warming enhances the probability of cyanobacteria dominance, the incidence of cyanobacteria blooms will certainly increase in many lakes under future climate scenarios.","container-title":"Limnology and Oceanography","DOI":"10.4319/lo.2009.54.6_part_2.2460","ISSN":"00243590","issue":"6part2","journalAbbreviation":"Limnol. Oceanogr.","language":"en","page":"2460-2468","source":"DOI.org (Crossref)","title":"Cyanobacteria dominance: Quantifying the effects of climate change","title-short":"Cyanobacteria dominance","volume":"54","author":[{"family":"Wagner","given":""},{"family":"Adrian","given":"Rita"}],"issued":{"date-parts":[["2009",11]]}}},{"id":1670,"uris":["http://zotero.org/users/6128296/items/FPQP6Z9Q"],"itemData":{"id":1670,"type":"article-journal","abstract":"Ocean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T."},{"family":"Berman-Frank","given":"Ilana"}],"issued":{"date-parts":[["2015",11]]}}},{"id":1781,"uris":["http://zotero.org/users/6128296/items/34SSC9WV"],"itemData":{"id":1781,"type":"article-journal","abstract":"Increased anthropogenic CO2 emissions are expected to cause a drop in oceanic pH of c. 0.4 units within this century. According to current assessments, the consequences of this are limited for oceanic Cyanobacteria, and absent for viruses. We investigated the effect of pH on the life history of cyanophage S-PM2 and its host, Synechococcus sp. WH7803, at current pH concentrations and at predicted future concentrations. We identiﬁed signiﬁcant negative effects of decreasing pH on Synechococcus growth rate, with profound negative implications for S-PM2 biogenesis and its infection cycle. The duration of the S-PM2 eclipse period increased signiﬁcantly with decreasing pH. In contrast, the latent period was shorter at pH 7.6 than at pH 8, coinciding with a reduction in S-PM2 burst size from 20.1 Æ 3.2 progeny phages per cell at pH 8 to 5.68 Æ 4.4 progeny phages per cell at pH 7.6. At pH 7, there was no detectable progeny release. The extracellular stage of S-PM2 was insensitive to pH changes, but sensitive to light, with signiﬁcant loss in infectivity (0.35–0.38 dayÀ1) at relatively low irradiances (&gt; 130 lmol photon mÀ2 sÀ1). Overall, the results suggest that pH has signiﬁcant inﬂuence on cyanobacterial growth with important implications for the interactions between Cyanobacteria and their viruses.","container-title":"FEMS Microbiology Ecology","DOI":"10.1111/1574-6941.12199","ISSN":"01686496","issue":"1","journalAbbreviation":"FEMS Microbiol Ecol","language":"en","page":"133-141","source":"DOI.org (Crossref)","title":"Increased acidification has a profound effect on the interactions between the cyanobacterium &lt;i&gt;Synechococcus&lt;/i&gt; sp. WH7803 and its viruses","volume":"87","author":[{"family":"Traving","given":""},{"family":"Clokie","given":"Martha R.J."},{"family":"Middelboe","given":"Mathias"}],"issued":{"date-parts":[["2014",1]]}}},{"id":102,"uris":["http://zotero.org/users/6128296/items/W4LXWIIR"],"itemData":{"id":102,"type":"article-journal","abstract":"As intermediary in a number of key biological processes, the dynamics of oceanic NO 22 concentrations have historically been used as an indicator of the balance between oxidative and reductive pathways in the marine nitrogen cycle. As appreciation of the role of NO 2 2 in the marine nitrogen cycle grew through the 1960s and 1970s, and data sets from different ocean basins became available, a common feature was observed in stratified water columns: a peak in NO 22 concentrations at the base of the euphotic zone, with near zero concentrations both shallower and deeper. These concentrations are significant; they commonly range between 10 and 400 nmol L21 but as high as 4,500 nmol L21. This peak in NO 22 concentration is termed the primary nitrite maximum (PNM). Since the 1960s, the mechanisms sustaining the ubiquitous PNM have remained uncertain, with available data supporting either bacterial nitrification or NO 2 2 release by phytoplankton. Simple box models have reproduced the PNM feature with nitrification as the source of NO 2 2 , whereas others have succeeded solely with phytoplankton. Conclusive identification of the mechanism(s) maintaining the PNM in the world’s oceans has yet to be achieved, but the preponderance of data supports phytoplankton excretion, with nitrification likely playing only a supporting role. Furthermore, there are a number of potentially important inconsistencies in the role of nitrification between culture studies and field observations. Biological–physical interactions are likely also important in controlling PNM formation and maintenance.","container-title":"Limnology and Oceanography","DOI":"10.4319/lo.2006.51.5.2453","ISSN":"00243590","issue":"5","journalAbbreviation":"Limnol. Oceanogr.","language":"en","page":"2453-2467","source":"DOI.org (Crossref)","title":"Forming the primary nitrite maximum: Nitrifiers or phytoplankton?","title-short":"Forming the primary nitrite maximum","volume":"51","author":[{"family":"Lomas","given":""},{"family":"Lipschultz","given":"Fredric"}],"issued":{"date-parts":[["2006",9]]}}}],"schema":"https://github.com/citation-style-language/schema/raw/master/csl-citation.json"} </w:instrText>
      </w:r>
      <w:r w:rsidR="000418C4">
        <w:rPr>
          <w:rFonts w:ascii="Times New Roman" w:hAnsi="Times New Roman" w:cs="Times New Roman"/>
          <w:sz w:val="24"/>
          <w:szCs w:val="24"/>
        </w:rPr>
        <w:fldChar w:fldCharType="separate"/>
      </w:r>
      <w:r w:rsidR="006C2922">
        <w:rPr>
          <w:rFonts w:ascii="Times New Roman" w:hAnsi="Times New Roman" w:cs="Times New Roman"/>
          <w:noProof/>
          <w:sz w:val="24"/>
          <w:szCs w:val="24"/>
        </w:rPr>
        <w:t xml:space="preserve">(Ducklow, Quinby, and Carlson 1995; Dutkiewicz, Scott, and Follows 2013; Barreto Filho </w:t>
      </w:r>
      <w:r w:rsidR="00183222" w:rsidRPr="00183222">
        <w:rPr>
          <w:rFonts w:ascii="Times New Roman" w:hAnsi="Times New Roman" w:cs="Times New Roman"/>
          <w:i/>
          <w:iCs/>
          <w:sz w:val="24"/>
          <w:szCs w:val="24"/>
        </w:rPr>
        <w:t>et al</w:t>
      </w:r>
      <w:r w:rsidR="006C2922">
        <w:rPr>
          <w:rFonts w:ascii="Times New Roman" w:hAnsi="Times New Roman" w:cs="Times New Roman"/>
          <w:noProof/>
          <w:sz w:val="24"/>
          <w:szCs w:val="24"/>
        </w:rPr>
        <w:t xml:space="preserve">. 2022; Henson </w:t>
      </w:r>
      <w:r w:rsidR="00183222" w:rsidRPr="00183222">
        <w:rPr>
          <w:rFonts w:ascii="Times New Roman" w:hAnsi="Times New Roman" w:cs="Times New Roman"/>
          <w:i/>
          <w:iCs/>
          <w:sz w:val="24"/>
          <w:szCs w:val="24"/>
        </w:rPr>
        <w:t>et al</w:t>
      </w:r>
      <w:r w:rsidR="006C2922">
        <w:rPr>
          <w:rFonts w:ascii="Times New Roman" w:hAnsi="Times New Roman" w:cs="Times New Roman"/>
          <w:noProof/>
          <w:sz w:val="24"/>
          <w:szCs w:val="24"/>
        </w:rPr>
        <w:t xml:space="preserve">. 2021; Wagner and Adrian 2009; Beman </w:t>
      </w:r>
      <w:r w:rsidR="00183222" w:rsidRPr="00183222">
        <w:rPr>
          <w:rFonts w:ascii="Times New Roman" w:hAnsi="Times New Roman" w:cs="Times New Roman"/>
          <w:i/>
          <w:iCs/>
          <w:sz w:val="24"/>
          <w:szCs w:val="24"/>
        </w:rPr>
        <w:t>et al</w:t>
      </w:r>
      <w:r w:rsidR="006C2922">
        <w:rPr>
          <w:rFonts w:ascii="Times New Roman" w:hAnsi="Times New Roman" w:cs="Times New Roman"/>
          <w:noProof/>
          <w:sz w:val="24"/>
          <w:szCs w:val="24"/>
        </w:rPr>
        <w:t xml:space="preserve">. 2011; Dutkiewicz </w:t>
      </w:r>
      <w:r w:rsidR="00183222" w:rsidRPr="00183222">
        <w:rPr>
          <w:rFonts w:ascii="Times New Roman" w:hAnsi="Times New Roman" w:cs="Times New Roman"/>
          <w:i/>
          <w:iCs/>
          <w:sz w:val="24"/>
          <w:szCs w:val="24"/>
        </w:rPr>
        <w:t>et al</w:t>
      </w:r>
      <w:r w:rsidR="006C2922">
        <w:rPr>
          <w:rFonts w:ascii="Times New Roman" w:hAnsi="Times New Roman" w:cs="Times New Roman"/>
          <w:noProof/>
          <w:sz w:val="24"/>
          <w:szCs w:val="24"/>
        </w:rPr>
        <w:t>. 2015; Traving, Clokie, and Middelboe 2014; Lomas and Lipschultz 2006)</w:t>
      </w:r>
      <w:r w:rsidR="000418C4">
        <w:rPr>
          <w:rFonts w:ascii="Times New Roman" w:hAnsi="Times New Roman" w:cs="Times New Roman"/>
          <w:sz w:val="24"/>
          <w:szCs w:val="24"/>
        </w:rPr>
        <w:fldChar w:fldCharType="end"/>
      </w:r>
      <w:r w:rsidR="000418C4">
        <w:rPr>
          <w:rFonts w:ascii="Times New Roman" w:hAnsi="Times New Roman" w:cs="Times New Roman"/>
          <w:sz w:val="24"/>
          <w:szCs w:val="24"/>
        </w:rPr>
        <w:t xml:space="preserve"> </w:t>
      </w:r>
      <w:r w:rsidR="00145083">
        <w:rPr>
          <w:rFonts w:ascii="Times New Roman" w:hAnsi="Times New Roman" w:cs="Times New Roman"/>
          <w:sz w:val="24"/>
          <w:szCs w:val="24"/>
        </w:rPr>
        <w:t>and decreased mixing between surface</w:t>
      </w:r>
      <w:r w:rsidR="00476002">
        <w:rPr>
          <w:rFonts w:ascii="Times New Roman" w:hAnsi="Times New Roman" w:cs="Times New Roman"/>
          <w:sz w:val="24"/>
          <w:szCs w:val="24"/>
        </w:rPr>
        <w:t xml:space="preserve"> mixed layer</w:t>
      </w:r>
      <w:r w:rsidR="00145083">
        <w:rPr>
          <w:rFonts w:ascii="Times New Roman" w:hAnsi="Times New Roman" w:cs="Times New Roman"/>
          <w:sz w:val="24"/>
          <w:szCs w:val="24"/>
        </w:rPr>
        <w:t xml:space="preserve"> and deep </w:t>
      </w:r>
      <w:r w:rsidR="00476002">
        <w:rPr>
          <w:rFonts w:ascii="Times New Roman" w:hAnsi="Times New Roman" w:cs="Times New Roman"/>
          <w:sz w:val="24"/>
          <w:szCs w:val="24"/>
        </w:rPr>
        <w:t xml:space="preserve">ocean </w:t>
      </w:r>
      <w:r w:rsidR="00145083">
        <w:rPr>
          <w:rFonts w:ascii="Times New Roman" w:hAnsi="Times New Roman" w:cs="Times New Roman"/>
          <w:sz w:val="24"/>
          <w:szCs w:val="24"/>
        </w:rPr>
        <w:t xml:space="preserve">layers </w:t>
      </w:r>
      <w:r w:rsidR="000418C4">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{"citationID":"jdSvjOVy","properties":{"formattedCitation":"(Sall\\uc0\\u233{}e et al. 2021; Wang et al. 2023)","plainCitation":"(Sallée et al. 2021; Wang et al. 2023)","noteIndex":0},"citationItems":[{"id":3993,"uris":["http://zotero.org/users/6128296/items/GQYVKEZC"],"itemData":{"id":3993,"type":"article-journal","abstract":"The surface mixed layer of the world ocean regulates global climate by controlling heat and carbon exchange between the atmosphere and the oceanic interior1–3. The mixed layer also shapes marine ecosystems by hosting most of the ocean’s primary production4 and providing the conduit for oxygenation of deep oceanic layers. Despite these important climatic and life-supporting roles, possible changes in the mixed layer during an era of global climate change remain uncertain. Here we use oceanographic observations to show that from 1970 to 2018 the density contrast across the base of the mixed layer increased and that the mixed layer itself became deeper. Using a physically based definition of upper-ocean stability that follows different dynamical regimes across the global ocean, we find that the summertime density contrast increased by 8.9 ± 2.7 per cent per decade (10−5–10−4 per second squared per decade, depending on region), more than six times greater than previous estimates. Whereas prior work has suggested that a thinner mixed layer should accompany a more stratified upper ocean5–7, we find instead that the summertime mixed layer deepened by 2.9 ± 0.5 per cent per decade, or several metres per decade (typically 5–10 metres per decade, depending on region). A detailed mechanistic interpretation is challenging, but the concurrent stratification and deepening of the mixed layer are related to an increase in stability associated with surface warming and high-latitude surface freshening8,9, accompanied by a wind-driven intensification of upper-ocean turbulence10,11. Our findings are based on a complex dataset with incomplete coverage of a vast area. Although our results are robust within a wide range of sensitivity analyses, important uncertainties remain, such as those related to sparse coverage in the early years of the 1970–2018 period. Nonetheless, our work calls for reconsideration of the drivers of ongoing shifts in marine primary production, and reveals stark changes in the world’s upper ocean over the past five decades.","container-title":"Nature","DOI":"10.1038/s41586-021-03303-x","ISSN":"0028-0836, 1476-4687","issue":"7851","journalAbbreviation":"Nature","language":"en","page":"592-598","source":"DOI.org (Crossref)","title":"Summertime increases in upper-ocean stratification and mixed-layer depth","volume":"591","author":[{"family":"Sallée","given":""},{"family":"Pellichero","given":"Violaine"},{"family":"Akhoudas","given":"Camille"},{"family":"Pauthenet","given":"Etienne"},{"family":"Vignes","given":"Lucie"},{"family":"Schmidtko","given":"Sunke"},{"family":"Garabato","given":"Alberto Naveira"},{"family":"Sutherland","given":"Peter"},{"family":"Kuusela","given":"Mikael"}],"issued":{"date-parts":[["2021",3,25]]}}},{"id":3991,"uris":["http://zotero.org/users/6128296/items/QAKG72QU"],"itemData":{"id":3991,"type":"article-journal","abstract":"Under the background of global warming, the area extent of the oligotrophic tropical oceans has growing due to increased water-column stratification over the past decades. Picophytoplankton is usually the most dominant phytoplankton group in oligotrophic tropical oceans and substantially contribute to carbon biomass and primary production three. Understanding how vertical stratification governs the community structure of picophyto­ plankton communities in oligotrophic tropical oceans is important for comprehensively understanding the plankton ecology and biogeochemical cycle in these areas. In this study, the distribution of the picophyto­ plankton communities in the eastern Indian Ocean (EIO) was investigated during a period of thermal stratifi­ cation in the spring of 2021. Prochlorococcus contributed most (54.9%) to picophytoplankton carbon biomass, followed by picoeukaryotes (38.5%) and Synechococcus (6.6%). Vertically, the three picophytoplankton groups showed quite different distribution pattern: the abundance of Synechococcus was highest in the surface layer, while Prochlorococcus and picoeukaryotes were usually located between 50 m and 100 m. The relationship be­ tween the abundance of picophytoplankton and environmental factors was analyzed, and the results revealed that picophytoplankton distribution was strongly correlated with the degree of vertical stratification of the water column. The density of Synechococcus was higher in strongly stratified waters, while Prochlorococcus was more abundant in regions of weaker stratification. This is mainly attributed to variation of physicochemical parameters such as nutrient structures and temperature resulted from water column stratification. Understanding the dis­ tribution patterns of these organisms and their relationship with stratification in the oligotrophic EIO is essential for comprehensive understanding on oligotrophic tropical ecosystem with increasing stratification in future.","container-title":"Marine Environmental Research","DOI":"10.1016/j.marenvres.2023.106074","ISSN":"01411136","journalAbbreviation":"Marine Environmental Research","language":"en","page":"106074","source":"DOI.org (Crossref)","title":"Water column stratification governs picophytoplankton community structure in the oligotrophic eastern Indian ocean","volume":"189","author":[{"family":"Wang","given":""},{"family":"Guo","given":"Shujin"},{"family":"Liang","given":"Junhua"},{"family":"Sun","given":"Xiaoxia"}],"issued":{"date-parts":[["2023",7]]}}}],"schema":"https://github.com/citation-style-language/schema/raw/master/csl-citation.json"} </w:instrText>
      </w:r>
      <w:r w:rsidR="000418C4">
        <w:rPr>
          <w:rFonts w:ascii="Times New Roman" w:hAnsi="Times New Roman" w:cs="Times New Roman"/>
          <w:sz w:val="24"/>
          <w:szCs w:val="24"/>
        </w:rPr>
        <w:fldChar w:fldCharType="separate"/>
      </w:r>
      <w:r w:rsidR="009D7443" w:rsidRPr="009D7443">
        <w:rPr>
          <w:rFonts w:ascii="Times New Roman" w:hAnsi="Times New Roman" w:cs="Times New Roman"/>
          <w:sz w:val="24"/>
        </w:rPr>
        <w:t xml:space="preserve">(Sallée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xml:space="preserve">. 2021; Wang </w:t>
      </w:r>
      <w:r w:rsidR="00183222" w:rsidRPr="00183222">
        <w:rPr>
          <w:rFonts w:ascii="Times New Roman" w:hAnsi="Times New Roman" w:cs="Times New Roman"/>
          <w:i/>
          <w:iCs/>
          <w:sz w:val="24"/>
          <w:szCs w:val="24"/>
        </w:rPr>
        <w:t>et al</w:t>
      </w:r>
      <w:r w:rsidR="009D7443" w:rsidRPr="009D7443">
        <w:rPr>
          <w:rFonts w:ascii="Times New Roman" w:hAnsi="Times New Roman" w:cs="Times New Roman"/>
          <w:sz w:val="24"/>
        </w:rPr>
        <w:t>. 2023)</w:t>
      </w:r>
      <w:r w:rsidR="000418C4">
        <w:rPr>
          <w:rFonts w:ascii="Times New Roman" w:hAnsi="Times New Roman" w:cs="Times New Roman"/>
          <w:sz w:val="24"/>
          <w:szCs w:val="24"/>
        </w:rPr>
        <w:fldChar w:fldCharType="end"/>
      </w:r>
      <w:r w:rsidR="000418C4">
        <w:rPr>
          <w:rFonts w:ascii="Times New Roman" w:hAnsi="Times New Roman" w:cs="Times New Roman"/>
          <w:sz w:val="24"/>
          <w:szCs w:val="24"/>
        </w:rPr>
        <w:t xml:space="preserve">. </w:t>
      </w:r>
      <w:r w:rsidR="00145083">
        <w:rPr>
          <w:rFonts w:ascii="Times New Roman" w:hAnsi="Times New Roman" w:cs="Times New Roman"/>
          <w:sz w:val="24"/>
          <w:szCs w:val="24"/>
        </w:rPr>
        <w:t>T</w:t>
      </w:r>
      <w:r w:rsidR="00531865" w:rsidRPr="003609FB">
        <w:rPr>
          <w:rFonts w:ascii="Times New Roman" w:hAnsi="Times New Roman" w:cs="Times New Roman"/>
          <w:sz w:val="24"/>
          <w:szCs w:val="24"/>
        </w:rPr>
        <w:t xml:space="preserve">hus </w:t>
      </w:r>
      <w:r w:rsidR="005041AE">
        <w:rPr>
          <w:rFonts w:ascii="Times New Roman" w:hAnsi="Times New Roman" w:cs="Times New Roman"/>
          <w:sz w:val="24"/>
          <w:szCs w:val="24"/>
        </w:rPr>
        <w:t xml:space="preserve">future oceans </w:t>
      </w:r>
      <w:r w:rsidR="00261B5C">
        <w:rPr>
          <w:rFonts w:ascii="Times New Roman" w:hAnsi="Times New Roman" w:cs="Times New Roman"/>
          <w:sz w:val="24"/>
          <w:szCs w:val="24"/>
        </w:rPr>
        <w:t xml:space="preserve">changes </w:t>
      </w:r>
      <w:r w:rsidR="005041AE">
        <w:rPr>
          <w:rFonts w:ascii="Times New Roman" w:hAnsi="Times New Roman" w:cs="Times New Roman"/>
          <w:sz w:val="24"/>
          <w:szCs w:val="24"/>
        </w:rPr>
        <w:t xml:space="preserve">are set to </w:t>
      </w:r>
      <w:r w:rsidR="00261B5C">
        <w:rPr>
          <w:rFonts w:ascii="Times New Roman" w:hAnsi="Times New Roman" w:cs="Times New Roman"/>
          <w:sz w:val="24"/>
          <w:szCs w:val="24"/>
        </w:rPr>
        <w:t>augment</w:t>
      </w:r>
      <w:r w:rsidR="00531865" w:rsidRPr="003609FB">
        <w:rPr>
          <w:rFonts w:ascii="Times New Roman" w:hAnsi="Times New Roman" w:cs="Times New Roman"/>
          <w:sz w:val="24"/>
          <w:szCs w:val="24"/>
        </w:rPr>
        <w:t xml:space="preserve"> the carbon storage function of the ocean</w:t>
      </w:r>
      <w:r w:rsidR="004D52E5" w:rsidRPr="003609FB">
        <w:rPr>
          <w:rFonts w:ascii="Times New Roman" w:hAnsi="Times New Roman" w:cs="Times New Roman"/>
          <w:sz w:val="24"/>
          <w:szCs w:val="24"/>
        </w:rPr>
        <w:t xml:space="preserve"> </w:t>
      </w:r>
      <w:r w:rsidR="004D52E5"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{"citationID":"se9VFIL6","properties":{"formattedCitation":"(Boyd 2015)","plainCitation":"(Boyd 2015)","noteIndex":0},"citationItems":[{"id":83,"uris":["http://zotero.org/users/6128296/items/HPGIFF26"],"itemData":{"id":83,"type":"article-journal","abstract":"The biological pump makes a major global contribution to the sequestration of carbon-rich particles in the oceans’ interior. This pump has many component parts from physics to ecology that together control its efﬁciency in exporting particles. Hence, the inﬂuence of climate change on the functioning and magnitude of the pump is likely to be complex and non-linear. Here, I employ a published 1-D coupled surface-subsurface Particulate Organic Carbon (POC) export ﬂux model to systematically explore the potential inﬂuence of changing oceanic conditions on each of the pump’s “moving parts,” in both surface and subsurface waters. These simulations were run for typical high (High Nutrient Low Chlorophyll, HNLC) and low (Low Nutrient Low Chlorophyll, LNLC) latitude sites. Next, I couple pump components that have common drivers, such as temperature, to investigate more complex scenarios involving concurrent climate-change mediated alteration of multiple “moving parts” of the pump. Model simulations reveal that in the surface ocean, changes to algal community structure (i.e., a shift toward small cells) has the greatest individual inﬂuence (decreased ﬂux) on downward POC ﬂux in the coming decades. In subsurface waters, a shift in zooplankton community structure has the greatest single effect on POC ﬂux (decreased) in a future ocean. More complex treatments, in which up to 10 individual factors (across both surface and subsurface processes) were concurrently altered, </w:instrText>
      </w:r>
      <w:r w:rsidR="00922909">
        <w:rPr>
          <w:rFonts w:ascii="Cambria Math" w:hAnsi="Cambria Math" w:cs="Cambria Math"/>
          <w:sz w:val="24"/>
          <w:szCs w:val="24"/>
        </w:rPr>
        <w:instrText>∼</w:instrText>
      </w:r>
      <w:r w:rsidR="00922909">
        <w:rPr>
          <w:rFonts w:ascii="Times New Roman" w:hAnsi="Times New Roman" w:cs="Times New Roman"/>
          <w:sz w:val="24"/>
          <w:szCs w:val="24"/>
        </w:rPr>
        <w:instrText xml:space="preserve"> halved the POC ﬂux at both high and low latitudes. In general climate-mediated changes to surface ocean processes had a greater effect on the magnitude of POC ﬂux than alteration of subsurface processes, some of which negated one another. This relatively simple 1-D model provides initial insights into the most inﬂuential processes that may alter the future performance of this pump, and more importantly reveals many knowledge gaps that require urgent attention before we can accurately quantify future changes to the biological pump.","container-title":"Frontiers in Marine Science","DOI":"10.3389/fmars.2015.00077","ISSN":"2296-7745","journalAbbreviation":"Front. Mar. Sci.","language":"en","source":"DOI.org (Crossref)","title":"Toward quantifying the response of the oceans' biological pump to climate change","URL":"http://journal.frontiersin.org/Article/10.3389/fmars.2015.00077/abstract","volume":"2","author":[{"family":"Boyd","given":""}],"accessed":{"date-parts":[["2019",10,24]]},"issued":{"date-parts":[["2015",10,13]]}}}],"schema":"https://github.com/citation-style-language/schema/raw/master/csl-citation.json"} </w:instrText>
      </w:r>
      <w:r w:rsidR="004D52E5"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(Boyd 2015)</w:t>
      </w:r>
      <w:r w:rsidR="004D52E5" w:rsidRPr="003609FB">
        <w:rPr>
          <w:rFonts w:ascii="Times New Roman" w:hAnsi="Times New Roman" w:cs="Times New Roman"/>
          <w:sz w:val="24"/>
          <w:szCs w:val="24"/>
        </w:rPr>
        <w:fldChar w:fldCharType="end"/>
      </w:r>
      <w:r w:rsidR="00531865" w:rsidRPr="003609FB">
        <w:rPr>
          <w:rFonts w:ascii="Times New Roman" w:hAnsi="Times New Roman" w:cs="Times New Roman"/>
          <w:sz w:val="24"/>
          <w:szCs w:val="24"/>
        </w:rPr>
        <w:t xml:space="preserve">. </w:t>
      </w:r>
      <w:r w:rsidR="005041AE">
        <w:rPr>
          <w:rFonts w:ascii="Times New Roman" w:hAnsi="Times New Roman" w:cs="Times New Roman"/>
          <w:sz w:val="24"/>
          <w:szCs w:val="24"/>
        </w:rPr>
        <w:t>Models</w:t>
      </w:r>
      <w:r w:rsidR="00531865" w:rsidRPr="003609FB">
        <w:rPr>
          <w:rFonts w:ascii="Times New Roman" w:hAnsi="Times New Roman" w:cs="Times New Roman"/>
          <w:sz w:val="24"/>
          <w:szCs w:val="24"/>
        </w:rPr>
        <w:t xml:space="preserve"> predict that </w:t>
      </w:r>
      <w:r w:rsidR="00D07E3C" w:rsidRPr="003609FB">
        <w:rPr>
          <w:rFonts w:ascii="Times New Roman" w:hAnsi="Times New Roman" w:cs="Times New Roman"/>
          <w:sz w:val="24"/>
          <w:szCs w:val="24"/>
        </w:rPr>
        <w:t>heterotroph : autotroph</w:t>
      </w:r>
      <w:r w:rsidR="00531865" w:rsidRPr="003609FB">
        <w:rPr>
          <w:rFonts w:ascii="Times New Roman" w:hAnsi="Times New Roman" w:cs="Times New Roman"/>
          <w:sz w:val="24"/>
          <w:szCs w:val="24"/>
        </w:rPr>
        <w:t xml:space="preserve"> ratios increase with temperature and even more so if heterotrophs are modeled to have ‘relevant’ higher enzyme sensitivity</w:t>
      </w:r>
      <w:r w:rsidR="00D07E3C" w:rsidRPr="003609FB">
        <w:rPr>
          <w:rFonts w:ascii="Times New Roman" w:hAnsi="Times New Roman" w:cs="Times New Roman"/>
          <w:sz w:val="24"/>
          <w:szCs w:val="24"/>
        </w:rPr>
        <w:t xml:space="preserve"> </w:t>
      </w:r>
      <w:r w:rsidR="00D07E3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{"citationID":"S3bvEN5m","properties":{"formattedCitation":"(Archibald et al. 2022)","plainCitation":"(Archibald et al. 2022)","noteIndex":0},"citationItems":[{"id":4607,"uris":["http://zotero.org/users/6128296/items/58YYCQQ5"],"itemData":{"id":4607,"type":"article-journal","abstract":"Rising ocean temperatures affect marine microbial ecosystems directly, since metabolic rates (e.g., photosynthesis, respiration) are temperature-dependent, but temperature also has indirect effects mediated through changes to the physical environment. Empirical observations of the long-term trends in biomass and productivity measure the integrated response of these two kinds of effects, making the independent components difficult to disentangle. We used a combination of modeling approaches to isolate the direct effects of rising temperatures on microbial metabolism and explored the consequences for food web dynamics and global biogeochemistry. We evaluated the effects of temperature sensitivity in two cases: first, assuming that all metabolic processes have the same temperature sensitivity, or, alternatively, that heterotrophic processes have higher temperature sensitivity than autotrophic processes. Microbial ecosystems at higher temperatures are characterized by increased productivity but decreased biomass stocks as a result of transient, high export events that reduce nutrient availability in the surface ocean. Trophic dynamics also mediate community structure shifts resulting in increased heterotroph to autotroph ratios at higher temperatures. These ecosystem thermal responses are magnified when the temperature sensitivity of heterotrophs is higher than that of autotrophs. These results  provide important context for understanding the combined food web response to direct and indirect temperature effects and inform the construction and interpretation of Earth systems models used in climate projections.","container-title":"Journal of Geophysical Research: Oceans","DOI":"10.1029/2022JC018932","ISSN":"2169-9275, 2169-9291","issue":"12","journalAbbreviation":"JGR Oceans","language":"en","page":"e2022JC018932","source":"DOI.org (Crossref)","title":"Thermal Responses in Global Marine Planktonic Food Webs Are Mediated by Temperature Effects on Metabolism","volume":"127","author":[{"family":"Archibald","given":""},{"family":"Dutkiewicz","given":"Stephanie"},{"family":"Laufkötter","given":"Charlotte"},{"family":"Moeller","given":"Holly V."}],"issued":{"date-parts":[["2022",12]]}}}],"schema":"https://github.com/citation-style-language/schema/raw/master/csl-citation.json"} </w:instrText>
      </w:r>
      <w:r w:rsidR="00D07E3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(Archibald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2022)</w:t>
      </w:r>
      <w:r w:rsidR="00D07E3C" w:rsidRPr="003609FB">
        <w:rPr>
          <w:rFonts w:ascii="Times New Roman" w:hAnsi="Times New Roman" w:cs="Times New Roman"/>
          <w:sz w:val="24"/>
          <w:szCs w:val="24"/>
        </w:rPr>
        <w:fldChar w:fldCharType="end"/>
      </w:r>
      <w:r w:rsidR="005041AE">
        <w:rPr>
          <w:rFonts w:ascii="Times New Roman" w:hAnsi="Times New Roman" w:cs="Times New Roman"/>
          <w:sz w:val="24"/>
          <w:szCs w:val="24"/>
        </w:rPr>
        <w:t xml:space="preserve">. Since heterotrophs are key to the detoxification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041AE">
        <w:rPr>
          <w:rFonts w:ascii="Times New Roman" w:hAnsi="Times New Roman" w:cs="Times New Roman"/>
          <w:sz w:val="24"/>
          <w:szCs w:val="24"/>
        </w:rPr>
        <w:t xml:space="preserve"> for the current dominant cyanobacteria of the ocean, and</w:t>
      </w:r>
      <w:r w:rsidR="005041AE" w:rsidRPr="003609FB">
        <w:rPr>
          <w:rFonts w:ascii="Times New Roman" w:hAnsi="Times New Roman" w:cs="Times New Roman"/>
          <w:sz w:val="24"/>
          <w:szCs w:val="24"/>
        </w:rPr>
        <w:t xml:space="preserve"> chemistry and temperature of future oceans favors longer reactive oxygen species lingering times </w:t>
      </w:r>
      <w:r w:rsidR="005041AE" w:rsidRPr="003609FB">
        <w:rPr>
          <w:rFonts w:ascii="Times New Roman" w:hAnsi="Times New Roman" w:cs="Times New Roman"/>
          <w:sz w:val="24"/>
          <w:szCs w:val="24"/>
        </w:rPr>
        <w:fldChar w:fldCharType="begin"/>
      </w:r>
      <w:r w:rsidR="005041AE">
        <w:rPr>
          <w:rFonts w:ascii="Times New Roman" w:hAnsi="Times New Roman" w:cs="Times New Roman"/>
          <w:sz w:val="24"/>
          <w:szCs w:val="24"/>
        </w:rPr>
        <w:instrText xml:space="preserve"> ADDIN ZOTERO_ITEM CSL_CITATION {"citationID":"nkrLNHEg","properties":{"formattedCitation":"(Morris, Rose, and Lu 2022)","plainCitation":"(Morris, Rose, and Lu 2022)","noteIndex":0},"citationItems":[{"id":3443,"uris":["http://zotero.org/users/6128296/items/NAWLWA5Q"],"itemData":{"id":3443,"type":"article-journal","abstract":"Reactive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L."},{"family":"Lu","given":"Zhiying"}],"issued":{"date-parts":[["2022",6]]}}}],"schema":"https://github.com/citation-style-language/schema/raw/master/csl-citation.json"} </w:instrText>
      </w:r>
      <w:r w:rsidR="005041AE"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(Morris, Rose, and Lu 2022)</w:t>
      </w:r>
      <w:r w:rsidR="005041AE" w:rsidRPr="003609FB">
        <w:rPr>
          <w:rFonts w:ascii="Times New Roman" w:hAnsi="Times New Roman" w:cs="Times New Roman"/>
          <w:sz w:val="24"/>
          <w:szCs w:val="24"/>
        </w:rPr>
        <w:fldChar w:fldCharType="end"/>
      </w:r>
      <w:r w:rsidR="005041AE">
        <w:rPr>
          <w:rFonts w:ascii="Times New Roman" w:hAnsi="Times New Roman" w:cs="Times New Roman"/>
          <w:sz w:val="24"/>
          <w:szCs w:val="24"/>
        </w:rPr>
        <w:t>,</w:t>
      </w:r>
      <w:r w:rsidR="005041AE" w:rsidRPr="003609FB">
        <w:rPr>
          <w:rFonts w:ascii="Times New Roman" w:hAnsi="Times New Roman" w:cs="Times New Roman"/>
          <w:sz w:val="24"/>
          <w:szCs w:val="24"/>
        </w:rPr>
        <w:t xml:space="preserve"> we find this study’s timing apt.</w:t>
      </w:r>
    </w:p>
    <w:p w14:paraId="66FD570D" w14:textId="3DCB1C66" w:rsidR="00531865" w:rsidRPr="003609FB" w:rsidRDefault="00531865" w:rsidP="00AB2160">
      <w:pPr>
        <w:spacing w:line="360" w:lineRule="auto"/>
        <w:rPr>
          <w:rFonts w:ascii="Times New Roman" w:hAnsi="Times New Roman" w:cs="Times New Roman"/>
          <w:sz w:val="24"/>
          <w:szCs w:val="24"/>
        </w:rPr>
      </w:pPr>
    </w:p>
    <w:p w14:paraId="34BDC651" w14:textId="505A6489" w:rsidR="00E14BF1" w:rsidRDefault="00E14BF1" w:rsidP="00AB2160">
      <w:pPr>
        <w:spacing w:line="360" w:lineRule="auto"/>
        <w:rPr>
          <w:rFonts w:ascii="Times New Roman" w:hAnsi="Times New Roman" w:cs="Times New Roman"/>
          <w:sz w:val="24"/>
          <w:szCs w:val="24"/>
        </w:rPr>
      </w:pPr>
    </w:p>
    <w:p w14:paraId="36CFC4E5" w14:textId="5BC158F6" w:rsidR="00D70EAA" w:rsidRDefault="00D70EAA" w:rsidP="00AB2160">
      <w:pPr>
        <w:spacing w:line="360" w:lineRule="auto"/>
        <w:rPr>
          <w:rFonts w:ascii="Times New Roman" w:hAnsi="Times New Roman" w:cs="Times New Roman"/>
          <w:sz w:val="24"/>
          <w:szCs w:val="24"/>
        </w:rPr>
      </w:pPr>
    </w:p>
    <w:p w14:paraId="237EB20E" w14:textId="628AF757" w:rsidR="00D70EAA" w:rsidRDefault="00D70EAA" w:rsidP="00AB2160">
      <w:pPr>
        <w:spacing w:line="360" w:lineRule="auto"/>
        <w:rPr>
          <w:rFonts w:ascii="Times New Roman" w:hAnsi="Times New Roman" w:cs="Times New Roman"/>
          <w:sz w:val="24"/>
          <w:szCs w:val="24"/>
        </w:rPr>
      </w:pPr>
    </w:p>
    <w:p w14:paraId="083FA3FE" w14:textId="173992D6" w:rsidR="00D70EAA" w:rsidRDefault="00D70EAA" w:rsidP="00AB2160">
      <w:pPr>
        <w:spacing w:line="360" w:lineRule="auto"/>
        <w:rPr>
          <w:rFonts w:ascii="Times New Roman" w:hAnsi="Times New Roman" w:cs="Times New Roman"/>
          <w:sz w:val="24"/>
          <w:szCs w:val="24"/>
        </w:rPr>
      </w:pPr>
    </w:p>
    <w:p w14:paraId="16C2C914" w14:textId="56955711" w:rsidR="00D70EAA" w:rsidRDefault="00D70EAA" w:rsidP="00AB2160">
      <w:pPr>
        <w:spacing w:line="360" w:lineRule="auto"/>
        <w:rPr>
          <w:rFonts w:ascii="Times New Roman" w:hAnsi="Times New Roman" w:cs="Times New Roman"/>
          <w:sz w:val="24"/>
          <w:szCs w:val="24"/>
        </w:rPr>
      </w:pPr>
    </w:p>
    <w:p w14:paraId="3A3A0729" w14:textId="5ED8114E" w:rsidR="00D70EAA" w:rsidRDefault="00D70EAA" w:rsidP="00AB2160">
      <w:pPr>
        <w:spacing w:line="360" w:lineRule="auto"/>
        <w:rPr>
          <w:rFonts w:ascii="Times New Roman" w:hAnsi="Times New Roman" w:cs="Times New Roman"/>
          <w:sz w:val="24"/>
          <w:szCs w:val="24"/>
        </w:rPr>
      </w:pPr>
    </w:p>
    <w:p w14:paraId="221CBB39" w14:textId="3807E26E" w:rsidR="00D70EAA" w:rsidRDefault="00D70EAA" w:rsidP="00AB2160">
      <w:pPr>
        <w:spacing w:line="360" w:lineRule="auto"/>
        <w:rPr>
          <w:rFonts w:ascii="Times New Roman" w:hAnsi="Times New Roman" w:cs="Times New Roman"/>
          <w:sz w:val="24"/>
          <w:szCs w:val="24"/>
        </w:rPr>
      </w:pPr>
    </w:p>
    <w:p w14:paraId="2186635D" w14:textId="23A090F2" w:rsidR="00D70EAA" w:rsidRDefault="00D70EAA" w:rsidP="00AB2160">
      <w:pPr>
        <w:spacing w:line="360" w:lineRule="auto"/>
        <w:rPr>
          <w:rFonts w:ascii="Times New Roman" w:hAnsi="Times New Roman" w:cs="Times New Roman"/>
          <w:sz w:val="24"/>
          <w:szCs w:val="24"/>
        </w:rPr>
      </w:pPr>
    </w:p>
    <w:p w14:paraId="61E568CE" w14:textId="25CD7AFD" w:rsidR="00D70EAA" w:rsidRDefault="00D70EAA" w:rsidP="00AB2160">
      <w:pPr>
        <w:spacing w:line="360" w:lineRule="auto"/>
        <w:rPr>
          <w:rFonts w:ascii="Times New Roman" w:hAnsi="Times New Roman" w:cs="Times New Roman"/>
          <w:sz w:val="24"/>
          <w:szCs w:val="24"/>
        </w:rPr>
      </w:pPr>
    </w:p>
    <w:p w14:paraId="7D3F080C" w14:textId="77777777" w:rsidR="0052142B" w:rsidRPr="003609FB" w:rsidRDefault="0052142B" w:rsidP="00AB2160">
      <w:pPr>
        <w:spacing w:line="360" w:lineRule="auto"/>
        <w:rPr>
          <w:rFonts w:ascii="Times New Roman" w:hAnsi="Times New Roman" w:cs="Times New Roman"/>
          <w:sz w:val="24"/>
          <w:szCs w:val="24"/>
        </w:rPr>
      </w:pPr>
    </w:p>
    <w:p w14:paraId="65619F4F" w14:textId="0281DAC8" w:rsidR="00F036CA" w:rsidRPr="00511118" w:rsidRDefault="001B6939" w:rsidP="00AB2160">
      <w:pPr>
        <w:pStyle w:val="Heading1"/>
        <w:spacing w:line="360" w:lineRule="auto"/>
        <w:rPr>
          <w:b w:val="0"/>
          <w:bCs w:val="0"/>
        </w:rPr>
      </w:pPr>
      <w:bookmarkStart w:id="62" w:name="_Toc173250040"/>
      <w:r w:rsidRPr="00511118">
        <w:rPr>
          <w:b w:val="0"/>
          <w:bCs w:val="0"/>
        </w:rPr>
        <w:lastRenderedPageBreak/>
        <w:t xml:space="preserve">Modeling the impact of </w:t>
      </w:r>
      <w:r w:rsidR="00F52F1E" w:rsidRPr="00511118">
        <w:rPr>
          <w:b w:val="0"/>
          <w:bCs w:val="0"/>
        </w:rPr>
        <w:t>H</w:t>
      </w:r>
      <w:r w:rsidR="00F52F1E" w:rsidRPr="00511118">
        <w:rPr>
          <w:b w:val="0"/>
          <w:bCs w:val="0"/>
          <w:vertAlign w:val="subscript"/>
        </w:rPr>
        <w:t>2</w:t>
      </w:r>
      <w:r w:rsidR="00F52F1E" w:rsidRPr="00511118">
        <w:rPr>
          <w:b w:val="0"/>
          <w:bCs w:val="0"/>
        </w:rPr>
        <w:t>O</w:t>
      </w:r>
      <w:r w:rsidR="00F52F1E" w:rsidRPr="00511118">
        <w:rPr>
          <w:b w:val="0"/>
          <w:bCs w:val="0"/>
          <w:vertAlign w:val="subscript"/>
        </w:rPr>
        <w:t>2</w:t>
      </w:r>
      <w:r w:rsidRPr="00511118">
        <w:rPr>
          <w:b w:val="0"/>
          <w:bCs w:val="0"/>
        </w:rPr>
        <w:t xml:space="preserve"> traits on marine biology at a global scale</w:t>
      </w:r>
      <w:bookmarkEnd w:id="62"/>
    </w:p>
    <w:p w14:paraId="00641521" w14:textId="1A8B4D0F" w:rsidR="00A3008E" w:rsidRPr="003609FB" w:rsidRDefault="00A3008E" w:rsidP="00AB2160">
      <w:pPr>
        <w:spacing w:line="360" w:lineRule="auto"/>
        <w:rPr>
          <w:rFonts w:ascii="Times New Roman" w:hAnsi="Times New Roman" w:cs="Times New Roman"/>
          <w:sz w:val="24"/>
          <w:szCs w:val="24"/>
        </w:rPr>
      </w:pPr>
    </w:p>
    <w:p w14:paraId="6D180985" w14:textId="4E32300E" w:rsidR="00A3008E" w:rsidRPr="003609FB" w:rsidRDefault="00A3008E" w:rsidP="00AB2160">
      <w:pPr>
        <w:spacing w:line="360" w:lineRule="auto"/>
        <w:rPr>
          <w:rFonts w:ascii="Times New Roman" w:hAnsi="Times New Roman" w:cs="Times New Roman"/>
          <w:sz w:val="24"/>
          <w:szCs w:val="24"/>
        </w:rPr>
      </w:pPr>
    </w:p>
    <w:p w14:paraId="766A54FC" w14:textId="2382CC54" w:rsidR="00A3008E" w:rsidRDefault="00A3008E" w:rsidP="00AB2160">
      <w:pPr>
        <w:spacing w:line="360" w:lineRule="auto"/>
        <w:rPr>
          <w:rFonts w:ascii="Times New Roman" w:hAnsi="Times New Roman" w:cs="Times New Roman"/>
          <w:sz w:val="24"/>
          <w:szCs w:val="24"/>
        </w:rPr>
      </w:pPr>
    </w:p>
    <w:p w14:paraId="6BE56564" w14:textId="0753E7AF" w:rsidR="0052142B" w:rsidRDefault="0052142B" w:rsidP="00AB2160">
      <w:pPr>
        <w:spacing w:line="360" w:lineRule="auto"/>
        <w:rPr>
          <w:rFonts w:ascii="Times New Roman" w:hAnsi="Times New Roman" w:cs="Times New Roman"/>
          <w:sz w:val="24"/>
          <w:szCs w:val="24"/>
        </w:rPr>
      </w:pPr>
    </w:p>
    <w:p w14:paraId="38EBDDE5" w14:textId="4BAC724F" w:rsidR="0052142B" w:rsidRDefault="0052142B" w:rsidP="00AB2160">
      <w:pPr>
        <w:spacing w:line="360" w:lineRule="auto"/>
        <w:rPr>
          <w:rFonts w:ascii="Times New Roman" w:hAnsi="Times New Roman" w:cs="Times New Roman"/>
          <w:sz w:val="24"/>
          <w:szCs w:val="24"/>
        </w:rPr>
      </w:pPr>
    </w:p>
    <w:p w14:paraId="31AA0B8E" w14:textId="638A0BAB" w:rsidR="0052142B" w:rsidRDefault="0052142B" w:rsidP="00AB2160">
      <w:pPr>
        <w:spacing w:line="360" w:lineRule="auto"/>
        <w:rPr>
          <w:rFonts w:ascii="Times New Roman" w:hAnsi="Times New Roman" w:cs="Times New Roman"/>
          <w:sz w:val="24"/>
          <w:szCs w:val="24"/>
        </w:rPr>
      </w:pPr>
    </w:p>
    <w:p w14:paraId="41EE8B18" w14:textId="775AE7BD" w:rsidR="0052142B" w:rsidRDefault="0052142B" w:rsidP="00AB2160">
      <w:pPr>
        <w:spacing w:line="360" w:lineRule="auto"/>
        <w:rPr>
          <w:rFonts w:ascii="Times New Roman" w:hAnsi="Times New Roman" w:cs="Times New Roman"/>
          <w:sz w:val="24"/>
          <w:szCs w:val="24"/>
        </w:rPr>
      </w:pPr>
    </w:p>
    <w:p w14:paraId="75793D8F" w14:textId="473B998D" w:rsidR="0052142B" w:rsidRDefault="0052142B" w:rsidP="00AB2160">
      <w:pPr>
        <w:spacing w:line="360" w:lineRule="auto"/>
        <w:rPr>
          <w:rFonts w:ascii="Times New Roman" w:hAnsi="Times New Roman" w:cs="Times New Roman"/>
          <w:sz w:val="24"/>
          <w:szCs w:val="24"/>
        </w:rPr>
      </w:pPr>
    </w:p>
    <w:p w14:paraId="547E80C6" w14:textId="141F21DF" w:rsidR="0052142B" w:rsidRDefault="0052142B" w:rsidP="00AB2160">
      <w:pPr>
        <w:spacing w:line="360" w:lineRule="auto"/>
        <w:rPr>
          <w:rFonts w:ascii="Times New Roman" w:hAnsi="Times New Roman" w:cs="Times New Roman"/>
          <w:sz w:val="24"/>
          <w:szCs w:val="24"/>
        </w:rPr>
      </w:pPr>
    </w:p>
    <w:p w14:paraId="096317BF" w14:textId="3992A28D" w:rsidR="0052142B" w:rsidRDefault="0052142B" w:rsidP="00AB2160">
      <w:pPr>
        <w:spacing w:line="360" w:lineRule="auto"/>
        <w:rPr>
          <w:rFonts w:ascii="Times New Roman" w:hAnsi="Times New Roman" w:cs="Times New Roman"/>
          <w:sz w:val="24"/>
          <w:szCs w:val="24"/>
        </w:rPr>
      </w:pPr>
    </w:p>
    <w:p w14:paraId="4972BC7C" w14:textId="51B5C2E7" w:rsidR="0052142B" w:rsidRDefault="0052142B" w:rsidP="00AB2160">
      <w:pPr>
        <w:spacing w:line="360" w:lineRule="auto"/>
        <w:rPr>
          <w:rFonts w:ascii="Times New Roman" w:hAnsi="Times New Roman" w:cs="Times New Roman"/>
          <w:sz w:val="24"/>
          <w:szCs w:val="24"/>
        </w:rPr>
      </w:pPr>
    </w:p>
    <w:p w14:paraId="4502FA4D" w14:textId="1E492268" w:rsidR="0052142B" w:rsidRDefault="0052142B" w:rsidP="00AB2160">
      <w:pPr>
        <w:spacing w:line="360" w:lineRule="auto"/>
        <w:rPr>
          <w:rFonts w:ascii="Times New Roman" w:hAnsi="Times New Roman" w:cs="Times New Roman"/>
          <w:sz w:val="24"/>
          <w:szCs w:val="24"/>
        </w:rPr>
      </w:pPr>
    </w:p>
    <w:p w14:paraId="76B9BFBA" w14:textId="4EFD3B81" w:rsidR="0052142B" w:rsidRDefault="0052142B" w:rsidP="00AB2160">
      <w:pPr>
        <w:spacing w:line="360" w:lineRule="auto"/>
        <w:rPr>
          <w:rFonts w:ascii="Times New Roman" w:hAnsi="Times New Roman" w:cs="Times New Roman"/>
          <w:sz w:val="24"/>
          <w:szCs w:val="24"/>
        </w:rPr>
      </w:pPr>
    </w:p>
    <w:p w14:paraId="63E0A44B" w14:textId="3C0BC8AF" w:rsidR="0052142B" w:rsidRDefault="0052142B" w:rsidP="00AB2160">
      <w:pPr>
        <w:spacing w:line="360" w:lineRule="auto"/>
        <w:rPr>
          <w:rFonts w:ascii="Times New Roman" w:hAnsi="Times New Roman" w:cs="Times New Roman"/>
          <w:sz w:val="24"/>
          <w:szCs w:val="24"/>
        </w:rPr>
      </w:pPr>
    </w:p>
    <w:p w14:paraId="2B1EA995" w14:textId="525C81F5" w:rsidR="0052142B" w:rsidRDefault="0052142B" w:rsidP="00AB2160">
      <w:pPr>
        <w:spacing w:line="360" w:lineRule="auto"/>
        <w:rPr>
          <w:rFonts w:ascii="Times New Roman" w:hAnsi="Times New Roman" w:cs="Times New Roman"/>
          <w:sz w:val="24"/>
          <w:szCs w:val="24"/>
        </w:rPr>
      </w:pPr>
    </w:p>
    <w:p w14:paraId="41F2831F" w14:textId="0F9D246A" w:rsidR="0052142B" w:rsidRDefault="0052142B" w:rsidP="00AB2160">
      <w:pPr>
        <w:spacing w:line="360" w:lineRule="auto"/>
        <w:rPr>
          <w:rFonts w:ascii="Times New Roman" w:hAnsi="Times New Roman" w:cs="Times New Roman"/>
          <w:sz w:val="24"/>
          <w:szCs w:val="24"/>
        </w:rPr>
      </w:pPr>
    </w:p>
    <w:p w14:paraId="1A8ABC6B" w14:textId="576B1A67" w:rsidR="0052142B" w:rsidRDefault="0052142B" w:rsidP="00AB2160">
      <w:pPr>
        <w:spacing w:line="360" w:lineRule="auto"/>
        <w:rPr>
          <w:rFonts w:ascii="Times New Roman" w:hAnsi="Times New Roman" w:cs="Times New Roman"/>
          <w:sz w:val="24"/>
          <w:szCs w:val="24"/>
        </w:rPr>
      </w:pPr>
    </w:p>
    <w:p w14:paraId="42E0D0D6" w14:textId="45B87F67" w:rsidR="0052142B" w:rsidRDefault="0052142B" w:rsidP="00AB2160">
      <w:pPr>
        <w:spacing w:line="360" w:lineRule="auto"/>
        <w:rPr>
          <w:rFonts w:ascii="Times New Roman" w:hAnsi="Times New Roman" w:cs="Times New Roman"/>
          <w:sz w:val="24"/>
          <w:szCs w:val="24"/>
        </w:rPr>
      </w:pPr>
    </w:p>
    <w:p w14:paraId="51FC6E34" w14:textId="77777777" w:rsidR="0052142B" w:rsidRPr="003609FB" w:rsidRDefault="0052142B" w:rsidP="00AB2160">
      <w:pPr>
        <w:spacing w:line="360" w:lineRule="auto"/>
        <w:rPr>
          <w:rFonts w:ascii="Times New Roman" w:hAnsi="Times New Roman" w:cs="Times New Roman"/>
          <w:sz w:val="24"/>
          <w:szCs w:val="24"/>
        </w:rPr>
      </w:pPr>
    </w:p>
    <w:p w14:paraId="3C90A87D" w14:textId="197A3666" w:rsidR="00605F91" w:rsidRPr="003609FB" w:rsidRDefault="00605F91"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Author(s): D.K.M</w:t>
      </w:r>
      <w:r w:rsidR="00D64BCC">
        <w:rPr>
          <w:rFonts w:ascii="Times New Roman" w:hAnsi="Times New Roman" w:cs="Times New Roman"/>
          <w:sz w:val="24"/>
          <w:szCs w:val="24"/>
        </w:rPr>
        <w:t>.</w:t>
      </w:r>
      <w:r w:rsidRPr="003609FB">
        <w:rPr>
          <w:rFonts w:ascii="Times New Roman" w:hAnsi="Times New Roman" w:cs="Times New Roman"/>
          <w:sz w:val="24"/>
          <w:szCs w:val="24"/>
        </w:rPr>
        <w:t xml:space="preserve">, E.A.C., and D.T. </w:t>
      </w:r>
    </w:p>
    <w:p w14:paraId="149C8A38" w14:textId="7CB727AE" w:rsidR="00605F91" w:rsidRPr="003609FB" w:rsidRDefault="00605F91"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Author contribution statements: Darwin model implementation lead by E.A.C., written by D.K.M</w:t>
      </w:r>
      <w:r w:rsidR="00D64BCC">
        <w:rPr>
          <w:rFonts w:ascii="Times New Roman" w:hAnsi="Times New Roman" w:cs="Times New Roman"/>
          <w:sz w:val="24"/>
          <w:szCs w:val="24"/>
        </w:rPr>
        <w:t>.</w:t>
      </w:r>
      <w:r w:rsidRPr="003609FB">
        <w:rPr>
          <w:rFonts w:ascii="Times New Roman" w:hAnsi="Times New Roman" w:cs="Times New Roman"/>
          <w:sz w:val="24"/>
          <w:szCs w:val="24"/>
        </w:rPr>
        <w:t xml:space="preserve"> with guidance from D.T</w:t>
      </w:r>
      <w:r w:rsidR="00D64BCC">
        <w:rPr>
          <w:rFonts w:ascii="Times New Roman" w:hAnsi="Times New Roman" w:cs="Times New Roman"/>
          <w:sz w:val="24"/>
          <w:szCs w:val="24"/>
        </w:rPr>
        <w:t>.</w:t>
      </w:r>
      <w:r w:rsidRPr="003609FB">
        <w:rPr>
          <w:rFonts w:ascii="Times New Roman" w:hAnsi="Times New Roman" w:cs="Times New Roman"/>
          <w:sz w:val="24"/>
          <w:szCs w:val="24"/>
        </w:rPr>
        <w:t xml:space="preserve"> and E.A.C</w:t>
      </w:r>
      <w:r w:rsidR="00D64BCC">
        <w:rPr>
          <w:rFonts w:ascii="Times New Roman" w:hAnsi="Times New Roman" w:cs="Times New Roman"/>
          <w:sz w:val="24"/>
          <w:szCs w:val="24"/>
        </w:rPr>
        <w:t>.</w:t>
      </w:r>
    </w:p>
    <w:p w14:paraId="531F565B" w14:textId="32C1BA78" w:rsidR="00F043CC" w:rsidRPr="003609FB" w:rsidRDefault="00F043CC" w:rsidP="00AB2160">
      <w:pPr>
        <w:spacing w:line="360" w:lineRule="auto"/>
        <w:rPr>
          <w:rFonts w:ascii="Times New Roman" w:hAnsi="Times New Roman" w:cs="Times New Roman"/>
          <w:sz w:val="24"/>
          <w:szCs w:val="24"/>
        </w:rPr>
      </w:pPr>
    </w:p>
    <w:p w14:paraId="4D1B4CD5" w14:textId="2B5F6CE9" w:rsidR="00114DCB" w:rsidRPr="003609FB" w:rsidRDefault="00114DCB" w:rsidP="00AB2160">
      <w:pPr>
        <w:spacing w:line="360" w:lineRule="auto"/>
        <w:rPr>
          <w:rFonts w:ascii="Times New Roman" w:hAnsi="Times New Roman" w:cs="Times New Roman"/>
          <w:sz w:val="24"/>
          <w:szCs w:val="24"/>
        </w:rPr>
      </w:pPr>
    </w:p>
    <w:p w14:paraId="06E1DED8" w14:textId="765372FA" w:rsidR="00114DCB" w:rsidRPr="003609FB" w:rsidRDefault="00114DCB" w:rsidP="00AB2160">
      <w:pPr>
        <w:spacing w:line="360" w:lineRule="auto"/>
        <w:rPr>
          <w:rFonts w:ascii="Times New Roman" w:hAnsi="Times New Roman" w:cs="Times New Roman"/>
          <w:sz w:val="24"/>
          <w:szCs w:val="24"/>
        </w:rPr>
      </w:pPr>
    </w:p>
    <w:p w14:paraId="7A6EDB53" w14:textId="0DB7CB12" w:rsidR="00114DCB" w:rsidRPr="003609FB" w:rsidRDefault="00114DCB" w:rsidP="00AB2160">
      <w:pPr>
        <w:spacing w:line="360" w:lineRule="auto"/>
        <w:rPr>
          <w:rFonts w:ascii="Times New Roman" w:hAnsi="Times New Roman" w:cs="Times New Roman"/>
          <w:sz w:val="24"/>
          <w:szCs w:val="24"/>
        </w:rPr>
      </w:pPr>
    </w:p>
    <w:p w14:paraId="5EF638A5" w14:textId="7B498DA3" w:rsidR="00114DCB" w:rsidRPr="003609FB" w:rsidRDefault="00114DCB" w:rsidP="00AB2160">
      <w:pPr>
        <w:spacing w:line="360" w:lineRule="auto"/>
        <w:rPr>
          <w:rFonts w:ascii="Times New Roman" w:hAnsi="Times New Roman" w:cs="Times New Roman"/>
          <w:sz w:val="24"/>
          <w:szCs w:val="24"/>
        </w:rPr>
      </w:pPr>
    </w:p>
    <w:p w14:paraId="4FCBA332" w14:textId="52408E1A" w:rsidR="00114DCB" w:rsidRPr="003609FB" w:rsidRDefault="00114DCB" w:rsidP="00AB2160">
      <w:pPr>
        <w:spacing w:line="360" w:lineRule="auto"/>
        <w:rPr>
          <w:rFonts w:ascii="Times New Roman" w:hAnsi="Times New Roman" w:cs="Times New Roman"/>
          <w:sz w:val="24"/>
          <w:szCs w:val="24"/>
        </w:rPr>
      </w:pPr>
    </w:p>
    <w:p w14:paraId="11986C97" w14:textId="69A85D16" w:rsidR="00114DCB" w:rsidRPr="003609FB" w:rsidRDefault="00114DCB" w:rsidP="00AB2160">
      <w:pPr>
        <w:spacing w:line="360" w:lineRule="auto"/>
        <w:rPr>
          <w:rFonts w:ascii="Times New Roman" w:hAnsi="Times New Roman" w:cs="Times New Roman"/>
          <w:sz w:val="24"/>
          <w:szCs w:val="24"/>
        </w:rPr>
      </w:pPr>
    </w:p>
    <w:p w14:paraId="7B07F20D" w14:textId="534EA66D" w:rsidR="00114DCB" w:rsidRPr="003609FB" w:rsidRDefault="00114DCB" w:rsidP="00AB2160">
      <w:pPr>
        <w:spacing w:line="360" w:lineRule="auto"/>
        <w:rPr>
          <w:rFonts w:ascii="Times New Roman" w:hAnsi="Times New Roman" w:cs="Times New Roman"/>
          <w:sz w:val="24"/>
          <w:szCs w:val="24"/>
        </w:rPr>
      </w:pPr>
    </w:p>
    <w:p w14:paraId="0B537439" w14:textId="5673A5D9" w:rsidR="00114DCB" w:rsidRPr="003609FB" w:rsidRDefault="00114DCB" w:rsidP="00AB2160">
      <w:pPr>
        <w:spacing w:line="360" w:lineRule="auto"/>
        <w:rPr>
          <w:rFonts w:ascii="Times New Roman" w:hAnsi="Times New Roman" w:cs="Times New Roman"/>
          <w:sz w:val="24"/>
          <w:szCs w:val="24"/>
        </w:rPr>
      </w:pPr>
    </w:p>
    <w:p w14:paraId="2DAE4CC0" w14:textId="22F6F20E" w:rsidR="00114DCB" w:rsidRPr="003609FB" w:rsidRDefault="00114DCB" w:rsidP="00AB2160">
      <w:pPr>
        <w:spacing w:line="360" w:lineRule="auto"/>
        <w:rPr>
          <w:rFonts w:ascii="Times New Roman" w:hAnsi="Times New Roman" w:cs="Times New Roman"/>
          <w:sz w:val="24"/>
          <w:szCs w:val="24"/>
        </w:rPr>
      </w:pPr>
    </w:p>
    <w:p w14:paraId="76B0BEBA" w14:textId="56725275" w:rsidR="00114DCB" w:rsidRPr="003609FB" w:rsidRDefault="00114DCB" w:rsidP="00AB2160">
      <w:pPr>
        <w:spacing w:line="360" w:lineRule="auto"/>
        <w:rPr>
          <w:rFonts w:ascii="Times New Roman" w:hAnsi="Times New Roman" w:cs="Times New Roman"/>
          <w:sz w:val="24"/>
          <w:szCs w:val="24"/>
        </w:rPr>
      </w:pPr>
    </w:p>
    <w:p w14:paraId="7AD24750" w14:textId="3ECB6222" w:rsidR="00114DCB" w:rsidRPr="003609FB" w:rsidRDefault="00114DCB" w:rsidP="00AB2160">
      <w:pPr>
        <w:spacing w:line="360" w:lineRule="auto"/>
        <w:rPr>
          <w:rFonts w:ascii="Times New Roman" w:hAnsi="Times New Roman" w:cs="Times New Roman"/>
          <w:sz w:val="24"/>
          <w:szCs w:val="24"/>
        </w:rPr>
      </w:pPr>
    </w:p>
    <w:p w14:paraId="1B807B09" w14:textId="32558220" w:rsidR="00114DCB" w:rsidRPr="003609FB" w:rsidRDefault="00114DCB" w:rsidP="00AB2160">
      <w:pPr>
        <w:spacing w:line="360" w:lineRule="auto"/>
        <w:rPr>
          <w:rFonts w:ascii="Times New Roman" w:hAnsi="Times New Roman" w:cs="Times New Roman"/>
          <w:sz w:val="24"/>
          <w:szCs w:val="24"/>
        </w:rPr>
      </w:pPr>
    </w:p>
    <w:p w14:paraId="156DD234" w14:textId="13391D0A" w:rsidR="00114DCB" w:rsidRPr="003609FB" w:rsidRDefault="00114DCB" w:rsidP="00AB2160">
      <w:pPr>
        <w:spacing w:line="360" w:lineRule="auto"/>
        <w:rPr>
          <w:rFonts w:ascii="Times New Roman" w:hAnsi="Times New Roman" w:cs="Times New Roman"/>
          <w:sz w:val="24"/>
          <w:szCs w:val="24"/>
        </w:rPr>
      </w:pPr>
    </w:p>
    <w:p w14:paraId="111BB78B" w14:textId="595E09C4" w:rsidR="00114DCB" w:rsidRDefault="00114DCB" w:rsidP="00AB2160">
      <w:pPr>
        <w:spacing w:line="360" w:lineRule="auto"/>
        <w:rPr>
          <w:rFonts w:ascii="Times New Roman" w:hAnsi="Times New Roman" w:cs="Times New Roman"/>
          <w:sz w:val="24"/>
          <w:szCs w:val="24"/>
        </w:rPr>
      </w:pPr>
    </w:p>
    <w:p w14:paraId="07A98072" w14:textId="0CB13988" w:rsidR="00EB7379" w:rsidRDefault="00EB7379" w:rsidP="00AB2160">
      <w:pPr>
        <w:spacing w:line="360" w:lineRule="auto"/>
        <w:rPr>
          <w:rFonts w:ascii="Times New Roman" w:hAnsi="Times New Roman" w:cs="Times New Roman"/>
          <w:sz w:val="24"/>
          <w:szCs w:val="24"/>
        </w:rPr>
      </w:pPr>
    </w:p>
    <w:p w14:paraId="05F8DF04" w14:textId="77777777" w:rsidR="00EB7379" w:rsidRPr="003609FB" w:rsidRDefault="00EB7379" w:rsidP="00AB2160">
      <w:pPr>
        <w:spacing w:line="360" w:lineRule="auto"/>
        <w:rPr>
          <w:rFonts w:ascii="Times New Roman" w:hAnsi="Times New Roman" w:cs="Times New Roman"/>
          <w:sz w:val="24"/>
          <w:szCs w:val="24"/>
        </w:rPr>
      </w:pPr>
    </w:p>
    <w:p w14:paraId="7A43F17F" w14:textId="77777777" w:rsidR="00114DCB" w:rsidRPr="003609FB" w:rsidRDefault="00114DCB" w:rsidP="00AB2160">
      <w:pPr>
        <w:spacing w:line="360" w:lineRule="auto"/>
        <w:rPr>
          <w:rFonts w:ascii="Times New Roman" w:hAnsi="Times New Roman" w:cs="Times New Roman"/>
          <w:sz w:val="24"/>
          <w:szCs w:val="24"/>
        </w:rPr>
      </w:pPr>
    </w:p>
    <w:p w14:paraId="5572E05B" w14:textId="5D04D393" w:rsidR="002C6BC2" w:rsidRPr="002C6BC2" w:rsidRDefault="003D1E8D" w:rsidP="002C6BC2">
      <w:pPr>
        <w:pStyle w:val="Heading2"/>
        <w:spacing w:line="360" w:lineRule="auto"/>
      </w:pPr>
      <w:bookmarkStart w:id="63" w:name="_Toc173250041"/>
      <w:r w:rsidRPr="003609FB">
        <w:lastRenderedPageBreak/>
        <w:t>Abstract:</w:t>
      </w:r>
      <w:bookmarkEnd w:id="63"/>
      <w:r w:rsidRPr="003609FB">
        <w:t xml:space="preserve"> </w:t>
      </w:r>
    </w:p>
    <w:p w14:paraId="2CCC3C02" w14:textId="0DB584A2" w:rsidR="003D1E8D" w:rsidRPr="003609FB" w:rsidRDefault="003D1E8D" w:rsidP="001E5983">
      <w:pPr>
        <w:spacing w:line="360" w:lineRule="auto"/>
        <w:rPr>
          <w:rFonts w:ascii="Times New Roman" w:hAnsi="Times New Roman" w:cs="Times New Roman"/>
          <w:sz w:val="24"/>
          <w:szCs w:val="24"/>
        </w:rPr>
      </w:pPr>
      <w:r w:rsidRPr="003609FB">
        <w:rPr>
          <w:rFonts w:ascii="Times New Roman" w:hAnsi="Times New Roman" w:cs="Times New Roman"/>
          <w:sz w:val="24"/>
          <w:szCs w:val="24"/>
        </w:rPr>
        <w:tab/>
      </w:r>
      <w:r w:rsidR="00346230">
        <w:rPr>
          <w:rFonts w:ascii="Times New Roman" w:hAnsi="Times New Roman" w:cs="Times New Roman"/>
          <w:sz w:val="24"/>
          <w:szCs w:val="24"/>
        </w:rPr>
        <w:t xml:space="preserve">Global models attribute approximately </w:t>
      </w:r>
      <w:r w:rsidR="00346230" w:rsidRPr="003609FB">
        <w:rPr>
          <w:rFonts w:ascii="Times New Roman" w:hAnsi="Times New Roman" w:cs="Times New Roman"/>
          <w:sz w:val="24"/>
          <w:szCs w:val="24"/>
        </w:rPr>
        <w:t xml:space="preserve">50% of </w:t>
      </w:r>
      <w:r w:rsidR="00346230">
        <w:rPr>
          <w:rFonts w:ascii="Times New Roman" w:hAnsi="Times New Roman" w:cs="Times New Roman"/>
          <w:sz w:val="24"/>
          <w:szCs w:val="24"/>
        </w:rPr>
        <w:t xml:space="preserve">marine </w:t>
      </w:r>
      <w:r w:rsidR="00346230" w:rsidRPr="003609FB">
        <w:rPr>
          <w:rFonts w:ascii="Times New Roman" w:hAnsi="Times New Roman" w:cs="Times New Roman"/>
          <w:sz w:val="24"/>
          <w:szCs w:val="24"/>
        </w:rPr>
        <w:t>phytoplankton primary producti</w:t>
      </w:r>
      <w:r w:rsidR="00346230">
        <w:rPr>
          <w:rFonts w:ascii="Times New Roman" w:hAnsi="Times New Roman" w:cs="Times New Roman"/>
          <w:sz w:val="24"/>
          <w:szCs w:val="24"/>
        </w:rPr>
        <w:t xml:space="preserve">on, </w:t>
      </w:r>
      <w:r w:rsidR="00917261">
        <w:rPr>
          <w:rFonts w:ascii="Times New Roman" w:hAnsi="Times New Roman" w:cs="Times New Roman"/>
          <w:sz w:val="24"/>
          <w:szCs w:val="24"/>
        </w:rPr>
        <w:t>and accordingly 25%</w:t>
      </w:r>
      <w:r w:rsidR="00346230">
        <w:rPr>
          <w:rFonts w:ascii="Times New Roman" w:hAnsi="Times New Roman" w:cs="Times New Roman"/>
          <w:sz w:val="24"/>
          <w:szCs w:val="24"/>
        </w:rPr>
        <w:t xml:space="preserve"> of Earth’s total primary carbon primary fixation function, to the cyanobacterial sisters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346230">
        <w:rPr>
          <w:rFonts w:ascii="Times New Roman" w:hAnsi="Times New Roman" w:cs="Times New Roman"/>
          <w:sz w:val="24"/>
          <w:szCs w:val="24"/>
        </w:rPr>
        <w:t xml:space="preserve">. </w:t>
      </w:r>
      <w:r w:rsidRPr="003609FB">
        <w:rPr>
          <w:rFonts w:ascii="Times New Roman" w:hAnsi="Times New Roman" w:cs="Times New Roman"/>
          <w:sz w:val="24"/>
          <w:szCs w:val="24"/>
        </w:rPr>
        <w:t xml:space="preserve">However,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have differential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interactions that have been verified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r w:rsidR="005D3F06">
        <w:rPr>
          <w:rFonts w:ascii="Times New Roman" w:hAnsi="Times New Roman" w:cs="Times New Roman"/>
          <w:sz w:val="24"/>
          <w:szCs w:val="24"/>
        </w:rPr>
        <w:t xml:space="preserve">via </w:t>
      </w:r>
      <w:r w:rsidR="00346230">
        <w:rPr>
          <w:rFonts w:ascii="Times New Roman" w:hAnsi="Times New Roman" w:cs="Times New Roman"/>
          <w:sz w:val="24"/>
          <w:szCs w:val="24"/>
        </w:rPr>
        <w:t xml:space="preserve">laboratory </w:t>
      </w:r>
      <w:r w:rsidR="008C30DA">
        <w:rPr>
          <w:rFonts w:ascii="Times New Roman" w:hAnsi="Times New Roman" w:cs="Times New Roman"/>
          <w:sz w:val="24"/>
          <w:szCs w:val="24"/>
        </w:rPr>
        <w:t>assays but</w:t>
      </w:r>
      <w:r w:rsidRPr="003609FB">
        <w:rPr>
          <w:rFonts w:ascii="Times New Roman" w:hAnsi="Times New Roman" w:cs="Times New Roman"/>
          <w:sz w:val="24"/>
          <w:szCs w:val="24"/>
        </w:rPr>
        <w:t xml:space="preserve"> are yet to be </w:t>
      </w:r>
      <w:r w:rsidR="005D3F06" w:rsidRPr="003609FB">
        <w:rPr>
          <w:rFonts w:ascii="Times New Roman" w:hAnsi="Times New Roman" w:cs="Times New Roman"/>
          <w:sz w:val="24"/>
          <w:szCs w:val="24"/>
        </w:rPr>
        <w:t>incorporated</w:t>
      </w:r>
      <w:r w:rsidRPr="003609FB">
        <w:rPr>
          <w:rFonts w:ascii="Times New Roman" w:hAnsi="Times New Roman" w:cs="Times New Roman"/>
          <w:sz w:val="24"/>
          <w:szCs w:val="24"/>
        </w:rPr>
        <w:t xml:space="preserve"> into global </w:t>
      </w:r>
      <w:r w:rsidR="008C30DA">
        <w:rPr>
          <w:rFonts w:ascii="Times New Roman" w:hAnsi="Times New Roman" w:cs="Times New Roman"/>
          <w:sz w:val="24"/>
          <w:szCs w:val="24"/>
        </w:rPr>
        <w:t>plankton</w:t>
      </w:r>
      <w:r w:rsidRPr="003609FB">
        <w:rPr>
          <w:rFonts w:ascii="Times New Roman" w:hAnsi="Times New Roman" w:cs="Times New Roman"/>
          <w:sz w:val="24"/>
          <w:szCs w:val="24"/>
        </w:rPr>
        <w:t xml:space="preserve"> models. </w:t>
      </w:r>
      <w:r w:rsidR="006B18D0" w:rsidRPr="003609FB">
        <w:rPr>
          <w:rFonts w:ascii="Times New Roman" w:hAnsi="Times New Roman" w:cs="Times New Roman"/>
          <w:sz w:val="24"/>
          <w:szCs w:val="24"/>
        </w:rPr>
        <w:t>In this chapter,</w:t>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and </w:t>
      </w:r>
      <w:proofErr w:type="spellStart"/>
      <w:r w:rsidRPr="004042E3">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again are used as model organisms with differential cellular susceptibilities</w:t>
      </w:r>
      <w:r w:rsidR="008C30DA">
        <w:rPr>
          <w:rFonts w:ascii="Times New Roman" w:hAnsi="Times New Roman" w:cs="Times New Roman"/>
          <w:sz w:val="24"/>
          <w:szCs w:val="24"/>
        </w:rPr>
        <w:t xml:space="preserve"> to and impacts on</w:t>
      </w:r>
      <w:r w:rsidRPr="003609FB">
        <w:rPr>
          <w:rFonts w:ascii="Times New Roman" w:hAnsi="Times New Roman" w:cs="Times New Roman"/>
          <w:sz w:val="24"/>
          <w:szCs w:val="24"/>
        </w:rPr>
        <w:t xml:space="preserve">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Basal supply and decay rates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are inserted into a globally resolved biological trait framework. Following </w:t>
      </w:r>
      <w:r w:rsidR="005A33E1" w:rsidRPr="003609FB">
        <w:rPr>
          <w:rFonts w:ascii="Times New Roman" w:hAnsi="Times New Roman" w:cs="Times New Roman"/>
          <w:sz w:val="24"/>
          <w:szCs w:val="24"/>
        </w:rPr>
        <w:t>the</w:t>
      </w:r>
      <w:r w:rsidRPr="003609FB">
        <w:rPr>
          <w:rFonts w:ascii="Times New Roman" w:hAnsi="Times New Roman" w:cs="Times New Roman"/>
          <w:sz w:val="24"/>
          <w:szCs w:val="24"/>
        </w:rPr>
        <w:t xml:space="preserve"> community composition lens</w:t>
      </w:r>
      <w:r w:rsidR="005A33E1" w:rsidRPr="003609FB">
        <w:rPr>
          <w:rFonts w:ascii="Times New Roman" w:hAnsi="Times New Roman" w:cs="Times New Roman"/>
          <w:sz w:val="24"/>
          <w:szCs w:val="24"/>
        </w:rPr>
        <w:t xml:space="preserve"> of Chapter 3</w:t>
      </w:r>
      <w:r w:rsidRPr="003609FB">
        <w:rPr>
          <w:rFonts w:ascii="Times New Roman" w:hAnsi="Times New Roman" w:cs="Times New Roman"/>
          <w:sz w:val="24"/>
          <w:szCs w:val="24"/>
        </w:rPr>
        <w:t xml:space="preserve">, this global model is used to evaluate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impacts on phytoplankton biogeography</w:t>
      </w:r>
      <w:r w:rsidR="00E727ED">
        <w:rPr>
          <w:rFonts w:ascii="Times New Roman" w:hAnsi="Times New Roman" w:cs="Times New Roman"/>
          <w:sz w:val="24"/>
          <w:szCs w:val="24"/>
        </w:rPr>
        <w:t xml:space="preserve"> </w:t>
      </w:r>
      <w:proofErr w:type="gramStart"/>
      <w:r w:rsidR="00E727ED">
        <w:rPr>
          <w:rFonts w:ascii="Times New Roman" w:hAnsi="Times New Roman" w:cs="Times New Roman"/>
          <w:sz w:val="24"/>
          <w:szCs w:val="24"/>
        </w:rPr>
        <w:t>is</w:t>
      </w:r>
      <w:proofErr w:type="gramEnd"/>
      <w:r w:rsidR="00E727ED">
        <w:rPr>
          <w:rFonts w:ascii="Times New Roman" w:hAnsi="Times New Roman" w:cs="Times New Roman"/>
          <w:sz w:val="24"/>
          <w:szCs w:val="24"/>
        </w:rPr>
        <w:t xml:space="preserve"> several cases</w:t>
      </w:r>
      <w:r w:rsidRPr="003609FB">
        <w:rPr>
          <w:rFonts w:ascii="Times New Roman" w:hAnsi="Times New Roman" w:cs="Times New Roman"/>
          <w:sz w:val="24"/>
          <w:szCs w:val="24"/>
        </w:rPr>
        <w:t xml:space="preserve">. Without helper detoxification, diel </w:t>
      </w:r>
      <w:r w:rsidR="008C30DA">
        <w:rPr>
          <w:rFonts w:ascii="Times New Roman" w:hAnsi="Times New Roman" w:cs="Times New Roman"/>
          <w:sz w:val="24"/>
          <w:szCs w:val="24"/>
        </w:rPr>
        <w:t xml:space="preserve">concentrations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input</w:t>
      </w:r>
      <w:r w:rsidR="008C30DA">
        <w:rPr>
          <w:rFonts w:ascii="Times New Roman" w:hAnsi="Times New Roman" w:cs="Times New Roman"/>
          <w:sz w:val="24"/>
          <w:szCs w:val="24"/>
        </w:rPr>
        <w:t xml:space="preserve"> can</w:t>
      </w:r>
      <w:r w:rsidRPr="003609FB">
        <w:rPr>
          <w:rFonts w:ascii="Times New Roman" w:hAnsi="Times New Roman" w:cs="Times New Roman"/>
          <w:sz w:val="24"/>
          <w:szCs w:val="24"/>
        </w:rPr>
        <w:t xml:space="preserve"> kill off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across all latitudes allowing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to </w:t>
      </w:r>
      <w:r w:rsidR="00E727ED">
        <w:rPr>
          <w:rFonts w:ascii="Times New Roman" w:hAnsi="Times New Roman" w:cs="Times New Roman"/>
          <w:sz w:val="24"/>
          <w:szCs w:val="24"/>
        </w:rPr>
        <w:t xml:space="preserve">numerically </w:t>
      </w:r>
      <w:r w:rsidRPr="003609FB">
        <w:rPr>
          <w:rFonts w:ascii="Times New Roman" w:hAnsi="Times New Roman" w:cs="Times New Roman"/>
          <w:sz w:val="24"/>
          <w:szCs w:val="24"/>
        </w:rPr>
        <w:t>dominate the globe</w:t>
      </w:r>
      <w:r w:rsidR="00E727ED">
        <w:rPr>
          <w:rFonts w:ascii="Times New Roman" w:hAnsi="Times New Roman" w:cs="Times New Roman"/>
          <w:sz w:val="24"/>
          <w:szCs w:val="24"/>
        </w:rPr>
        <w:t xml:space="preserve"> at all locations</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detoxification of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A33E1" w:rsidRPr="003609FB">
        <w:rPr>
          <w:rFonts w:ascii="Times New Roman" w:hAnsi="Times New Roman" w:cs="Times New Roman"/>
          <w:sz w:val="24"/>
          <w:szCs w:val="24"/>
        </w:rPr>
        <w:t xml:space="preserve"> is </w:t>
      </w:r>
      <w:r w:rsidR="00E727ED">
        <w:rPr>
          <w:rFonts w:ascii="Times New Roman" w:hAnsi="Times New Roman" w:cs="Times New Roman"/>
          <w:sz w:val="24"/>
          <w:szCs w:val="24"/>
        </w:rPr>
        <w:t xml:space="preserve">then added and </w:t>
      </w:r>
      <w:r w:rsidR="005A33E1" w:rsidRPr="003609FB">
        <w:rPr>
          <w:rFonts w:ascii="Times New Roman" w:hAnsi="Times New Roman" w:cs="Times New Roman"/>
          <w:sz w:val="24"/>
          <w:szCs w:val="24"/>
        </w:rPr>
        <w:t xml:space="preserve">found to significantly alter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A33E1"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005A33E1" w:rsidRPr="003609FB">
        <w:rPr>
          <w:rFonts w:ascii="Times New Roman" w:hAnsi="Times New Roman" w:cs="Times New Roman"/>
          <w:sz w:val="24"/>
          <w:szCs w:val="24"/>
        </w:rPr>
        <w:t xml:space="preserve"> interactions, allowing for coexistence rather than exclusion. </w:t>
      </w:r>
      <w:proofErr w:type="spellStart"/>
      <w:r w:rsidRPr="00E727ED">
        <w:rPr>
          <w:rFonts w:ascii="Times New Roman" w:hAnsi="Times New Roman" w:cs="Times New Roman"/>
          <w:i/>
          <w:iCs/>
          <w:sz w:val="24"/>
          <w:szCs w:val="24"/>
        </w:rPr>
        <w:t>Alteromonas</w:t>
      </w:r>
      <w:proofErr w:type="spellEnd"/>
      <w:r w:rsidRPr="00E727ED">
        <w:rPr>
          <w:rFonts w:ascii="Times New Roman" w:hAnsi="Times New Roman" w:cs="Times New Roman"/>
          <w:i/>
          <w:iCs/>
          <w:sz w:val="24"/>
          <w:szCs w:val="24"/>
        </w:rPr>
        <w:t xml:space="preserve"> </w:t>
      </w:r>
      <w:r w:rsidR="00E727ED" w:rsidRPr="003609FB">
        <w:rPr>
          <w:rFonts w:ascii="Times New Roman" w:hAnsi="Times New Roman" w:cs="Times New Roman"/>
          <w:sz w:val="24"/>
          <w:szCs w:val="24"/>
        </w:rPr>
        <w:t>(</w:t>
      </w:r>
      <w:r w:rsidR="00E727ED">
        <w:rPr>
          <w:rFonts w:ascii="Times New Roman" w:hAnsi="Times New Roman" w:cs="Times New Roman"/>
          <w:sz w:val="24"/>
          <w:szCs w:val="24"/>
        </w:rPr>
        <w:t xml:space="preserve">heterotrophic </w:t>
      </w:r>
      <w:r w:rsidRPr="003609FB">
        <w:rPr>
          <w:rFonts w:ascii="Times New Roman" w:hAnsi="Times New Roman" w:cs="Times New Roman"/>
          <w:sz w:val="24"/>
          <w:szCs w:val="24"/>
        </w:rPr>
        <w:t>bacterial)</w:t>
      </w:r>
      <w:r w:rsidR="00E727ED">
        <w:rPr>
          <w:rFonts w:ascii="Times New Roman" w:hAnsi="Times New Roman" w:cs="Times New Roman"/>
          <w:sz w:val="24"/>
          <w:szCs w:val="24"/>
        </w:rPr>
        <w:t>-based</w:t>
      </w:r>
      <w:r w:rsidRPr="003609FB">
        <w:rPr>
          <w:rFonts w:ascii="Times New Roman" w:hAnsi="Times New Roman" w:cs="Times New Roman"/>
          <w:sz w:val="24"/>
          <w:szCs w:val="24"/>
        </w:rPr>
        <w:t xml:space="preserve"> detoxification further shapes community composition allowing 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to </w:t>
      </w:r>
      <w:r w:rsidR="00E727ED">
        <w:rPr>
          <w:rFonts w:ascii="Times New Roman" w:hAnsi="Times New Roman" w:cs="Times New Roman"/>
          <w:sz w:val="24"/>
          <w:szCs w:val="24"/>
        </w:rPr>
        <w:t xml:space="preserve">fully </w:t>
      </w:r>
      <w:r w:rsidRPr="003609FB">
        <w:rPr>
          <w:rFonts w:ascii="Times New Roman" w:hAnsi="Times New Roman" w:cs="Times New Roman"/>
          <w:sz w:val="24"/>
          <w:szCs w:val="24"/>
        </w:rPr>
        <w:t xml:space="preserve">dominate low latitudes while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E727ED">
        <w:rPr>
          <w:rFonts w:ascii="Times New Roman" w:hAnsi="Times New Roman" w:cs="Times New Roman"/>
          <w:sz w:val="24"/>
          <w:szCs w:val="24"/>
        </w:rPr>
        <w:t xml:space="preserve">overtakes </w:t>
      </w:r>
      <w:r w:rsidR="00E727ED" w:rsidRPr="00E727ED">
        <w:rPr>
          <w:rFonts w:ascii="Times" w:hAnsi="Times" w:cs="Times New Roman"/>
          <w:i/>
          <w:iCs/>
          <w:color w:val="000000" w:themeColor="text1"/>
          <w:sz w:val="24"/>
          <w:szCs w:val="24"/>
        </w:rPr>
        <w:t>Prochlorococcus</w:t>
      </w:r>
      <w:r w:rsidR="00E727ED">
        <w:rPr>
          <w:rFonts w:ascii="Times New Roman" w:hAnsi="Times New Roman" w:cs="Times New Roman"/>
          <w:sz w:val="24"/>
          <w:szCs w:val="24"/>
        </w:rPr>
        <w:t xml:space="preserve"> at </w:t>
      </w:r>
      <w:r w:rsidR="006B18D0" w:rsidRPr="003609FB">
        <w:rPr>
          <w:rFonts w:ascii="Times New Roman" w:hAnsi="Times New Roman" w:cs="Times New Roman"/>
          <w:sz w:val="24"/>
          <w:szCs w:val="24"/>
        </w:rPr>
        <w:t>higher latitude</w:t>
      </w:r>
      <w:r w:rsidR="00DA2E4A">
        <w:rPr>
          <w:rFonts w:ascii="Times New Roman" w:hAnsi="Times New Roman" w:cs="Times New Roman"/>
          <w:sz w:val="24"/>
          <w:szCs w:val="24"/>
        </w:rPr>
        <w:t>s</w:t>
      </w:r>
      <w:r w:rsidR="00E727ED">
        <w:rPr>
          <w:rFonts w:ascii="Times New Roman" w:hAnsi="Times New Roman" w:cs="Times New Roman"/>
          <w:sz w:val="24"/>
          <w:szCs w:val="24"/>
        </w:rPr>
        <w:t xml:space="preserve">. This </w:t>
      </w:r>
      <w:r w:rsidR="00DA2E4A">
        <w:rPr>
          <w:rFonts w:ascii="Times New Roman" w:hAnsi="Times New Roman" w:cs="Times New Roman"/>
          <w:sz w:val="24"/>
          <w:szCs w:val="24"/>
        </w:rPr>
        <w:t>presents</w:t>
      </w:r>
      <w:r w:rsidR="00E727ED">
        <w:rPr>
          <w:rFonts w:ascii="Times New Roman" w:hAnsi="Times New Roman" w:cs="Times New Roman"/>
          <w:sz w:val="24"/>
          <w:szCs w:val="24"/>
        </w:rPr>
        <w:t xml:space="preserve"> a biogeographic output for </w:t>
      </w:r>
      <w:r w:rsidR="00E727ED" w:rsidRPr="00E727ED">
        <w:rPr>
          <w:rFonts w:ascii="Times" w:hAnsi="Times" w:cs="Times New Roman"/>
          <w:i/>
          <w:iCs/>
          <w:color w:val="000000" w:themeColor="text1"/>
          <w:sz w:val="24"/>
          <w:szCs w:val="24"/>
        </w:rPr>
        <w:t>Prochlorococcus</w:t>
      </w:r>
      <w:r w:rsidR="00E727ED">
        <w:rPr>
          <w:rFonts w:ascii="Times New Roman" w:hAnsi="Times New Roman" w:cs="Times New Roman"/>
          <w:sz w:val="24"/>
          <w:szCs w:val="24"/>
        </w:rPr>
        <w:t xml:space="preserve"> and </w:t>
      </w:r>
      <w:proofErr w:type="spellStart"/>
      <w:r w:rsidR="00E727ED" w:rsidRPr="00E727ED">
        <w:rPr>
          <w:rFonts w:ascii="Times" w:hAnsi="Times" w:cs="Times New Roman"/>
          <w:i/>
          <w:iCs/>
          <w:color w:val="000000" w:themeColor="text1"/>
          <w:sz w:val="24"/>
          <w:szCs w:val="24"/>
        </w:rPr>
        <w:t>Synechococcus</w:t>
      </w:r>
      <w:proofErr w:type="spellEnd"/>
      <w:r w:rsidR="00E727ED">
        <w:rPr>
          <w:rFonts w:ascii="Times New Roman" w:hAnsi="Times New Roman" w:cs="Times New Roman"/>
          <w:sz w:val="24"/>
          <w:szCs w:val="24"/>
        </w:rPr>
        <w:t xml:space="preserve"> that are</w:t>
      </w:r>
      <w:r w:rsidR="005A33E1" w:rsidRPr="003609FB">
        <w:rPr>
          <w:rFonts w:ascii="Times New Roman" w:hAnsi="Times New Roman" w:cs="Times New Roman"/>
          <w:sz w:val="24"/>
          <w:szCs w:val="24"/>
        </w:rPr>
        <w:t xml:space="preserve"> consistent with current understanding of </w:t>
      </w:r>
      <w:r w:rsidR="00DA2E4A">
        <w:rPr>
          <w:rFonts w:ascii="Times New Roman" w:hAnsi="Times New Roman" w:cs="Times New Roman"/>
          <w:sz w:val="24"/>
          <w:szCs w:val="24"/>
        </w:rPr>
        <w:t xml:space="preserve">plankton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proofErr w:type="spellStart"/>
      <w:r w:rsidR="005A33E1" w:rsidRPr="003609FB">
        <w:rPr>
          <w:rFonts w:ascii="Times New Roman" w:hAnsi="Times New Roman" w:cs="Times New Roman"/>
          <w:sz w:val="24"/>
          <w:szCs w:val="24"/>
        </w:rPr>
        <w:t>biogeographies</w:t>
      </w:r>
      <w:proofErr w:type="spellEnd"/>
      <w:r w:rsidRPr="003609FB">
        <w:rPr>
          <w:rFonts w:ascii="Times New Roman" w:hAnsi="Times New Roman" w:cs="Times New Roman"/>
          <w:sz w:val="24"/>
          <w:szCs w:val="24"/>
        </w:rPr>
        <w:t xml:space="preserve">. Using </w:t>
      </w:r>
      <w:proofErr w:type="gramStart"/>
      <w:r w:rsidRPr="003609FB">
        <w:rPr>
          <w:rFonts w:ascii="Times New Roman" w:hAnsi="Times New Roman" w:cs="Times New Roman"/>
          <w:sz w:val="24"/>
          <w:szCs w:val="24"/>
        </w:rPr>
        <w:t>different of</w:t>
      </w:r>
      <w:proofErr w:type="gramEnd"/>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 combinations layered sequentially into </w:t>
      </w:r>
      <w:r w:rsidR="00DA2E4A">
        <w:rPr>
          <w:rFonts w:ascii="Times New Roman" w:hAnsi="Times New Roman" w:cs="Times New Roman"/>
          <w:sz w:val="24"/>
          <w:szCs w:val="24"/>
        </w:rPr>
        <w:t>a global plankton competition framework,</w:t>
      </w:r>
      <w:r w:rsidR="005A33E1" w:rsidRPr="003609FB">
        <w:rPr>
          <w:rFonts w:ascii="Times New Roman" w:hAnsi="Times New Roman" w:cs="Times New Roman"/>
          <w:sz w:val="24"/>
          <w:szCs w:val="24"/>
        </w:rPr>
        <w:t xml:space="preserve"> we quantitatively show that</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impact</w:t>
      </w:r>
      <w:r w:rsidR="00DA2E4A">
        <w:rPr>
          <w:rFonts w:ascii="Times New Roman" w:hAnsi="Times New Roman" w:cs="Times New Roman"/>
          <w:sz w:val="24"/>
          <w:szCs w:val="24"/>
        </w:rPr>
        <w:t>s</w:t>
      </w:r>
      <w:r w:rsidRPr="003609FB">
        <w:rPr>
          <w:rFonts w:ascii="Times New Roman" w:hAnsi="Times New Roman" w:cs="Times New Roman"/>
          <w:sz w:val="24"/>
          <w:szCs w:val="24"/>
        </w:rPr>
        <w:t xml:space="preserve"> large scale microbial </w:t>
      </w:r>
      <w:r w:rsidR="005A33E1" w:rsidRPr="003609FB">
        <w:rPr>
          <w:rFonts w:ascii="Times New Roman" w:hAnsi="Times New Roman" w:cs="Times New Roman"/>
          <w:sz w:val="24"/>
          <w:szCs w:val="24"/>
        </w:rPr>
        <w:t xml:space="preserve">biogeographical </w:t>
      </w:r>
      <w:r w:rsidRPr="003609FB">
        <w:rPr>
          <w:rFonts w:ascii="Times New Roman" w:hAnsi="Times New Roman" w:cs="Times New Roman"/>
          <w:sz w:val="24"/>
          <w:szCs w:val="24"/>
        </w:rPr>
        <w:t xml:space="preserve">patterns </w:t>
      </w:r>
      <w:r w:rsidR="005A33E1" w:rsidRPr="003609FB">
        <w:rPr>
          <w:rFonts w:ascii="Times New Roman" w:hAnsi="Times New Roman" w:cs="Times New Roman"/>
          <w:sz w:val="24"/>
          <w:szCs w:val="24"/>
        </w:rPr>
        <w:t>and their stability.</w:t>
      </w:r>
      <w:r w:rsidRPr="003609FB">
        <w:rPr>
          <w:rFonts w:ascii="Times New Roman" w:hAnsi="Times New Roman" w:cs="Times New Roman"/>
          <w:sz w:val="24"/>
          <w:szCs w:val="24"/>
        </w:rPr>
        <w:t xml:space="preserve"> </w:t>
      </w:r>
    </w:p>
    <w:p w14:paraId="458894C8" w14:textId="445C8E02" w:rsidR="002C6BC2" w:rsidRPr="002C6BC2" w:rsidRDefault="003D1E8D" w:rsidP="002C6BC2">
      <w:pPr>
        <w:pStyle w:val="Heading2"/>
        <w:spacing w:line="360" w:lineRule="auto"/>
      </w:pPr>
      <w:bookmarkStart w:id="64" w:name="_Toc173250042"/>
      <w:r w:rsidRPr="003609FB">
        <w:t>Introduction:</w:t>
      </w:r>
      <w:bookmarkEnd w:id="64"/>
    </w:p>
    <w:p w14:paraId="53AAAF1B" w14:textId="363B2296" w:rsidR="00726897" w:rsidRPr="003609FB" w:rsidRDefault="003D1E8D" w:rsidP="003B052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With marine production controlling 50% of global carbon flux</w:t>
      </w:r>
      <w:r w:rsidR="00D07E3C" w:rsidRPr="003609FB">
        <w:rPr>
          <w:rFonts w:ascii="Times New Roman" w:hAnsi="Times New Roman" w:cs="Times New Roman"/>
          <w:sz w:val="24"/>
          <w:szCs w:val="24"/>
        </w:rPr>
        <w:t xml:space="preserve"> </w:t>
      </w:r>
      <w:r w:rsidR="00D07E3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{"citationID":"VM53TdUz","properties":{"formattedCitation":"(Field 1998; Raven and Falkowski 1999)","plainCitation":"(Field 1998; Raven and Falkowski 1999)","noteIndex":0},"citationItems":[{"id":1135,"uris":["http://zotero.org/users/6128296/items/C5KCL4KW"],"itemData":{"id":1135,"type":"article-journal","abstract":"Integrating conceptually similar models of the growth of marine and terrestrial primary producers yielded an estimated global net primary production (NPP) of 104.9 petagrams of carbon per year, with roughly equal contributions from land and oceans. Approaches based on satellite indices of absorbed solar radiation indicate marked heterogeneity in NPP for both land and oceans, reØecting the inØuence of physical and ecological processes. The spatial and temporal distributions of ocean NPP are consistent with primary limitation by light, nutrients, and temperature. On land, water limitation imposes additional constraints. On land and ocean, progressive changes in NPP can result in altered carbon storage, although contrasts in mechanisms of carbon storage and rates of organic matter turnover result in a range of relations between carbon storage and changes in NPP.","container-title":"Science","DOI":"10.1126/science.281.5374.237","issue":"5374","language":"en","page":"237-240","source":"DOI.org (Crossref)","title":"Primary Production of the Biosphere: Integrating Terrestrial and Oceanic Components","title-short":"Primary Production of the Biosphere","volume":"281","author":[{"family":"Field","given":""}],"issued":{"date-parts":[["1998",7,10]]}}},{"id":1521,"uris":["http://zotero.org/users/6128296/items/4A2ABMGD"],"itemData":{"id":1521,"type":"article-journal","abstract":"There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G."}],"issued":{"date-parts":[["1999",6]]}}}],"schema":"https://github.com/citation-style-language/schema/raw/master/csl-citation.json"} </w:instrText>
      </w:r>
      <w:r w:rsidR="00D07E3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(Field 1998; Raven and Falkowski 1999)</w:t>
      </w:r>
      <w:r w:rsidR="00D07E3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microbial phytoplankton are the key link between ocean chemistry and biology</w:t>
      </w:r>
      <w:r w:rsidR="00D07E3C" w:rsidRPr="003609FB">
        <w:rPr>
          <w:rFonts w:ascii="Times New Roman" w:hAnsi="Times New Roman" w:cs="Times New Roman"/>
          <w:sz w:val="24"/>
          <w:szCs w:val="24"/>
        </w:rPr>
        <w:t xml:space="preserve"> </w:t>
      </w:r>
      <w:r w:rsidR="00D07E3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{"citationID":"k3W7buqp","properties":{"formattedCitation":"(Azam et al. 1983; Falkowski, Fenchel, and Delong 2008)","plainCitation":"(Azam et al. 1983; Falkowski, Fenchel, and Delong 2008)","noteIndex":0},"citationItems":[{"id":756,"uris":["http://zotero.org/users/6128296/items/P9BMRVFN"],"itemData":{"id":756,"type":"article-journal","abstract":"Recently developed techniques for estimating bacterial biomass and productivity indicate that bacterial biomass in the sea is related to phytoplankton concentration and that bacteria utilise 10 to 50 % of carbon fixed by photosynthesis. Evidence is presented to suggest that numbers of free bacteria are controlled by nanoplankton~cheterotrophic flagellates which are ubiquitous in the marine water column. The flagellates in turn are preyed upon by microzooplankton. Heterotrophic flagellates and microzooplankton cover the same size range as the phytoplankton, thus providing the means for returning some energy from the 'microbial loop' to the conventional planktonic food chain.","container-title":"Marine Ecology Progress Series","DOI":"10.3354/meps010257","ISSN":"0171-8630, 1616-1599","journalAbbreviation":"Mar. Ecol. Prog. Ser.","language":"en","page":"257-263","source":"DOI.org (Crossref)","title":"The Ecological Role of Water-Column Microbes in the Sea","volume":"10","author":[{"family":"Azam","given":""},{"family":"Fenchel","given":"T"},{"family":"Field","given":"Jg"},{"family":"Gray","given":"Js"},{"family":"Meyer-Reil","given":"La"},{"family":"Thingstad","given":"F"}],"issued":{"date-parts":[["1983"]]}}},{"id":1199,"uris":["http://zotero.org/users/6128296/items/63Z8RMQE"],"itemData":{"id":1199,"type":"article-journal","abstract":"Virtually all nonequilibrium electron transfers on Earth are driven by a set of nanobiological machines composed largely of multimeric protein complexes associated with a small number of prosthetic groups. These machines evolved exclusively in microbes early in our planet’s history yet, despite their antiquity, are highly conserved. Hence, although there is enormous genetic diversity in nature, there remains a relatively stable set of core genes coding for the major redox reactions essential for life and biogeochemical cycles. These genes created and coevolved with biogeochemical cycles and were passed from microbe to microbe primarily by horizontal gene transfer. A major challenge in the coming decades is to understand how these machines evolved, how they work, and the processes that control their activity on both molecular and planetary scales.","container-title":"Science","DOI":"10.1126/science.1153213","ISSN":"0036-8075, 1095-9203","issue":"5879","journalAbbreviation":"Science","language":"en","page":"1034-1039","source":"DOI.org (Crossref)","title":"The Microbial Engines That Drive Earth's Biogeochemical Cycles","volume":"320","author":[{"family":"Falkowski","given":""},{"family":"Fenchel","given":"T."},{"family":"Delong","given":"E. F."}],"issued":{"date-parts":[["2008",5,23]]}}}],"schema":"https://github.com/citation-style-language/schema/raw/master/csl-citation.json"} </w:instrText>
      </w:r>
      <w:r w:rsidR="00D07E3C"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(Azam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1983; Falkowski, Fenchel, and Delong 2008)</w:t>
      </w:r>
      <w:r w:rsidR="00D07E3C" w:rsidRPr="003609FB">
        <w:rPr>
          <w:rFonts w:ascii="Times New Roman" w:hAnsi="Times New Roman" w:cs="Times New Roman"/>
          <w:sz w:val="24"/>
          <w:szCs w:val="24"/>
        </w:rPr>
        <w:fldChar w:fldCharType="end"/>
      </w:r>
      <w:r w:rsidR="00D07E3C"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combine to facilitate 50% of this marine </w:t>
      </w:r>
      <w:r w:rsidR="00D07E3C" w:rsidRPr="003609FB">
        <w:rPr>
          <w:rFonts w:ascii="Times New Roman" w:hAnsi="Times New Roman" w:cs="Times New Roman"/>
          <w:sz w:val="24"/>
          <w:szCs w:val="24"/>
        </w:rPr>
        <w:t xml:space="preserve">flux </w:t>
      </w:r>
      <w:r w:rsidR="00D07E3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{"citationID":"R1mNOezz","properties":{"formattedCitation":"(Partensky, Blanchot, and Vaulot 1999; Flombaum et al. 2013)","plainCitation":"(Partensky, Blanchot, and Vaulot 1999; Flombaum et al. 2013)","noteIndex":0},"citationItems":[{"id":4251,"uris":["http://zotero.org/users/6128296/items/KSAT33BJ"],"itemData":{"id":4251,"type":"article-journal","container-title":"Bulletin-Institut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D07E3C"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w:t>
      </w:r>
      <w:proofErr w:type="spellStart"/>
      <w:r w:rsidR="009D7443">
        <w:rPr>
          <w:rFonts w:ascii="Times New Roman" w:hAnsi="Times New Roman" w:cs="Times New Roman"/>
          <w:sz w:val="24"/>
        </w:rPr>
        <w:t>Flombaum</w:t>
      </w:r>
      <w:proofErr w:type="spellEnd"/>
      <w:r w:rsidR="009D7443">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2013)</w:t>
      </w:r>
      <w:r w:rsidR="00D07E3C" w:rsidRPr="003609FB">
        <w:rPr>
          <w:rFonts w:ascii="Times New Roman" w:hAnsi="Times New Roman" w:cs="Times New Roman"/>
          <w:sz w:val="24"/>
          <w:szCs w:val="24"/>
        </w:rPr>
        <w:fldChar w:fldCharType="end"/>
      </w:r>
      <w:r w:rsidR="00D07E3C" w:rsidRPr="003609FB">
        <w:rPr>
          <w:rFonts w:ascii="Times New Roman" w:hAnsi="Times New Roman" w:cs="Times New Roman"/>
          <w:sz w:val="24"/>
          <w:szCs w:val="24"/>
        </w:rPr>
        <w:t xml:space="preserve">. </w:t>
      </w:r>
      <w:r w:rsidRPr="003609FB">
        <w:rPr>
          <w:rFonts w:ascii="Times New Roman" w:hAnsi="Times New Roman" w:cs="Times New Roman"/>
          <w:sz w:val="24"/>
          <w:szCs w:val="24"/>
        </w:rPr>
        <w:t>Only a small percentage of the ocean has currently been sampled</w:t>
      </w:r>
      <w:r w:rsidR="006B18D0" w:rsidRPr="003609FB">
        <w:rPr>
          <w:rFonts w:ascii="Times New Roman" w:hAnsi="Times New Roman" w:cs="Times New Roman"/>
          <w:sz w:val="24"/>
          <w:szCs w:val="24"/>
        </w:rPr>
        <w:t xml:space="preserve"> and</w:t>
      </w:r>
      <w:r w:rsidRPr="003609FB">
        <w:rPr>
          <w:rFonts w:ascii="Times New Roman" w:hAnsi="Times New Roman" w:cs="Times New Roman"/>
          <w:sz w:val="24"/>
          <w:szCs w:val="24"/>
        </w:rPr>
        <w:t xml:space="preserve"> models are used to visualize hypothesized population densities of microbes</w:t>
      </w:r>
      <w:r w:rsidR="00476F31">
        <w:rPr>
          <w:rFonts w:ascii="Times New Roman" w:hAnsi="Times New Roman" w:cs="Times New Roman"/>
          <w:sz w:val="24"/>
          <w:szCs w:val="24"/>
        </w:rPr>
        <w:t xml:space="preserve"> based on noted microbial traits</w:t>
      </w:r>
      <w:r w:rsidRPr="003609FB">
        <w:rPr>
          <w:rFonts w:ascii="Times New Roman" w:hAnsi="Times New Roman" w:cs="Times New Roman"/>
          <w:sz w:val="24"/>
          <w:szCs w:val="24"/>
        </w:rPr>
        <w:t xml:space="preserve"> </w:t>
      </w:r>
      <w:r w:rsidR="00D07E3C"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{"citationID":"pRye5cJN","properties":{"formattedCitation":"(Buitenhuis et al. 2012)","plainCitation":"(Buitenhuis et al. 2012)","noteIndex":0},"citationItems":[{"id":196,"uris":["http://zotero.org/users/6128296/items/RT965KH5"],"itemData":{"id":196,"type":"article-journal","abstract":"The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B."}],"issued":{"date-parts":[["2012",4,27]]}}}],"schema":"https://github.com/citation-style-language/schema/raw/master/csl-citation.json"} </w:instrText>
      </w:r>
      <w:r w:rsidR="00D07E3C" w:rsidRPr="003609FB">
        <w:rPr>
          <w:rFonts w:ascii="Times New Roman" w:hAnsi="Times New Roman" w:cs="Times New Roman"/>
          <w:sz w:val="24"/>
          <w:szCs w:val="24"/>
        </w:rPr>
        <w:fldChar w:fldCharType="separate"/>
      </w:r>
      <w:r w:rsidR="006C2922">
        <w:rPr>
          <w:rFonts w:ascii="Times New Roman" w:hAnsi="Times New Roman" w:cs="Times New Roman"/>
          <w:sz w:val="24"/>
          <w:szCs w:val="24"/>
        </w:rPr>
        <w:t xml:space="preserve">(Buitenhuis </w:t>
      </w:r>
      <w:r w:rsidR="00183222" w:rsidRPr="00183222">
        <w:rPr>
          <w:rFonts w:ascii="Times New Roman" w:hAnsi="Times New Roman" w:cs="Times New Roman"/>
          <w:i/>
          <w:iCs/>
          <w:sz w:val="24"/>
          <w:szCs w:val="24"/>
        </w:rPr>
        <w:t>et al</w:t>
      </w:r>
      <w:r w:rsidR="006C2922">
        <w:rPr>
          <w:rFonts w:ascii="Times New Roman" w:hAnsi="Times New Roman" w:cs="Times New Roman"/>
          <w:sz w:val="24"/>
          <w:szCs w:val="24"/>
        </w:rPr>
        <w:t>. 2012)</w:t>
      </w:r>
      <w:r w:rsidR="00D07E3C"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r w:rsidR="003B052F">
        <w:rPr>
          <w:rFonts w:ascii="Times New Roman" w:hAnsi="Times New Roman" w:cs="Times New Roman"/>
          <w:sz w:val="24"/>
          <w:szCs w:val="24"/>
        </w:rPr>
        <w:t xml:space="preserve">Modeling plankton, using growth and death traits quantified from </w:t>
      </w:r>
      <w:r w:rsidR="003B052F">
        <w:rPr>
          <w:rFonts w:ascii="Times New Roman" w:hAnsi="Times New Roman" w:cs="Times New Roman"/>
          <w:sz w:val="24"/>
          <w:szCs w:val="24"/>
        </w:rPr>
        <w:lastRenderedPageBreak/>
        <w:t xml:space="preserve">environmentally relevant environmental scenarios in laboratory experiments, is a key bridge in understanding how the physical environment of the ocean and the microbial life within it interact on large scales. </w:t>
      </w:r>
      <w:r w:rsidRPr="003609FB">
        <w:rPr>
          <w:rFonts w:ascii="Times New Roman" w:hAnsi="Times New Roman" w:cs="Times New Roman"/>
          <w:sz w:val="24"/>
          <w:szCs w:val="24"/>
        </w:rPr>
        <w:t xml:space="preserve">This is sometimes done at the species level </w:t>
      </w:r>
      <w:r w:rsidR="00D07E3C"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{"citationID":"2up7x87t","properties":{"formattedCitation":"(Larkin et al. 2023)","plainCitation":"(Larkin et al. 2023)","noteIndex":0},"citationItems":[{"id":4604,"uris":["http://zotero.org/users/6128296/items/W8RQJSWM"],"itemData":{"id":4604,"type":"article-journal","abstract":"Abstract\n            Establishing links between microbial diversity and environmental processes requires resolving the high degree of functional variation among closely related lineages or ecotypes. Here, we implement and validate an improved metagenomic approach that estimates the spatial biogeography and environmental regulation of ecotype-specific replication patterns (RObs) across ocean regions. A total of 719 metagenomes were analyzed from meridional Bio-GO-SHIP sections in the Atlantic and Indian Ocean. Accounting for sequencing bias and anchoring replication estimates in genome structure were critical for identifying physiologically relevant biological signals. For example, ecotypes within the dominant marine cyanobacteria Prochlorococcus exhibited distinct diel cycles in RObs that peaked between 19:00–22:00. Additionally, both Prochlorococcus ecotypes and ecotypes within the highly abundant heterotroph Pelagibacter (SAR11) demonstrated systematic biogeographies in RObs that differed from spatial patterns in relative abundance. Finally, RObs was significantly regulated by nutrient stress and temperature, and explained by differences in the genomic potential for nutrient transport, energy production, cell wall structure, and replication. Our results suggest that our new approach to estimating replication is reflective of gross population growth. Moreover, this work reveals that the interaction between adaptation and environmental change drives systematic variability in replication patterns across ocean basins that is ecotype-specific, adding an activity-based dimension to our understanding of microbial niche space.","container-title":"The ISME Journal","DOI":"10.1038/s41396-022-01332-6","ISSN":"1751-7362, 1751-7370","issue":"2","language":"en","page":"185-194","source":"DOI.org (Crossref)","title":"Basin-scale biogeography of &lt;i&gt;Prochlorococcus&lt;/i&gt; and SAR11 ecotype replication","volume":"17","author":[{"family":"Larkin","given":""},{"family":"Hagstrom","given":"George I"},{"family":"Brock","given":"Melissa L"},{"family":"Garcia","given":"Nathan S"},{"family":"Martiny","given":"Adam C"}],"issued":{"date-parts":[["2023",2,1]]}}}],"schema":"https://github.com/citation-style-language/schema/raw/master/csl-citation.json"} </w:instrText>
      </w:r>
      <w:r w:rsidR="00D07E3C"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(Larkin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2023)</w:t>
      </w:r>
      <w:r w:rsidR="00D07E3C" w:rsidRPr="003609FB">
        <w:rPr>
          <w:rFonts w:ascii="Times New Roman" w:hAnsi="Times New Roman" w:cs="Times New Roman"/>
          <w:sz w:val="24"/>
          <w:szCs w:val="24"/>
        </w:rPr>
        <w:fldChar w:fldCharType="end"/>
      </w:r>
      <w:r w:rsidR="00D07E3C" w:rsidRPr="003609FB">
        <w:rPr>
          <w:rFonts w:ascii="Times New Roman" w:hAnsi="Times New Roman" w:cs="Times New Roman"/>
          <w:sz w:val="24"/>
          <w:szCs w:val="24"/>
        </w:rPr>
        <w:t xml:space="preserve"> </w:t>
      </w:r>
      <w:r w:rsidRPr="003609FB">
        <w:rPr>
          <w:rFonts w:ascii="Times New Roman" w:hAnsi="Times New Roman" w:cs="Times New Roman"/>
          <w:sz w:val="24"/>
          <w:szCs w:val="24"/>
        </w:rPr>
        <w:t>however the number of microbes known vs</w:t>
      </w:r>
      <w:r w:rsidR="003C27B1" w:rsidRPr="003609FB">
        <w:rPr>
          <w:rFonts w:ascii="Times New Roman" w:hAnsi="Times New Roman" w:cs="Times New Roman"/>
          <w:sz w:val="24"/>
          <w:szCs w:val="24"/>
        </w:rPr>
        <w:t>.</w:t>
      </w:r>
      <w:r w:rsidRPr="003609FB">
        <w:rPr>
          <w:rFonts w:ascii="Times New Roman" w:hAnsi="Times New Roman" w:cs="Times New Roman"/>
          <w:sz w:val="24"/>
          <w:szCs w:val="24"/>
        </w:rPr>
        <w:t xml:space="preserve"> culturable microbes is low </w:t>
      </w:r>
      <w:r w:rsidR="002D5B5E"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{"citationID":"fj32KyMT","properties":{"formattedCitation":"(Barton et al. 2010; Fuhrman and Campbell 1998; Kaeberlein, Lewis, and Epstein 2002; Barber\\uc0\\u225{}n and Casamayor 2010)","plainCitation":"(Barton et al. 2010; Fuhrman and Campbell 1998; Kaeberlein, Lewis, and Epstein 2002; Barberán and Casamayor 2010)","noteIndex":0},"citationItems":[{"id":194,"uris":["http://zotero.org/users/6128296/items/F3BWRU7K"],"itemData":{"id":194,"type":"article-journal","abstract":"Spatial diversity gradients are a pervasive feature of life on Earth. We examined a global ocean circulation, biogeochemistry, and ecosystem model that indicated a decrease in phytoplankton diversity with increasing latitude, consistent with observations of many marine and terrestrial taxa. In the modeled subpolar oceans, seasonal variability of the environment led to competitive exclusion of phytoplankton with slower growth rates and lower diversity. The relatively weak seasonality of the stable subtropical and tropical oceans in the global model enabled long exclusion time scales and prolonged coexistence of multiple phytoplankton with comparable fitness. Superimposed on the decline in diversity seen from equator to pole were “hot spots” of enhanced diversity in some regions of energetic ocean circulation, which reflected lateral dispersal.","container-title":"Science","DOI":"10.1126/science.1184961","ISSN":"0036-8075, 1095-9203","issue":"5972","journalAbbreviation":"Science","language":"en","page":"1509-1511","source":"DOI.org (Crossref)","title":"Patterns of Diversity in Marine Phytoplankton","volume":"327","author":[{"family":"Barton","given":""},{"family":"Dutkiewicz","given":"S."},{"family":"Flierl","given":"G."},{"family":"Bragg","given":"J."},{"family":"Follows","given":"M. J."}],"issued":{"date-parts":[["2010",3,19]]}}},{"id":4052,"uris":["http://zotero.org/users/6128296/items/8SHIJEJJ"],"itemData":{"id":4052,"type":"article-journal","container-title":"Nature","DOI":"10.1038/30839","ISSN":"0028-0836, 1476-4687","issue":"6684","journalAbbreviation":"Nature","language":"en","page":"410-411","source":"DOI.org (Crossref)","title":"Microbial microdiversity","volume":"393","author":[{"family":"Fuhrman","given":""},{"family":"Campbell","given":"Lisa"}],"issued":{"date-parts":[["1998",6]]}}},{"id":3294,"uris":["http://zotero.org/users/6128296/items/RGJWULCA"],"itemData":{"id":3294,"type":"article-journal","abstract":"The majority (&gt;99%) of microorganisms from the environment resist cultivation in the laboratory. Ribosomal RNA analysis suggests that uncultivated organisms are found in nearly every prokaryotic group, and several divisions have no known cultivable representatives. We designed a diffusion chamber that allowed the growth of previously uncultivated microorganisms in a simulated natural environment. Colonies of representative marine organisms were isolated in pure culture. These isolates did not grow on artificial media alone but formed colonies in the presence of other microorganisms. This observation may help explain the nature of microbial uncultivability.","container-title":"Science","DOI":"10.1126/science.1070633","ISSN":"0036-8075, 1095-9203","issue":"5570","journalAbbreviation":"Science","language":"en","page":"1127-1129","source":"DOI.org (Crossref)","title":"Isolating \"Uncultivable\" Microorganisms in Pure Culture in a Simulated Natural Environment","volume":"296","author":[{"family":"Kaeberlein","given":""},{"family":"Lewis","given":"K."},{"family":"Epstein","given":"S. S."}],"issued":{"date-parts":[["2002",5,10]]}}},{"id":5916,"uris":["http://zotero.org/users/6128296/items/CXF2457B"],"itemData":{"id":5916,"type":"article-journal","abstract":"We aimed to identify phylogenetic community patterns in abundant planktonic bacteria (Alpha-, Beta-, and Gammaproteobacteria, Actinobacteria, Cyanobacteria, and Bacteroidetes) from a worldwide range of surface waters (lakes and seas — 34 sites and ca. 4500 16S rRNA gene sequences). At each site we assessed the number of observed bacterial groups and the genetic relatedness of the most abundant groups through a community phylogenetic metaanalysis approach in order to (1) explore which potential ecological processes were consistent with the observed phylogenetic patterns in community assembly and (2) disentangle the effects of space and environment in β-diversity patterns for the different bacterial groups. Inland waters had significantly more bacterial groups and were more diverse than marine waters. Marine habitats showed a higher percentage of clustered sites than lakes, and bacterial communities were more closely related than expected by chance. Phylogenetic β-diversity analyses revealed different patterns to both salt composition (marine vs. inland salt lakes) and salt concentration for the dominant bacteria. We observed that while β-diversity patterns for Bacteroidetes were mostly shaped by salinity concentration, patterns in Alphaproteobacteria and Gammaproteobacteria were controlled by salt composition. Actinobacteria, Betaproteobacteria and Sphingobacteria were largely absent from marine habitats and from saline continental sites. In general and despite the lack of contextual metadata, environmental similarity was more relevant than spatial distribution for bacterial β-diversity patterns. However, we detected a geographic signal for some inland waters’ groups (i.e. Actinobacteria, Beta-, and Gammaproteobacteria). Overall, the analyses indicated differences among phylogenetic groups and reflected patterns upon which further exploration of community assembly theory could be based.","container-title":"Aquatic Microbial Ecology","DOI":"10.3354/ame01389","ISSN":"0948-3055, 1616-1564","journalAbbreviation":"Aquat. Microb. Ecol.","language":"en","page":"1-10","source":"DOI.org (Crossref)","title":"Global phylogenetic community structure and β-diversity patterns in surface bacterioplankton metacommunities","volume":"59","author":[{"family":"Barberán","given":""},{"family":"Casamayor","given":"Eo"}],"issued":{"date-parts":[["2010",3,11]]}}}],"schema":"https://github.com/citation-style-language/schema/raw/master/csl-citation.json"} </w:instrText>
      </w:r>
      <w:r w:rsidR="002D5B5E" w:rsidRPr="003609FB">
        <w:rPr>
          <w:rFonts w:ascii="Times New Roman" w:hAnsi="Times New Roman" w:cs="Times New Roman"/>
          <w:sz w:val="24"/>
          <w:szCs w:val="24"/>
        </w:rPr>
        <w:fldChar w:fldCharType="separate"/>
      </w:r>
      <w:r w:rsidR="00920699" w:rsidRPr="00920699">
        <w:rPr>
          <w:rFonts w:ascii="Times New Roman" w:hAnsi="Times New Roman" w:cs="Times New Roman"/>
          <w:sz w:val="24"/>
        </w:rPr>
        <w:t xml:space="preserve">(Barton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xml:space="preserve">. 2010; Fuhrman and Campbell 1998; </w:t>
      </w:r>
      <w:proofErr w:type="spellStart"/>
      <w:r w:rsidR="00920699" w:rsidRPr="00920699">
        <w:rPr>
          <w:rFonts w:ascii="Times New Roman" w:hAnsi="Times New Roman" w:cs="Times New Roman"/>
          <w:sz w:val="24"/>
        </w:rPr>
        <w:t>Kaeberlein</w:t>
      </w:r>
      <w:proofErr w:type="spellEnd"/>
      <w:r w:rsidR="00920699" w:rsidRPr="00920699">
        <w:rPr>
          <w:rFonts w:ascii="Times New Roman" w:hAnsi="Times New Roman" w:cs="Times New Roman"/>
          <w:sz w:val="24"/>
        </w:rPr>
        <w:t xml:space="preserve">, Lewis, and Epstein 2002; </w:t>
      </w:r>
      <w:proofErr w:type="spellStart"/>
      <w:r w:rsidR="00920699" w:rsidRPr="00920699">
        <w:rPr>
          <w:rFonts w:ascii="Times New Roman" w:hAnsi="Times New Roman" w:cs="Times New Roman"/>
          <w:sz w:val="24"/>
        </w:rPr>
        <w:t>Barberán</w:t>
      </w:r>
      <w:proofErr w:type="spellEnd"/>
      <w:r w:rsidR="00920699" w:rsidRPr="00920699">
        <w:rPr>
          <w:rFonts w:ascii="Times New Roman" w:hAnsi="Times New Roman" w:cs="Times New Roman"/>
          <w:sz w:val="24"/>
        </w:rPr>
        <w:t xml:space="preserve"> and Casamayor 2010)</w:t>
      </w:r>
      <w:r w:rsidR="002D5B5E" w:rsidRPr="003609FB">
        <w:rPr>
          <w:rFonts w:ascii="Times New Roman" w:hAnsi="Times New Roman" w:cs="Times New Roman"/>
          <w:sz w:val="24"/>
          <w:szCs w:val="24"/>
        </w:rPr>
        <w:fldChar w:fldCharType="end"/>
      </w:r>
      <w:r w:rsidR="002D5B5E" w:rsidRPr="003609FB">
        <w:rPr>
          <w:rFonts w:ascii="Times New Roman" w:hAnsi="Times New Roman" w:cs="Times New Roman"/>
          <w:sz w:val="24"/>
          <w:szCs w:val="24"/>
        </w:rPr>
        <w:t>.</w:t>
      </w:r>
      <w:r w:rsidR="003C27B1" w:rsidRPr="003609FB">
        <w:rPr>
          <w:rFonts w:ascii="Times New Roman" w:hAnsi="Times New Roman" w:cs="Times New Roman"/>
          <w:sz w:val="24"/>
          <w:szCs w:val="24"/>
        </w:rPr>
        <w:t xml:space="preserve"> </w:t>
      </w:r>
      <w:r w:rsidR="00CF1081" w:rsidRPr="003609FB">
        <w:rPr>
          <w:rFonts w:ascii="Times New Roman" w:hAnsi="Times New Roman" w:cs="Times New Roman"/>
          <w:sz w:val="24"/>
          <w:szCs w:val="24"/>
        </w:rPr>
        <w:t>Thus,</w:t>
      </w:r>
      <w:r w:rsidRPr="003609FB">
        <w:rPr>
          <w:rFonts w:ascii="Times New Roman" w:hAnsi="Times New Roman" w:cs="Times New Roman"/>
          <w:sz w:val="24"/>
          <w:szCs w:val="24"/>
        </w:rPr>
        <w:t xml:space="preserve"> direct laboratory to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extrapolation is difficult.</w:t>
      </w:r>
      <w:r w:rsidR="00476F31">
        <w:rPr>
          <w:rFonts w:ascii="Times New Roman" w:hAnsi="Times New Roman" w:cs="Times New Roman"/>
          <w:sz w:val="24"/>
          <w:szCs w:val="24"/>
        </w:rPr>
        <w:t xml:space="preserve"> </w:t>
      </w:r>
      <w:r w:rsidRPr="003609FB">
        <w:rPr>
          <w:rFonts w:ascii="Times New Roman" w:hAnsi="Times New Roman" w:cs="Times New Roman"/>
          <w:sz w:val="24"/>
          <w:szCs w:val="24"/>
        </w:rPr>
        <w:t xml:space="preserve">Furthermore, modeling ocean dynamics with the full microbial diversity of the ocean would be computationally intractable. Other model frameworks consider genera of plankton constrained with laboratory optima of temperature and light growth extrapolated across global temperature and light patterns </w:t>
      </w:r>
      <w:r w:rsidR="002D5B5E"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{"citationID":"igijLLKF","properties":{"formattedCitation":"(Flombaum et al. 2013; Visintini, Martiny, and Flombaum 2021)","plainCitation":"(Flombaum et al. 2013; Visintini, Martiny, and Flombaum 2021)","noteIndex":0},"citationItems":[{"id":89,"uris":["http://zotero.org/users/6128296/items/MCUHQ8Y3"],"itemData":{"id":89,"type":"article-journal","container-title":"Proceedings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C."},{"family":"Flombaum","given":"Pedro"}],"issued":{"date-parts":[["2021",8]]}}}],"schema":"https://github.com/citation-style-language/schema/raw/master/csl-citation.json"} </w:instrText>
      </w:r>
      <w:r w:rsidR="002D5B5E"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2013; Visintini, Martiny, and </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2021)</w:t>
      </w:r>
      <w:r w:rsidR="002D5B5E"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While mirroring vertical and latitudinal distributions in the water column, these representations do not allow direct analysis of </w:t>
      </w:r>
      <w:r w:rsidR="008C30DA">
        <w:rPr>
          <w:rFonts w:ascii="Times New Roman" w:hAnsi="Times New Roman" w:cs="Times New Roman"/>
          <w:sz w:val="24"/>
          <w:szCs w:val="24"/>
        </w:rPr>
        <w:t xml:space="preserve">the underlying </w:t>
      </w:r>
      <w:r w:rsidRPr="003609FB">
        <w:rPr>
          <w:rFonts w:ascii="Times New Roman" w:hAnsi="Times New Roman" w:cs="Times New Roman"/>
          <w:sz w:val="24"/>
          <w:szCs w:val="24"/>
        </w:rPr>
        <w:t>chemical and biological processes. For direct mechanistic connections between cellular growth and environmental</w:t>
      </w:r>
      <w:r w:rsidR="006B18D0" w:rsidRPr="003609FB">
        <w:rPr>
          <w:rFonts w:ascii="Times New Roman" w:hAnsi="Times New Roman" w:cs="Times New Roman"/>
          <w:sz w:val="24"/>
          <w:szCs w:val="24"/>
        </w:rPr>
        <w:t xml:space="preserve"> conditions</w:t>
      </w:r>
      <w:r w:rsidRPr="003609FB">
        <w:rPr>
          <w:rFonts w:ascii="Times New Roman" w:hAnsi="Times New Roman" w:cs="Times New Roman"/>
          <w:sz w:val="24"/>
          <w:szCs w:val="24"/>
        </w:rPr>
        <w:t xml:space="preserve">, we utilize </w:t>
      </w:r>
      <w:r w:rsidR="008C30DA">
        <w:rPr>
          <w:rFonts w:ascii="Times New Roman" w:hAnsi="Times New Roman" w:cs="Times New Roman"/>
          <w:sz w:val="24"/>
          <w:szCs w:val="24"/>
        </w:rPr>
        <w:t>a</w:t>
      </w:r>
      <w:r w:rsidR="008C30DA" w:rsidRPr="003609FB">
        <w:rPr>
          <w:rFonts w:ascii="Times New Roman" w:hAnsi="Times New Roman" w:cs="Times New Roman"/>
          <w:sz w:val="24"/>
          <w:szCs w:val="24"/>
        </w:rPr>
        <w:t xml:space="preserve"> Massachusetts Institute of Technology </w:t>
      </w:r>
      <w:r w:rsidR="008C30DA">
        <w:rPr>
          <w:rFonts w:ascii="Times New Roman" w:hAnsi="Times New Roman" w:cs="Times New Roman"/>
          <w:sz w:val="24"/>
          <w:szCs w:val="24"/>
        </w:rPr>
        <w:t xml:space="preserve">(MIT) </w:t>
      </w:r>
      <w:r w:rsidRPr="003609FB">
        <w:rPr>
          <w:rFonts w:ascii="Times New Roman" w:hAnsi="Times New Roman" w:cs="Times New Roman"/>
          <w:sz w:val="24"/>
          <w:szCs w:val="24"/>
        </w:rPr>
        <w:t xml:space="preserve"> </w:t>
      </w:r>
      <w:r w:rsidR="008C30DA" w:rsidRPr="003609FB">
        <w:rPr>
          <w:rFonts w:ascii="Times New Roman" w:hAnsi="Times New Roman" w:cs="Times New Roman"/>
          <w:sz w:val="24"/>
          <w:szCs w:val="24"/>
        </w:rPr>
        <w:t xml:space="preserve">global </w:t>
      </w:r>
      <w:r w:rsidR="008C30DA">
        <w:rPr>
          <w:rFonts w:ascii="Times New Roman" w:hAnsi="Times New Roman" w:cs="Times New Roman"/>
          <w:sz w:val="24"/>
          <w:szCs w:val="24"/>
        </w:rPr>
        <w:t xml:space="preserve">plankton modeling </w:t>
      </w:r>
      <w:r w:rsidR="008C30DA" w:rsidRPr="003609FB">
        <w:rPr>
          <w:rFonts w:ascii="Times New Roman" w:hAnsi="Times New Roman" w:cs="Times New Roman"/>
          <w:sz w:val="24"/>
          <w:szCs w:val="24"/>
        </w:rPr>
        <w:t xml:space="preserve">framework </w:t>
      </w:r>
      <w:r w:rsidR="00ED723B" w:rsidRPr="003609FB">
        <w:rPr>
          <w:rFonts w:ascii="Times New Roman" w:hAnsi="Times New Roman" w:cs="Times New Roman"/>
          <w:sz w:val="24"/>
          <w:szCs w:val="24"/>
        </w:rPr>
        <w:fldChar w:fldCharType="begin"/>
      </w:r>
      <w:r w:rsidR="00ED723B" w:rsidRPr="003609FB">
        <w:rPr>
          <w:rFonts w:ascii="Times New Roman" w:hAnsi="Times New Roman" w:cs="Times New Roman"/>
          <w:sz w:val="24"/>
          <w:szCs w:val="24"/>
        </w:rPr>
        <w:instrText xml:space="preserve"> ADDIN ZOTERO_ITEM CSL_CITATION {"citationID":"aGRh7coO","properties":{"formattedCitation":"(Follows et al. 2007)","plainCitation":"(Follows et al. 2007)","noteIndex":0},"citationItems":[{"id":91,"uris":["http://zotero.org/users/6128296/items/NG6G4I5N"],"itemData":{"id":91,"type":"article-journal","abstract":"A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schema":"https://github.com/citation-style-language/schema/raw/master/csl-citation.json"} </w:instrText>
      </w:r>
      <w:r w:rsidR="00ED723B"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(Follows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2007)</w:t>
      </w:r>
      <w:r w:rsidR="00ED723B" w:rsidRPr="003609FB">
        <w:rPr>
          <w:rFonts w:ascii="Times New Roman" w:hAnsi="Times New Roman" w:cs="Times New Roman"/>
          <w:sz w:val="24"/>
          <w:szCs w:val="24"/>
        </w:rPr>
        <w:fldChar w:fldCharType="end"/>
      </w:r>
      <w:r w:rsidR="00ED723B" w:rsidRPr="003609FB">
        <w:rPr>
          <w:rFonts w:ascii="Times New Roman" w:hAnsi="Times New Roman" w:cs="Times New Roman"/>
          <w:sz w:val="24"/>
          <w:szCs w:val="24"/>
        </w:rPr>
        <w:t>.</w:t>
      </w:r>
      <w:r w:rsidR="002D5B5E" w:rsidRPr="003609FB">
        <w:rPr>
          <w:rFonts w:ascii="Times New Roman" w:hAnsi="Times New Roman" w:cs="Times New Roman"/>
          <w:sz w:val="24"/>
          <w:szCs w:val="24"/>
        </w:rPr>
        <w:t xml:space="preserve"> </w:t>
      </w:r>
      <w:r w:rsidR="007445C6" w:rsidRPr="003609FB">
        <w:rPr>
          <w:rFonts w:ascii="Times New Roman" w:hAnsi="Times New Roman" w:cs="Times New Roman"/>
          <w:sz w:val="24"/>
          <w:szCs w:val="24"/>
        </w:rPr>
        <w:t xml:space="preserve">In Chapter 3 we explored cell based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7445C6" w:rsidRPr="003609FB">
        <w:rPr>
          <w:rFonts w:ascii="Times New Roman" w:hAnsi="Times New Roman" w:cs="Times New Roman"/>
          <w:sz w:val="24"/>
          <w:szCs w:val="24"/>
        </w:rPr>
        <w:t xml:space="preserve"> parameters and their </w:t>
      </w:r>
      <w:proofErr w:type="gramStart"/>
      <w:r w:rsidR="007445C6" w:rsidRPr="003609FB">
        <w:rPr>
          <w:rFonts w:ascii="Times New Roman" w:hAnsi="Times New Roman" w:cs="Times New Roman"/>
          <w:sz w:val="24"/>
          <w:szCs w:val="24"/>
        </w:rPr>
        <w:t>impact</w:t>
      </w:r>
      <w:proofErr w:type="gramEnd"/>
      <w:r w:rsidR="007445C6" w:rsidRPr="003609FB">
        <w:rPr>
          <w:rFonts w:ascii="Times New Roman" w:hAnsi="Times New Roman" w:cs="Times New Roman"/>
          <w:sz w:val="24"/>
          <w:szCs w:val="24"/>
        </w:rPr>
        <w:t xml:space="preserve"> the community dynamics of picoplankton. In Chapter 4 we use these parameters and extrapolate to global scale investigation of community plankton dynamics via </w:t>
      </w:r>
      <w:r w:rsidR="00ED723B" w:rsidRPr="003609FB">
        <w:rPr>
          <w:rFonts w:ascii="Times New Roman" w:hAnsi="Times New Roman" w:cs="Times New Roman"/>
          <w:sz w:val="24"/>
          <w:szCs w:val="24"/>
        </w:rPr>
        <w:t>the implementation of</w:t>
      </w:r>
      <w:r w:rsidR="007445C6" w:rsidRPr="003609FB">
        <w:rPr>
          <w:rFonts w:ascii="Times New Roman" w:hAnsi="Times New Roman" w:cs="Times New Roman"/>
          <w:sz w:val="24"/>
          <w:szCs w:val="24"/>
        </w:rPr>
        <w:t xml:space="preserve"> </w:t>
      </w:r>
      <w:r w:rsidR="00ED723B" w:rsidRPr="003609FB">
        <w:rPr>
          <w:rFonts w:ascii="Times New Roman" w:hAnsi="Times New Roman" w:cs="Times New Roman"/>
          <w:sz w:val="24"/>
          <w:szCs w:val="24"/>
        </w:rPr>
        <w:t xml:space="preserve">a </w:t>
      </w:r>
      <w:r w:rsidR="007445C6" w:rsidRPr="003609FB">
        <w:rPr>
          <w:rFonts w:ascii="Times New Roman" w:hAnsi="Times New Roman" w:cs="Times New Roman"/>
          <w:sz w:val="24"/>
          <w:szCs w:val="24"/>
        </w:rPr>
        <w:t xml:space="preserve">phytoplankton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ED723B" w:rsidRPr="003609FB">
        <w:rPr>
          <w:rFonts w:ascii="Times New Roman" w:hAnsi="Times New Roman" w:cs="Times New Roman"/>
          <w:sz w:val="24"/>
          <w:szCs w:val="24"/>
        </w:rPr>
        <w:t xml:space="preserve"> </w:t>
      </w:r>
      <w:r w:rsidR="007445C6" w:rsidRPr="003609FB">
        <w:rPr>
          <w:rFonts w:ascii="Times New Roman" w:hAnsi="Times New Roman" w:cs="Times New Roman"/>
          <w:sz w:val="24"/>
          <w:szCs w:val="24"/>
        </w:rPr>
        <w:t>trai</w:t>
      </w:r>
      <w:r w:rsidR="00ED723B" w:rsidRPr="003609FB">
        <w:rPr>
          <w:rFonts w:ascii="Times New Roman" w:hAnsi="Times New Roman" w:cs="Times New Roman"/>
          <w:sz w:val="24"/>
          <w:szCs w:val="24"/>
        </w:rPr>
        <w:t>t</w:t>
      </w:r>
      <w:r w:rsidR="007445C6" w:rsidRPr="003609FB">
        <w:rPr>
          <w:rFonts w:ascii="Times New Roman" w:hAnsi="Times New Roman" w:cs="Times New Roman"/>
          <w:sz w:val="24"/>
          <w:szCs w:val="24"/>
        </w:rPr>
        <w:t xml:space="preserve"> model</w:t>
      </w:r>
      <w:r w:rsidR="00ED723B" w:rsidRPr="003609FB">
        <w:rPr>
          <w:rFonts w:ascii="Times New Roman" w:hAnsi="Times New Roman" w:cs="Times New Roman"/>
          <w:sz w:val="24"/>
          <w:szCs w:val="24"/>
        </w:rPr>
        <w:t xml:space="preserve"> within </w:t>
      </w:r>
      <w:r w:rsidR="008C30DA">
        <w:rPr>
          <w:rFonts w:ascii="Times New Roman" w:hAnsi="Times New Roman" w:cs="Times New Roman"/>
          <w:sz w:val="24"/>
          <w:szCs w:val="24"/>
        </w:rPr>
        <w:t xml:space="preserve">the </w:t>
      </w:r>
      <w:r w:rsidR="00476F31">
        <w:rPr>
          <w:rFonts w:ascii="Times New Roman" w:hAnsi="Times New Roman" w:cs="Times New Roman"/>
          <w:sz w:val="24"/>
          <w:szCs w:val="24"/>
        </w:rPr>
        <w:t xml:space="preserve">MIT </w:t>
      </w:r>
      <w:r w:rsidR="00ED723B" w:rsidRPr="003609FB">
        <w:rPr>
          <w:rFonts w:ascii="Times New Roman" w:hAnsi="Times New Roman" w:cs="Times New Roman"/>
          <w:sz w:val="24"/>
          <w:szCs w:val="24"/>
        </w:rPr>
        <w:t xml:space="preserve">General Circulation Model </w:t>
      </w:r>
      <w:r w:rsidR="00476F31">
        <w:rPr>
          <w:rFonts w:ascii="Times New Roman" w:hAnsi="Times New Roman" w:cs="Times New Roman"/>
          <w:sz w:val="24"/>
          <w:szCs w:val="24"/>
        </w:rPr>
        <w:t>(</w:t>
      </w:r>
      <w:proofErr w:type="spellStart"/>
      <w:r w:rsidR="00476F31">
        <w:rPr>
          <w:rFonts w:ascii="Times New Roman" w:hAnsi="Times New Roman" w:cs="Times New Roman"/>
          <w:sz w:val="24"/>
          <w:szCs w:val="24"/>
        </w:rPr>
        <w:t>gcm</w:t>
      </w:r>
      <w:proofErr w:type="spellEnd"/>
      <w:r w:rsidR="00476F31">
        <w:rPr>
          <w:rFonts w:ascii="Times New Roman" w:hAnsi="Times New Roman" w:cs="Times New Roman"/>
          <w:sz w:val="24"/>
          <w:szCs w:val="24"/>
        </w:rPr>
        <w:t xml:space="preserve">) </w:t>
      </w:r>
      <w:r w:rsidR="00ED723B" w:rsidRPr="003609FB">
        <w:rPr>
          <w:rFonts w:ascii="Times New Roman" w:hAnsi="Times New Roman" w:cs="Times New Roman"/>
          <w:sz w:val="24"/>
          <w:szCs w:val="24"/>
        </w:rPr>
        <w:t>(</w:t>
      </w:r>
      <w:hyperlink r:id="rId54" w:history="1">
        <w:r w:rsidR="00ED723B" w:rsidRPr="0049772E">
          <w:rPr>
            <w:rStyle w:val="Hyperlink"/>
            <w:rFonts w:ascii="Times New Roman" w:hAnsi="Times New Roman" w:cs="Times New Roman"/>
            <w:color w:val="auto"/>
            <w:sz w:val="24"/>
            <w:szCs w:val="24"/>
          </w:rPr>
          <w:t>https://darwinproject.mit.edu/research/</w:t>
        </w:r>
      </w:hyperlink>
      <w:r w:rsidR="00ED723B" w:rsidRPr="0049772E">
        <w:rPr>
          <w:rFonts w:ascii="Times New Roman" w:hAnsi="Times New Roman" w:cs="Times New Roman"/>
          <w:sz w:val="24"/>
          <w:szCs w:val="24"/>
        </w:rPr>
        <w:t>).</w:t>
      </w:r>
    </w:p>
    <w:p w14:paraId="36861519" w14:textId="519FB23C" w:rsidR="00726897" w:rsidRPr="003609FB" w:rsidRDefault="00ED723B" w:rsidP="000E4C6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ocean’s physical dynamics imposed by the MIT General Circulation Model are then funneled into the MIT </w:t>
      </w:r>
      <w:r w:rsidR="001D64AF">
        <w:rPr>
          <w:rFonts w:ascii="Times New Roman" w:hAnsi="Times New Roman" w:cs="Times New Roman"/>
          <w:sz w:val="24"/>
          <w:szCs w:val="24"/>
        </w:rPr>
        <w:t>‘</w:t>
      </w:r>
      <w:r w:rsidRPr="003609FB">
        <w:rPr>
          <w:rFonts w:ascii="Times New Roman" w:hAnsi="Times New Roman" w:cs="Times New Roman"/>
          <w:sz w:val="24"/>
          <w:szCs w:val="24"/>
        </w:rPr>
        <w:t>Darwin</w:t>
      </w:r>
      <w:r w:rsidR="001D64AF">
        <w:rPr>
          <w:rFonts w:ascii="Times New Roman" w:hAnsi="Times New Roman" w:cs="Times New Roman"/>
          <w:sz w:val="24"/>
          <w:szCs w:val="24"/>
        </w:rPr>
        <w:t>’</w:t>
      </w:r>
      <w:r w:rsidRPr="003609FB">
        <w:rPr>
          <w:rFonts w:ascii="Times New Roman" w:hAnsi="Times New Roman" w:cs="Times New Roman"/>
          <w:sz w:val="24"/>
          <w:szCs w:val="24"/>
        </w:rPr>
        <w:t xml:space="preserve"> plankton model</w:t>
      </w:r>
      <w:r w:rsidR="00F17056" w:rsidRPr="003609FB">
        <w:rPr>
          <w:rFonts w:ascii="Times New Roman" w:hAnsi="Times New Roman" w:cs="Times New Roman"/>
          <w:sz w:val="24"/>
          <w:szCs w:val="24"/>
        </w:rPr>
        <w:t xml:space="preserve"> </w:t>
      </w:r>
      <w:r w:rsidR="00F17056" w:rsidRPr="003609FB">
        <w:rPr>
          <w:rFonts w:ascii="Times New Roman" w:hAnsi="Times New Roman" w:cs="Times New Roman"/>
          <w:sz w:val="24"/>
          <w:szCs w:val="24"/>
        </w:rPr>
        <w:fldChar w:fldCharType="begin"/>
      </w:r>
      <w:r w:rsidR="00F17056" w:rsidRPr="003609FB">
        <w:rPr>
          <w:rFonts w:ascii="Times New Roman" w:hAnsi="Times New Roman" w:cs="Times New Roman"/>
          <w:sz w:val="24"/>
          <w:szCs w:val="24"/>
        </w:rPr>
        <w:instrText xml:space="preserve"> ADDIN ZOTERO_ITEM CSL_CITATION {"citationID":"w39ENIIm","properties":{"formattedCitation":"(Follows et al. 2007)","plainCitation":"(Follows et al. 2007)","noteIndex":0},"citationItems":[{"id":91,"uris":["http://zotero.org/users/6128296/items/NG6G4I5N"],"itemData":{"id":91,"type":"article-journal","abstract":"A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schema":"https://github.com/citation-style-language/schema/raw/master/csl-citation.json"} </w:instrText>
      </w:r>
      <w:r w:rsidR="00F17056"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(Follows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2007)</w:t>
      </w:r>
      <w:r w:rsidR="00F17056" w:rsidRPr="003609FB">
        <w:rPr>
          <w:rFonts w:ascii="Times New Roman" w:hAnsi="Times New Roman" w:cs="Times New Roman"/>
          <w:sz w:val="24"/>
          <w:szCs w:val="24"/>
        </w:rPr>
        <w:fldChar w:fldCharType="end"/>
      </w:r>
      <w:r w:rsidRPr="003609FB">
        <w:rPr>
          <w:rFonts w:ascii="Times New Roman" w:hAnsi="Times New Roman" w:cs="Times New Roman"/>
          <w:sz w:val="24"/>
          <w:szCs w:val="24"/>
        </w:rPr>
        <w:t>. This trait</w:t>
      </w:r>
      <w:r w:rsidR="003D1E8D" w:rsidRPr="003609FB">
        <w:rPr>
          <w:rFonts w:ascii="Times New Roman" w:hAnsi="Times New Roman" w:cs="Times New Roman"/>
          <w:sz w:val="24"/>
          <w:szCs w:val="24"/>
        </w:rPr>
        <w:t xml:space="preserve"> </w:t>
      </w:r>
      <w:proofErr w:type="gramStart"/>
      <w:r w:rsidR="003D1E8D" w:rsidRPr="003609FB">
        <w:rPr>
          <w:rFonts w:ascii="Times New Roman" w:hAnsi="Times New Roman" w:cs="Times New Roman"/>
          <w:sz w:val="24"/>
          <w:szCs w:val="24"/>
        </w:rPr>
        <w:t>model that</w:t>
      </w:r>
      <w:proofErr w:type="gramEnd"/>
      <w:r w:rsidR="003D1E8D" w:rsidRPr="003609FB">
        <w:rPr>
          <w:rFonts w:ascii="Times New Roman" w:hAnsi="Times New Roman" w:cs="Times New Roman"/>
          <w:sz w:val="24"/>
          <w:szCs w:val="24"/>
        </w:rPr>
        <w:t xml:space="preserve"> uses Monod nutrient (Monod 1950) uptake that scales allometrically, meaning cell size determines with nutrient uptake, maximum growth, and nutrient quotas of each microbe (Edwards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3D1E8D" w:rsidRPr="003609FB">
        <w:rPr>
          <w:rFonts w:ascii="Times New Roman" w:hAnsi="Times New Roman" w:cs="Times New Roman"/>
          <w:sz w:val="24"/>
          <w:szCs w:val="24"/>
        </w:rPr>
        <w:t xml:space="preserve">2012). </w:t>
      </w:r>
      <w:r w:rsidR="009C5E61">
        <w:rPr>
          <w:rFonts w:ascii="Times New Roman" w:hAnsi="Times New Roman" w:cs="Times New Roman"/>
          <w:sz w:val="24"/>
          <w:szCs w:val="24"/>
        </w:rPr>
        <w:t xml:space="preserve">This mirrors the choice in Chapter 3 to </w:t>
      </w:r>
      <w:r w:rsidR="000E4C6F">
        <w:rPr>
          <w:rFonts w:ascii="Times New Roman" w:hAnsi="Times New Roman" w:cs="Times New Roman"/>
          <w:sz w:val="24"/>
          <w:szCs w:val="24"/>
        </w:rPr>
        <w:t xml:space="preserve">link </w:t>
      </w:r>
      <w:r w:rsidR="009C5E61">
        <w:rPr>
          <w:rFonts w:ascii="Times New Roman" w:hAnsi="Times New Roman" w:cs="Times New Roman"/>
          <w:sz w:val="24"/>
          <w:szCs w:val="24"/>
        </w:rPr>
        <w:t xml:space="preserve">nutrient affinity to size, with </w:t>
      </w:r>
      <w:r w:rsidR="009C5E61" w:rsidRPr="009C5E61">
        <w:rPr>
          <w:rFonts w:ascii="Times" w:hAnsi="Times" w:cs="Times New Roman"/>
          <w:i/>
          <w:iCs/>
          <w:color w:val="000000" w:themeColor="text1"/>
          <w:sz w:val="24"/>
          <w:szCs w:val="24"/>
        </w:rPr>
        <w:t>Prochlorococcus</w:t>
      </w:r>
      <w:r w:rsidR="009C5E61">
        <w:rPr>
          <w:rFonts w:ascii="Times New Roman" w:hAnsi="Times New Roman" w:cs="Times New Roman"/>
          <w:sz w:val="24"/>
          <w:szCs w:val="24"/>
        </w:rPr>
        <w:t xml:space="preserve"> having a smaller size and associated</w:t>
      </w:r>
      <w:r w:rsidR="00283DAF">
        <w:rPr>
          <w:rFonts w:ascii="Times New Roman" w:hAnsi="Times New Roman" w:cs="Times New Roman"/>
          <w:sz w:val="24"/>
          <w:szCs w:val="24"/>
        </w:rPr>
        <w:t xml:space="preserve"> higher nutrient affinity</w:t>
      </w:r>
      <w:r w:rsidR="000E4C6F">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Nutrient and temperature traits of globally important groups like Diatoms, Flagellates, and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003D1E8D" w:rsidRPr="003609FB">
        <w:rPr>
          <w:rFonts w:ascii="Times New Roman" w:hAnsi="Times New Roman" w:cs="Times New Roman"/>
          <w:sz w:val="24"/>
          <w:szCs w:val="24"/>
        </w:rPr>
        <w:t xml:space="preserve"> are represented</w:t>
      </w:r>
      <w:r w:rsidRPr="003609FB">
        <w:rPr>
          <w:rFonts w:ascii="Times New Roman" w:hAnsi="Times New Roman" w:cs="Times New Roman"/>
          <w:sz w:val="24"/>
          <w:szCs w:val="24"/>
        </w:rPr>
        <w:t xml:space="preserve"> </w:t>
      </w:r>
      <w:r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{"citationID":"G78CXm4B","properties":{"formattedCitation":"(Follows et al. 2007; Dutkiewicz, Follows, and Bragg 2009)","plainCitation":"(Follows et al. 2007; Dutkiewicz, Follows, and Bragg 2009)","noteIndex":0},"citationItems":[{"id":91,"uris":["http://zotero.org/users/6128296/items/NG6G4I5N"],"itemData":{"id":91,"type":"article-journal","abstract":"A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G."}],"issued":{"date-parts":[["2009",12]]}}}],"schema":"https://github.com/citation-style-language/schema/raw/master/csl-citation.json"} </w:instrText>
      </w:r>
      <w:r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(Follows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2007; Dutkiewicz, Follows, and Bragg 2009)</w:t>
      </w:r>
      <w:r w:rsidRPr="003609FB">
        <w:rPr>
          <w:rFonts w:ascii="Times New Roman" w:hAnsi="Times New Roman" w:cs="Times New Roman"/>
          <w:sz w:val="24"/>
          <w:szCs w:val="24"/>
        </w:rPr>
        <w:fldChar w:fldCharType="end"/>
      </w:r>
      <w:r w:rsidR="003D1E8D" w:rsidRPr="003609FB">
        <w:rPr>
          <w:rFonts w:ascii="Times New Roman" w:hAnsi="Times New Roman" w:cs="Times New Roman"/>
          <w:sz w:val="24"/>
          <w:szCs w:val="24"/>
        </w:rPr>
        <w:t xml:space="preserve">. </w:t>
      </w:r>
    </w:p>
    <w:p w14:paraId="253B7403" w14:textId="2ED7AC45" w:rsidR="003D1E8D" w:rsidRPr="003609FB"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Global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has previously been represented in photochemical production models as line</w:t>
      </w:r>
      <w:r w:rsidR="00E465A1" w:rsidRPr="003609FB">
        <w:rPr>
          <w:rFonts w:ascii="Times New Roman" w:hAnsi="Times New Roman" w:cs="Times New Roman"/>
          <w:sz w:val="24"/>
          <w:szCs w:val="24"/>
        </w:rPr>
        <w:t>a</w:t>
      </w:r>
      <w:r w:rsidRPr="003609FB">
        <w:rPr>
          <w:rFonts w:ascii="Times New Roman" w:hAnsi="Times New Roman" w:cs="Times New Roman"/>
          <w:sz w:val="24"/>
          <w:szCs w:val="24"/>
        </w:rPr>
        <w:t xml:space="preserve">r </w:t>
      </w:r>
      <w:r w:rsidR="00E465A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{"citationID":"DcmZ9cTd","properties":{"formattedCitation":"(Powers and Miller 2014)","plainCitation":"(Powers and Miller 2014)","noteIndex":0},"citationItems":[{"id":4526,"uris":["http://zotero.org/users/6128296/items/4SN3A73G"],"itemData":{"id":4526,"type":"article-journal","abstract":"Hydrogen peroxide (H2O2) and its precursor, superoxide (O2 ), are well-studied photochemical products that are pivotal in regulating redox transformations of trace metals and organic matter in the surface ocean. In attempts to understand the magnitude of both H2O2 and O2  photoproduction on a global scale, we implemented a model to calculate photochemical fluxes of these products from remotely sensed ocean color and modeled solar irradiances. We generated monthly climatologies for open ocean H2O2 photoproduction rates using an average apparent quantum yield (AQY) spectrum determined from laboratory irradiations of oligotrophic water collected in the Gulf of Alaska. Because the formation of H2O2 depends on secondary thermal reactions involving O2 , we also implemented a temperature correction for the H2O2 AQY using remotely sensed sea surface temperature and an Arrhenius relationship for H2O2 photoproduction. Daily photoproduction rates of H2O2 ranged from &lt;1 to over 100 nM per day, amounting to  30 mM per year in highly productive regions. When production rates were calculated without the temperature correction, maximum daily rates were underestimated by 1525%, highlighting the importance of including the temperature modification for H2O2 in these models. By making assumptions about the relationship between H2O2 and O2  photoproduction rates and O2  decay kinetics, we present a method for calculating midday O2  steady-state concentrations ([O2 ]ss)in the open ocean. Estimated [O2 ]ss ranged from 0.1–5 nM assuming biomolecular dismutation was the only sink for O2 , but were reduced to 0.1–290 pM when catalytic pathways were included. While the approach presented here provides the first global scale estimates of marine [O2 ]ss from remote sensing, the potential of this model to quantify O2  photoproduction rates and [O2 ]ss will not be fully realized until the mechanisms controlling O2  photoproduction and decay are better understood.","container-title":"Environ. Sci.: Processes Impacts","DOI":"10.1039/C3EM00617D","ISSN":"2050-7887, 2050-7895","issue":"4","journalAbbreviation":"Environ. Sci.: Processes Impacts","language":"en","page":"792-806","source":"DOI.org (Crossref)","title":"Blending remote sensing data products to estimate photochemical production of hydrogen peroxide and superoxide in the surface ocean","volume":"16","author":[{"family":"Powers","given":""},{"family":"Miller","given":"William L."}],"issued":{"date-parts":[["2014"]]}}}],"schema":"https://github.com/citation-style-language/schema/raw/master/csl-citation.json"} </w:instrText>
      </w:r>
      <w:r w:rsidR="00E465A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(Powers and Miller 2014)</w:t>
      </w:r>
      <w:r w:rsidR="00E465A1" w:rsidRPr="003609FB">
        <w:rPr>
          <w:rFonts w:ascii="Times New Roman" w:hAnsi="Times New Roman" w:cs="Times New Roman"/>
          <w:sz w:val="24"/>
          <w:szCs w:val="24"/>
        </w:rPr>
        <w:fldChar w:fldCharType="end"/>
      </w:r>
      <w:r w:rsidR="004F7CFA"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or non-linear </w:t>
      </w:r>
      <w:r w:rsidR="00E465A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{"citationID":"ue9cxrGk","properties":{"formattedCitation":"(Zhu et al. 2022)","plainCitation":"(Zhu et al. 2022)","noteIndex":0},"citationItems":[{"id":4059,"uris":["http://zotero.org/users/6128296/items/UQC3QQF2"],"itemData":{"id":4059,"type":"article-journal","abstract":"Hydrogen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E465A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(Zhu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2022)</w:t>
      </w:r>
      <w:r w:rsidR="00E465A1" w:rsidRPr="003609FB">
        <w:rPr>
          <w:rFonts w:ascii="Times New Roman" w:hAnsi="Times New Roman" w:cs="Times New Roman"/>
          <w:sz w:val="24"/>
          <w:szCs w:val="24"/>
        </w:rPr>
        <w:fldChar w:fldCharType="end"/>
      </w:r>
      <w:r w:rsidR="00E465A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functions of light and water’s physical properties. However, these models were implemented and compared to abiotic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Pr="003609FB">
        <w:rPr>
          <w:rFonts w:ascii="Times New Roman" w:hAnsi="Times New Roman" w:cs="Times New Roman"/>
          <w:sz w:val="24"/>
          <w:szCs w:val="24"/>
        </w:rPr>
        <w:lastRenderedPageBreak/>
        <w:t xml:space="preserve">dynamics. Omar </w:t>
      </w:r>
      <w:r w:rsidR="00183222" w:rsidRPr="00183222">
        <w:rPr>
          <w:rFonts w:ascii="Times New Roman" w:hAnsi="Times New Roman" w:cs="Times New Roman"/>
          <w:i/>
          <w:iCs/>
          <w:sz w:val="24"/>
          <w:szCs w:val="24"/>
        </w:rPr>
        <w:t>et al</w:t>
      </w:r>
      <w:r w:rsidR="00276D32" w:rsidRPr="00276D32">
        <w:rPr>
          <w:rFonts w:ascii="Times New Roman" w:hAnsi="Times New Roman" w:cs="Times New Roman"/>
          <w:i/>
          <w:iCs/>
          <w:sz w:val="24"/>
          <w:szCs w:val="24"/>
        </w:rPr>
        <w:t xml:space="preserve">. </w:t>
      </w:r>
      <w:r w:rsidR="004F7CFA" w:rsidRPr="003609FB">
        <w:rPr>
          <w:rFonts w:ascii="Times New Roman" w:hAnsi="Times New Roman" w:cs="Times New Roman"/>
          <w:sz w:val="24"/>
          <w:szCs w:val="24"/>
        </w:rPr>
        <w:t>(</w:t>
      </w:r>
      <w:r w:rsidRPr="003609FB">
        <w:rPr>
          <w:rFonts w:ascii="Times New Roman" w:hAnsi="Times New Roman" w:cs="Times New Roman"/>
          <w:sz w:val="24"/>
          <w:szCs w:val="24"/>
        </w:rPr>
        <w:t>2022</w:t>
      </w:r>
      <w:r w:rsidR="004F7CFA" w:rsidRPr="003609FB">
        <w:rPr>
          <w:rFonts w:ascii="Times New Roman" w:hAnsi="Times New Roman" w:cs="Times New Roman"/>
          <w:sz w:val="24"/>
          <w:szCs w:val="24"/>
        </w:rPr>
        <w:t>)</w:t>
      </w:r>
      <w:r w:rsidRPr="003609FB">
        <w:rPr>
          <w:rFonts w:ascii="Times New Roman" w:hAnsi="Times New Roman" w:cs="Times New Roman"/>
          <w:sz w:val="24"/>
          <w:szCs w:val="24"/>
        </w:rPr>
        <w:t xml:space="preserve"> further investigated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as it, and its diffusive properties, pertain to differently sized cells </w:t>
      </w:r>
      <w:r w:rsidR="00E465A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{"citationID":"boz1s77D","properties":{"formattedCitation":"(Omar et al. 2022, 20)","plainCitation":"(Omar et al. 2022, 20)","noteIndex":0},"citationItems":[{"id":2246,"uris":["http://zotero.org/users/6128296/items/CA9EXVYE"],"itemData":{"id":2246,"type":"article-journal","abstract":"Marine phytoplankton vary widely in size across taxa, and in cell suspension densities\nacross habitats and growth states. Cell suspension density and total biovolume determine the\nbulk influence of a phytoplankton community upon its environment. Cell suspension density also\ndetermines the intercellular spacings separating phytoplankton cells from each other, or from cooccurring\nbacterioplankton. Intercellular spacing then determines the mean diffusion paths for\nexchanges of solutes among co-occurring cells. Marine phytoplankton and bacterioplankton both\nproduce and scavenge reactive oxygen species (ROS), to maintain intracellular ROS homeostasis\nto support their cellular processes, while limiting damaging reactions. Among ROS, hydrogen\nperoxide (H2O2) has relatively low reactivity, long intracellular and extracellular lifetimes, and\nreadily crosses cell membranes. Our objective was to quantify how cells can influence other cells\nvia diffusional interactions, using H2O2 as a case study. To visualize and constrain potentials for\ncell-to-cell exchanges of H2O2, we simulated the decrease of [H2O2] outwards from representative\nphytoplankton taxa maintaining internal [H2O2] above representative seawater [H2O2]. [H2O2]\ngradients outwards from static cell surfaces were dominated by volumetric dilution, with only a\nnegligible influence from decay. The simulated [H2O2] fell to background [H2O2] within ~3.1  m\nfrom a Prochlorococcus cell surface, but extended outwards 90  m from a diatom cell surface. More\nrapid decays of other, less stable ROS, would lower these threshold distances. Bacterioplankton\nlowered simulated local [H2O2] below background only out to 1.2  m from the surface of a static\ncell, even though bacterioplankton collectively act to influence seawater ROS. These small diffusional\nspheres around cells mean that direct cell-to-cell exchange of H2O2 is unlikely in oligotrophic habits\nwith widely spaced, small cells; moderate in eutrophic habits with shorter cell-to-cell spacing; but\nextensive within phytoplankton colonies.","container-title":"Microorganisms 2022","DOI":"https://doi.org/10.3390/ microorganisms10040821","issue":"821","title":"Diffusional Interactions among Marine Phytoplankton and Bacterioplankton: Modelling H2O2 as a Case Study","volume":"10","author":[{"family":"Omar","given":""},{"family":"Prášil","given":"Ondrej"},{"family":"McCain","given":"Scott"},{"family":"Campbell","given":"Douglas"}],"issued":{"date-parts":[["2022",4,15]]}},"locator":"20"}],"schema":"https://github.com/citation-style-language/schema/raw/master/csl-citation.json"} </w:instrText>
      </w:r>
      <w:r w:rsidR="00E465A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(Omar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2022, 20)</w:t>
      </w:r>
      <w:r w:rsidR="00E465A1" w:rsidRPr="003609FB">
        <w:rPr>
          <w:rFonts w:ascii="Times New Roman" w:hAnsi="Times New Roman" w:cs="Times New Roman"/>
          <w:sz w:val="24"/>
          <w:szCs w:val="24"/>
        </w:rPr>
        <w:fldChar w:fldCharType="end"/>
      </w:r>
      <w:r w:rsidR="00E465A1" w:rsidRPr="003609FB">
        <w:rPr>
          <w:rFonts w:ascii="Times New Roman" w:hAnsi="Times New Roman" w:cs="Times New Roman"/>
          <w:sz w:val="24"/>
          <w:szCs w:val="24"/>
        </w:rPr>
        <w:t>.</w:t>
      </w:r>
      <w:r w:rsidRPr="003609FB">
        <w:rPr>
          <w:rFonts w:ascii="Times New Roman" w:hAnsi="Times New Roman" w:cs="Times New Roman"/>
          <w:sz w:val="24"/>
          <w:szCs w:val="24"/>
        </w:rPr>
        <w:t xml:space="preserve">While they determined direct cell-to-cell detoxification is unlikely in the diffuse marine ecosystem, community impact of batch species could be significant. </w:t>
      </w:r>
    </w:p>
    <w:p w14:paraId="733286EB" w14:textId="2B9CFB22" w:rsidR="00EB7379" w:rsidRDefault="003D1E8D" w:rsidP="00D8164D">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future ocean is predicted to change in ways (increased </w:t>
      </w:r>
      <w:r w:rsidR="00EE1250" w:rsidRPr="003609FB">
        <w:rPr>
          <w:rFonts w:ascii="Times New Roman" w:hAnsi="Times New Roman" w:cs="Times New Roman"/>
          <w:sz w:val="24"/>
          <w:szCs w:val="24"/>
        </w:rPr>
        <w:t>temperature,</w:t>
      </w:r>
      <w:r w:rsidRPr="003609FB">
        <w:rPr>
          <w:rFonts w:ascii="Times New Roman" w:hAnsi="Times New Roman" w:cs="Times New Roman"/>
          <w:sz w:val="24"/>
          <w:szCs w:val="24"/>
        </w:rPr>
        <w:t xml:space="preserve"> increased stratification, pH decrease, CO</w:t>
      </w:r>
      <w:r w:rsidRPr="00E04E48">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influx, nitrification decrease </w:t>
      </w:r>
      <w:r w:rsidR="00E465A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{"citationID":"p3vVITuB","properties":{"formattedCitation":"(Wilson et al. 2022; Dutkiewicz et al. 2015)","plainCitation":"(Wilson et al. 2022; Dutkiewicz et al. 2015)","noteIndex":0},"citationItems":[{"id":5153,"uris":["http://zotero.org/users/6128296/items/H7KIIRBZ"],"itemData":{"id":5153,"type":"article-journal","abstract":"The biological carbon pump (BCP) stores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1,700 Pg C from the atmosphere in the ocean interior, but the magnitude and direction of future changes in carbon sequestration by the BCP are uncertain. We quantify global trends in export production, sinking organic carbon fluxes, and sequestered carbon in the latest Coupled Model Intercomparison Project Phase 6 (CMIP6) future projections, finding a consistent 19 to 48 Pg C increase in carbon sequestration over the 21st century for the SSP3-7.0 scenario, equivalent to 5 to 17% of the total increase of carbon in the ocean by 2100. This is in contrast to a global decrease in export production of –0.15 to –1.44 Pg C y\n              –1\n              . However, there is significant uncertainty in the modeled future fluxes of organic carbon to the deep ocean associated with a range of different processes resolved across models. We demonstrate that organic carbon fluxes at 1,000 m are a good predictor of long-term carbon sequestration and suggest this is an important metric of the BCP that should be prioritized in future model studies.","container-title":"Proceedings of the National Academy of Sciences","DOI":"10.1073/pnas.2204369119","ISSN":"0027-8424, 1091-6490","issue":"29","journalAbbreviation":"Proc. Natl. Acad. Sci. U.S.A.","language":"en","page":"e2204369119","source":"DOI.org (Crossref)","title":"The biological carbon pump in CMIP6 models: 21st century trends and uncertainties","title-short":"The biological carbon pump in CMIP6 models","volume":"119","author":[{"family":"Wilson","given":""},{"family":"Andrews","given":"Oliver"},{"family":"Katavouta","given":"Anna"},{"family":"De Melo Viríssimo","given":"Francisco"},{"family":"Death","given":"Ros M."},{"family":"Adloff","given":"Markus"},{"family":"Baker","given":"Chelsey A."},{"family":"Blackledge","given":"Benedict"},{"family":"Goldsworth","given":"Fraser W."},{"family":"Kennedy-Asser","given":"Alan T."},{"family":"Liu","given":"Qian"},{"family":"Sieradzan","given":"Katie R."},{"family":"Vosper","given":"Emily"},{"family":"Ying","given":"Rui"}],"issued":{"date-parts":[["2022",7,19]]}}},{"id":3188,"uris":["http://zotero.org/users/6128296/items/C5M8U2TV"],"itemData":{"id":3188,"type":"article-journal","abstract":"Phytoplankton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T."},{"family":"Berman-Frank","given":"Ilana"}],"issued":{"date-parts":[["2015",11]]}}}],"schema":"https://github.com/citation-style-language/schema/raw/master/csl-citation.json"} </w:instrText>
      </w:r>
      <w:r w:rsidR="00E465A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(Wilson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2022; Dutkiewicz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2015)</w:t>
      </w:r>
      <w:r w:rsidR="00E465A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that are expected to widen the nutrient deplete areas of the ocean as well as increase </w:t>
      </w:r>
      <w:r w:rsidR="00E04E48">
        <w:rPr>
          <w:rFonts w:ascii="Times New Roman" w:hAnsi="Times New Roman" w:cs="Times New Roman"/>
          <w:sz w:val="24"/>
          <w:szCs w:val="24"/>
        </w:rPr>
        <w:t xml:space="preserve">production of </w:t>
      </w:r>
      <w:r w:rsidRPr="003609FB">
        <w:rPr>
          <w:rFonts w:ascii="Times New Roman" w:hAnsi="Times New Roman" w:cs="Times New Roman"/>
          <w:sz w:val="24"/>
          <w:szCs w:val="24"/>
        </w:rPr>
        <w:t xml:space="preserve">reactive oxygen species </w:t>
      </w:r>
      <w:r w:rsidR="00F1744B"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{"citationID":"COa4EKvy","properties":{"formattedCitation":"(Friedlingstein et al. 2006; Raven and Falkowski 1999; Fu et al. 2007; Beman et al. 2011; Diaz and Plummer 2018; Dutkiewicz et al. 2015)","plainCitation":"(Friedlingstein et al. 2006; Raven and Falkowski 1999; Fu et al. 2007; Beman et al. 2011; Diaz and Plummer 2018; Dutkiewicz et al. 2015)","noteIndex":0},"citationItems":[{"id":191,"uris":["http://zotero.org/users/6128296/items/5IWXCU8E"],"itemData":{"id":191,"type":"article-journal","abstract":"Eleven coupled climate–carbon cycle models used a common protocol to study the coupling between climate change and the carbon cycle. The models were forced by historical emissions and the Intergovernmental Panel on Climate Change (IPCC) Special Report on Emissions Scenarios (SRES) A2 anthropogenic emissions of CO2 for the 1850–2100 time period. For each model, two simulations were performed in order to isolate the impact of climate change on the land and ocean carbon cycle, and therefore the climate feedback on the atmospheric CO2 concentration growth rate. There was unanimous agreement among the models that future climate change will reduce the efficiency of the earth system to absorb the anthropogenic carbon perturbation. A larger fraction of anthropogenic CO2 will stay airborne if climate change is accounted for. By the end of the twenty-first century, this additional CO2 varied between 20 and 200 ppm for the two extreme models, the majority of the models lying between 50 and 100 ppm. The higher CO2 levels led to an additional climate warming ranging between 0.1° and 1.5°C.","container-title":"Journal of Climate","DOI":"10.1175/JCLI3800.1","ISSN":"0894-8755, 1520-0442","issue":"14","journalAbbreviation":"J. Climate","language":"en","page":"3337-3353","source":"DOI.org (Crossref)","title":"Climate–Carbon Cycle Feedback Analysis: Results from the C &lt;sup&gt;4&lt;/sup&gt; MIP Model Intercomparison","title-short":"Climate–Carbon Cycle Feedback Analysis","volume":"19","author":[{"family":"Friedlingstein","given":""},{"family":"Cox","given":"P."},{"family":"Betts","given":"R."},{"family":"Bopp","given":"L."},{"family":"Bloh","given":"W.","non-dropping-particle":"von"},{"family":"Brovkin","given":"V."},{"family":"Cadule","given":"P."},{"family":"Doney","given":"S."},{"family":"Eby","given":"M."},{"family":"Fung","given":"I."},{"family":"Bala","given":"G."},{"family":"John","given":"J."},{"family":"Jones","given":"C."},{"family":"Joos","given":"F."},{"family":"Kato","given":"T."},{"family":"Kawamiya","given":"M."},{"family":"Knorr","given":"W."},{"family":"Lindsay","given":"K."},{"family":"Matthews","given":"H. D."},{"family":"Raddatz","given":"T."},{"family":"Rayner","given":"P."},{"family":"Reick","given":"C."},{"family":"Roeckner","given":"E."},{"family":"Schnitzler","given":"K.-G."},{"family":"Schnur","given":"R."},{"family":"Strassmann","given":"K."},{"family":"Weaver","given":"A. J."},{"family":"Yoshikawa","given":"C."},{"family":"Zeng","given":"N."}],"issued":{"date-parts":[["2006",7]]}}},{"id":1521,"uris":["http://zotero.org/users/6128296/items/4A2ABMGD"],"itemData":{"id":1521,"type":"article-journal","abstract":"There is approximately 50 times more inorganic carbon in the global ocean than in the atmosphere. On time scales of decades to millions of years, the interaction between these two geophysical fluids determines atmospheric CO2 levels. During glacial periods, for example, the ocean serves as the major sink for atmospheric CO2, while during glacial–interglacial transitions, it is a source of CO2 to the atmosphere. The mechanisms responsible for determining the sign of the net exchange of CO2 between the ocean and the atmosphere remain unresolved. There is evidence that during glacial periods, phytoplankton primary productivity increased, leading to an enhanced sedimentation of particulate organic carbon into the ocean interior. The stimulation of primary production in glacial episodes can be correlated with increased inputs of nutrients limiting productivity, especially aeolian iron. Iron directly enhances primary production in high nutrient (nitrate and phosphate) regions of the ocean, of which the Southern Ocean is the most important. This trace element can also enhance nitrogen fixation, and thereby indirectly stimulate primary production throughout the low nutrient regions of the central ocean basins. While the export flux of organic carbon to the ocean interior was enhanced during glacial periods, this process does not fully account for the sequestration of atmospheric CO2. Heterotrophic oxidation of the newly formed organic carbon, forming weak acids, would have hydrolyzed CaCO3 in the sediments, increasing thereby oceanic alkalinity which, in turn, would have promoted the drawdown of atmospheric CO2. This latter mechanism is consistent with the stable carbon isotope pattern derived from air trapped in ice cores. The oceans have also played a major role as a sink for up to 30% of the anthropogenic CO2 produced during the industrial revolution. In large part this is due to CO2 solution in the surface ocean; however, some, poorly quantified fraction is a result of increased new production due to anthropogenic inputs of combined N, P and Fe. Based on ‘circulation as usual’, models predict that future anthropogenic CO2 inputs to the atmosphere will, in part, continue to be sequestered in the ocean. Human intervention (large-scale Fe fertilization; direct CO2 burial in the deep ocean) could increase carbon sequestration in the oceans, but could also result in unpredicted environmental perturbations. Changes in the oceanic thermohaline circulation as a result of global climate change would greatly alter the predictions of C sequestration that are possible on a ‘circulation as usual’ basis.","container-title":"Plant, Cell and Environment","DOI":"10.1046/j.1365-3040.1999.00419.x","ISSN":"0140-7791, 1365-3040","issue":"6","journalAbbreviation":"Plant Cell Environ","language":"en","page":"741-755","source":"DOI.org (Crossref)","title":"Oceanic sinks for atmospheric CO &lt;sub&gt;2&lt;/sub&gt;","volume":"22","author":[{"family":"Raven","given":""},{"family":"Falkowski","given":"P. G."}],"issued":{"date-parts":[["1999",6]]}}},{"id":3214,"uris":["http://zotero.org/users/6128296/items/MUB7D4HK"],"itemData":{"id":3214,"type":"article-journal","abstract":"Little is known about the combined impacts of future CO2 and temperature increases on the growth and physiology of marine picocyanobacteria. We incubated Synechococcus and Prochlorococcus under present-day (380 ppm) or predicted year-2100 CO2 levels (750 ppm), and under normal versus elevated temperatures (+4°C) in semicontinuous cultures. Increased temperature stimulated the cell division rates of Synechococcus but not Prochlorococcus. Doubled CO2 combined with elevated temperature increased maximum chl a–normalized photosynthetic rates of Synechococcus four times relative to controls. Temperature also altered other photosynthetic parameters (a, Fmax, Ek, and DF =F 0m)inSynechococcus, but these changes were not observed for Prochlorococcus. Both increased CO2 and temperature raised the phycobilin and chl a content of Synechococcus, while only elevated temperature increased divinyl chl a in Prochlorococcus. Cellular carbon (C) and nitrogen (N) quotas, but not phosphorus (P) quotas, increased with elevated CO2 in Synechococcus, leading to  20% higher C:P and N:P ratios. In contrast, Prochlorococcus elemental composition remained unaffected by CO2, but cell volume and elemental quotas doubled with increasing temperature while maintaining constant stoichiometry. Synechococcus showed a much greater response to CO2 and temperature increases for most parameters measured, compared with Prochlorococcus. Our results suggest that global change could influence the dominance of Synechococcus and Prochlorococcus ecotypes, with likely effects on oligotrophic food-web structure. However, individual picocyanobacteria strains may respond quite differently to future CO2 and temperature increases, and caution is needed when generalizing their responses to global change in the ocean.","container-title":"Journal of Phycology","DOI":"10.1111/j.1529-8817.2007.00355.x","ISSN":"00223646, 15298817","issue":"3","language":"en","page":"485-496","source":"DOI.org (Crossref)","title":"EFFECTS OF INCREASED TEMPERATURE AND CO &lt;sub&gt;2&lt;/sub&gt; ON PHOTOSYNTHESIS, GROWTH, AND ELEMENTAL RATIOS IN MARINE &lt;i&gt;SYNECHOCOCCUS&lt;/i&gt; AND &lt;i&gt;PROCHLOROCOCCUS&lt;/i&gt; (CYANOBACTERIA)","volume":"43","author":[{"family":"Fu","given":""},{"family":"Warner","given":"Mark E."},{"family":"Zhang","given":"Yaohong"},{"family":"Feng","given":"Yuanyuan"},{"family":"Hutchins","given":"David A."}],"issued":{"date-parts":[["2007",6]]}}},{"id":1670,"uris":["http://zotero.org/users/6128296/items/FPQP6Z9Q"],"itemData":{"id":1670,"type":"article-journal","abstract":"Ocean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A."}],"issued":{"date-parts":[["2011",1,4]]}}},{"id":1796,"uris":["http://zotero.org/users/6128296/items/26WKQXFZ"],"itemData":{"id":1796,"type":"article-journal","abstract":"In aquatic environments, phytoplankton represent a major source of reactive oxygen species (ROS) such as superoxide and hydrogen peroxide. Many phytoplankton taxa also produce extracellular ROS under optimal growth conditions in culture. However, the physiological purpose of extracellular ROS production by phytoplankton and its wider significance to ecosystem-scale trophic interactions and biogeochemistry remain unclear. Here, we review the rates, taxonomic diversity, subcellular mechanisms and functions of extracellular superoxide and hydrogen peroxide production by phytoplankton with a view towards future research directions. Model eukaryotic phytoplankton and cyanobacteria produce extracellular superoxide and hydrogen peroxide at cell-normalized rates that span several orders of magnitude, both within and between taxa. The potential ecophysiological roles of extracellular ROS production are versatile and appear to be shared among diverse phytoplankton species, including ichthyotoxicity, allelopathy, growth promotion, and iron acquisition. Whereas extracellular hydrogen peroxide likely arises from a combination of intracellular and cell surface production mechanisms, extracellular superoxide is predominantly generated by specialized systems for transplasma membrane electron transport. Future insights into the molecular-level basis of extracellular ROS production, combined with existing high-sensitivity geochemical techniques for the direct quantification of ROS dynamics, will help unveil the ecophysiological and biogeochemical significance of phytoplankton-derived ROS in natural aquatic systems.","container-title":"Journal of Plankton Research","DOI":"10.1093/plankt/fby039","ISSN":"0142-7873, 1464-3774","language":"en","source":"DOI.org (Crossref)","title":"Production of extracellular reactive oxygen species by phytoplankton: past and future directions","title-short":"Production of extracellular reactive oxygen species by phytoplankton","URL":"https://academic.oup.com/plankt/advance-article/doi/10.1093/plankt/fby039/5107381","author":[{"family":"Diaz","given":""},{"family":"Plummer","given":"Sydney"}],"accessed":{"date-parts":[["2019",12,17]]},"issued":{"date-parts":[["2018",9,26]]}}},{"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T."},{"family":"Berman-Frank","given":"Ilana"}],"issued":{"date-parts":[["2015",11]]}}}],"schema":"https://github.com/citation-style-language/schema/raw/master/csl-citation.json"} </w:instrText>
      </w:r>
      <w:r w:rsidR="00F1744B"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Friedlingstein</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2006; Raven and Falkowski 1999; Fu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2007; Beman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2011; Diaz and Plummer 2018; Dutkiewicz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2015)</w:t>
      </w:r>
      <w:r w:rsidR="00F1744B"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Thus, we find it timely to investigate how cellular interactions with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recovered from </w:t>
      </w:r>
      <w:r w:rsidR="003618CB"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impact community dynamics. </w:t>
      </w:r>
      <w:r w:rsidR="00E465A1" w:rsidRPr="003609FB">
        <w:rPr>
          <w:rFonts w:ascii="Times New Roman" w:hAnsi="Times New Roman" w:cs="Times New Roman"/>
          <w:sz w:val="24"/>
          <w:szCs w:val="24"/>
        </w:rPr>
        <w:t>To start, this chapter</w:t>
      </w:r>
      <w:r w:rsidRPr="003609FB">
        <w:rPr>
          <w:rFonts w:ascii="Times New Roman" w:hAnsi="Times New Roman" w:cs="Times New Roman"/>
          <w:sz w:val="24"/>
          <w:szCs w:val="24"/>
        </w:rPr>
        <w:t xml:space="preserve"> details how </w:t>
      </w:r>
      <w:r w:rsidR="003618CB"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parameter ranges </w:t>
      </w:r>
      <w:r w:rsidR="00E465A1" w:rsidRPr="003609FB">
        <w:rPr>
          <w:rFonts w:ascii="Times New Roman" w:hAnsi="Times New Roman" w:cs="Times New Roman"/>
          <w:sz w:val="24"/>
          <w:szCs w:val="24"/>
        </w:rPr>
        <w:t xml:space="preserve">are converted to global parameters with further </w:t>
      </w:r>
      <w:r w:rsidRPr="003609FB">
        <w:rPr>
          <w:rFonts w:ascii="Times New Roman" w:hAnsi="Times New Roman" w:cs="Times New Roman"/>
          <w:sz w:val="24"/>
          <w:szCs w:val="24"/>
        </w:rPr>
        <w:t xml:space="preserve">analyses </w:t>
      </w:r>
      <w:r w:rsidR="00E465A1" w:rsidRPr="003609FB">
        <w:rPr>
          <w:rFonts w:ascii="Times New Roman" w:hAnsi="Times New Roman" w:cs="Times New Roman"/>
          <w:sz w:val="24"/>
          <w:szCs w:val="24"/>
        </w:rPr>
        <w:t xml:space="preserve">interaction seen in Chapter 3 </w:t>
      </w:r>
      <w:r w:rsidRPr="003609FB">
        <w:rPr>
          <w:rFonts w:ascii="Times New Roman" w:hAnsi="Times New Roman" w:cs="Times New Roman"/>
          <w:sz w:val="24"/>
          <w:szCs w:val="24"/>
        </w:rPr>
        <w:t xml:space="preserve">to investigate cellular impacts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 a global model. Figure </w:t>
      </w:r>
      <w:r w:rsidR="003618CB" w:rsidRPr="003609FB">
        <w:rPr>
          <w:rFonts w:ascii="Times New Roman" w:hAnsi="Times New Roman" w:cs="Times New Roman"/>
          <w:sz w:val="24"/>
          <w:szCs w:val="24"/>
        </w:rPr>
        <w:t>4.</w:t>
      </w:r>
      <w:r w:rsidRPr="003609FB">
        <w:rPr>
          <w:rFonts w:ascii="Times New Roman" w:hAnsi="Times New Roman" w:cs="Times New Roman"/>
          <w:sz w:val="24"/>
          <w:szCs w:val="24"/>
        </w:rPr>
        <w:t xml:space="preserve">1a below shows the four cases of our model we investigate within the Darwin framework which we show in a simplified rendition in </w:t>
      </w:r>
      <w:r w:rsidR="00EB7379">
        <w:rPr>
          <w:rFonts w:ascii="Times New Roman" w:hAnsi="Times New Roman" w:cs="Times New Roman"/>
          <w:sz w:val="24"/>
          <w:szCs w:val="24"/>
        </w:rPr>
        <w:t>F</w:t>
      </w:r>
      <w:r w:rsidRPr="003609FB">
        <w:rPr>
          <w:rFonts w:ascii="Times New Roman" w:hAnsi="Times New Roman" w:cs="Times New Roman"/>
          <w:sz w:val="24"/>
          <w:szCs w:val="24"/>
        </w:rPr>
        <w:t xml:space="preserve">igure </w:t>
      </w:r>
      <w:r w:rsidR="003618CB" w:rsidRPr="003609FB">
        <w:rPr>
          <w:rFonts w:ascii="Times New Roman" w:hAnsi="Times New Roman" w:cs="Times New Roman"/>
          <w:sz w:val="24"/>
          <w:szCs w:val="24"/>
        </w:rPr>
        <w:t>4.</w:t>
      </w:r>
      <w:r w:rsidRPr="003609FB">
        <w:rPr>
          <w:rFonts w:ascii="Times New Roman" w:hAnsi="Times New Roman" w:cs="Times New Roman"/>
          <w:sz w:val="24"/>
          <w:szCs w:val="24"/>
        </w:rPr>
        <w:t>1b.</w:t>
      </w:r>
    </w:p>
    <w:p w14:paraId="725CA55A" w14:textId="3E3E3BB5" w:rsidR="00D8164D" w:rsidRPr="00AB35C0" w:rsidRDefault="00D8164D" w:rsidP="00D8164D">
      <w:pPr>
        <w:pStyle w:val="Heading2"/>
        <w:spacing w:line="360" w:lineRule="auto"/>
      </w:pPr>
      <w:bookmarkStart w:id="65" w:name="_Toc173250043"/>
      <w:r w:rsidRPr="003609FB">
        <w:t>Methods:</w:t>
      </w:r>
      <w:bookmarkEnd w:id="65"/>
      <w:r w:rsidRPr="003609FB">
        <w:t xml:space="preserve"> </w:t>
      </w:r>
    </w:p>
    <w:p w14:paraId="5E306126" w14:textId="67405F82" w:rsidR="00EB7379" w:rsidRDefault="00D8164D" w:rsidP="0040684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Figure 4.1 depicts the path this chapter takes to continue analyzing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impacts on plankton dynamics. Panel A represents the different community composition outcomes analyzed using the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model for two microbes under nutrient competition using monoculture derived parameters from Chapter 2. Panel B represents a simplified view of the ocean that is still computationally and mathematically dense. We utilize prior global frameworks created to handle plankton dynamics calculations across ocean basins to further investigate impacts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ocean plankton. The </w:t>
      </w:r>
      <w:r>
        <w:rPr>
          <w:rFonts w:ascii="Times New Roman" w:hAnsi="Times New Roman" w:cs="Times New Roman"/>
          <w:sz w:val="24"/>
          <w:szCs w:val="24"/>
        </w:rPr>
        <w:t>‘</w:t>
      </w:r>
      <w:r w:rsidRPr="003609FB">
        <w:rPr>
          <w:rFonts w:ascii="Times New Roman" w:hAnsi="Times New Roman" w:cs="Times New Roman"/>
          <w:sz w:val="24"/>
          <w:szCs w:val="24"/>
        </w:rPr>
        <w:t>Darwin</w:t>
      </w:r>
      <w:r>
        <w:rPr>
          <w:rFonts w:ascii="Times New Roman" w:hAnsi="Times New Roman" w:cs="Times New Roman"/>
          <w:sz w:val="24"/>
          <w:szCs w:val="24"/>
        </w:rPr>
        <w:t>’</w:t>
      </w:r>
      <w:r w:rsidRPr="003609FB">
        <w:rPr>
          <w:rFonts w:ascii="Times New Roman" w:hAnsi="Times New Roman" w:cs="Times New Roman"/>
          <w:sz w:val="24"/>
          <w:szCs w:val="24"/>
        </w:rPr>
        <w:t xml:space="preserve"> framework tracks microbial </w:t>
      </w:r>
      <w:r>
        <w:rPr>
          <w:rFonts w:ascii="Times New Roman" w:hAnsi="Times New Roman" w:cs="Times New Roman"/>
          <w:sz w:val="24"/>
          <w:szCs w:val="24"/>
        </w:rPr>
        <w:t>cell concentrations (abundances)</w:t>
      </w:r>
      <w:r w:rsidRPr="003609FB">
        <w:rPr>
          <w:rFonts w:ascii="Times New Roman" w:hAnsi="Times New Roman" w:cs="Times New Roman"/>
          <w:sz w:val="24"/>
          <w:szCs w:val="24"/>
        </w:rPr>
        <w:t xml:space="preserve"> and nutrient concentrations using mass balance equations</w:t>
      </w:r>
      <w:r>
        <w:rPr>
          <w:rFonts w:ascii="Times New Roman" w:hAnsi="Times New Roman" w:cs="Times New Roman"/>
          <w:sz w:val="24"/>
          <w:szCs w:val="24"/>
        </w:rPr>
        <w:t xml:space="preserve"> on a global framework. Thus, it allows for the quantification of chemical flow between the pools of microbes and nutrients of interest across global scales</w:t>
      </w:r>
      <w:r w:rsidRPr="003609FB">
        <w:rPr>
          <w:rFonts w:ascii="Times New Roman" w:hAnsi="Times New Roman" w:cs="Times New Roman"/>
          <w:sz w:val="24"/>
          <w:szCs w:val="24"/>
        </w:rPr>
        <w:t>.</w:t>
      </w:r>
    </w:p>
    <w:p w14:paraId="3F700D55" w14:textId="48BC5710" w:rsidR="00EB7379" w:rsidRDefault="00EB7379" w:rsidP="00AB2160">
      <w:pPr>
        <w:spacing w:line="360" w:lineRule="auto"/>
        <w:rPr>
          <w:rFonts w:ascii="Times New Roman" w:hAnsi="Times New Roman" w:cs="Times New Roman"/>
          <w:sz w:val="24"/>
          <w:szCs w:val="24"/>
        </w:rPr>
      </w:pPr>
    </w:p>
    <w:p w14:paraId="60168756" w14:textId="5B52CD1A" w:rsidR="00EB7379" w:rsidRDefault="00EB7379" w:rsidP="00AB2160">
      <w:pPr>
        <w:spacing w:line="360" w:lineRule="auto"/>
        <w:rPr>
          <w:rFonts w:ascii="Times New Roman" w:hAnsi="Times New Roman" w:cs="Times New Roman"/>
          <w:sz w:val="24"/>
          <w:szCs w:val="24"/>
        </w:rPr>
      </w:pPr>
    </w:p>
    <w:tbl>
      <w:tblPr>
        <w:tblStyle w:val="TableGrid"/>
        <w:tblpPr w:leftFromText="187" w:rightFromText="187" w:horzAnchor="margin"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964"/>
      </w:tblGrid>
      <w:tr w:rsidR="00691E30" w:rsidRPr="003609FB" w14:paraId="2BDDF5F5" w14:textId="77777777" w:rsidTr="00CE160A">
        <w:trPr>
          <w:trHeight w:val="413"/>
        </w:trPr>
        <w:tc>
          <w:tcPr>
            <w:tcW w:w="9360" w:type="dxa"/>
            <w:gridSpan w:val="2"/>
          </w:tcPr>
          <w:p w14:paraId="08291A2D" w14:textId="480D77F6" w:rsidR="00691E30" w:rsidRPr="003609FB" w:rsidRDefault="00D3214C" w:rsidP="000C13D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w:t>
            </w:r>
            <w:r w:rsidR="00691E30" w:rsidRPr="003609FB">
              <w:rPr>
                <w:rFonts w:ascii="Times New Roman" w:hAnsi="Times New Roman" w:cs="Times New Roman"/>
                <w:sz w:val="24"/>
                <w:szCs w:val="24"/>
              </w:rPr>
              <w:t>.</w:t>
            </w:r>
          </w:p>
        </w:tc>
      </w:tr>
      <w:tr w:rsidR="00691E30" w:rsidRPr="003609FB" w14:paraId="68DD95F1" w14:textId="77777777" w:rsidTr="00CE160A">
        <w:trPr>
          <w:trHeight w:val="117"/>
        </w:trPr>
        <w:tc>
          <w:tcPr>
            <w:tcW w:w="4396" w:type="dxa"/>
          </w:tcPr>
          <w:p w14:paraId="7D318806"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Case 1</w:t>
            </w:r>
          </w:p>
          <w:p w14:paraId="703C4E14"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3F5D7AC6" wp14:editId="003BE064">
                  <wp:extent cx="2650012" cy="1244600"/>
                  <wp:effectExtent l="0" t="0" r="4445" b="0"/>
                  <wp:docPr id="43" name="Picture 43" descr="A diagram of a pro and pr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diagram of a pro and pro&#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72118" cy="1254982"/>
                          </a:xfrm>
                          <a:prstGeom prst="rect">
                            <a:avLst/>
                          </a:prstGeom>
                        </pic:spPr>
                      </pic:pic>
                    </a:graphicData>
                  </a:graphic>
                </wp:inline>
              </w:drawing>
            </w:r>
          </w:p>
          <w:p w14:paraId="548C57DD" w14:textId="77777777" w:rsidR="00691E30" w:rsidRPr="003609FB" w:rsidRDefault="00691E30" w:rsidP="00AB2160">
            <w:pPr>
              <w:spacing w:line="360" w:lineRule="auto"/>
              <w:rPr>
                <w:rFonts w:ascii="Times New Roman" w:hAnsi="Times New Roman" w:cs="Times New Roman"/>
                <w:sz w:val="24"/>
                <w:szCs w:val="24"/>
              </w:rPr>
            </w:pPr>
          </w:p>
          <w:p w14:paraId="2713AA34"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Case 2</w:t>
            </w:r>
          </w:p>
          <w:p w14:paraId="0971E50B" w14:textId="77777777" w:rsidR="000D7BCF" w:rsidRDefault="00691E30" w:rsidP="000D7BCF">
            <w:pPr>
              <w:keepNext/>
              <w:spacing w:line="360" w:lineRule="auto"/>
            </w:pPr>
            <w:r w:rsidRPr="003609FB">
              <w:rPr>
                <w:rFonts w:ascii="Times New Roman" w:hAnsi="Times New Roman" w:cs="Times New Roman"/>
                <w:noProof/>
                <w:sz w:val="24"/>
                <w:szCs w:val="24"/>
              </w:rPr>
              <w:drawing>
                <wp:inline distT="0" distB="0" distL="0" distR="0" wp14:anchorId="141C035E" wp14:editId="11B9F8FB">
                  <wp:extent cx="2552700" cy="1513039"/>
                  <wp:effectExtent l="0" t="0" r="0" b="0"/>
                  <wp:docPr id="47" name="Picture 4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omputer&#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593983" cy="1537509"/>
                          </a:xfrm>
                          <a:prstGeom prst="rect">
                            <a:avLst/>
                          </a:prstGeom>
                        </pic:spPr>
                      </pic:pic>
                    </a:graphicData>
                  </a:graphic>
                </wp:inline>
              </w:drawing>
            </w:r>
          </w:p>
          <w:p w14:paraId="38755C77" w14:textId="5B7A01E9" w:rsidR="00691E30" w:rsidRPr="003609FB" w:rsidRDefault="00691E30" w:rsidP="00511118">
            <w:pPr>
              <w:pStyle w:val="Caption"/>
            </w:pPr>
          </w:p>
        </w:tc>
        <w:tc>
          <w:tcPr>
            <w:tcW w:w="4964" w:type="dxa"/>
          </w:tcPr>
          <w:p w14:paraId="09691754"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Case 3</w:t>
            </w:r>
          </w:p>
          <w:p w14:paraId="1FB099AE"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26917023" wp14:editId="3487A82B">
                  <wp:extent cx="2781300" cy="1503944"/>
                  <wp:effectExtent l="0" t="0" r="0" b="0"/>
                  <wp:docPr id="44" name="Picture 44"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diagram of a diagram&#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805516" cy="1517038"/>
                          </a:xfrm>
                          <a:prstGeom prst="rect">
                            <a:avLst/>
                          </a:prstGeom>
                        </pic:spPr>
                      </pic:pic>
                    </a:graphicData>
                  </a:graphic>
                </wp:inline>
              </w:drawing>
            </w:r>
            <w:r w:rsidRPr="003609FB">
              <w:rPr>
                <w:rFonts w:ascii="Times New Roman" w:hAnsi="Times New Roman" w:cs="Times New Roman"/>
                <w:sz w:val="24"/>
                <w:szCs w:val="24"/>
              </w:rPr>
              <w:t xml:space="preserve"> </w:t>
            </w:r>
          </w:p>
          <w:p w14:paraId="55046979" w14:textId="77777777" w:rsidR="00691E30" w:rsidRPr="003609FB" w:rsidRDefault="00691E3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Case 4</w:t>
            </w:r>
          </w:p>
          <w:p w14:paraId="254F28D1" w14:textId="77777777" w:rsidR="00691E30" w:rsidRPr="003609FB" w:rsidRDefault="00691E30" w:rsidP="000D7BCF">
            <w:pPr>
              <w:keepNext/>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534B412D" wp14:editId="09104719">
                  <wp:extent cx="2959100" cy="1353905"/>
                  <wp:effectExtent l="0" t="0" r="0" b="5080"/>
                  <wp:docPr id="45" name="Picture 45" descr="A diagram of different types of bacter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diagram of different types of bacteria&#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91587" cy="1368769"/>
                          </a:xfrm>
                          <a:prstGeom prst="rect">
                            <a:avLst/>
                          </a:prstGeom>
                        </pic:spPr>
                      </pic:pic>
                    </a:graphicData>
                  </a:graphic>
                </wp:inline>
              </w:drawing>
            </w:r>
          </w:p>
        </w:tc>
      </w:tr>
    </w:tbl>
    <w:p w14:paraId="2B133968" w14:textId="77777777" w:rsidR="00D8164D" w:rsidRPr="00D8164D" w:rsidRDefault="000D7BCF" w:rsidP="00D8164D">
      <w:pPr>
        <w:pStyle w:val="Caption"/>
      </w:pPr>
      <w:bookmarkStart w:id="66" w:name="_Toc173148388"/>
      <w:r>
        <w:t xml:space="preserve">Figure </w:t>
      </w:r>
      <w:r w:rsidR="00000000">
        <w:fldChar w:fldCharType="begin"/>
      </w:r>
      <w:r w:rsidR="00000000">
        <w:instrText xml:space="preserve"> STYLEREF 1 \s </w:instrText>
      </w:r>
      <w:r w:rsidR="00000000">
        <w:fldChar w:fldCharType="separate"/>
      </w:r>
      <w:r>
        <w:rPr>
          <w:noProof/>
          <w:cs/>
        </w:rPr>
        <w:t>‎</w:t>
      </w:r>
      <w:r>
        <w:rPr>
          <w:noProof/>
        </w:rPr>
        <w:t>4</w:t>
      </w:r>
      <w:r w:rsidR="00000000">
        <w:rPr>
          <w:noProof/>
        </w:rPr>
        <w:fldChar w:fldCharType="end"/>
      </w:r>
      <w:r>
        <w:t>.</w:t>
      </w:r>
      <w:r w:rsidR="00000000">
        <w:fldChar w:fldCharType="begin"/>
      </w:r>
      <w:r w:rsidR="00000000">
        <w:instrText xml:space="preserve"> SEQ Figure \* ARABIC \s 1 </w:instrText>
      </w:r>
      <w:r w:rsidR="00000000">
        <w:fldChar w:fldCharType="separate"/>
      </w:r>
      <w:r>
        <w:rPr>
          <w:noProof/>
        </w:rPr>
        <w:t>1</w:t>
      </w:r>
      <w:r w:rsidR="00000000">
        <w:rPr>
          <w:noProof/>
        </w:rPr>
        <w:fldChar w:fldCharType="end"/>
      </w:r>
      <w:r>
        <w:t xml:space="preserve"> </w:t>
      </w:r>
      <w:r w:rsidR="00A66FBE">
        <w:t xml:space="preserve">Extrapolating from four </w:t>
      </w:r>
      <w:r w:rsidR="009E7255" w:rsidRPr="009E7255">
        <w:t>dimensionless</w:t>
      </w:r>
      <w:r w:rsidR="00A66FBE">
        <w:t xml:space="preserve"> plankton competition </w:t>
      </w:r>
      <w:r w:rsidR="009E7255">
        <w:t>models</w:t>
      </w:r>
      <w:r w:rsidR="00A66FBE">
        <w:t xml:space="preserve"> to </w:t>
      </w:r>
      <w:r w:rsidR="002716DC">
        <w:t xml:space="preserve">an </w:t>
      </w:r>
      <w:r w:rsidR="00825514" w:rsidRPr="00825514">
        <w:rPr>
          <w:i/>
          <w:iCs/>
        </w:rPr>
        <w:t>in situ</w:t>
      </w:r>
      <w:r w:rsidR="00825514">
        <w:t xml:space="preserve"> </w:t>
      </w:r>
      <w:r w:rsidR="009E7255">
        <w:t xml:space="preserve">global </w:t>
      </w:r>
      <w:r w:rsidR="00A66FBE">
        <w:t xml:space="preserve">plankton </w:t>
      </w:r>
      <w:r w:rsidR="002716DC">
        <w:t>model</w:t>
      </w:r>
      <w:r w:rsidR="00A66FBE">
        <w:t xml:space="preserve"> </w:t>
      </w:r>
      <w:r w:rsidR="009E7255">
        <w:t>influenced by realistic</w:t>
      </w:r>
      <w:r w:rsidR="00A66FBE">
        <w:t xml:space="preserve"> </w:t>
      </w:r>
      <w:r w:rsidR="009E7255">
        <w:t>physical inputs</w:t>
      </w:r>
      <w:bookmarkEnd w:id="66"/>
      <w:r w:rsidR="00D8164D">
        <w:t xml:space="preserve">. </w:t>
      </w:r>
      <w:r w:rsidR="00D8164D" w:rsidRPr="00D8164D">
        <w:t>Stepwise (a --&gt;b) model construction accounting for interactions of phytoplankton directly impacted or mediated by H</w:t>
      </w:r>
      <w:r w:rsidR="00D8164D" w:rsidRPr="00D8164D">
        <w:rPr>
          <w:vertAlign w:val="subscript"/>
        </w:rPr>
        <w:t>2</w:t>
      </w:r>
      <w:r w:rsidR="00D8164D" w:rsidRPr="00D8164D">
        <w:t>O</w:t>
      </w:r>
      <w:r w:rsidR="00D8164D" w:rsidRPr="00D8164D">
        <w:rPr>
          <w:vertAlign w:val="subscript"/>
        </w:rPr>
        <w:t>2</w:t>
      </w:r>
      <w:r w:rsidR="00D8164D" w:rsidRPr="00D8164D">
        <w:t>. This model formulation accounts for measurable pools of nutrients (N</w:t>
      </w:r>
      <w:proofErr w:type="gramStart"/>
      <w:r w:rsidR="00D8164D" w:rsidRPr="00D8164D">
        <w:t>) ,</w:t>
      </w:r>
      <w:proofErr w:type="gramEnd"/>
      <w:r w:rsidR="00D8164D" w:rsidRPr="00D8164D">
        <w:t xml:space="preserve"> H</w:t>
      </w:r>
      <w:r w:rsidR="00D8164D" w:rsidRPr="00D8164D">
        <w:rPr>
          <w:vertAlign w:val="subscript"/>
        </w:rPr>
        <w:t>2</w:t>
      </w:r>
      <w:r w:rsidR="00D8164D" w:rsidRPr="00D8164D">
        <w:t>O</w:t>
      </w:r>
      <w:r w:rsidR="00D8164D" w:rsidRPr="00D8164D">
        <w:rPr>
          <w:vertAlign w:val="subscript"/>
        </w:rPr>
        <w:t>2</w:t>
      </w:r>
      <w:r w:rsidR="00D8164D" w:rsidRPr="00D8164D">
        <w:t xml:space="preserve">, (H) or cells of </w:t>
      </w:r>
      <w:r w:rsidR="00D8164D" w:rsidRPr="00D8164D">
        <w:rPr>
          <w:i/>
          <w:iCs/>
        </w:rPr>
        <w:t>Prochlorococcus</w:t>
      </w:r>
      <w:r w:rsidR="00D8164D" w:rsidRPr="00D8164D">
        <w:t xml:space="preserve"> (</w:t>
      </w:r>
      <w:r w:rsidR="00D8164D" w:rsidRPr="00D8164D">
        <w:rPr>
          <w:i/>
          <w:iCs/>
        </w:rPr>
        <w:t>Pro</w:t>
      </w:r>
      <w:r w:rsidR="00D8164D" w:rsidRPr="00D8164D">
        <w:t xml:space="preserve">), </w:t>
      </w:r>
      <w:proofErr w:type="spellStart"/>
      <w:r w:rsidR="00D8164D" w:rsidRPr="00D8164D">
        <w:rPr>
          <w:i/>
          <w:iCs/>
        </w:rPr>
        <w:t>Synechococcus</w:t>
      </w:r>
      <w:proofErr w:type="spellEnd"/>
      <w:r w:rsidR="00D8164D" w:rsidRPr="00D8164D">
        <w:t xml:space="preserve"> (</w:t>
      </w:r>
      <w:r w:rsidR="00D8164D" w:rsidRPr="00D8164D">
        <w:rPr>
          <w:i/>
          <w:iCs/>
        </w:rPr>
        <w:t>Syn</w:t>
      </w:r>
      <w:r w:rsidR="00D8164D" w:rsidRPr="00D8164D">
        <w:t xml:space="preserve">), and heterotrophic bacterial helper (Bacteria) represented by bubbles. The arrows represent the fluxes of carbon, nitrogen, </w:t>
      </w:r>
      <w:r w:rsidR="00D8164D" w:rsidRPr="00D8164D">
        <w:rPr>
          <w:i/>
          <w:iCs/>
        </w:rPr>
        <w:t>etc</w:t>
      </w:r>
      <w:r w:rsidR="00D8164D" w:rsidRPr="00D8164D">
        <w:t xml:space="preserve">. between these pools. The fluxes of this model are controlled by parameters retrieved from monoculture data analyses in Chapter 2. </w:t>
      </w:r>
    </w:p>
    <w:p w14:paraId="0907A6B9" w14:textId="1B8E1D81" w:rsidR="000D7BCF" w:rsidRDefault="000D7BCF" w:rsidP="00511118">
      <w:pPr>
        <w:pStyle w:val="Caption"/>
      </w:pPr>
    </w:p>
    <w:p w14:paraId="77D0C664" w14:textId="1F57F52C" w:rsidR="00EB7379" w:rsidRDefault="00EB7379" w:rsidP="00AB2160">
      <w:pPr>
        <w:spacing w:line="360" w:lineRule="auto"/>
        <w:rPr>
          <w:rFonts w:ascii="Times New Roman" w:hAnsi="Times New Roman" w:cs="Times New Roman"/>
          <w:sz w:val="24"/>
          <w:szCs w:val="24"/>
        </w:rPr>
      </w:pPr>
    </w:p>
    <w:tbl>
      <w:tblPr>
        <w:tblStyle w:val="TableGrid"/>
        <w:tblpPr w:leftFromText="187" w:rightFromText="187" w:horzAnchor="margin"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0D7BCF" w:rsidRPr="003609FB" w14:paraId="0DA92E0B" w14:textId="77777777" w:rsidTr="00A5675F">
        <w:trPr>
          <w:trHeight w:val="117"/>
        </w:trPr>
        <w:tc>
          <w:tcPr>
            <w:tcW w:w="9360" w:type="dxa"/>
          </w:tcPr>
          <w:p w14:paraId="0D944F0C" w14:textId="516413AD" w:rsidR="000D7BCF" w:rsidRPr="003609FB" w:rsidRDefault="00D3214C" w:rsidP="00A5675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b</w:t>
            </w:r>
            <w:r w:rsidR="000D7BCF" w:rsidRPr="003609FB">
              <w:rPr>
                <w:rFonts w:ascii="Times New Roman" w:hAnsi="Times New Roman" w:cs="Times New Roman"/>
                <w:sz w:val="24"/>
                <w:szCs w:val="24"/>
              </w:rPr>
              <w:t xml:space="preserve">.  </w:t>
            </w:r>
          </w:p>
        </w:tc>
      </w:tr>
      <w:tr w:rsidR="000D7BCF" w:rsidRPr="003609FB" w14:paraId="65805CCD" w14:textId="77777777" w:rsidTr="00A5675F">
        <w:trPr>
          <w:trHeight w:val="5229"/>
        </w:trPr>
        <w:tc>
          <w:tcPr>
            <w:tcW w:w="9360" w:type="dxa"/>
          </w:tcPr>
          <w:p w14:paraId="2E5815B1" w14:textId="77777777" w:rsidR="000D7BCF" w:rsidRPr="003609FB" w:rsidRDefault="000D7BCF" w:rsidP="00B62B8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A ‘simple’ ocean</w:t>
            </w:r>
          </w:p>
          <w:p w14:paraId="0444FBE6" w14:textId="77777777" w:rsidR="000D7BCF" w:rsidRPr="003609FB" w:rsidRDefault="000D7BCF" w:rsidP="00A5675F">
            <w:pPr>
              <w:keepNext/>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4E5B982C" wp14:editId="2AE9AD59">
                  <wp:extent cx="4627327" cy="2987492"/>
                  <wp:effectExtent l="0" t="0" r="0" b="0"/>
                  <wp:docPr id="33" name="Picture 33" descr="A diagram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diagram of a cell&#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646301" cy="2999742"/>
                          </a:xfrm>
                          <a:prstGeom prst="rect">
                            <a:avLst/>
                          </a:prstGeom>
                        </pic:spPr>
                      </pic:pic>
                    </a:graphicData>
                  </a:graphic>
                </wp:inline>
              </w:drawing>
            </w:r>
          </w:p>
        </w:tc>
      </w:tr>
    </w:tbl>
    <w:p w14:paraId="564B6771" w14:textId="77777777" w:rsidR="00D8164D" w:rsidRDefault="00D8164D" w:rsidP="00D8164D">
      <w:pPr>
        <w:spacing w:line="360" w:lineRule="auto"/>
        <w:rPr>
          <w:rFonts w:ascii="Times New Roman" w:hAnsi="Times New Roman" w:cs="Times New Roman"/>
          <w:sz w:val="24"/>
          <w:szCs w:val="24"/>
        </w:rPr>
      </w:pPr>
      <w:r>
        <w:rPr>
          <w:rFonts w:ascii="Times New Roman" w:hAnsi="Times New Roman" w:cs="Times New Roman"/>
          <w:sz w:val="24"/>
          <w:szCs w:val="24"/>
        </w:rPr>
        <w:t>Figure 4.1 Continued</w:t>
      </w:r>
    </w:p>
    <w:p w14:paraId="08572AE2" w14:textId="77777777" w:rsidR="00CE160A" w:rsidRDefault="00CE160A" w:rsidP="00AB2160">
      <w:pPr>
        <w:spacing w:line="360" w:lineRule="auto"/>
        <w:rPr>
          <w:rFonts w:ascii="Times New Roman" w:hAnsi="Times New Roman" w:cs="Times New Roman"/>
          <w:sz w:val="24"/>
          <w:szCs w:val="24"/>
        </w:rPr>
      </w:pPr>
    </w:p>
    <w:p w14:paraId="1687C8F4" w14:textId="2E0E551D" w:rsidR="00691E30" w:rsidRDefault="00691E30" w:rsidP="00AB2160">
      <w:pPr>
        <w:spacing w:line="360" w:lineRule="auto"/>
        <w:rPr>
          <w:rFonts w:ascii="Times New Roman" w:hAnsi="Times New Roman" w:cs="Times New Roman"/>
          <w:sz w:val="24"/>
          <w:szCs w:val="24"/>
        </w:rPr>
      </w:pPr>
    </w:p>
    <w:p w14:paraId="1C4D1D06" w14:textId="77777777" w:rsidR="00454A1E" w:rsidRDefault="00454A1E" w:rsidP="00AB2160">
      <w:pPr>
        <w:spacing w:line="360" w:lineRule="auto"/>
        <w:rPr>
          <w:rFonts w:ascii="Times New Roman" w:hAnsi="Times New Roman" w:cs="Times New Roman"/>
          <w:sz w:val="24"/>
          <w:szCs w:val="24"/>
        </w:rPr>
      </w:pPr>
    </w:p>
    <w:p w14:paraId="3E8A8FA7" w14:textId="77777777" w:rsidR="00454A1E" w:rsidRDefault="00454A1E" w:rsidP="00AB2160">
      <w:pPr>
        <w:spacing w:line="360" w:lineRule="auto"/>
        <w:rPr>
          <w:rFonts w:ascii="Times New Roman" w:hAnsi="Times New Roman" w:cs="Times New Roman"/>
          <w:sz w:val="24"/>
          <w:szCs w:val="24"/>
        </w:rPr>
      </w:pPr>
    </w:p>
    <w:p w14:paraId="2B721714" w14:textId="77777777" w:rsidR="00454A1E" w:rsidRDefault="00454A1E" w:rsidP="00AB2160">
      <w:pPr>
        <w:spacing w:line="360" w:lineRule="auto"/>
        <w:rPr>
          <w:rFonts w:ascii="Times New Roman" w:hAnsi="Times New Roman" w:cs="Times New Roman"/>
          <w:sz w:val="24"/>
          <w:szCs w:val="24"/>
        </w:rPr>
      </w:pPr>
    </w:p>
    <w:p w14:paraId="76E3F819" w14:textId="22B1CAA0" w:rsidR="000D7BCF" w:rsidRDefault="000D7BCF" w:rsidP="00AB2160">
      <w:pPr>
        <w:spacing w:line="360" w:lineRule="auto"/>
        <w:rPr>
          <w:rFonts w:ascii="Times New Roman" w:hAnsi="Times New Roman" w:cs="Times New Roman"/>
          <w:sz w:val="24"/>
          <w:szCs w:val="24"/>
        </w:rPr>
      </w:pPr>
    </w:p>
    <w:p w14:paraId="19B71333" w14:textId="0D2DE358" w:rsidR="000D7BCF" w:rsidRDefault="000D7BCF" w:rsidP="00AB2160">
      <w:pPr>
        <w:spacing w:line="360" w:lineRule="auto"/>
        <w:rPr>
          <w:rFonts w:ascii="Times New Roman" w:hAnsi="Times New Roman" w:cs="Times New Roman"/>
          <w:sz w:val="24"/>
          <w:szCs w:val="24"/>
        </w:rPr>
      </w:pPr>
    </w:p>
    <w:p w14:paraId="3D5ADD45" w14:textId="77777777" w:rsidR="0049772E" w:rsidRDefault="0049772E" w:rsidP="00AB2160">
      <w:pPr>
        <w:spacing w:line="360" w:lineRule="auto"/>
        <w:rPr>
          <w:rFonts w:ascii="Times New Roman" w:hAnsi="Times New Roman" w:cs="Times New Roman"/>
          <w:sz w:val="24"/>
          <w:szCs w:val="24"/>
        </w:rPr>
      </w:pPr>
    </w:p>
    <w:p w14:paraId="764E37B2" w14:textId="77777777" w:rsidR="002C6BC2" w:rsidRPr="003609FB" w:rsidRDefault="002C6BC2" w:rsidP="00AB2160">
      <w:pPr>
        <w:spacing w:line="360" w:lineRule="auto"/>
        <w:rPr>
          <w:rFonts w:ascii="Times New Roman" w:hAnsi="Times New Roman" w:cs="Times New Roman"/>
          <w:sz w:val="24"/>
          <w:szCs w:val="24"/>
        </w:rPr>
      </w:pPr>
    </w:p>
    <w:p w14:paraId="569A365C" w14:textId="05FF840D" w:rsidR="00D8164D" w:rsidRDefault="00D8164D" w:rsidP="00D8164D">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Generic tracers</w:t>
      </w:r>
      <w:r>
        <w:rPr>
          <w:rFonts w:ascii="Times New Roman" w:hAnsi="Times New Roman" w:cs="Times New Roman"/>
          <w:sz w:val="24"/>
          <w:szCs w:val="24"/>
        </w:rPr>
        <w:t xml:space="preserve"> in the Darwin, labeled</w:t>
      </w:r>
      <w:r w:rsidRPr="003609FB">
        <w:rPr>
          <w:rFonts w:ascii="Times New Roman" w:hAnsi="Times New Roman" w:cs="Times New Roman"/>
          <w:sz w:val="24"/>
          <w:szCs w:val="24"/>
        </w:rPr>
        <w:t xml:space="preserve"> X (representing elements such as carbon, nitrogen, phosphorus, or iron)</w:t>
      </w:r>
      <w:r>
        <w:rPr>
          <w:rFonts w:ascii="Times New Roman" w:hAnsi="Times New Roman" w:cs="Times New Roman"/>
          <w:sz w:val="24"/>
          <w:szCs w:val="24"/>
        </w:rPr>
        <w:t>,</w:t>
      </w:r>
      <w:r w:rsidRPr="003609FB">
        <w:rPr>
          <w:rFonts w:ascii="Times New Roman" w:hAnsi="Times New Roman" w:cs="Times New Roman"/>
          <w:sz w:val="24"/>
          <w:szCs w:val="24"/>
        </w:rPr>
        <w:t xml:space="preserve"> are influenced by advection </w:t>
      </w:r>
      <m:oMath>
        <m:d>
          <m:dPr>
            <m:ctrlPr>
              <w:rPr>
                <w:rFonts w:ascii="Cambria Math" w:hAnsi="Cambria Math" w:cs="Times New Roman"/>
                <w:i/>
                <w:sz w:val="24"/>
                <w:szCs w:val="24"/>
              </w:rPr>
            </m:ctrlPr>
          </m:dPr>
          <m:e>
            <m:r>
              <m:rPr>
                <m:sty m:val="b"/>
              </m:rPr>
              <w:rPr>
                <w:rFonts w:ascii="Cambria Math" w:hAnsi="Cambria Math" w:cs="Times New Roman"/>
                <w:sz w:val="24"/>
                <w:szCs w:val="24"/>
              </w:rPr>
              <m:t>κ</m:t>
            </m:r>
            <m:r>
              <m:rPr>
                <m:sty m:val="p"/>
              </m:rPr>
              <w:rPr>
                <w:rFonts w:ascii="Cambria Math" w:hAnsi="Cambria Math" w:cs="Times New Roman"/>
                <w:sz w:val="24"/>
                <w:szCs w:val="24"/>
              </w:rPr>
              <m:t>X</m:t>
            </m:r>
            <m:ctrlPr>
              <w:rPr>
                <w:rFonts w:ascii="Cambria Math" w:hAnsi="Cambria Math" w:cs="Times New Roman"/>
                <w:sz w:val="24"/>
                <w:szCs w:val="24"/>
              </w:rPr>
            </m:ctrlPr>
          </m:e>
        </m:d>
      </m:oMath>
      <w:r w:rsidRPr="003609FB">
        <w:rPr>
          <w:rFonts w:ascii="Times New Roman" w:hAnsi="Times New Roman" w:cs="Times New Roman"/>
          <w:sz w:val="24"/>
          <w:szCs w:val="24"/>
        </w:rPr>
        <w:t>, diffusion (</w:t>
      </w:r>
      <m:oMath>
        <m:r>
          <m:rPr>
            <m:sty m:val="b"/>
          </m:rPr>
          <w:rPr>
            <w:rFonts w:ascii="Cambria Math" w:hAnsi="Cambria Math" w:cs="Times New Roman"/>
            <w:sz w:val="24"/>
            <w:szCs w:val="24"/>
          </w:rPr>
          <m:t>u</m:t>
        </m:r>
        <m:r>
          <m:rPr>
            <m:sty m:val="p"/>
          </m:rPr>
          <w:rPr>
            <w:rFonts w:ascii="Cambria Math" w:hAnsi="Cambria Math" w:cs="Times New Roman"/>
            <w:sz w:val="24"/>
            <w:szCs w:val="24"/>
          </w:rPr>
          <m:t>X)</m:t>
        </m:r>
      </m:oMath>
      <w:r w:rsidRPr="003609FB">
        <w:rPr>
          <w:rFonts w:ascii="Times New Roman" w:hAnsi="Times New Roman" w:cs="Times New Roman"/>
          <w:sz w:val="24"/>
          <w:szCs w:val="24"/>
        </w:rPr>
        <w:t>, and biological sources and sinks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S</m:t>
            </m:r>
          </m:e>
          <m:sub>
            <m:r>
              <m:rPr>
                <m:sty m:val="p"/>
              </m:rPr>
              <w:rPr>
                <w:rFonts w:ascii="Cambria Math" w:hAnsi="Cambria Math" w:cs="Times New Roman"/>
                <w:sz w:val="24"/>
                <w:szCs w:val="24"/>
              </w:rPr>
              <m:t xml:space="preserve">BX </m:t>
            </m:r>
          </m:sub>
        </m:sSub>
        <m:r>
          <w:rPr>
            <w:rFonts w:ascii="Cambria Math" w:hAnsi="Cambria Math" w:cs="Times New Roman"/>
            <w:sz w:val="24"/>
            <w:szCs w:val="24"/>
          </w:rPr>
          <m:t xml:space="preserve">) </m:t>
        </m:r>
      </m:oMath>
      <w:r w:rsidRPr="003609FB">
        <w:rPr>
          <w:rFonts w:ascii="Times New Roman" w:hAnsi="Times New Roman" w:cs="Times New Roman"/>
          <w:sz w:val="24"/>
          <w:szCs w:val="24"/>
        </w:rPr>
        <w:t xml:space="preserve"> along with an additional loss (sinking) rate of </w:t>
      </w:r>
      <m:oMath>
        <m:r>
          <w:rPr>
            <w:rFonts w:ascii="Cambria Math" w:hAnsi="Cambria Math" w:cs="Times New Roman"/>
            <w:sz w:val="24"/>
            <w:szCs w:val="24"/>
          </w:rPr>
          <m:t>ω</m:t>
        </m:r>
        <m:r>
          <m:rPr>
            <m:sty m:val="p"/>
          </m:rPr>
          <w:rPr>
            <w:rFonts w:ascii="Cambria Math" w:hAnsi="Cambria Math" w:cs="Times New Roman"/>
            <w:sz w:val="24"/>
            <w:szCs w:val="24"/>
          </w:rPr>
          <m:t>x</m:t>
        </m:r>
      </m:oMath>
      <w:r w:rsidRPr="003609FB">
        <w:rPr>
          <w:rFonts w:ascii="Times New Roman" w:hAnsi="Times New Roman" w:cs="Times New Roman"/>
          <w:sz w:val="24"/>
          <w:szCs w:val="24"/>
        </w:rPr>
        <w:t>, that only applies to particles that are large enough to effect movement calculations (such as particulate organic matter or large phytoplankton).</w:t>
      </w:r>
      <w:r>
        <w:rPr>
          <w:rFonts w:ascii="Times New Roman" w:hAnsi="Times New Roman" w:cs="Times New Roman"/>
          <w:sz w:val="24"/>
          <w:szCs w:val="24"/>
        </w:rPr>
        <w:t xml:space="preserve"> Z axis refers to axis of measured r5water column depth here. </w:t>
      </w:r>
    </w:p>
    <w:p w14:paraId="103DAA50" w14:textId="51B0FC24" w:rsidR="009A5E98" w:rsidRDefault="005C6013" w:rsidP="00AB2160">
      <w:pPr>
        <w:spacing w:line="360" w:lineRule="auto"/>
        <w:ind w:firstLine="720"/>
        <w:rPr>
          <w:rFonts w:ascii="Times New Roman"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708416" behindDoc="0" locked="0" layoutInCell="1" allowOverlap="1" wp14:anchorId="141CE212" wp14:editId="00532398">
                <wp:simplePos x="0" y="0"/>
                <wp:positionH relativeFrom="column">
                  <wp:posOffset>4979034</wp:posOffset>
                </wp:positionH>
                <wp:positionV relativeFrom="paragraph">
                  <wp:posOffset>654049</wp:posOffset>
                </wp:positionV>
                <wp:extent cx="65405" cy="315595"/>
                <wp:effectExtent l="1905" t="0" r="12700" b="12700"/>
                <wp:wrapNone/>
                <wp:docPr id="23" name="Left Brace 23"/>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03582" id="Left Brace 23" o:spid="_x0000_s1026" type="#_x0000_t87" style="position:absolute;margin-left:392.05pt;margin-top:51.5pt;width:5.15pt;height:24.8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06368" behindDoc="0" locked="0" layoutInCell="1" allowOverlap="1" wp14:anchorId="58966365" wp14:editId="2EB247C5">
                <wp:simplePos x="0" y="0"/>
                <wp:positionH relativeFrom="column">
                  <wp:posOffset>3632835</wp:posOffset>
                </wp:positionH>
                <wp:positionV relativeFrom="paragraph">
                  <wp:posOffset>652144</wp:posOffset>
                </wp:positionV>
                <wp:extent cx="65405" cy="315595"/>
                <wp:effectExtent l="1905" t="0" r="12700" b="12700"/>
                <wp:wrapNone/>
                <wp:docPr id="21" name="Left Brace 21"/>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ECED2" id="Left Brace 21" o:spid="_x0000_s1026" type="#_x0000_t87" style="position:absolute;margin-left:286.05pt;margin-top:51.35pt;width:5.15pt;height:24.8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04320" behindDoc="0" locked="0" layoutInCell="1" allowOverlap="1" wp14:anchorId="69A94FC1" wp14:editId="3FF80B50">
                <wp:simplePos x="0" y="0"/>
                <wp:positionH relativeFrom="column">
                  <wp:posOffset>2451735</wp:posOffset>
                </wp:positionH>
                <wp:positionV relativeFrom="paragraph">
                  <wp:posOffset>650239</wp:posOffset>
                </wp:positionV>
                <wp:extent cx="65405" cy="315595"/>
                <wp:effectExtent l="1905" t="0" r="12700" b="12700"/>
                <wp:wrapNone/>
                <wp:docPr id="14" name="Left Brace 14"/>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C779B" id="Left Brace 14" o:spid="_x0000_s1026" type="#_x0000_t87" style="position:absolute;margin-left:193.05pt;margin-top:51.2pt;width:5.15pt;height:24.8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" adj="373"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02272" behindDoc="0" locked="0" layoutInCell="1" allowOverlap="1" wp14:anchorId="7088DFD9" wp14:editId="2736903B">
                <wp:simplePos x="0" y="0"/>
                <wp:positionH relativeFrom="column">
                  <wp:posOffset>1029335</wp:posOffset>
                </wp:positionH>
                <wp:positionV relativeFrom="paragraph">
                  <wp:posOffset>648970</wp:posOffset>
                </wp:positionV>
                <wp:extent cx="65405" cy="315595"/>
                <wp:effectExtent l="1905" t="0" r="12700" b="12700"/>
                <wp:wrapNone/>
                <wp:docPr id="13" name="Left Brace 13"/>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E8884" id="Left Brace 13" o:spid="_x0000_s1026" type="#_x0000_t87" style="position:absolute;margin-left:81.05pt;margin-top:51.1pt;width:5.15pt;height:24.8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" adj="373" strokecolor="black [3200]" strokeweight="1pt">
                <v:stroke joinstyle="miter"/>
              </v:shape>
            </w:pict>
          </mc:Fallback>
        </mc:AlternateContent>
      </w:r>
    </w:p>
    <w:p w14:paraId="17114F42" w14:textId="12AE0A22" w:rsidR="00EB7379" w:rsidRPr="00EB7379" w:rsidRDefault="003D1E8D" w:rsidP="00AB2160">
      <w:pPr>
        <w:spacing w:line="360" w:lineRule="auto"/>
        <w:ind w:firstLine="720"/>
        <w:rPr>
          <w:rFonts w:ascii="Times New Roman" w:hAnsi="Times New Roman" w:cs="Times New Roman"/>
          <w:sz w:val="24"/>
          <w:szCs w:val="24"/>
        </w:rPr>
      </w:pPr>
      <m:oMathPara>
        <m:oMath>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∂X</m:t>
              </m:r>
            </m:num>
            <m:den>
              <m:r>
                <w:rPr>
                  <w:rFonts w:ascii="Cambria Math" w:hAnsi="Cambria Math" w:cs="Times New Roman"/>
                </w:rPr>
                <m:t>∂t</m:t>
              </m:r>
            </m:den>
          </m:f>
          <m:r>
            <w:rPr>
              <w:rFonts w:ascii="Cambria Math" w:hAnsi="Cambria Math" w:cs="Times New Roman"/>
            </w:rPr>
            <m:t xml:space="preserve">      =     </m:t>
          </m:r>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 xml:space="preserve">BX </m:t>
              </m:r>
            </m:sub>
          </m:sSub>
          <m:r>
            <m:rPr>
              <m:sty m:val="p"/>
            </m:rPr>
            <w:rPr>
              <w:rFonts w:ascii="Cambria Math" w:hAnsi="Cambria Math" w:cs="Times New Roman"/>
            </w:rPr>
            <m:t xml:space="preserve">             -               ∇∙</m:t>
          </m:r>
          <m:d>
            <m:dPr>
              <m:ctrlPr>
                <w:rPr>
                  <w:rFonts w:ascii="Cambria Math" w:hAnsi="Cambria Math" w:cs="Times New Roman"/>
                </w:rPr>
              </m:ctrlPr>
            </m:dPr>
            <m:e>
              <m:r>
                <m:rPr>
                  <m:sty m:val="b"/>
                </m:rPr>
                <w:rPr>
                  <w:rFonts w:ascii="Cambria Math" w:hAnsi="Cambria Math" w:cs="Times New Roman"/>
                </w:rPr>
                <m:t>u</m:t>
              </m:r>
              <m:r>
                <m:rPr>
                  <m:sty m:val="p"/>
                </m:rPr>
                <w:rPr>
                  <w:rFonts w:ascii="Cambria Math" w:hAnsi="Cambria Math" w:cs="Times New Roman"/>
                </w:rPr>
                <m:t>X</m:t>
              </m:r>
            </m:e>
          </m:d>
          <m:r>
            <m:rPr>
              <m:sty m:val="p"/>
            </m:rPr>
            <w:rPr>
              <w:rFonts w:ascii="Cambria Math" w:hAnsi="Cambria Math" w:cs="Times New Roman"/>
            </w:rPr>
            <m:t xml:space="preserve">         +              ∇∙</m:t>
          </m:r>
          <m:d>
            <m:dPr>
              <m:ctrlPr>
                <w:rPr>
                  <w:rFonts w:ascii="Cambria Math" w:hAnsi="Cambria Math" w:cs="Times New Roman"/>
                </w:rPr>
              </m:ctrlPr>
            </m:dPr>
            <m:e>
              <m:r>
                <m:rPr>
                  <m:sty m:val="b"/>
                </m:rPr>
                <w:rPr>
                  <w:rFonts w:ascii="Cambria Math" w:hAnsi="Cambria Math" w:cs="Times New Roman"/>
                </w:rPr>
                <m:t>κ</m:t>
              </m:r>
              <m:r>
                <m:rPr>
                  <m:sty m:val="p"/>
                </m:rPr>
                <w:rPr>
                  <w:rFonts w:ascii="Cambria Math" w:hAnsi="Cambria Math" w:cs="Times New Roman"/>
                </w:rPr>
                <m:t>X</m:t>
              </m:r>
            </m:e>
          </m:d>
          <m:r>
            <m:rPr>
              <m:sty m:val="p"/>
            </m:rP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∂ω</m:t>
              </m:r>
              <m:r>
                <m:rPr>
                  <m:sty m:val="p"/>
                </m:rPr>
                <w:rPr>
                  <w:rFonts w:ascii="Cambria Math" w:hAnsi="Cambria Math" w:cs="Times New Roman"/>
                </w:rPr>
                <m:t>x</m:t>
              </m:r>
              <m:r>
                <w:rPr>
                  <w:rFonts w:ascii="Cambria Math" w:hAnsi="Cambria Math" w:cs="Times New Roman"/>
                </w:rPr>
                <m:t xml:space="preserve">X  </m:t>
              </m:r>
            </m:num>
            <m:den>
              <m:r>
                <w:rPr>
                  <w:rFonts w:ascii="Cambria Math" w:hAnsi="Cambria Math" w:cs="Times New Roman"/>
                </w:rPr>
                <m:t>∂</m:t>
              </m:r>
              <m:r>
                <m:rPr>
                  <m:sty m:val="p"/>
                </m:rPr>
                <w:rPr>
                  <w:rFonts w:ascii="Cambria Math" w:hAnsi="Cambria Math" w:cs="Times New Roman"/>
                </w:rPr>
                <m:t>z</m:t>
              </m:r>
            </m:den>
          </m:f>
          <m:r>
            <m:rPr>
              <m:sty m:val="p"/>
            </m:rPr>
            <w:rPr>
              <w:rFonts w:ascii="Cambria Math" w:hAnsi="Cambria Math" w:cs="Times New Roman"/>
            </w:rPr>
            <m:t xml:space="preserve">                   </m:t>
          </m:r>
        </m:oMath>
      </m:oMathPara>
    </w:p>
    <w:p w14:paraId="363E51A0" w14:textId="0E38A279" w:rsidR="001C3A25" w:rsidRPr="00320758" w:rsidRDefault="003D1E8D" w:rsidP="00320758">
      <w:pPr>
        <w:spacing w:line="360" w:lineRule="auto"/>
        <w:rPr>
          <w:rFonts w:ascii="Times New Roman" w:hAnsi="Times New Roman" w:cs="Times New Roman"/>
          <w:sz w:val="20"/>
          <w:szCs w:val="20"/>
        </w:rPr>
      </w:pPr>
      <w:r w:rsidRPr="00EB7379">
        <w:rPr>
          <w:rFonts w:ascii="Times New Roman" w:hAnsi="Times New Roman" w:cs="Times New Roman"/>
        </w:rPr>
        <w:t xml:space="preserve">           </w:t>
      </w:r>
      <w:r w:rsidRPr="00EB7379">
        <w:rPr>
          <w:rFonts w:ascii="Cambria Math" w:hAnsi="Cambria Math" w:cs="Cambria Math"/>
          <w:sz w:val="20"/>
          <w:szCs w:val="20"/>
        </w:rPr>
        <w:t>𝐵𝑖𝑜𝑙𝑜𝑔𝑖𝑐𝑎</w:t>
      </w:r>
      <w:r w:rsidRPr="00EB7379">
        <w:rPr>
          <w:rFonts w:ascii="Times New Roman" w:hAnsi="Times New Roman" w:cs="Times New Roman"/>
          <w:sz w:val="20"/>
          <w:szCs w:val="20"/>
        </w:rPr>
        <w:t xml:space="preserve">l </w:t>
      </w:r>
      <w:r w:rsidRPr="00EB7379">
        <w:rPr>
          <w:rFonts w:ascii="Cambria Math" w:hAnsi="Cambria Math" w:cs="Cambria Math"/>
          <w:sz w:val="20"/>
          <w:szCs w:val="20"/>
        </w:rPr>
        <w:t>𝑟𝑒𝑎𝑐𝑡𝑖𝑜𝑛𝑠</w:t>
      </w:r>
      <w:r w:rsidRPr="00EB7379">
        <w:rPr>
          <w:rFonts w:ascii="Times New Roman" w:hAnsi="Times New Roman" w:cs="Times New Roman"/>
          <w:sz w:val="20"/>
          <w:szCs w:val="20"/>
        </w:rPr>
        <w:t xml:space="preserve"> on X             </w:t>
      </w:r>
      <w:r w:rsidRPr="00EB7379">
        <w:rPr>
          <w:rFonts w:ascii="Cambria Math" w:hAnsi="Cambria Math" w:cs="Cambria Math"/>
          <w:sz w:val="20"/>
          <w:szCs w:val="20"/>
        </w:rPr>
        <w:t>𝑎𝑑𝑣𝑒𝑐𝑡𝑖𝑜𝑛</w:t>
      </w:r>
      <w:r w:rsidRPr="00EB7379">
        <w:rPr>
          <w:rFonts w:ascii="Times New Roman" w:hAnsi="Times New Roman" w:cs="Times New Roman"/>
          <w:sz w:val="20"/>
          <w:szCs w:val="20"/>
        </w:rPr>
        <w:t xml:space="preserve">                </w:t>
      </w:r>
      <w:r w:rsidR="00E76CD1">
        <w:rPr>
          <w:rFonts w:ascii="Times New Roman" w:hAnsi="Times New Roman" w:cs="Times New Roman"/>
          <w:sz w:val="20"/>
          <w:szCs w:val="20"/>
        </w:rPr>
        <w:t xml:space="preserve">  </w:t>
      </w:r>
      <w:r w:rsidRPr="00EB7379">
        <w:rPr>
          <w:rFonts w:ascii="Cambria Math" w:hAnsi="Cambria Math" w:cs="Cambria Math"/>
          <w:sz w:val="20"/>
          <w:szCs w:val="20"/>
        </w:rPr>
        <w:t>𝑑𝑖𝑓𝑓𝑢𝑠𝑖𝑜𝑛</w:t>
      </w:r>
      <w:r w:rsidRPr="00EB7379">
        <w:rPr>
          <w:rFonts w:ascii="Times New Roman" w:hAnsi="Times New Roman" w:cs="Times New Roman"/>
          <w:sz w:val="20"/>
          <w:szCs w:val="20"/>
        </w:rPr>
        <w:t xml:space="preserve">             </w:t>
      </w:r>
      <w:r w:rsidR="00E76CD1">
        <w:rPr>
          <w:rFonts w:ascii="Times New Roman" w:hAnsi="Times New Roman" w:cs="Times New Roman"/>
          <w:sz w:val="20"/>
          <w:szCs w:val="20"/>
        </w:rPr>
        <w:t xml:space="preserve"> </w:t>
      </w:r>
      <w:r w:rsidRPr="00EB7379">
        <w:rPr>
          <w:rFonts w:ascii="Times New Roman" w:hAnsi="Times New Roman" w:cs="Times New Roman"/>
          <w:sz w:val="20"/>
          <w:szCs w:val="20"/>
        </w:rPr>
        <w:t xml:space="preserve">  sinking along </w:t>
      </w:r>
      <w:r w:rsidR="00E76CD1">
        <w:rPr>
          <w:rFonts w:ascii="Times New Roman" w:hAnsi="Times New Roman" w:cs="Times New Roman"/>
          <w:sz w:val="20"/>
          <w:szCs w:val="20"/>
        </w:rPr>
        <w:t xml:space="preserve">Z </w:t>
      </w:r>
      <w:r w:rsidRPr="00EB7379">
        <w:rPr>
          <w:rFonts w:ascii="Times New Roman" w:hAnsi="Times New Roman" w:cs="Times New Roman"/>
          <w:sz w:val="20"/>
          <w:szCs w:val="20"/>
        </w:rPr>
        <w:t xml:space="preserve">axis </w:t>
      </w:r>
    </w:p>
    <w:p w14:paraId="24C1D152" w14:textId="77777777" w:rsidR="009A5E98" w:rsidRDefault="009A5E98" w:rsidP="00AB2160">
      <w:pPr>
        <w:spacing w:line="360" w:lineRule="auto"/>
        <w:ind w:firstLine="720"/>
        <w:rPr>
          <w:rFonts w:ascii="Times New Roman" w:hAnsi="Times New Roman" w:cs="Times New Roman"/>
          <w:sz w:val="24"/>
          <w:szCs w:val="24"/>
        </w:rPr>
      </w:pPr>
    </w:p>
    <w:p w14:paraId="0A43690B" w14:textId="312C0130" w:rsidR="003D1E8D"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Different tracers</w:t>
      </w:r>
      <w:r w:rsidR="001C3A25">
        <w:rPr>
          <w:rFonts w:ascii="Times New Roman" w:hAnsi="Times New Roman" w:cs="Times New Roman"/>
          <w:sz w:val="24"/>
          <w:szCs w:val="24"/>
        </w:rPr>
        <w:t>, representing single nutrients or complex microbial cells,</w:t>
      </w:r>
      <w:r w:rsidRPr="003609FB">
        <w:rPr>
          <w:rFonts w:ascii="Times New Roman" w:hAnsi="Times New Roman" w:cs="Times New Roman"/>
          <w:sz w:val="24"/>
          <w:szCs w:val="24"/>
        </w:rPr>
        <w:t xml:space="preserve"> are integrated for 10 years along on a 1 degree x 1 degree resolution of the globe allowing for the evaluation of</w:t>
      </w:r>
      <w:r w:rsidR="00360465" w:rsidRPr="003609FB">
        <w:rPr>
          <w:rFonts w:ascii="Times New Roman" w:hAnsi="Times New Roman" w:cs="Times New Roman"/>
          <w:sz w:val="24"/>
          <w:szCs w:val="24"/>
        </w:rPr>
        <w:t xml:space="preserve"> each</w:t>
      </w:r>
      <w:r w:rsidRPr="003609FB">
        <w:rPr>
          <w:rFonts w:ascii="Times New Roman" w:hAnsi="Times New Roman" w:cs="Times New Roman"/>
          <w:sz w:val="24"/>
          <w:szCs w:val="24"/>
        </w:rPr>
        <w:t xml:space="preserve"> tracers’ </w:t>
      </w:r>
      <w:proofErr w:type="spellStart"/>
      <w:r w:rsidRPr="003609FB">
        <w:rPr>
          <w:rFonts w:ascii="Times New Roman" w:hAnsi="Times New Roman" w:cs="Times New Roman"/>
          <w:sz w:val="24"/>
          <w:szCs w:val="24"/>
        </w:rPr>
        <w:t>biogeographies</w:t>
      </w:r>
      <w:proofErr w:type="spellEnd"/>
      <w:r w:rsidR="004E4B84" w:rsidRPr="003609FB">
        <w:rPr>
          <w:rFonts w:ascii="Times New Roman" w:hAnsi="Times New Roman" w:cs="Times New Roman"/>
          <w:sz w:val="24"/>
          <w:szCs w:val="24"/>
        </w:rPr>
        <w:t xml:space="preserve"> </w:t>
      </w:r>
      <w:r w:rsidR="004E4B84" w:rsidRPr="003609FB">
        <w:rPr>
          <w:rFonts w:ascii="Times New Roman" w:hAnsi="Times New Roman" w:cs="Times New Roman"/>
          <w:sz w:val="24"/>
          <w:szCs w:val="24"/>
        </w:rPr>
        <w:fldChar w:fldCharType="begin"/>
      </w:r>
      <w:r w:rsidR="00BF3E25" w:rsidRPr="003609FB">
        <w:rPr>
          <w:rFonts w:ascii="Times New Roman" w:hAnsi="Times New Roman" w:cs="Times New Roman"/>
          <w:sz w:val="24"/>
          <w:szCs w:val="24"/>
        </w:rPr>
        <w:instrText xml:space="preserve"> ADDIN ZOTERO_ITEM CSL_CITATION {"citationID":"5PlMZKov","properties":{"formattedCitation":"(Follows et al. 2007)","plainCitation":"(Follows et al. 2007)","noteIndex":0},"citationItems":[{"id":91,"uris":["http://zotero.org/users/6128296/items/NG6G4I5N"],"itemData":{"id":91,"type":"article-journal","abstract":"A marine ecosystem model seeded with many phytoplankton types, whose physiological traits were randomly assigned from ranges defined by field and laboratory data, generated an emergent community structure and biogeography consistent with observed global phytoplankton distributions. The modeled organisms included types analogous to the marine cyanobacterium Prochlorococcus. Their emergent global distributions and physiological properties simultaneously correspond to observations. This flexible representation of community structure can be used to explore relations between ecosystems, biogeochemical cycles, and climate change.","container-title":"Science","DOI":"10.1126/science.1138544","ISSN":"0036-8075, 1095-9203","issue":"5820","journalAbbreviation":"Science","language":"en","page":"1843-1846","source":"DOI.org (Crossref)","title":"Emergent Biogeography of Microbial Communities in a Model Ocean","volume":"315","author":[{"family":"Follows","given":""},{"family":"Dutkiewicz","given":""},{"family":"Grant","given":""},{"family":"Chisholm","given":""}],"issued":{"date-parts":[["2007",3,30]]}}}],"schema":"https://github.com/citation-style-language/schema/raw/master/csl-citation.json"} </w:instrText>
      </w:r>
      <w:r w:rsidR="004E4B8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(Follows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2007)</w:t>
      </w:r>
      <w:r w:rsidR="004E4B84"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The first 9 years here </w:t>
      </w:r>
      <w:r w:rsidR="006B18D0" w:rsidRPr="003609FB">
        <w:rPr>
          <w:rFonts w:ascii="Times New Roman" w:hAnsi="Times New Roman" w:cs="Times New Roman"/>
          <w:sz w:val="24"/>
          <w:szCs w:val="24"/>
        </w:rPr>
        <w:t xml:space="preserve">are </w:t>
      </w:r>
      <w:r w:rsidR="00AB35C0">
        <w:rPr>
          <w:rFonts w:ascii="Times New Roman" w:hAnsi="Times New Roman" w:cs="Times New Roman"/>
          <w:sz w:val="24"/>
          <w:szCs w:val="24"/>
        </w:rPr>
        <w:t>treated</w:t>
      </w:r>
      <w:r w:rsidRPr="003609FB">
        <w:rPr>
          <w:rFonts w:ascii="Times New Roman" w:hAnsi="Times New Roman" w:cs="Times New Roman"/>
          <w:sz w:val="24"/>
          <w:szCs w:val="24"/>
        </w:rPr>
        <w:t xml:space="preserve"> as a training</w:t>
      </w:r>
      <w:r w:rsidR="00BF3E25" w:rsidRPr="003609FB">
        <w:rPr>
          <w:rFonts w:ascii="Times New Roman" w:hAnsi="Times New Roman" w:cs="Times New Roman"/>
          <w:sz w:val="24"/>
          <w:szCs w:val="24"/>
        </w:rPr>
        <w:t xml:space="preserve"> (or burn in)</w:t>
      </w:r>
      <w:r w:rsidRPr="003609FB">
        <w:rPr>
          <w:rFonts w:ascii="Times New Roman" w:hAnsi="Times New Roman" w:cs="Times New Roman"/>
          <w:sz w:val="24"/>
          <w:szCs w:val="24"/>
        </w:rPr>
        <w:t xml:space="preserve"> period and</w:t>
      </w:r>
      <w:r w:rsidR="006B18D0" w:rsidRPr="003609FB">
        <w:rPr>
          <w:rFonts w:ascii="Times New Roman" w:hAnsi="Times New Roman" w:cs="Times New Roman"/>
          <w:sz w:val="24"/>
          <w:szCs w:val="24"/>
        </w:rPr>
        <w:t xml:space="preserve"> we</w:t>
      </w:r>
      <w:r w:rsidRPr="003609FB">
        <w:rPr>
          <w:rFonts w:ascii="Times New Roman" w:hAnsi="Times New Roman" w:cs="Times New Roman"/>
          <w:sz w:val="24"/>
          <w:szCs w:val="24"/>
        </w:rPr>
        <w:t xml:space="preserve"> visualize patterns and dynamics that appear in the 10th</w:t>
      </w:r>
      <w:r w:rsidR="00AB35C0">
        <w:rPr>
          <w:rFonts w:ascii="Times New Roman" w:hAnsi="Times New Roman" w:cs="Times New Roman"/>
          <w:sz w:val="24"/>
          <w:szCs w:val="24"/>
        </w:rPr>
        <w:t>, and final,</w:t>
      </w:r>
      <w:r w:rsidR="00AB35C0" w:rsidRPr="003609FB">
        <w:rPr>
          <w:rFonts w:ascii="Times New Roman" w:hAnsi="Times New Roman" w:cs="Times New Roman"/>
          <w:sz w:val="24"/>
          <w:szCs w:val="24"/>
        </w:rPr>
        <w:t xml:space="preserve"> </w:t>
      </w:r>
      <w:r w:rsidRPr="003609FB">
        <w:rPr>
          <w:rFonts w:ascii="Times New Roman" w:hAnsi="Times New Roman" w:cs="Times New Roman"/>
          <w:sz w:val="24"/>
          <w:szCs w:val="24"/>
        </w:rPr>
        <w:t>year</w:t>
      </w:r>
      <w:r w:rsidR="00AB35C0">
        <w:rPr>
          <w:rFonts w:ascii="Times New Roman" w:hAnsi="Times New Roman" w:cs="Times New Roman"/>
          <w:sz w:val="24"/>
          <w:szCs w:val="24"/>
        </w:rPr>
        <w:t xml:space="preserve"> </w:t>
      </w:r>
      <w:r w:rsidRPr="003609FB">
        <w:rPr>
          <w:rFonts w:ascii="Times New Roman" w:hAnsi="Times New Roman" w:cs="Times New Roman"/>
          <w:sz w:val="24"/>
          <w:szCs w:val="24"/>
        </w:rPr>
        <w:t>of the model. Darwin includes</w:t>
      </w:r>
      <w:r w:rsidR="009F0F9C">
        <w:rPr>
          <w:rFonts w:ascii="Times New Roman" w:hAnsi="Times New Roman" w:cs="Times New Roman"/>
          <w:sz w:val="24"/>
          <w:szCs w:val="24"/>
        </w:rPr>
        <w:t xml:space="preserve"> global temporal dynamics of</w:t>
      </w:r>
      <w:r w:rsidRPr="003609FB">
        <w:rPr>
          <w:rFonts w:ascii="Times New Roman" w:hAnsi="Times New Roman" w:cs="Times New Roman"/>
          <w:sz w:val="24"/>
          <w:szCs w:val="24"/>
        </w:rPr>
        <w:t xml:space="preserve"> temperature and light which </w:t>
      </w:r>
      <w:r w:rsidR="005B5595">
        <w:rPr>
          <w:rFonts w:ascii="Times New Roman" w:hAnsi="Times New Roman" w:cs="Times New Roman"/>
          <w:sz w:val="24"/>
          <w:szCs w:val="24"/>
        </w:rPr>
        <w:t xml:space="preserve">are key to ROS production and </w:t>
      </w:r>
      <w:r w:rsidRPr="003609FB">
        <w:rPr>
          <w:rFonts w:ascii="Times New Roman" w:hAnsi="Times New Roman" w:cs="Times New Roman"/>
          <w:sz w:val="24"/>
          <w:szCs w:val="24"/>
        </w:rPr>
        <w:t xml:space="preserve">were incorporated in the new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tracer dynamics</w:t>
      </w:r>
      <w:r w:rsidR="005318A3" w:rsidRPr="003609FB">
        <w:rPr>
          <w:rFonts w:ascii="Times New Roman" w:hAnsi="Times New Roman" w:cs="Times New Roman"/>
          <w:sz w:val="24"/>
          <w:szCs w:val="24"/>
        </w:rPr>
        <w:t xml:space="preserve"> (described below)</w:t>
      </w:r>
      <w:r w:rsidR="005B5595">
        <w:rPr>
          <w:rFonts w:ascii="Times New Roman" w:hAnsi="Times New Roman" w:cs="Times New Roman"/>
          <w:sz w:val="24"/>
          <w:szCs w:val="24"/>
        </w:rPr>
        <w:t xml:space="preserve"> for this global model</w:t>
      </w:r>
      <w:r w:rsidRPr="003609FB">
        <w:rPr>
          <w:rFonts w:ascii="Times New Roman" w:hAnsi="Times New Roman" w:cs="Times New Roman"/>
          <w:sz w:val="24"/>
          <w:szCs w:val="24"/>
        </w:rPr>
        <w:t>. A Darwin model framework involving 6 plankton and 4 zooplankton each with unique growth traits implemented over the global ocean on chemical tracers such as carbon, ammonium, and iron (</w:t>
      </w:r>
      <w:hyperlink r:id="rId60" w:tgtFrame="_blank" w:history="1">
        <w:r w:rsidRPr="0049772E">
          <w:rPr>
            <w:rStyle w:val="Hyperlink"/>
            <w:rFonts w:ascii="Times New Roman" w:hAnsi="Times New Roman" w:cs="Times New Roman"/>
            <w:color w:val="auto"/>
            <w:sz w:val="24"/>
            <w:szCs w:val="24"/>
          </w:rPr>
          <w:t>https://gitlab.com/darwinproject/gud/-/tree/gud/verification/monod_eccov3_6+4?ref_type=heads</w:t>
        </w:r>
      </w:hyperlink>
      <w:r w:rsidRPr="0049772E">
        <w:rPr>
          <w:rFonts w:ascii="Times New Roman" w:hAnsi="Times New Roman" w:cs="Times New Roman"/>
          <w:sz w:val="24"/>
          <w:szCs w:val="24"/>
        </w:rPr>
        <w:t xml:space="preserve">) </w:t>
      </w:r>
      <w:r w:rsidRPr="003609FB">
        <w:rPr>
          <w:rFonts w:ascii="Times New Roman" w:hAnsi="Times New Roman" w:cs="Times New Roman"/>
          <w:sz w:val="24"/>
          <w:szCs w:val="24"/>
        </w:rPr>
        <w:t>was utilized.</w:t>
      </w:r>
      <w:r w:rsidR="00731481">
        <w:rPr>
          <w:rFonts w:ascii="Times New Roman" w:hAnsi="Times New Roman" w:cs="Times New Roman"/>
          <w:sz w:val="24"/>
          <w:szCs w:val="24"/>
        </w:rPr>
        <w:t xml:space="preserve"> T</w:t>
      </w:r>
      <w:r w:rsidR="00561A5F">
        <w:rPr>
          <w:rFonts w:ascii="Times New Roman" w:hAnsi="Times New Roman" w:cs="Times New Roman"/>
          <w:sz w:val="24"/>
          <w:szCs w:val="24"/>
        </w:rPr>
        <w:t>h</w:t>
      </w:r>
      <w:r w:rsidR="00731481">
        <w:rPr>
          <w:rFonts w:ascii="Times New Roman" w:hAnsi="Times New Roman" w:cs="Times New Roman"/>
          <w:sz w:val="24"/>
          <w:szCs w:val="24"/>
        </w:rPr>
        <w:t xml:space="preserve">is implementation included </w:t>
      </w:r>
      <w:r w:rsidR="00561A5F">
        <w:rPr>
          <w:rFonts w:ascii="Times New Roman" w:hAnsi="Times New Roman" w:cs="Times New Roman"/>
          <w:sz w:val="24"/>
          <w:szCs w:val="24"/>
        </w:rPr>
        <w:t>offline</w:t>
      </w:r>
      <w:r w:rsidR="00731481">
        <w:rPr>
          <w:rFonts w:ascii="Times New Roman" w:hAnsi="Times New Roman" w:cs="Times New Roman"/>
          <w:sz w:val="24"/>
          <w:szCs w:val="24"/>
        </w:rPr>
        <w:t xml:space="preserve"> ocean currents and initialization files for published Darwin tracers.</w:t>
      </w:r>
      <w:r w:rsidRPr="003609FB">
        <w:rPr>
          <w:rFonts w:ascii="Times New Roman" w:hAnsi="Times New Roman" w:cs="Times New Roman"/>
          <w:sz w:val="24"/>
          <w:szCs w:val="24"/>
        </w:rPr>
        <w:t xml:space="preserve"> </w:t>
      </w:r>
      <w:r w:rsidR="00731481">
        <w:rPr>
          <w:rFonts w:ascii="Times New Roman" w:hAnsi="Times New Roman" w:cs="Times New Roman"/>
          <w:sz w:val="24"/>
          <w:szCs w:val="24"/>
        </w:rPr>
        <w:t xml:space="preserve">This version of </w:t>
      </w:r>
      <w:r w:rsidRPr="003609FB">
        <w:rPr>
          <w:rFonts w:ascii="Times New Roman" w:hAnsi="Times New Roman" w:cs="Times New Roman"/>
          <w:sz w:val="24"/>
          <w:szCs w:val="24"/>
        </w:rPr>
        <w:t>Darwin’s trait framework form</w:t>
      </w:r>
      <w:r w:rsidR="000D5384">
        <w:rPr>
          <w:rFonts w:ascii="Times New Roman" w:hAnsi="Times New Roman" w:cs="Times New Roman"/>
          <w:sz w:val="24"/>
          <w:szCs w:val="24"/>
        </w:rPr>
        <w:t>s</w:t>
      </w:r>
      <w:r w:rsidRPr="003609FB">
        <w:rPr>
          <w:rFonts w:ascii="Times New Roman" w:hAnsi="Times New Roman" w:cs="Times New Roman"/>
          <w:sz w:val="24"/>
          <w:szCs w:val="24"/>
        </w:rPr>
        <w:t xml:space="preserve"> the basis our </w:t>
      </w:r>
      <w:r w:rsidR="000D5384">
        <w:rPr>
          <w:rFonts w:ascii="Times New Roman" w:hAnsi="Times New Roman" w:cs="Times New Roman"/>
          <w:sz w:val="24"/>
          <w:szCs w:val="24"/>
        </w:rPr>
        <w:t xml:space="preserve">novel </w:t>
      </w:r>
      <w:r w:rsidRPr="003609FB">
        <w:rPr>
          <w:rFonts w:ascii="Times New Roman" w:hAnsi="Times New Roman" w:cs="Times New Roman"/>
          <w:sz w:val="24"/>
          <w:szCs w:val="24"/>
        </w:rPr>
        <w:t xml:space="preserve">model </w:t>
      </w:r>
      <w:r w:rsidR="006001CD">
        <w:rPr>
          <w:rFonts w:ascii="Times New Roman" w:hAnsi="Times New Roman" w:cs="Times New Roman"/>
          <w:sz w:val="24"/>
          <w:szCs w:val="24"/>
        </w:rPr>
        <w:t xml:space="preserve">implementation </w:t>
      </w:r>
      <w:r w:rsidRPr="003609FB">
        <w:rPr>
          <w:rFonts w:ascii="Times New Roman" w:hAnsi="Times New Roman" w:cs="Times New Roman"/>
          <w:sz w:val="24"/>
          <w:szCs w:val="24"/>
        </w:rPr>
        <w:t xml:space="preserve">that incorporates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abiotic and biotic interactions into multiple plankton</w:t>
      </w:r>
      <w:r w:rsidR="000D5384">
        <w:rPr>
          <w:rFonts w:ascii="Times New Roman" w:hAnsi="Times New Roman" w:cs="Times New Roman"/>
          <w:sz w:val="24"/>
          <w:szCs w:val="24"/>
        </w:rPr>
        <w:t xml:space="preserve"> tracers</w:t>
      </w:r>
      <w:r w:rsidR="006001CD">
        <w:rPr>
          <w:rFonts w:ascii="Times New Roman" w:hAnsi="Times New Roman" w:cs="Times New Roman"/>
          <w:sz w:val="24"/>
          <w:szCs w:val="24"/>
        </w:rPr>
        <w:t xml:space="preserve"> on a global scale</w:t>
      </w:r>
      <w:r w:rsidR="006B18D0"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r w:rsidR="000D5384">
        <w:rPr>
          <w:rFonts w:ascii="Times New Roman" w:hAnsi="Times New Roman" w:cs="Times New Roman"/>
          <w:sz w:val="24"/>
          <w:szCs w:val="24"/>
        </w:rPr>
        <w:t xml:space="preserve">In this way, observed </w:t>
      </w:r>
      <w:r w:rsidR="000D5384" w:rsidRPr="003609FB">
        <w:rPr>
          <w:rFonts w:ascii="Times New Roman" w:hAnsi="Times New Roman" w:cs="Times New Roman"/>
          <w:sz w:val="24"/>
          <w:szCs w:val="24"/>
        </w:rPr>
        <w:t>H</w:t>
      </w:r>
      <w:r w:rsidR="000D5384" w:rsidRPr="00351FC4">
        <w:rPr>
          <w:rFonts w:ascii="Times New Roman" w:hAnsi="Times New Roman" w:cs="Times New Roman"/>
          <w:sz w:val="24"/>
          <w:szCs w:val="24"/>
          <w:vertAlign w:val="subscript"/>
        </w:rPr>
        <w:t>2</w:t>
      </w:r>
      <w:r w:rsidR="000D5384" w:rsidRPr="003609FB">
        <w:rPr>
          <w:rFonts w:ascii="Times New Roman" w:hAnsi="Times New Roman" w:cs="Times New Roman"/>
          <w:sz w:val="24"/>
          <w:szCs w:val="24"/>
        </w:rPr>
        <w:t>O</w:t>
      </w:r>
      <w:r w:rsidR="000D5384" w:rsidRPr="00351FC4">
        <w:rPr>
          <w:rFonts w:ascii="Times New Roman" w:hAnsi="Times New Roman" w:cs="Times New Roman"/>
          <w:sz w:val="24"/>
          <w:szCs w:val="24"/>
          <w:vertAlign w:val="subscript"/>
        </w:rPr>
        <w:t>2</w:t>
      </w:r>
      <w:r w:rsidR="000D5384">
        <w:rPr>
          <w:rFonts w:ascii="Times New Roman" w:hAnsi="Times New Roman" w:cs="Times New Roman"/>
          <w:sz w:val="24"/>
          <w:szCs w:val="24"/>
        </w:rPr>
        <w:t xml:space="preserve"> impacts on plankton growth were explicitly tied to global predictions of plankton abundance. This</w:t>
      </w:r>
      <w:r w:rsidRPr="003609FB">
        <w:rPr>
          <w:rFonts w:ascii="Times New Roman" w:hAnsi="Times New Roman" w:cs="Times New Roman"/>
          <w:sz w:val="24"/>
          <w:szCs w:val="24"/>
        </w:rPr>
        <w:t xml:space="preserve"> allowed for the investigation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based parameters</w:t>
      </w:r>
      <w:r w:rsidR="000D5384">
        <w:rPr>
          <w:rFonts w:ascii="Times New Roman" w:hAnsi="Times New Roman" w:cs="Times New Roman"/>
          <w:sz w:val="24"/>
          <w:szCs w:val="24"/>
        </w:rPr>
        <w:t xml:space="preserve"> and assumptions </w:t>
      </w:r>
      <w:r w:rsidRPr="003609FB">
        <w:rPr>
          <w:rFonts w:ascii="Times New Roman" w:hAnsi="Times New Roman" w:cs="Times New Roman"/>
          <w:sz w:val="24"/>
          <w:szCs w:val="24"/>
        </w:rPr>
        <w:t>on globally dominant plankton</w:t>
      </w:r>
      <w:r w:rsidR="000D5384">
        <w:rPr>
          <w:rFonts w:ascii="Times New Roman" w:hAnsi="Times New Roman" w:cs="Times New Roman"/>
          <w:sz w:val="24"/>
          <w:szCs w:val="24"/>
        </w:rPr>
        <w:t xml:space="preserve"> genera</w:t>
      </w:r>
      <w:r w:rsidRPr="003609FB">
        <w:rPr>
          <w:rFonts w:ascii="Times New Roman" w:hAnsi="Times New Roman" w:cs="Times New Roman"/>
          <w:sz w:val="24"/>
          <w:szCs w:val="24"/>
        </w:rPr>
        <w:t xml:space="preserve"> </w:t>
      </w:r>
      <w:r w:rsidR="00A75770" w:rsidRPr="00A75770">
        <w:rPr>
          <w:rFonts w:ascii="Times" w:hAnsi="Times" w:cs="Times New Roman"/>
          <w:i/>
          <w:iCs/>
          <w:color w:val="000000" w:themeColor="text1"/>
          <w:sz w:val="24"/>
          <w:szCs w:val="24"/>
        </w:rPr>
        <w:t>Prochlorococcus</w:t>
      </w:r>
      <w:r w:rsidR="00A75770">
        <w:rPr>
          <w:rFonts w:ascii="Times New Roman" w:hAnsi="Times New Roman" w:cs="Times New Roman"/>
          <w:sz w:val="24"/>
          <w:szCs w:val="24"/>
        </w:rPr>
        <w:t xml:space="preserve">, </w:t>
      </w:r>
      <w:proofErr w:type="spellStart"/>
      <w:r w:rsidR="00A75770" w:rsidRPr="00A75770">
        <w:rPr>
          <w:rFonts w:ascii="Times" w:hAnsi="Times" w:cs="Times New Roman"/>
          <w:i/>
          <w:iCs/>
          <w:color w:val="000000" w:themeColor="text1"/>
          <w:sz w:val="24"/>
          <w:szCs w:val="24"/>
        </w:rPr>
        <w:t>Synechococcus</w:t>
      </w:r>
      <w:proofErr w:type="spellEnd"/>
      <w:r w:rsidR="00A75770">
        <w:rPr>
          <w:rFonts w:ascii="Times New Roman" w:hAnsi="Times New Roman" w:cs="Times New Roman"/>
          <w:sz w:val="24"/>
          <w:szCs w:val="24"/>
        </w:rPr>
        <w:t xml:space="preserve">, and </w:t>
      </w:r>
      <w:proofErr w:type="spellStart"/>
      <w:r w:rsidR="00A75770" w:rsidRPr="00A75770">
        <w:rPr>
          <w:rFonts w:ascii="Times" w:hAnsi="Times" w:cs="Times New Roman"/>
          <w:i/>
          <w:iCs/>
          <w:color w:val="000000" w:themeColor="text1"/>
          <w:sz w:val="24"/>
          <w:szCs w:val="24"/>
        </w:rPr>
        <w:t>Alteromonas</w:t>
      </w:r>
      <w:proofErr w:type="spellEnd"/>
      <w:r w:rsidR="00A75770">
        <w:rPr>
          <w:rFonts w:ascii="Times New Roman" w:hAnsi="Times New Roman" w:cs="Times New Roman"/>
          <w:sz w:val="24"/>
          <w:szCs w:val="24"/>
        </w:rPr>
        <w:t xml:space="preserve"> </w:t>
      </w:r>
      <w:r w:rsidR="000D5384">
        <w:rPr>
          <w:rFonts w:ascii="Times New Roman" w:hAnsi="Times New Roman" w:cs="Times New Roman"/>
          <w:sz w:val="24"/>
          <w:szCs w:val="24"/>
        </w:rPr>
        <w:t>on a</w:t>
      </w:r>
      <w:r w:rsidRPr="003609FB">
        <w:rPr>
          <w:rFonts w:ascii="Times New Roman" w:hAnsi="Times New Roman" w:cs="Times New Roman"/>
          <w:sz w:val="24"/>
          <w:szCs w:val="24"/>
        </w:rPr>
        <w:t xml:space="preserve"> global </w:t>
      </w:r>
      <w:r w:rsidR="000D5384">
        <w:rPr>
          <w:rFonts w:ascii="Times New Roman" w:hAnsi="Times New Roman" w:cs="Times New Roman"/>
          <w:sz w:val="24"/>
          <w:szCs w:val="24"/>
        </w:rPr>
        <w:t>scale</w:t>
      </w:r>
      <w:r w:rsidRPr="003609FB">
        <w:rPr>
          <w:rFonts w:ascii="Times New Roman" w:hAnsi="Times New Roman" w:cs="Times New Roman"/>
          <w:sz w:val="24"/>
          <w:szCs w:val="24"/>
        </w:rPr>
        <w:t>.</w:t>
      </w:r>
    </w:p>
    <w:p w14:paraId="5290018D" w14:textId="77777777" w:rsidR="00406848" w:rsidRPr="003609FB" w:rsidRDefault="00406848" w:rsidP="00AB2160">
      <w:pPr>
        <w:spacing w:line="360" w:lineRule="auto"/>
        <w:ind w:firstLine="720"/>
        <w:rPr>
          <w:rFonts w:ascii="Times New Roman" w:hAnsi="Times New Roman" w:cs="Times New Roman"/>
          <w:sz w:val="24"/>
          <w:szCs w:val="24"/>
        </w:rPr>
      </w:pPr>
    </w:p>
    <w:p w14:paraId="77820D70" w14:textId="2B5C6ED1" w:rsidR="00F036CA" w:rsidRPr="0049772E" w:rsidRDefault="00CE39FF" w:rsidP="00AB2160">
      <w:pPr>
        <w:pStyle w:val="Heading2"/>
        <w:spacing w:line="360" w:lineRule="auto"/>
      </w:pPr>
      <w:bookmarkStart w:id="67" w:name="_Toc173250044"/>
      <w:r w:rsidRPr="003609FB">
        <w:lastRenderedPageBreak/>
        <w:t>Model and experimental approach</w:t>
      </w:r>
      <w:bookmarkEnd w:id="67"/>
    </w:p>
    <w:p w14:paraId="69481987" w14:textId="79984F84" w:rsidR="002F4B4A" w:rsidRPr="003609FB" w:rsidRDefault="007175B3" w:rsidP="00AB2160">
      <w:pPr>
        <w:spacing w:line="360" w:lineRule="auto"/>
        <w:ind w:firstLine="720"/>
        <w:rPr>
          <w:rFonts w:ascii="Times New Roman"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712512" behindDoc="0" locked="0" layoutInCell="1" allowOverlap="1" wp14:anchorId="58882D57" wp14:editId="48B59FBE">
                <wp:simplePos x="0" y="0"/>
                <wp:positionH relativeFrom="column">
                  <wp:posOffset>1816100</wp:posOffset>
                </wp:positionH>
                <wp:positionV relativeFrom="paragraph">
                  <wp:posOffset>1211261</wp:posOffset>
                </wp:positionV>
                <wp:extent cx="78106" cy="1546542"/>
                <wp:effectExtent l="2540" t="0" r="13335" b="13335"/>
                <wp:wrapNone/>
                <wp:docPr id="28" name="Left Brace 28"/>
                <wp:cNvGraphicFramePr/>
                <a:graphic xmlns:a="http://schemas.openxmlformats.org/drawingml/2006/main">
                  <a:graphicData uri="http://schemas.microsoft.com/office/word/2010/wordprocessingShape">
                    <wps:wsp>
                      <wps:cNvSpPr/>
                      <wps:spPr>
                        <a:xfrm rot="16200000">
                          <a:off x="0" y="0"/>
                          <a:ext cx="78106" cy="1546542"/>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B642B" id="Left Brace 28" o:spid="_x0000_s1026" type="#_x0000_t87" style="position:absolute;margin-left:143pt;margin-top:95.35pt;width:6.15pt;height:121.75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" adj="91"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16608" behindDoc="0" locked="0" layoutInCell="1" allowOverlap="1" wp14:anchorId="7E42553C" wp14:editId="45152DBC">
                <wp:simplePos x="0" y="0"/>
                <wp:positionH relativeFrom="column">
                  <wp:posOffset>4788535</wp:posOffset>
                </wp:positionH>
                <wp:positionV relativeFrom="paragraph">
                  <wp:posOffset>1605279</wp:posOffset>
                </wp:positionV>
                <wp:extent cx="52706" cy="732475"/>
                <wp:effectExtent l="3175" t="0" r="13970" b="13970"/>
                <wp:wrapNone/>
                <wp:docPr id="30" name="Left Brace 30"/>
                <wp:cNvGraphicFramePr/>
                <a:graphic xmlns:a="http://schemas.openxmlformats.org/drawingml/2006/main">
                  <a:graphicData uri="http://schemas.microsoft.com/office/word/2010/wordprocessingShape">
                    <wps:wsp>
                      <wps:cNvSpPr/>
                      <wps:spPr>
                        <a:xfrm rot="16200000">
                          <a:off x="0" y="0"/>
                          <a:ext cx="52706" cy="73247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F4809" id="Left Brace 30" o:spid="_x0000_s1026" type="#_x0000_t87" style="position:absolute;margin-left:377.05pt;margin-top:126.4pt;width:4.15pt;height:57.7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" adj="130"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14560" behindDoc="0" locked="0" layoutInCell="1" allowOverlap="1" wp14:anchorId="242ED14F" wp14:editId="56FFD2FE">
                <wp:simplePos x="0" y="0"/>
                <wp:positionH relativeFrom="column">
                  <wp:posOffset>3531553</wp:posOffset>
                </wp:positionH>
                <wp:positionV relativeFrom="paragraph">
                  <wp:posOffset>1503363</wp:posOffset>
                </wp:positionV>
                <wp:extent cx="52706" cy="961390"/>
                <wp:effectExtent l="2858" t="0" r="13652" b="13653"/>
                <wp:wrapNone/>
                <wp:docPr id="29" name="Left Brace 29"/>
                <wp:cNvGraphicFramePr/>
                <a:graphic xmlns:a="http://schemas.openxmlformats.org/drawingml/2006/main">
                  <a:graphicData uri="http://schemas.microsoft.com/office/word/2010/wordprocessingShape">
                    <wps:wsp>
                      <wps:cNvSpPr/>
                      <wps:spPr>
                        <a:xfrm rot="16200000">
                          <a:off x="0" y="0"/>
                          <a:ext cx="52706" cy="96139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79911" id="Left Brace 29" o:spid="_x0000_s1026" type="#_x0000_t87" style="position:absolute;margin-left:278.1pt;margin-top:118.4pt;width:4.15pt;height:75.7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" adj="99"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10464" behindDoc="0" locked="0" layoutInCell="1" allowOverlap="1" wp14:anchorId="515843C4" wp14:editId="13FDCDC4">
                <wp:simplePos x="0" y="0"/>
                <wp:positionH relativeFrom="column">
                  <wp:posOffset>467995</wp:posOffset>
                </wp:positionH>
                <wp:positionV relativeFrom="paragraph">
                  <wp:posOffset>1822450</wp:posOffset>
                </wp:positionV>
                <wp:extent cx="65405" cy="315595"/>
                <wp:effectExtent l="1905" t="0" r="12700" b="12700"/>
                <wp:wrapNone/>
                <wp:docPr id="25" name="Left Brace 25"/>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1BB03" id="Left Brace 25" o:spid="_x0000_s1026" type="#_x0000_t87" style="position:absolute;margin-left:36.85pt;margin-top:143.5pt;width:5.15pt;height:24.85pt;rotation:-9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" adj="373" strokecolor="black [3200]" strokeweight="1pt">
                <v:stroke joinstyle="miter"/>
              </v:shape>
            </w:pict>
          </mc:Fallback>
        </mc:AlternateContent>
      </w:r>
      <w:r w:rsidR="006B18D0" w:rsidRPr="003609FB">
        <w:rPr>
          <w:rFonts w:ascii="Times New Roman" w:hAnsi="Times New Roman" w:cs="Times New Roman"/>
          <w:sz w:val="24"/>
          <w:szCs w:val="24"/>
        </w:rPr>
        <w:t>We now document the changes that were made to the Darwin code, beginning</w:t>
      </w:r>
      <w:r w:rsidR="003D1E8D" w:rsidRPr="003609FB">
        <w:rPr>
          <w:rFonts w:ascii="Times New Roman" w:hAnsi="Times New Roman" w:cs="Times New Roman"/>
          <w:sz w:val="24"/>
          <w:szCs w:val="24"/>
        </w:rPr>
        <w:t xml:space="preserve"> with the insertion of our simple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model into a global framework. </w:t>
      </w:r>
      <w:r w:rsidR="005318A3" w:rsidRPr="003609FB">
        <w:rPr>
          <w:rFonts w:ascii="Times New Roman" w:hAnsi="Times New Roman" w:cs="Times New Roman"/>
          <w:sz w:val="24"/>
          <w:szCs w:val="24"/>
        </w:rPr>
        <w:t xml:space="preserve">In the following equation reports the chemical and biological modification to the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18798F" w:rsidRPr="003609FB">
        <w:rPr>
          <w:rFonts w:ascii="Times New Roman" w:hAnsi="Times New Roman" w:cs="Times New Roman"/>
          <w:sz w:val="24"/>
          <w:szCs w:val="24"/>
        </w:rPr>
        <w:t xml:space="preserve"> </w:t>
      </w:r>
      <w:r w:rsidR="005318A3" w:rsidRPr="003609FB">
        <w:rPr>
          <w:rFonts w:ascii="Times New Roman" w:hAnsi="Times New Roman" w:cs="Times New Roman"/>
          <w:sz w:val="24"/>
          <w:szCs w:val="24"/>
        </w:rPr>
        <w:t>tendency</w:t>
      </w:r>
      <w:r w:rsidR="003D1E8D" w:rsidRPr="003609FB">
        <w:rPr>
          <w:rFonts w:ascii="Times New Roman" w:hAnsi="Times New Roman" w:cs="Times New Roman"/>
          <w:sz w:val="24"/>
          <w:szCs w:val="24"/>
        </w:rPr>
        <w:t xml:space="preserve"> term</w:t>
      </w:r>
      <w:r w:rsidR="005318A3" w:rsidRPr="003609FB">
        <w:rPr>
          <w:rFonts w:ascii="Times New Roman" w:hAnsi="Times New Roman" w:cs="Times New Roman"/>
          <w:sz w:val="24"/>
          <w:szCs w:val="24"/>
        </w:rPr>
        <w:t xml:space="preserve"> (encapsulated within </w:t>
      </w:r>
      <w:proofErr w:type="spellStart"/>
      <w:r w:rsidR="005318A3" w:rsidRPr="003609FB">
        <w:rPr>
          <w:rFonts w:ascii="Times New Roman" w:hAnsi="Times New Roman" w:cs="Times New Roman"/>
          <w:sz w:val="24"/>
          <w:szCs w:val="24"/>
        </w:rPr>
        <w:t>S</w:t>
      </w:r>
      <w:r w:rsidR="005318A3" w:rsidRPr="00D7330B">
        <w:rPr>
          <w:rFonts w:ascii="Times New Roman" w:hAnsi="Times New Roman" w:cs="Times New Roman"/>
          <w:sz w:val="24"/>
          <w:szCs w:val="24"/>
          <w:vertAlign w:val="subscript"/>
        </w:rPr>
        <w:t>Bx</w:t>
      </w:r>
      <w:proofErr w:type="spellEnd"/>
      <w:r w:rsidR="005318A3" w:rsidRPr="003609FB">
        <w:rPr>
          <w:rFonts w:ascii="Times New Roman" w:hAnsi="Times New Roman" w:cs="Times New Roman"/>
          <w:sz w:val="24"/>
          <w:szCs w:val="24"/>
        </w:rPr>
        <w:t xml:space="preserve"> in the above general mass-balance). Advective and diffusive effects on [H] are treated in the MITgcm</w:t>
      </w:r>
      <w:r w:rsidR="006F51FD" w:rsidRPr="003609FB">
        <w:rPr>
          <w:rFonts w:ascii="Times New Roman" w:hAnsi="Times New Roman" w:cs="Times New Roman"/>
          <w:sz w:val="24"/>
          <w:szCs w:val="24"/>
        </w:rPr>
        <w:t xml:space="preserve"> (</w:t>
      </w:r>
      <w:hyperlink r:id="rId61" w:history="1">
        <w:r w:rsidR="006F51FD" w:rsidRPr="0049772E">
          <w:rPr>
            <w:rStyle w:val="Hyperlink"/>
            <w:rFonts w:ascii="Times New Roman" w:hAnsi="Times New Roman" w:cs="Times New Roman"/>
            <w:color w:val="auto"/>
            <w:sz w:val="24"/>
            <w:szCs w:val="24"/>
          </w:rPr>
          <w:t>https://darwinproject.mit.edu/research/</w:t>
        </w:r>
      </w:hyperlink>
      <w:r w:rsidR="006F51FD" w:rsidRPr="0049772E">
        <w:rPr>
          <w:rFonts w:ascii="Times New Roman" w:hAnsi="Times New Roman" w:cs="Times New Roman"/>
          <w:sz w:val="24"/>
          <w:szCs w:val="24"/>
        </w:rPr>
        <w:t xml:space="preserve">) </w:t>
      </w:r>
      <w:r w:rsidR="005318A3" w:rsidRPr="003609FB">
        <w:rPr>
          <w:rFonts w:ascii="Times New Roman" w:hAnsi="Times New Roman" w:cs="Times New Roman"/>
          <w:sz w:val="24"/>
          <w:szCs w:val="24"/>
        </w:rPr>
        <w:t xml:space="preserve">and </w:t>
      </w:r>
      <w:r w:rsidR="006F51FD" w:rsidRPr="003609FB">
        <w:rPr>
          <w:rFonts w:ascii="Times New Roman" w:hAnsi="Times New Roman" w:cs="Times New Roman"/>
          <w:sz w:val="24"/>
          <w:szCs w:val="24"/>
        </w:rPr>
        <w:t xml:space="preserve">are </w:t>
      </w:r>
      <w:r w:rsidR="005318A3" w:rsidRPr="003609FB">
        <w:rPr>
          <w:rFonts w:ascii="Times New Roman" w:hAnsi="Times New Roman" w:cs="Times New Roman"/>
          <w:sz w:val="24"/>
          <w:szCs w:val="24"/>
        </w:rPr>
        <w:t>not described</w:t>
      </w:r>
      <w:r w:rsidR="006F51FD" w:rsidRPr="003609FB">
        <w:rPr>
          <w:rFonts w:ascii="Times New Roman" w:hAnsi="Times New Roman" w:cs="Times New Roman"/>
          <w:sz w:val="24"/>
          <w:szCs w:val="24"/>
        </w:rPr>
        <w:t xml:space="preserve"> further</w:t>
      </w:r>
      <w:r w:rsidR="005318A3" w:rsidRPr="003609FB">
        <w:rPr>
          <w:rFonts w:ascii="Times New Roman" w:hAnsi="Times New Roman" w:cs="Times New Roman"/>
          <w:sz w:val="24"/>
          <w:szCs w:val="24"/>
        </w:rPr>
        <w:t xml:space="preserve"> </w:t>
      </w:r>
      <w:r w:rsidR="006F51FD" w:rsidRPr="003609FB">
        <w:rPr>
          <w:rFonts w:ascii="Times New Roman" w:hAnsi="Times New Roman" w:cs="Times New Roman"/>
          <w:sz w:val="24"/>
          <w:szCs w:val="24"/>
        </w:rPr>
        <w:t>in this document.</w:t>
      </w:r>
    </w:p>
    <w:p w14:paraId="6FE45397" w14:textId="6BD0CCDB" w:rsidR="002F4B4A" w:rsidRPr="007175B3" w:rsidRDefault="00000000" w:rsidP="00AB2160">
      <w:pPr>
        <w:spacing w:line="360" w:lineRule="auto"/>
        <w:rPr>
          <w:rFonts w:ascii="Times New Roman" w:hAnsi="Times New Roman" w:cs="Times New Roman"/>
        </w:rPr>
      </w:pPr>
      <m:oMathPara>
        <m:oMath>
          <m:d>
            <m:dPr>
              <m:begChr m:val="["/>
              <m:endChr m:val="]"/>
              <m:ctrlPr>
                <w:rPr>
                  <w:rFonts w:ascii="Cambria Math" w:hAnsi="Cambria Math" w:cs="Times New Roman"/>
                  <w:i/>
                </w:rPr>
              </m:ctrlPr>
            </m:dPr>
            <m:e>
              <m:r>
                <w:rPr>
                  <w:rFonts w:ascii="Cambria Math" w:hAnsi="Cambria Math" w:cs="Times New Roman"/>
                </w:rPr>
                <m:t>H</m:t>
              </m:r>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H</m:t>
              </m:r>
            </m:e>
          </m:d>
          <m:r>
            <w:rPr>
              <w:rFonts w:ascii="Cambria Math" w:hAnsi="Cambria Math" w:cs="Times New Roman"/>
            </w:rPr>
            <m:t>+</m:t>
          </m:r>
          <m:d>
            <m:dPr>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QuantumYield</m:t>
                  </m:r>
                </m:e>
              </m:d>
              <m:d>
                <m:dPr>
                  <m:ctrlPr>
                    <w:rPr>
                      <w:rFonts w:ascii="Cambria Math" w:hAnsi="Cambria Math" w:cs="Times New Roman"/>
                      <w:i/>
                    </w:rPr>
                  </m:ctrlPr>
                </m:dPr>
                <m:e>
                  <m:r>
                    <w:rPr>
                      <w:rFonts w:ascii="Cambria Math" w:hAnsi="Cambria Math" w:cs="Times New Roman"/>
                    </w:rPr>
                    <m:t>DOC</m:t>
                  </m:r>
                </m:e>
              </m:d>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PAR</m:t>
                      </m:r>
                    </m:e>
                    <m:sub>
                      <m:r>
                        <w:rPr>
                          <w:rFonts w:ascii="Cambria Math" w:hAnsi="Cambria Math" w:cs="Times New Roman"/>
                        </w:rPr>
                        <m:t>total</m:t>
                      </m:r>
                    </m:sub>
                  </m:sSub>
                </m:e>
              </m:d>
              <m:r>
                <w:rPr>
                  <w:rFonts w:ascii="Cambria Math" w:hAnsi="Cambria Math" w:cs="Times New Roman"/>
                </w:rPr>
                <m:t xml:space="preserve">-abioticHdecay </m:t>
              </m:r>
              <m:d>
                <m:dPr>
                  <m:begChr m:val="["/>
                  <m:endChr m:val="]"/>
                  <m:ctrlPr>
                    <w:rPr>
                      <w:rFonts w:ascii="Cambria Math" w:hAnsi="Cambria Math" w:cs="Times New Roman"/>
                      <w:i/>
                    </w:rPr>
                  </m:ctrlPr>
                </m:dPr>
                <m:e>
                  <m:r>
                    <w:rPr>
                      <w:rFonts w:ascii="Cambria Math" w:hAnsi="Cambria Math" w:cs="Times New Roman"/>
                    </w:rPr>
                    <m:t>H</m:t>
                  </m:r>
                </m:e>
              </m:d>
              <m: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biotic</m:t>
                  </m:r>
                  <m:ctrlPr>
                    <w:rPr>
                      <w:rFonts w:ascii="Cambria Math" w:hAnsi="Cambria Math" w:cs="Times New Roman"/>
                      <w:i/>
                    </w:rPr>
                  </m:ctrlPr>
                </m:e>
                <m:sub>
                  <m:r>
                    <m:rPr>
                      <m:sty m:val="p"/>
                    </m:rPr>
                    <w:rPr>
                      <w:rFonts w:ascii="Cambria Math" w:hAnsi="Cambria Math" w:cs="Times New Roman"/>
                    </w:rPr>
                    <m:t>detox</m:t>
                  </m:r>
                </m:sub>
              </m:sSub>
              <m:d>
                <m:dPr>
                  <m:begChr m:val="["/>
                  <m:endChr m:val="]"/>
                  <m:ctrlPr>
                    <w:rPr>
                      <w:rFonts w:ascii="Cambria Math" w:hAnsi="Cambria Math" w:cs="Times New Roman"/>
                    </w:rPr>
                  </m:ctrlPr>
                </m:dPr>
                <m:e>
                  <m:r>
                    <m:rPr>
                      <m:sty m:val="p"/>
                    </m:rPr>
                    <w:rPr>
                      <w:rFonts w:ascii="Cambria Math" w:hAnsi="Cambria Math" w:cs="Times New Roman"/>
                    </w:rPr>
                    <m:t>H</m:t>
                  </m:r>
                </m:e>
              </m:d>
              <m:ctrlPr>
                <w:rPr>
                  <w:rFonts w:ascii="Cambria Math" w:hAnsi="Cambria Math" w:cs="Times New Roman"/>
                </w:rPr>
              </m:ctrlPr>
            </m:e>
          </m:d>
          <m:r>
            <m:rPr>
              <m:sty m:val="p"/>
            </m:rPr>
            <w:rPr>
              <w:rFonts w:ascii="Cambria Math" w:hAnsi="Cambria Math" w:cs="Times New Roman"/>
            </w:rPr>
            <m:t>*timestep</m:t>
          </m:r>
        </m:oMath>
      </m:oMathPara>
    </w:p>
    <w:p w14:paraId="6EECC4AB" w14:textId="3ED6B8B8" w:rsidR="007175B3" w:rsidRPr="007175B3" w:rsidRDefault="007175B3" w:rsidP="00AB2160">
      <w:pPr>
        <w:spacing w:line="360" w:lineRule="auto"/>
        <w:rPr>
          <w:rFonts w:ascii="Times New Roman" w:hAnsi="Times New Roman" w:cs="Times New Roman"/>
        </w:rPr>
      </w:pPr>
      <w:r>
        <w:rPr>
          <w:rFonts w:ascii="Times New Roman" w:hAnsi="Times New Roman" w:cs="Times New Roman"/>
        </w:rPr>
        <w:t>H concentration         abiotic H production rate          abiotic H decay rate       biotic H de</w:t>
      </w:r>
      <w:r w:rsidR="006F2978">
        <w:rPr>
          <w:rFonts w:ascii="Times New Roman" w:hAnsi="Times New Roman" w:cs="Times New Roman"/>
        </w:rPr>
        <w:t>toxification</w:t>
      </w:r>
      <w:r>
        <w:rPr>
          <w:rFonts w:ascii="Times New Roman" w:hAnsi="Times New Roman" w:cs="Times New Roman"/>
        </w:rPr>
        <w:t xml:space="preserve"> rate</w:t>
      </w:r>
    </w:p>
    <w:p w14:paraId="5517A0B0" w14:textId="10C96F44" w:rsidR="003C78B2" w:rsidRPr="003609FB" w:rsidRDefault="006B18D0" w:rsidP="00EF745F">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Here</w:t>
      </w:r>
      <w:r w:rsidR="003D1E8D"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production is now a linear function </w:t>
      </w:r>
      <w:r w:rsidR="0060418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{"citationID":"vQBOdmVd","properties":{"formattedCitation":"(Powers and Miller 2014)","plainCitation":"(Powers and Miller 2014)","noteIndex":0},"citationItems":[{"id":4526,"uris":["http://zotero.org/users/6128296/items/4SN3A73G"],"itemData":{"id":4526,"type":"article-journal","abstract":"Hydrogen peroxide (H2O2) and its precursor, superoxide (O2 ), are well-studied photochemical products that are pivotal in regulating redox transformations of trace metals and organic matter in the surface ocean. In attempts to understand the magnitude of both H2O2 and O2  photoproduction on a global scale, we implemented a model to calculate photochemical fluxes of these products from remotely sensed ocean color and modeled solar irradiances. We generated monthly climatologies for open ocean H2O2 photoproduction rates using an average apparent quantum yield (AQY) spectrum determined from laboratory irradiations of oligotrophic water collected in the Gulf of Alaska. Because the formation of H2O2 depends on secondary thermal reactions involving O2 , we also implemented a temperature correction for the H2O2 AQY using remotely sensed sea surface temperature and an Arrhenius relationship for H2O2 photoproduction. Daily photoproduction rates of H2O2 ranged from &lt;1 to over 100 nM per day, amounting to  30 mM per year in highly productive regions. When production rates were calculated without the temperature correction, maximum daily rates were underestimated by 1525%, highlighting the importance of including the temperature modification for H2O2 in these models. By making assumptions about the relationship between H2O2 and O2  photoproduction rates and O2  decay kinetics, we present a method for calculating midday O2  steady-state concentrations ([O2 ]ss)in the open ocean. Estimated [O2 ]ss ranged from 0.1–5 nM assuming biomolecular dismutation was the only sink for O2 , but were reduced to 0.1–290 pM when catalytic pathways were included. While the approach presented here provides the first global scale estimates of marine [O2 ]ss from remote sensing, the potential of this model to quantify O2  photoproduction rates and [O2 ]ss will not be fully realized until the mechanisms controlling O2  photoproduction and decay are better understood.","container-title":"Environ. Sci.: Processes Impacts","DOI":"10.1039/C3EM00617D","ISSN":"2050-7887, 2050-7895","issue":"4","journalAbbreviation":"Environ. Sci.: Processes Impacts","language":"en","page":"792-806","source":"DOI.org (Crossref)","title":"Blending remote sensing data products to estimate photochemical production of hydrogen peroxide and superoxide in the surface ocean","volume":"16","author":[{"family":"Powers","given":""},{"family":"Miller","given":"William L."}],"issued":{"date-parts":[["2014"]]}}}],"schema":"https://github.com/citation-style-language/schema/raw/master/csl-citation.json"} </w:instrText>
      </w:r>
      <w:r w:rsidR="00604185"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(Powers and Miller 2014)</w:t>
      </w:r>
      <w:r w:rsidR="00604185" w:rsidRPr="003609FB">
        <w:rPr>
          <w:rFonts w:ascii="Times New Roman" w:hAnsi="Times New Roman" w:cs="Times New Roman"/>
          <w:sz w:val="24"/>
          <w:szCs w:val="24"/>
        </w:rPr>
        <w:fldChar w:fldCharType="end"/>
      </w:r>
      <w:r w:rsidR="00604185" w:rsidRPr="003609FB">
        <w:rPr>
          <w:rFonts w:ascii="Times New Roman" w:hAnsi="Times New Roman" w:cs="Times New Roman"/>
          <w:sz w:val="24"/>
          <w:szCs w:val="24"/>
        </w:rPr>
        <w:t xml:space="preserve"> </w:t>
      </w:r>
      <w:r w:rsidRPr="003609FB">
        <w:rPr>
          <w:rFonts w:ascii="Times New Roman" w:hAnsi="Times New Roman" w:cs="Times New Roman"/>
          <w:sz w:val="24"/>
          <w:szCs w:val="24"/>
        </w:rPr>
        <w:t>of</w:t>
      </w:r>
      <w:r w:rsidR="003D1E8D" w:rsidRPr="003609FB">
        <w:rPr>
          <w:rFonts w:ascii="Times New Roman" w:hAnsi="Times New Roman" w:cs="Times New Roman"/>
          <w:sz w:val="24"/>
          <w:szCs w:val="24"/>
        </w:rPr>
        <w:t xml:space="preserve"> dissolved organic carbon (DOC) and Total Photosynthetically Available Radiation (PAR).</w:t>
      </w:r>
      <w:r w:rsidR="00F64BF4"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The </w:t>
      </w:r>
      <w:r w:rsidRPr="003609FB">
        <w:rPr>
          <w:rFonts w:ascii="Times New Roman" w:hAnsi="Times New Roman" w:cs="Times New Roman"/>
          <w:sz w:val="24"/>
          <w:szCs w:val="24"/>
        </w:rPr>
        <w:t>a</w:t>
      </w:r>
      <w:r w:rsidR="003D1E8D" w:rsidRPr="003609FB">
        <w:rPr>
          <w:rFonts w:ascii="Times New Roman" w:hAnsi="Times New Roman" w:cs="Times New Roman"/>
          <w:sz w:val="24"/>
          <w:szCs w:val="24"/>
        </w:rPr>
        <w:t xml:space="preserve">biotic decay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was merely converted from recovered </w:t>
      </w:r>
      <w:r w:rsidR="0018798F" w:rsidRPr="003609FB">
        <w:rPr>
          <w:rFonts w:ascii="Times New Roman" w:hAnsi="Times New Roman" w:cs="Times New Roman"/>
          <w:sz w:val="24"/>
          <w:szCs w:val="24"/>
        </w:rPr>
        <w:t>C</w:t>
      </w:r>
      <w:r w:rsidR="003D1E8D" w:rsidRPr="003609FB">
        <w:rPr>
          <w:rFonts w:ascii="Times New Roman" w:hAnsi="Times New Roman" w:cs="Times New Roman"/>
          <w:sz w:val="24"/>
          <w:szCs w:val="24"/>
        </w:rPr>
        <w:t>hapter 2 findings</w:t>
      </w:r>
      <w:r w:rsidRPr="003609FB">
        <w:rPr>
          <w:rFonts w:ascii="Times New Roman" w:hAnsi="Times New Roman" w:cs="Times New Roman"/>
          <w:sz w:val="24"/>
          <w:szCs w:val="24"/>
        </w:rPr>
        <w:t>, and the biotic detoxification term</w:t>
      </w:r>
      <w:r w:rsidR="003D1E8D" w:rsidRPr="003609FB">
        <w:rPr>
          <w:rFonts w:ascii="Times New Roman" w:hAnsi="Times New Roman" w:cs="Times New Roman"/>
          <w:sz w:val="24"/>
          <w:szCs w:val="24"/>
        </w:rPr>
        <w:t xml:space="preserve"> is </w:t>
      </w:r>
      <w:r w:rsidRPr="003609FB">
        <w:rPr>
          <w:rFonts w:ascii="Times New Roman" w:hAnsi="Times New Roman" w:cs="Times New Roman"/>
          <w:sz w:val="24"/>
          <w:szCs w:val="24"/>
        </w:rPr>
        <w:t>described</w:t>
      </w:r>
      <w:r w:rsidR="003D1E8D" w:rsidRPr="003609FB">
        <w:rPr>
          <w:rFonts w:ascii="Times New Roman" w:hAnsi="Times New Roman" w:cs="Times New Roman"/>
          <w:sz w:val="24"/>
          <w:szCs w:val="24"/>
        </w:rPr>
        <w:t xml:space="preserve"> below</w:t>
      </w:r>
      <w:r w:rsidRPr="003609FB">
        <w:rPr>
          <w:rFonts w:ascii="Times New Roman" w:hAnsi="Times New Roman" w:cs="Times New Roman"/>
          <w:sz w:val="24"/>
          <w:szCs w:val="24"/>
        </w:rPr>
        <w:t>.</w:t>
      </w:r>
      <w:r w:rsidR="003D1E8D" w:rsidRPr="003609FB">
        <w:rPr>
          <w:rFonts w:ascii="Times New Roman" w:hAnsi="Times New Roman" w:cs="Times New Roman"/>
          <w:sz w:val="24"/>
          <w:szCs w:val="24"/>
        </w:rPr>
        <w:t xml:space="preserve"> </w:t>
      </w:r>
      <w:r w:rsidR="00F64BF4" w:rsidRPr="003609FB">
        <w:rPr>
          <w:rFonts w:ascii="Times New Roman" w:hAnsi="Times New Roman" w:cs="Times New Roman"/>
          <w:sz w:val="24"/>
          <w:szCs w:val="24"/>
        </w:rPr>
        <w:t>The timestep parameter controls the time step for integration and was set to three hours for all simulations.</w:t>
      </w:r>
      <w:r w:rsidR="003669D7">
        <w:rPr>
          <w:rFonts w:ascii="Times New Roman" w:hAnsi="Times New Roman" w:cs="Times New Roman"/>
          <w:sz w:val="24"/>
          <w:szCs w:val="24"/>
        </w:rPr>
        <w:t xml:space="preserve"> </w:t>
      </w:r>
      <w:r w:rsidR="003669D7" w:rsidRPr="003609FB">
        <w:rPr>
          <w:rFonts w:ascii="Times New Roman" w:hAnsi="Times New Roman" w:cs="Times New Roman"/>
          <w:sz w:val="24"/>
          <w:szCs w:val="24"/>
        </w:rPr>
        <w:t>H</w:t>
      </w:r>
      <w:r w:rsidR="003669D7" w:rsidRPr="00351FC4">
        <w:rPr>
          <w:rFonts w:ascii="Times New Roman" w:hAnsi="Times New Roman" w:cs="Times New Roman"/>
          <w:sz w:val="24"/>
          <w:szCs w:val="24"/>
          <w:vertAlign w:val="subscript"/>
        </w:rPr>
        <w:t>2</w:t>
      </w:r>
      <w:r w:rsidR="003669D7" w:rsidRPr="003609FB">
        <w:rPr>
          <w:rFonts w:ascii="Times New Roman" w:hAnsi="Times New Roman" w:cs="Times New Roman"/>
          <w:sz w:val="24"/>
          <w:szCs w:val="24"/>
        </w:rPr>
        <w:t>O</w:t>
      </w:r>
      <w:r w:rsidR="003669D7" w:rsidRPr="00351FC4">
        <w:rPr>
          <w:rFonts w:ascii="Times New Roman" w:hAnsi="Times New Roman" w:cs="Times New Roman"/>
          <w:sz w:val="24"/>
          <w:szCs w:val="24"/>
          <w:vertAlign w:val="subscript"/>
        </w:rPr>
        <w:t>2</w:t>
      </w:r>
      <w:r w:rsidR="003669D7">
        <w:rPr>
          <w:rFonts w:ascii="Times New Roman" w:hAnsi="Times New Roman" w:cs="Times New Roman"/>
          <w:sz w:val="24"/>
          <w:szCs w:val="24"/>
        </w:rPr>
        <w:t xml:space="preserve"> production was initiated at year 1 in the Darwin burn in period with a starting concentration of 0 and augmented abiotic </w:t>
      </w:r>
      <w:r w:rsidR="003669D7" w:rsidRPr="003609FB">
        <w:rPr>
          <w:rFonts w:ascii="Times New Roman" w:hAnsi="Times New Roman" w:cs="Times New Roman"/>
          <w:sz w:val="24"/>
          <w:szCs w:val="24"/>
        </w:rPr>
        <w:t>H</w:t>
      </w:r>
      <w:r w:rsidR="003669D7" w:rsidRPr="00351FC4">
        <w:rPr>
          <w:rFonts w:ascii="Times New Roman" w:hAnsi="Times New Roman" w:cs="Times New Roman"/>
          <w:sz w:val="24"/>
          <w:szCs w:val="24"/>
          <w:vertAlign w:val="subscript"/>
        </w:rPr>
        <w:t>2</w:t>
      </w:r>
      <w:r w:rsidR="003669D7" w:rsidRPr="003609FB">
        <w:rPr>
          <w:rFonts w:ascii="Times New Roman" w:hAnsi="Times New Roman" w:cs="Times New Roman"/>
          <w:sz w:val="24"/>
          <w:szCs w:val="24"/>
        </w:rPr>
        <w:t>O</w:t>
      </w:r>
      <w:r w:rsidR="003669D7" w:rsidRPr="00351FC4">
        <w:rPr>
          <w:rFonts w:ascii="Times New Roman" w:hAnsi="Times New Roman" w:cs="Times New Roman"/>
          <w:sz w:val="24"/>
          <w:szCs w:val="24"/>
          <w:vertAlign w:val="subscript"/>
        </w:rPr>
        <w:t>2</w:t>
      </w:r>
      <w:r w:rsidR="003669D7">
        <w:rPr>
          <w:rFonts w:ascii="Times New Roman" w:hAnsi="Times New Roman" w:cs="Times New Roman"/>
          <w:sz w:val="24"/>
          <w:szCs w:val="24"/>
        </w:rPr>
        <w:t xml:space="preserve"> supply and decay parameters. The </w:t>
      </w:r>
      <w:r w:rsidR="003669D7" w:rsidRPr="003609FB">
        <w:rPr>
          <w:rFonts w:ascii="Times New Roman" w:hAnsi="Times New Roman" w:cs="Times New Roman"/>
          <w:sz w:val="24"/>
          <w:szCs w:val="24"/>
        </w:rPr>
        <w:t>H</w:t>
      </w:r>
      <w:r w:rsidR="003669D7" w:rsidRPr="00351FC4">
        <w:rPr>
          <w:rFonts w:ascii="Times New Roman" w:hAnsi="Times New Roman" w:cs="Times New Roman"/>
          <w:sz w:val="24"/>
          <w:szCs w:val="24"/>
          <w:vertAlign w:val="subscript"/>
        </w:rPr>
        <w:t>2</w:t>
      </w:r>
      <w:r w:rsidR="003669D7" w:rsidRPr="003609FB">
        <w:rPr>
          <w:rFonts w:ascii="Times New Roman" w:hAnsi="Times New Roman" w:cs="Times New Roman"/>
          <w:sz w:val="24"/>
          <w:szCs w:val="24"/>
        </w:rPr>
        <w:t>O</w:t>
      </w:r>
      <w:r w:rsidR="003669D7" w:rsidRPr="00351FC4">
        <w:rPr>
          <w:rFonts w:ascii="Times New Roman" w:hAnsi="Times New Roman" w:cs="Times New Roman"/>
          <w:sz w:val="24"/>
          <w:szCs w:val="24"/>
          <w:vertAlign w:val="subscript"/>
        </w:rPr>
        <w:t>2</w:t>
      </w:r>
      <w:r w:rsidR="003669D7">
        <w:rPr>
          <w:rFonts w:ascii="Times New Roman" w:hAnsi="Times New Roman" w:cs="Times New Roman"/>
          <w:sz w:val="24"/>
          <w:szCs w:val="24"/>
          <w:vertAlign w:val="subscript"/>
        </w:rPr>
        <w:t xml:space="preserve"> </w:t>
      </w:r>
      <w:r w:rsidR="003669D7">
        <w:rPr>
          <w:rFonts w:ascii="Times New Roman" w:hAnsi="Times New Roman" w:cs="Times New Roman"/>
          <w:sz w:val="24"/>
          <w:szCs w:val="24"/>
        </w:rPr>
        <w:t>dynamics were allowed to stabilize over 9 years. The 10</w:t>
      </w:r>
      <w:r w:rsidR="003669D7" w:rsidRPr="003669D7">
        <w:rPr>
          <w:rFonts w:ascii="Times New Roman" w:hAnsi="Times New Roman" w:cs="Times New Roman"/>
          <w:sz w:val="24"/>
          <w:szCs w:val="24"/>
          <w:vertAlign w:val="superscript"/>
        </w:rPr>
        <w:t>th</w:t>
      </w:r>
      <w:r w:rsidR="003669D7">
        <w:rPr>
          <w:rFonts w:ascii="Times New Roman" w:hAnsi="Times New Roman" w:cs="Times New Roman"/>
          <w:sz w:val="24"/>
          <w:szCs w:val="24"/>
        </w:rPr>
        <w:t xml:space="preserve"> year within the Darwin model is then used for analysis of mean yearly </w:t>
      </w:r>
      <w:r w:rsidR="003669D7" w:rsidRPr="003609FB">
        <w:rPr>
          <w:rFonts w:ascii="Times New Roman" w:hAnsi="Times New Roman" w:cs="Times New Roman"/>
          <w:sz w:val="24"/>
          <w:szCs w:val="24"/>
        </w:rPr>
        <w:t>H</w:t>
      </w:r>
      <w:r w:rsidR="003669D7" w:rsidRPr="00351FC4">
        <w:rPr>
          <w:rFonts w:ascii="Times New Roman" w:hAnsi="Times New Roman" w:cs="Times New Roman"/>
          <w:sz w:val="24"/>
          <w:szCs w:val="24"/>
          <w:vertAlign w:val="subscript"/>
        </w:rPr>
        <w:t>2</w:t>
      </w:r>
      <w:r w:rsidR="003669D7" w:rsidRPr="003609FB">
        <w:rPr>
          <w:rFonts w:ascii="Times New Roman" w:hAnsi="Times New Roman" w:cs="Times New Roman"/>
          <w:sz w:val="24"/>
          <w:szCs w:val="24"/>
        </w:rPr>
        <w:t>O</w:t>
      </w:r>
      <w:r w:rsidR="003669D7" w:rsidRPr="00351FC4">
        <w:rPr>
          <w:rFonts w:ascii="Times New Roman" w:hAnsi="Times New Roman" w:cs="Times New Roman"/>
          <w:sz w:val="24"/>
          <w:szCs w:val="24"/>
          <w:vertAlign w:val="subscript"/>
        </w:rPr>
        <w:t>2</w:t>
      </w:r>
      <w:r w:rsidR="003669D7">
        <w:rPr>
          <w:rFonts w:ascii="Times New Roman" w:hAnsi="Times New Roman" w:cs="Times New Roman"/>
          <w:sz w:val="24"/>
          <w:szCs w:val="24"/>
        </w:rPr>
        <w:t xml:space="preserve"> dynamics and projected resultant impacts on biotic tracers. </w:t>
      </w:r>
    </w:p>
    <w:p w14:paraId="6AE308DF" w14:textId="4C1DEC1E" w:rsidR="00691E30" w:rsidRPr="00691E30" w:rsidRDefault="003D1E8D" w:rsidP="00AB2160">
      <w:pPr>
        <w:pStyle w:val="Heading3"/>
        <w:spacing w:line="360" w:lineRule="auto"/>
      </w:pPr>
      <w:bookmarkStart w:id="68" w:name="_Toc173250045"/>
      <w:r w:rsidRPr="003609FB">
        <w:t xml:space="preserve">Case 1 – Nonleaky world, </w:t>
      </w:r>
      <w:r w:rsidR="00F52F1E" w:rsidRPr="003609FB">
        <w:t>H</w:t>
      </w:r>
      <w:r w:rsidR="00F52F1E" w:rsidRPr="00351FC4">
        <w:rPr>
          <w:vertAlign w:val="subscript"/>
        </w:rPr>
        <w:t>2</w:t>
      </w:r>
      <w:r w:rsidR="00F52F1E" w:rsidRPr="003609FB">
        <w:t>O</w:t>
      </w:r>
      <w:r w:rsidR="00F52F1E" w:rsidRPr="00351FC4">
        <w:rPr>
          <w:vertAlign w:val="subscript"/>
        </w:rPr>
        <w:t>2</w:t>
      </w:r>
      <w:r w:rsidRPr="003609FB">
        <w:t xml:space="preserve"> </w:t>
      </w:r>
      <w:r w:rsidR="00912905">
        <w:t>n</w:t>
      </w:r>
      <w:r w:rsidRPr="003609FB">
        <w:t>o-impact</w:t>
      </w:r>
      <w:bookmarkEnd w:id="68"/>
      <w:r w:rsidRPr="003609FB">
        <w:t xml:space="preserve"> </w:t>
      </w:r>
    </w:p>
    <w:p w14:paraId="18F87473" w14:textId="0E8FE306" w:rsidR="003D1E8D" w:rsidRPr="003609FB"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tracers 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 Darwin were hijacked to allow for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trait parameter tradeoff analysis. For case 1, and all following cases,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were set to different size classes, with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being the smaller, to allow Darwin’s allometry-based framework inflict a growth cost on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for retaining detoxification enzymes. </w:t>
      </w:r>
      <w:r w:rsidR="00F64BF4" w:rsidRPr="003609FB">
        <w:rPr>
          <w:rFonts w:ascii="Times New Roman" w:hAnsi="Times New Roman" w:cs="Times New Roman"/>
          <w:sz w:val="24"/>
          <w:szCs w:val="24"/>
        </w:rPr>
        <w:t xml:space="preserve">Detoxification of exogenous </w:t>
      </w:r>
      <w:r w:rsidR="00EF745F" w:rsidRPr="003609FB">
        <w:rPr>
          <w:rFonts w:ascii="Times New Roman" w:hAnsi="Times New Roman" w:cs="Times New Roman"/>
          <w:sz w:val="24"/>
          <w:szCs w:val="24"/>
        </w:rPr>
        <w:t>H</w:t>
      </w:r>
      <w:r w:rsidR="00EF745F" w:rsidRPr="00351FC4">
        <w:rPr>
          <w:rFonts w:ascii="Times New Roman" w:hAnsi="Times New Roman" w:cs="Times New Roman"/>
          <w:sz w:val="24"/>
          <w:szCs w:val="24"/>
          <w:vertAlign w:val="subscript"/>
        </w:rPr>
        <w:t>2</w:t>
      </w:r>
      <w:r w:rsidR="00EF745F" w:rsidRPr="003609FB">
        <w:rPr>
          <w:rFonts w:ascii="Times New Roman" w:hAnsi="Times New Roman" w:cs="Times New Roman"/>
          <w:sz w:val="24"/>
          <w:szCs w:val="24"/>
        </w:rPr>
        <w:t>O</w:t>
      </w:r>
      <w:r w:rsidR="00EF745F" w:rsidRPr="00351FC4">
        <w:rPr>
          <w:rFonts w:ascii="Times New Roman" w:hAnsi="Times New Roman" w:cs="Times New Roman"/>
          <w:sz w:val="24"/>
          <w:szCs w:val="24"/>
          <w:vertAlign w:val="subscript"/>
        </w:rPr>
        <w:t>2</w:t>
      </w:r>
      <w:r w:rsidR="00EF745F">
        <w:rPr>
          <w:rFonts w:ascii="Times New Roman" w:hAnsi="Times New Roman" w:cs="Times New Roman"/>
          <w:sz w:val="24"/>
          <w:szCs w:val="24"/>
          <w:vertAlign w:val="subscript"/>
        </w:rPr>
        <w:t xml:space="preserve"> </w:t>
      </w:r>
      <w:r w:rsidR="00F64BF4" w:rsidRPr="003609FB">
        <w:rPr>
          <w:rFonts w:ascii="Times New Roman" w:hAnsi="Times New Roman" w:cs="Times New Roman"/>
          <w:sz w:val="24"/>
          <w:szCs w:val="24"/>
        </w:rPr>
        <w:t xml:space="preserve">was neglected by setting </w:t>
      </w:r>
      <w:proofErr w:type="spellStart"/>
      <w:r w:rsidR="00F64BF4" w:rsidRPr="003609FB">
        <w:rPr>
          <w:rFonts w:ascii="Times New Roman" w:hAnsi="Times New Roman" w:cs="Times New Roman"/>
          <w:sz w:val="24"/>
          <w:szCs w:val="24"/>
        </w:rPr>
        <w:t>biotic_detox</w:t>
      </w:r>
      <w:proofErr w:type="spellEnd"/>
      <w:r w:rsidR="00F64BF4" w:rsidRPr="003609FB">
        <w:rPr>
          <w:rFonts w:ascii="Times New Roman" w:hAnsi="Times New Roman" w:cs="Times New Roman"/>
          <w:sz w:val="24"/>
          <w:szCs w:val="24"/>
        </w:rPr>
        <w:t xml:space="preserve"> in the [</w:t>
      </w:r>
      <w:r w:rsidR="0021436A">
        <w:rPr>
          <w:rFonts w:ascii="Times New Roman" w:hAnsi="Times New Roman" w:cs="Times New Roman"/>
          <w:sz w:val="24"/>
          <w:szCs w:val="24"/>
        </w:rPr>
        <w:t>H</w:t>
      </w:r>
      <w:r w:rsidR="00F64BF4" w:rsidRPr="003609FB">
        <w:rPr>
          <w:rFonts w:ascii="Times New Roman" w:hAnsi="Times New Roman" w:cs="Times New Roman"/>
          <w:sz w:val="24"/>
          <w:szCs w:val="24"/>
        </w:rPr>
        <w:t xml:space="preserve">] </w:t>
      </w:r>
      <w:r w:rsidR="0021436A">
        <w:rPr>
          <w:rFonts w:ascii="Times New Roman" w:hAnsi="Times New Roman" w:cs="Times New Roman"/>
          <w:sz w:val="24"/>
          <w:szCs w:val="24"/>
        </w:rPr>
        <w:t xml:space="preserve">tracer </w:t>
      </w:r>
      <w:r w:rsidR="00F64BF4" w:rsidRPr="003609FB">
        <w:rPr>
          <w:rFonts w:ascii="Times New Roman" w:hAnsi="Times New Roman" w:cs="Times New Roman"/>
          <w:sz w:val="24"/>
          <w:szCs w:val="24"/>
        </w:rPr>
        <w:t>equation to zero.</w:t>
      </w:r>
      <w:r w:rsidRPr="003609FB">
        <w:rPr>
          <w:rFonts w:ascii="Times New Roman" w:hAnsi="Times New Roman" w:cs="Times New Roman"/>
          <w:sz w:val="24"/>
          <w:szCs w:val="24"/>
        </w:rPr>
        <w:t xml:space="preserve"> Nutrient distributions </w:t>
      </w:r>
      <w:r w:rsidR="00F64BF4" w:rsidRPr="003609FB">
        <w:rPr>
          <w:rFonts w:ascii="Times New Roman" w:hAnsi="Times New Roman" w:cs="Times New Roman"/>
          <w:sz w:val="24"/>
          <w:szCs w:val="24"/>
        </w:rPr>
        <w:t>we</w:t>
      </w:r>
      <w:r w:rsidRPr="003609FB">
        <w:rPr>
          <w:rFonts w:ascii="Times New Roman" w:hAnsi="Times New Roman" w:cs="Times New Roman"/>
          <w:sz w:val="24"/>
          <w:szCs w:val="24"/>
        </w:rPr>
        <w:t xml:space="preserve">re initialized from previous Darwin simulations. The tracers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were then </w:t>
      </w:r>
      <w:r w:rsidR="004F0EAB">
        <w:rPr>
          <w:rFonts w:ascii="Times New Roman" w:hAnsi="Times New Roman" w:cs="Times New Roman"/>
          <w:sz w:val="24"/>
          <w:szCs w:val="24"/>
        </w:rPr>
        <w:t>simulated</w:t>
      </w:r>
      <w:r w:rsidRPr="003609FB">
        <w:rPr>
          <w:rFonts w:ascii="Times New Roman" w:hAnsi="Times New Roman" w:cs="Times New Roman"/>
          <w:sz w:val="24"/>
          <w:szCs w:val="24"/>
        </w:rPr>
        <w:t xml:space="preserve"> over 10 years. This non-leaky</w:t>
      </w:r>
      <w:r w:rsidR="00322BF4"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22BF4" w:rsidRPr="003609FB">
        <w:rPr>
          <w:rFonts w:ascii="Times New Roman" w:hAnsi="Times New Roman" w:cs="Times New Roman"/>
          <w:sz w:val="24"/>
          <w:szCs w:val="24"/>
        </w:rPr>
        <w:t xml:space="preserve"> assumption,</w:t>
      </w:r>
      <w:r w:rsidRPr="003609FB">
        <w:rPr>
          <w:rFonts w:ascii="Times New Roman" w:hAnsi="Times New Roman" w:cs="Times New Roman"/>
          <w:sz w:val="24"/>
          <w:szCs w:val="24"/>
        </w:rPr>
        <w:t xml:space="preserve"> </w:t>
      </w:r>
      <w:r w:rsidR="0018798F" w:rsidRPr="003609FB">
        <w:rPr>
          <w:rFonts w:ascii="Times New Roman" w:hAnsi="Times New Roman" w:cs="Times New Roman"/>
          <w:sz w:val="24"/>
          <w:szCs w:val="24"/>
        </w:rPr>
        <w:t>c</w:t>
      </w:r>
      <w:r w:rsidRPr="003609FB">
        <w:rPr>
          <w:rFonts w:ascii="Times New Roman" w:hAnsi="Times New Roman" w:cs="Times New Roman"/>
          <w:sz w:val="24"/>
          <w:szCs w:val="24"/>
        </w:rPr>
        <w:t>ase 1</w:t>
      </w:r>
      <w:r w:rsidR="00322BF4" w:rsidRPr="003609FB">
        <w:rPr>
          <w:rFonts w:ascii="Times New Roman" w:hAnsi="Times New Roman" w:cs="Times New Roman"/>
          <w:sz w:val="24"/>
          <w:szCs w:val="24"/>
        </w:rPr>
        <w:t>,</w:t>
      </w:r>
      <w:r w:rsidRPr="003609FB">
        <w:rPr>
          <w:rFonts w:ascii="Times New Roman" w:hAnsi="Times New Roman" w:cs="Times New Roman"/>
          <w:sz w:val="24"/>
          <w:szCs w:val="24"/>
        </w:rPr>
        <w:t xml:space="preserve"> allows for the analysis </w:t>
      </w:r>
      <w:r w:rsidR="00342269" w:rsidRPr="003609FB">
        <w:rPr>
          <w:rFonts w:ascii="Times New Roman" w:hAnsi="Times New Roman" w:cs="Times New Roman"/>
          <w:sz w:val="24"/>
          <w:szCs w:val="24"/>
        </w:rPr>
        <w:t xml:space="preserve">of </w:t>
      </w:r>
      <w:r w:rsidR="0018798F"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3 competition </w:t>
      </w:r>
      <w:r w:rsidR="00342269" w:rsidRPr="003609FB">
        <w:rPr>
          <w:rFonts w:ascii="Times New Roman" w:hAnsi="Times New Roman" w:cs="Times New Roman"/>
          <w:sz w:val="24"/>
          <w:szCs w:val="24"/>
        </w:rPr>
        <w:t>frameworks</w:t>
      </w:r>
      <w:r w:rsidRPr="003609FB">
        <w:rPr>
          <w:rFonts w:ascii="Times New Roman" w:hAnsi="Times New Roman" w:cs="Times New Roman"/>
          <w:sz w:val="24"/>
          <w:szCs w:val="24"/>
        </w:rPr>
        <w:t xml:space="preserve"> with </w:t>
      </w:r>
      <w:r w:rsidR="00342269" w:rsidRPr="003609FB">
        <w:rPr>
          <w:rFonts w:ascii="Times New Roman" w:hAnsi="Times New Roman" w:cs="Times New Roman"/>
          <w:sz w:val="24"/>
          <w:szCs w:val="24"/>
        </w:rPr>
        <w:t xml:space="preserve">a set of </w:t>
      </w:r>
      <w:r w:rsidRPr="003609FB">
        <w:rPr>
          <w:rFonts w:ascii="Times New Roman" w:hAnsi="Times New Roman" w:cs="Times New Roman"/>
          <w:sz w:val="24"/>
          <w:szCs w:val="24"/>
        </w:rPr>
        <w:t xml:space="preserve">global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projections. With no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damage term implemented on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the cost of higher cell size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and innate differences in nitrogen</w:t>
      </w:r>
      <w:r w:rsidR="00C50367">
        <w:rPr>
          <w:rFonts w:ascii="Times New Roman" w:hAnsi="Times New Roman" w:cs="Times New Roman"/>
          <w:sz w:val="24"/>
          <w:szCs w:val="24"/>
        </w:rPr>
        <w:t xml:space="preserve"> </w:t>
      </w:r>
      <w:r w:rsidR="00C50367">
        <w:rPr>
          <w:rFonts w:ascii="Times New Roman" w:hAnsi="Times New Roman" w:cs="Times New Roman"/>
          <w:sz w:val="24"/>
          <w:szCs w:val="24"/>
        </w:rPr>
        <w:lastRenderedPageBreak/>
        <w:t>uptake and utilization</w:t>
      </w:r>
      <w:r w:rsidRPr="003609FB">
        <w:rPr>
          <w:rFonts w:ascii="Times New Roman" w:hAnsi="Times New Roman" w:cs="Times New Roman"/>
          <w:sz w:val="24"/>
          <w:szCs w:val="24"/>
        </w:rPr>
        <w:t xml:space="preserve"> traits </w:t>
      </w:r>
      <w:r w:rsidR="00604185"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{"citationID":"LzWSJgN2","properties":{"formattedCitation":"(de Marsac et al. 2001; Moore et al. 2002)","plainCitation":"(de Marsac et al. 2001; Moore et al. 2002)","noteIndex":0},"citationItems":[{"id":3387,"uris":["http://zotero.org/users/6128296/items/IJ49KWSC"],"itemData":{"id":3387,"type":"article-journal","abstract":"In the unicellular cyanobacteria that do not ﬁx molecular nitrogen, interactions between N assimilation and C metabolism occur through the signal transducer PII and the global nitrogen regulator NtcA. Under high CO2 concentration, PII liganded to ATP and bound to 2-oxoglutarate becomes phosphorylated and negatively controls the high afﬁnity transport for bicarbonate. In contrast, under low CO2, PII being only liganded to ATP becomes dephosphorylated and negatively controls the nitrate/nitrite active transport system. The redox state of the cells together with NtcA also modulate the phosphorylation state of PII. Moreover, the regulation of the expression of the gene encoding PII is at least in part NthA-dependent. This network of transcriptional and post-transcriptional regulations allows cells to rapidly acclimate by adjusting their carbon and nitrogen metabolism in response to changes in environmental conditions.","container-title":"Journal of Applied Phycology","language":"en","page":"287–292","source":"Zotero","title":"Control of nitrogen and carbon metabolism in cyanobacteria","volume":"13","author":[{"family":"de Marsac","given":""},{"family":"Lee","given":"H M"},{"family":"Hisbergues","given":"M"},{"family":"Castets","given":"A M"},{"family":"Bedu","given":"S"}],"issued":{"date-parts":[["2001"]]}}},{"id":111,"uris":["http://zotero.org/users/6128296/items/NFYCB9MW"],"itemData":{"id":111,"type":"article-journal","abstract":"Prochlorococcus is the most abundant phytoplankter throughout the photic zone in stratiﬁed marine waters and experiences distinct gradients of light and nitrogen nutrition. Physiologically and genetically distinct Prochlorococcus ecotypes partition the water column: high-B/A (low-light adapted) ecotypes are generally restricted to the deep euphotic zone near or at the nitracline. Low-B/A (high-light adapted) ecotypes predominate in, but are not limited to, NOϪ3 -depleted surface waters, where they outnumber coexisting Synechococcus populations. The niche partitioning by different Prochlorococcus ecotypes begs the question of whether they also differ in their nitrogen (N) utilization physiology, especially with respect to NO3Ϫ utilization. To explore this possibility, we studied the capabilities of different Prochlorococcus and Synechococcus strains to grow on a variety of N sources. We found that all the isolates grew well on NHϩ4 and all were capable of urea utilization, occasionally at a lower growth rate. None of the Prochlorococcus isolates were able to grow with NOϪ3 . Four high-B/A Prochlorococcus isolates grew on NO2Ϫ, but all others did not. Whole genome analysis of the low-B/A Prochlorococcus MED4 revealed that the genes required for NOϪ3 uptake and reduction were absent. The genome of the high-B/A Prochlorococcus MIT 9313 also lacked the NO3Ϫ utilization genes but has homologs of genes required for NO2Ϫ utilization consistent with its physiology and ecology. Thus, the utilization of different N sources in the marine environment is partitioned among closely related ecotypes, each with adaptations optimized for the environment where these sources are available.","container-title":"Limnology and Oceanography","DOI":"10.4319/lo.2002.47.4.0989","ISSN":"00243590","issue":"4","journalAbbreviation":"Limnol. Oceanogr.","language":"en","page":"989-996","source":"DOI.org (Crossref)","title":"Utilization of different nitrogen sources by the marine cyanobacteria &lt;i&gt;Prochlorococcus&lt;/i&gt; and &lt;i&gt;Synechococcus&lt;/i&gt;","volume":"47","author":[{"family":"Moore","given":""},{"family":"Post","given":"Anton F."},{"family":"Rocap","given":"Gabrielle"},{"family":"Chisholm","given":"Sallie W."}],"issued":{"date-parts":[["2002",7]]}}}],"schema":"https://github.com/citation-style-language/schema/raw/master/csl-citation.json"} </w:instrText>
      </w:r>
      <w:r w:rsidR="00604185"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(de Marsac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2001; Moore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2002)</w:t>
      </w:r>
      <w:r w:rsidR="00604185" w:rsidRPr="003609FB">
        <w:rPr>
          <w:rFonts w:ascii="Times New Roman" w:hAnsi="Times New Roman" w:cs="Times New Roman"/>
          <w:sz w:val="24"/>
          <w:szCs w:val="24"/>
        </w:rPr>
        <w:fldChar w:fldCharType="end"/>
      </w:r>
      <w:r w:rsidR="00604185" w:rsidRPr="003609FB">
        <w:rPr>
          <w:rFonts w:ascii="Times New Roman" w:hAnsi="Times New Roman" w:cs="Times New Roman"/>
          <w:sz w:val="24"/>
          <w:szCs w:val="24"/>
        </w:rPr>
        <w:t xml:space="preserve"> </w:t>
      </w:r>
      <w:r w:rsidRPr="003609FB">
        <w:rPr>
          <w:rFonts w:ascii="Times New Roman" w:hAnsi="Times New Roman" w:cs="Times New Roman"/>
          <w:sz w:val="24"/>
          <w:szCs w:val="24"/>
        </w:rPr>
        <w:t>are expected to control the competitive outcome</w:t>
      </w:r>
      <w:r w:rsidR="00C50367">
        <w:rPr>
          <w:rFonts w:ascii="Times New Roman" w:hAnsi="Times New Roman" w:cs="Times New Roman"/>
          <w:sz w:val="24"/>
          <w:szCs w:val="24"/>
        </w:rPr>
        <w:t xml:space="preserve"> </w:t>
      </w:r>
      <w:r w:rsidR="00C50367">
        <w:rPr>
          <w:rFonts w:ascii="Times New Roman" w:hAnsi="Times New Roman" w:cs="Times New Roman"/>
          <w:sz w:val="24"/>
          <w:szCs w:val="24"/>
        </w:rPr>
        <w:fldChar w:fldCharType="begin"/>
      </w:r>
      <w:r w:rsidR="001C6B5D">
        <w:rPr>
          <w:rFonts w:ascii="Times New Roman" w:hAnsi="Times New Roman" w:cs="Times New Roman"/>
          <w:sz w:val="24"/>
          <w:szCs w:val="24"/>
        </w:rPr>
        <w:instrText xml:space="preserve"> ADDIN ZOTERO_ITEM CSL_CITATION {"citationID":"d734XLDF","properties":{"formattedCitation":"(Masuda et al. 2023)","plainCitation":"(Masuda et al. 2023)","noteIndex":0},"citationItems":[{"id":3707,"uris":["http://zotero.org/users/6128296/items/LYVJQAKR"],"itemData":{"id":3707,"type":"article-journal","abstract":"Prochlorococcus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Ying"}],"issued":{"date-parts":[["2023",8,17]]}}}],"schema":"https://github.com/citation-style-language/schema/raw/master/csl-citation.json"} </w:instrText>
      </w:r>
      <w:r w:rsidR="00C50367">
        <w:rPr>
          <w:rFonts w:ascii="Times New Roman" w:hAnsi="Times New Roman" w:cs="Times New Roman"/>
          <w:sz w:val="24"/>
          <w:szCs w:val="24"/>
        </w:rPr>
        <w:fldChar w:fldCharType="separate"/>
      </w:r>
      <w:r w:rsidR="001C6B5D">
        <w:rPr>
          <w:rFonts w:ascii="Times New Roman" w:hAnsi="Times New Roman" w:cs="Times New Roman"/>
          <w:noProof/>
          <w:sz w:val="24"/>
          <w:szCs w:val="24"/>
        </w:rPr>
        <w:t xml:space="preserve">(Masuda </w:t>
      </w:r>
      <w:r w:rsidR="00183222" w:rsidRPr="00183222">
        <w:rPr>
          <w:rFonts w:ascii="Times New Roman" w:hAnsi="Times New Roman" w:cs="Times New Roman"/>
          <w:i/>
          <w:iCs/>
          <w:sz w:val="24"/>
          <w:szCs w:val="24"/>
        </w:rPr>
        <w:t>et al</w:t>
      </w:r>
      <w:r w:rsidR="001C6B5D">
        <w:rPr>
          <w:rFonts w:ascii="Times New Roman" w:hAnsi="Times New Roman" w:cs="Times New Roman"/>
          <w:noProof/>
          <w:sz w:val="24"/>
          <w:szCs w:val="24"/>
        </w:rPr>
        <w:t>. 2023)</w:t>
      </w:r>
      <w:r w:rsidR="00C50367">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088EE688" w14:textId="04E29D1A" w:rsidR="00F31464" w:rsidRDefault="003D1E8D" w:rsidP="00AB2160">
      <w:pPr>
        <w:pStyle w:val="Heading3"/>
        <w:spacing w:line="360" w:lineRule="auto"/>
      </w:pPr>
      <w:bookmarkStart w:id="69" w:name="_Toc173250046"/>
      <w:r w:rsidRPr="003609FB">
        <w:t xml:space="preserve">Case 2 </w:t>
      </w:r>
      <w:r w:rsidR="00C4164C">
        <w:t>–</w:t>
      </w:r>
      <w:r w:rsidRPr="003609FB">
        <w:t xml:space="preserve"> Non</w:t>
      </w:r>
      <w:r w:rsidR="00C4164C">
        <w:t>-</w:t>
      </w:r>
      <w:r w:rsidRPr="003609FB">
        <w:t xml:space="preserve">leaky world, </w:t>
      </w:r>
      <w:r w:rsidR="00F52F1E" w:rsidRPr="003609FB">
        <w:t>H</w:t>
      </w:r>
      <w:r w:rsidR="00F52F1E" w:rsidRPr="00351FC4">
        <w:rPr>
          <w:vertAlign w:val="subscript"/>
        </w:rPr>
        <w:t>2</w:t>
      </w:r>
      <w:r w:rsidR="00F52F1E" w:rsidRPr="003609FB">
        <w:t>O</w:t>
      </w:r>
      <w:r w:rsidR="00F52F1E" w:rsidRPr="00351FC4">
        <w:rPr>
          <w:vertAlign w:val="subscript"/>
        </w:rPr>
        <w:t>2</w:t>
      </w:r>
      <w:r w:rsidRPr="003609FB">
        <w:t xml:space="preserve"> damage on </w:t>
      </w:r>
      <w:r w:rsidR="00691B65" w:rsidRPr="00691B65">
        <w:rPr>
          <w:i/>
          <w:iCs/>
        </w:rPr>
        <w:t>Prochlorococcus</w:t>
      </w:r>
      <w:r w:rsidR="00691B65" w:rsidRPr="003609FB">
        <w:t xml:space="preserve"> </w:t>
      </w:r>
      <w:r w:rsidRPr="003609FB">
        <w:t>implemented</w:t>
      </w:r>
      <w:bookmarkEnd w:id="69"/>
    </w:p>
    <w:p w14:paraId="54ABA32B" w14:textId="41644F32" w:rsidR="003D1E8D" w:rsidRPr="003609FB" w:rsidRDefault="00237866" w:rsidP="00AB2160">
      <w:pPr>
        <w:spacing w:line="360" w:lineRule="auto"/>
        <w:rPr>
          <w:rFonts w:ascii="Times New Roman"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720704" behindDoc="0" locked="0" layoutInCell="1" allowOverlap="1" wp14:anchorId="216B62E2" wp14:editId="7D0C73E3">
                <wp:simplePos x="0" y="0"/>
                <wp:positionH relativeFrom="column">
                  <wp:posOffset>4096068</wp:posOffset>
                </wp:positionH>
                <wp:positionV relativeFrom="paragraph">
                  <wp:posOffset>1086804</wp:posOffset>
                </wp:positionV>
                <wp:extent cx="66994" cy="2442528"/>
                <wp:effectExtent l="6033" t="0" r="15557" b="15558"/>
                <wp:wrapNone/>
                <wp:docPr id="35" name="Left Brace 35"/>
                <wp:cNvGraphicFramePr/>
                <a:graphic xmlns:a="http://schemas.openxmlformats.org/drawingml/2006/main">
                  <a:graphicData uri="http://schemas.microsoft.com/office/word/2010/wordprocessingShape">
                    <wps:wsp>
                      <wps:cNvSpPr/>
                      <wps:spPr>
                        <a:xfrm rot="16200000">
                          <a:off x="0" y="0"/>
                          <a:ext cx="66994" cy="2442528"/>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3596A" id="Left Brace 35" o:spid="_x0000_s1026" type="#_x0000_t87" style="position:absolute;margin-left:322.55pt;margin-top:85.6pt;width:5.3pt;height:192.3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" adj="49" strokecolor="black [3200]" strokeweight="1pt">
                <v:stroke joinstyle="miter"/>
              </v:shape>
            </w:pict>
          </mc:Fallback>
        </mc:AlternateContent>
      </w:r>
      <w:r w:rsidR="00D450C2" w:rsidRPr="00E31311">
        <w:rPr>
          <w:rFonts w:ascii="Times New Roman" w:hAnsi="Times New Roman" w:cs="Times New Roman"/>
          <w:noProof/>
          <w:sz w:val="20"/>
          <w:szCs w:val="20"/>
        </w:rPr>
        <mc:AlternateContent>
          <mc:Choice Requires="wps">
            <w:drawing>
              <wp:anchor distT="0" distB="0" distL="114300" distR="114300" simplePos="0" relativeHeight="251719680" behindDoc="0" locked="0" layoutInCell="1" allowOverlap="1" wp14:anchorId="41BB1460" wp14:editId="32760E84">
                <wp:simplePos x="0" y="0"/>
                <wp:positionH relativeFrom="column">
                  <wp:posOffset>1804035</wp:posOffset>
                </wp:positionH>
                <wp:positionV relativeFrom="paragraph">
                  <wp:posOffset>1526221</wp:posOffset>
                </wp:positionV>
                <wp:extent cx="78105" cy="1546225"/>
                <wp:effectExtent l="2540" t="0" r="13335" b="13335"/>
                <wp:wrapNone/>
                <wp:docPr id="34" name="Left Brace 34"/>
                <wp:cNvGraphicFramePr/>
                <a:graphic xmlns:a="http://schemas.openxmlformats.org/drawingml/2006/main">
                  <a:graphicData uri="http://schemas.microsoft.com/office/word/2010/wordprocessingShape">
                    <wps:wsp>
                      <wps:cNvSpPr/>
                      <wps:spPr>
                        <a:xfrm rot="16200000">
                          <a:off x="0" y="0"/>
                          <a:ext cx="78105" cy="154622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81E68" id="Left Brace 34" o:spid="_x0000_s1026" type="#_x0000_t87" style="position:absolute;margin-left:142.05pt;margin-top:120.15pt;width:6.15pt;height:121.75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" adj="91" strokecolor="black [3200]" strokeweight="1pt">
                <v:stroke joinstyle="miter"/>
              </v:shape>
            </w:pict>
          </mc:Fallback>
        </mc:AlternateContent>
      </w:r>
      <w:r w:rsidR="003D1E8D" w:rsidRPr="003609FB">
        <w:rPr>
          <w:rFonts w:ascii="Times New Roman" w:hAnsi="Times New Roman" w:cs="Times New Roman"/>
          <w:sz w:val="24"/>
          <w:szCs w:val="24"/>
        </w:rPr>
        <w:tab/>
        <w:t xml:space="preserve">The monoculture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damage rate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r>
          <w:rPr>
            <w:rFonts w:ascii="Cambria Math" w:hAnsi="Cambria Math" w:cs="Times New Roman"/>
            <w:sz w:val="24"/>
            <w:szCs w:val="24"/>
          </w:rPr>
          <m:t>)</m:t>
        </m:r>
      </m:oMath>
      <w:r w:rsidR="00AE5795" w:rsidRPr="003609FB">
        <w:rPr>
          <w:rFonts w:ascii="Times New Roman" w:hAnsi="Times New Roman" w:cs="Times New Roman"/>
          <w:sz w:val="24"/>
          <w:szCs w:val="24"/>
        </w:rPr>
        <w:t>,</w:t>
      </w:r>
      <w:r w:rsidR="003D1E8D" w:rsidRPr="003609FB">
        <w:rPr>
          <w:rFonts w:ascii="Times New Roman" w:hAnsi="Times New Roman" w:cs="Times New Roman"/>
          <w:sz w:val="24"/>
          <w:szCs w:val="24"/>
        </w:rPr>
        <w:t xml:space="preserve"> isolated </w:t>
      </w:r>
      <w:r w:rsidR="00AE5795" w:rsidRPr="003609FB">
        <w:rPr>
          <w:rFonts w:ascii="Times New Roman" w:hAnsi="Times New Roman" w:cs="Times New Roman"/>
          <w:sz w:val="24"/>
          <w:szCs w:val="24"/>
        </w:rPr>
        <w:t xml:space="preserve">in </w:t>
      </w:r>
      <w:r w:rsidR="0018798F" w:rsidRPr="003609FB">
        <w:rPr>
          <w:rFonts w:ascii="Times New Roman" w:hAnsi="Times New Roman" w:cs="Times New Roman"/>
          <w:sz w:val="24"/>
          <w:szCs w:val="24"/>
        </w:rPr>
        <w:t>C</w:t>
      </w:r>
      <w:r w:rsidR="003D1E8D" w:rsidRPr="003609FB">
        <w:rPr>
          <w:rFonts w:ascii="Times New Roman" w:hAnsi="Times New Roman" w:cs="Times New Roman"/>
          <w:sz w:val="24"/>
          <w:szCs w:val="24"/>
        </w:rPr>
        <w:t xml:space="preserve">hapter 2 </w:t>
      </w:r>
      <w:r w:rsidR="00AE5795" w:rsidRPr="003609FB">
        <w:rPr>
          <w:rFonts w:ascii="Times New Roman" w:hAnsi="Times New Roman" w:cs="Times New Roman"/>
          <w:sz w:val="24"/>
          <w:szCs w:val="24"/>
        </w:rPr>
        <w:t xml:space="preserve">work, </w:t>
      </w:r>
      <w:r w:rsidR="003D1E8D" w:rsidRPr="003609FB">
        <w:rPr>
          <w:rFonts w:ascii="Times New Roman" w:hAnsi="Times New Roman" w:cs="Times New Roman"/>
          <w:sz w:val="24"/>
          <w:szCs w:val="24"/>
        </w:rPr>
        <w:t>was converted to Darwin’s units and shown as</w:t>
      </w:r>
      <w:r w:rsidR="00EB2129" w:rsidRPr="003609FB">
        <w:rPr>
          <w:rFonts w:ascii="Times New Roman" w:hAnsi="Times New Roman" w:cs="Times New Roman"/>
          <w:sz w:val="24"/>
          <w:szCs w:val="24"/>
        </w:rPr>
        <w:t xml:space="preserve"> the cell-based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4F0EAB">
        <w:rPr>
          <w:rFonts w:ascii="Times New Roman" w:hAnsi="Times New Roman" w:cs="Times New Roman"/>
          <w:sz w:val="24"/>
          <w:szCs w:val="24"/>
          <w:vertAlign w:val="subscript"/>
        </w:rPr>
        <w:t xml:space="preserve"> </w:t>
      </w:r>
      <w:r w:rsidR="00EB2129" w:rsidRPr="003609FB">
        <w:rPr>
          <w:rFonts w:ascii="Times New Roman" w:hAnsi="Times New Roman" w:cs="Times New Roman"/>
          <w:sz w:val="24"/>
          <w:szCs w:val="24"/>
        </w:rPr>
        <w:t>damage</w:t>
      </w:r>
      <w:r w:rsidR="004F0EAB">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oMath>
      <w:r w:rsidR="004F0EA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 in the e</w:t>
      </w:r>
      <w:r w:rsidR="006B18D0" w:rsidRPr="003609FB">
        <w:rPr>
          <w:rFonts w:ascii="Times New Roman" w:hAnsi="Times New Roman" w:cs="Times New Roman"/>
          <w:sz w:val="24"/>
          <w:szCs w:val="24"/>
        </w:rPr>
        <w:t>q</w:t>
      </w:r>
      <w:r w:rsidR="003D1E8D" w:rsidRPr="003609FB">
        <w:rPr>
          <w:rFonts w:ascii="Times New Roman" w:hAnsi="Times New Roman" w:cs="Times New Roman"/>
          <w:sz w:val="24"/>
          <w:szCs w:val="24"/>
        </w:rPr>
        <w:t xml:space="preserve">uation 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’s </w:t>
      </w:r>
      <w:r w:rsidR="006B18D0" w:rsidRPr="003609FB">
        <w:rPr>
          <w:rFonts w:ascii="Times New Roman" w:hAnsi="Times New Roman" w:cs="Times New Roman"/>
          <w:sz w:val="24"/>
          <w:szCs w:val="24"/>
        </w:rPr>
        <w:t>global</w:t>
      </w:r>
      <w:r w:rsidR="003D1E8D" w:rsidRPr="003609FB">
        <w:rPr>
          <w:rFonts w:ascii="Times New Roman" w:hAnsi="Times New Roman" w:cs="Times New Roman"/>
          <w:sz w:val="24"/>
          <w:szCs w:val="24"/>
        </w:rPr>
        <w:t xml:space="preserve"> tracer</w:t>
      </w:r>
      <w:r w:rsidR="006B18D0" w:rsidRPr="003609FB">
        <w:rPr>
          <w:rFonts w:ascii="Times New Roman" w:hAnsi="Times New Roman" w:cs="Times New Roman"/>
          <w:sz w:val="24"/>
          <w:szCs w:val="24"/>
        </w:rPr>
        <w:t>, denoted</w:t>
      </w:r>
      <w:r w:rsidR="003D1E8D" w:rsidRPr="003609FB">
        <w:rPr>
          <w:rFonts w:ascii="Times New Roman" w:hAnsi="Times New Roman" w:cs="Times New Roman"/>
          <w:sz w:val="24"/>
          <w:szCs w:val="24"/>
        </w:rPr>
        <w:t xml:space="preserve"> [P]. Table </w:t>
      </w:r>
      <w:r w:rsidR="0018798F" w:rsidRPr="003609FB">
        <w:rPr>
          <w:rFonts w:ascii="Times New Roman" w:hAnsi="Times New Roman" w:cs="Times New Roman"/>
          <w:sz w:val="24"/>
          <w:szCs w:val="24"/>
        </w:rPr>
        <w:t>4.</w:t>
      </w:r>
      <w:r w:rsidR="003D1E8D" w:rsidRPr="003609FB">
        <w:rPr>
          <w:rFonts w:ascii="Times New Roman" w:hAnsi="Times New Roman" w:cs="Times New Roman"/>
          <w:sz w:val="24"/>
          <w:szCs w:val="24"/>
        </w:rPr>
        <w:t>1 shows the monoculture to Darwin conversions.</w:t>
      </w:r>
      <w:r w:rsidR="00F64BF4" w:rsidRPr="003609FB">
        <w:rPr>
          <w:rFonts w:ascii="Times New Roman" w:hAnsi="Times New Roman" w:cs="Times New Roman"/>
          <w:sz w:val="24"/>
          <w:szCs w:val="24"/>
        </w:rPr>
        <w:t xml:space="preserve"> The </w:t>
      </w:r>
      <w:proofErr w:type="spellStart"/>
      <w:r w:rsidR="00691B65" w:rsidRPr="00691B65">
        <w:rPr>
          <w:rFonts w:ascii="Times New Roman" w:hAnsi="Times New Roman" w:cs="Times New Roman"/>
          <w:i/>
          <w:iCs/>
          <w:sz w:val="24"/>
          <w:szCs w:val="24"/>
        </w:rPr>
        <w:t>Synechococcus</w:t>
      </w:r>
      <w:proofErr w:type="spellEnd"/>
      <w:r w:rsidR="003D1E8D" w:rsidRPr="003609FB">
        <w:rPr>
          <w:rFonts w:ascii="Times New Roman" w:hAnsi="Times New Roman" w:cs="Times New Roman"/>
          <w:sz w:val="24"/>
          <w:szCs w:val="24"/>
        </w:rPr>
        <w:t xml:space="preserve"> analogue was left agnostic to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as it was given neither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damage</w:t>
      </w:r>
      <w:r w:rsidR="00AA39D9">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dam,S</m:t>
            </m:r>
          </m:sub>
        </m:sSub>
        <m:r>
          <w:rPr>
            <w:rFonts w:ascii="Cambria Math" w:hAnsi="Cambria Math" w:cs="Times New Roman"/>
            <w:sz w:val="24"/>
            <w:szCs w:val="24"/>
          </w:rPr>
          <m:t>)</m:t>
        </m:r>
      </m:oMath>
      <w:r w:rsidR="003D1E8D" w:rsidRPr="003609FB">
        <w:rPr>
          <w:rFonts w:ascii="Times New Roman" w:hAnsi="Times New Roman" w:cs="Times New Roman"/>
          <w:sz w:val="24"/>
          <w:szCs w:val="24"/>
        </w:rPr>
        <w:t xml:space="preserve"> nor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detoxification</w:t>
      </w:r>
      <w:r w:rsidR="00AA39D9">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w:rPr>
            <w:rFonts w:ascii="Cambria Math" w:hAnsi="Cambria Math" w:cs="Times New Roman"/>
            <w:sz w:val="24"/>
            <w:szCs w:val="24"/>
          </w:rPr>
          <m:t>)</m:t>
        </m:r>
      </m:oMath>
      <w:r w:rsidR="003D1E8D" w:rsidRPr="003609FB">
        <w:rPr>
          <w:rFonts w:ascii="Times New Roman" w:hAnsi="Times New Roman" w:cs="Times New Roman"/>
          <w:sz w:val="24"/>
          <w:szCs w:val="24"/>
        </w:rPr>
        <w:t xml:space="preserve"> parameters.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dynamics were dominated by abiotic supply and decay rates</w:t>
      </w:r>
      <w:r w:rsidR="00F64BF4" w:rsidRPr="003609FB">
        <w:rPr>
          <w:rFonts w:ascii="Times New Roman" w:hAnsi="Times New Roman" w:cs="Times New Roman"/>
          <w:sz w:val="24"/>
          <w:szCs w:val="24"/>
        </w:rPr>
        <w:t xml:space="preserve"> described above</w:t>
      </w:r>
      <w:r w:rsidR="003D1E8D" w:rsidRPr="003609FB">
        <w:rPr>
          <w:rFonts w:ascii="Times New Roman" w:hAnsi="Times New Roman" w:cs="Times New Roman"/>
          <w:sz w:val="24"/>
          <w:szCs w:val="24"/>
        </w:rPr>
        <w:t xml:space="preserve">. </w:t>
      </w:r>
      <w:r w:rsidR="00F64BF4" w:rsidRPr="003609FB">
        <w:rPr>
          <w:rFonts w:ascii="Times New Roman" w:hAnsi="Times New Roman" w:cs="Times New Roman"/>
          <w:sz w:val="24"/>
          <w:szCs w:val="24"/>
        </w:rPr>
        <w:t xml:space="preserve">The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F64BF4" w:rsidRPr="003609FB">
        <w:rPr>
          <w:rFonts w:ascii="Times New Roman" w:hAnsi="Times New Roman" w:cs="Times New Roman"/>
          <w:sz w:val="24"/>
          <w:szCs w:val="24"/>
        </w:rPr>
        <w:t xml:space="preserve">was </w:t>
      </w:r>
      <w:r>
        <w:rPr>
          <w:rFonts w:ascii="Times New Roman" w:hAnsi="Times New Roman" w:cs="Times New Roman"/>
          <w:sz w:val="24"/>
          <w:szCs w:val="24"/>
        </w:rPr>
        <w:t>simulated to change with</w:t>
      </w:r>
      <w:r w:rsidR="00F64BF4" w:rsidRPr="003609FB">
        <w:rPr>
          <w:rFonts w:ascii="Times New Roman" w:hAnsi="Times New Roman" w:cs="Times New Roman"/>
          <w:sz w:val="24"/>
          <w:szCs w:val="24"/>
        </w:rPr>
        <w:t xml:space="preserve"> time as follows:</w:t>
      </w:r>
      <w:r w:rsidR="008843F8">
        <w:rPr>
          <w:rFonts w:ascii="Times New Roman" w:hAnsi="Times New Roman" w:cs="Times New Roman"/>
          <w:sz w:val="24"/>
          <w:szCs w:val="24"/>
        </w:rPr>
        <w:t xml:space="preserve"> </w:t>
      </w:r>
    </w:p>
    <w:p w14:paraId="4DEA8C50" w14:textId="767FAC58" w:rsidR="00BF3E25" w:rsidRDefault="00D450C2" w:rsidP="00AB2160">
      <w:pPr>
        <w:spacing w:line="360" w:lineRule="auto"/>
        <w:rPr>
          <w:rFonts w:ascii="Times New Roman"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718656" behindDoc="0" locked="0" layoutInCell="1" allowOverlap="1" wp14:anchorId="4CEEA7FF" wp14:editId="77617487">
                <wp:simplePos x="0" y="0"/>
                <wp:positionH relativeFrom="column">
                  <wp:posOffset>584200</wp:posOffset>
                </wp:positionH>
                <wp:positionV relativeFrom="paragraph">
                  <wp:posOffset>145414</wp:posOffset>
                </wp:positionV>
                <wp:extent cx="65405" cy="315595"/>
                <wp:effectExtent l="1905" t="0" r="12700" b="12700"/>
                <wp:wrapNone/>
                <wp:docPr id="31" name="Left Brace 31"/>
                <wp:cNvGraphicFramePr/>
                <a:graphic xmlns:a="http://schemas.openxmlformats.org/drawingml/2006/main">
                  <a:graphicData uri="http://schemas.microsoft.com/office/word/2010/wordprocessingShape">
                    <wps:wsp>
                      <wps:cNvSpPr/>
                      <wps:spPr>
                        <a:xfrm rot="16200000">
                          <a:off x="0" y="0"/>
                          <a:ext cx="65405" cy="31559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825B2" id="Left Brace 31" o:spid="_x0000_s1026" type="#_x0000_t87" style="position:absolute;margin-left:46pt;margin-top:11.45pt;width:5.15pt;height:24.8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" adj="373" strokecolor="black [3200]" strokeweight="1pt">
                <v:stroke joinstyle="miter"/>
              </v:shape>
            </w:pict>
          </mc:Fallback>
        </mc:AlternateContent>
      </w:r>
      <w:r w:rsidR="003D1E8D" w:rsidRPr="003609FB">
        <w:rPr>
          <w:rFonts w:ascii="Times New Roman" w:hAnsi="Times New Roman" w:cs="Times New Roman"/>
          <w:sz w:val="24"/>
          <w:szCs w:val="24"/>
        </w:rPr>
        <w:t>[</w:t>
      </w:r>
      <w:proofErr w:type="gramStart"/>
      <w:r w:rsidR="003D1E8D" w:rsidRPr="003609FB">
        <w:rPr>
          <w:rFonts w:ascii="Times New Roman" w:hAnsi="Times New Roman" w:cs="Times New Roman"/>
          <w:sz w:val="24"/>
          <w:szCs w:val="24"/>
        </w:rPr>
        <w:t xml:space="preserve">P] </w:t>
      </w:r>
      <w:r w:rsidR="00237866">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 </w:t>
      </w:r>
      <w:proofErr w:type="gramEnd"/>
      <w:r w:rsidR="003D1E8D"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00F64BF4" w:rsidRPr="003609FB">
        <w:rPr>
          <w:rFonts w:ascii="Times New Roman" w:hAnsi="Times New Roman" w:cs="Times New Roman"/>
          <w:sz w:val="24"/>
          <w:szCs w:val="24"/>
        </w:rPr>
        <w:t xml:space="preserve">[P] </w:t>
      </w:r>
      <w:r>
        <w:rPr>
          <w:rFonts w:ascii="Times New Roman" w:hAnsi="Times New Roman" w:cs="Times New Roman"/>
          <w:sz w:val="24"/>
          <w:szCs w:val="24"/>
        </w:rPr>
        <w:t xml:space="preserve">  </w:t>
      </w:r>
      <w:r w:rsidR="00F64BF4" w:rsidRPr="003609FB">
        <w:rPr>
          <w:rFonts w:ascii="Times New Roman" w:hAnsi="Times New Roman" w:cs="Times New Roman"/>
          <w:sz w:val="24"/>
          <w:szCs w:val="24"/>
        </w:rPr>
        <w:t>+</w:t>
      </w:r>
      <w:r>
        <w:rPr>
          <w:rFonts w:ascii="Times New Roman" w:hAnsi="Times New Roman" w:cs="Times New Roman"/>
          <w:sz w:val="24"/>
          <w:szCs w:val="24"/>
        </w:rPr>
        <w:t xml:space="preserve">   </w:t>
      </w:r>
      <w:r w:rsidR="00F64BF4" w:rsidRPr="003609FB">
        <w:rPr>
          <w:rFonts w:ascii="Times New Roman" w:hAnsi="Times New Roman" w:cs="Times New Roman"/>
          <w:sz w:val="24"/>
          <w:szCs w:val="24"/>
        </w:rPr>
        <w:t>(</w:t>
      </w:r>
      <w:proofErr w:type="spellStart"/>
      <w:r w:rsidR="003D1E8D" w:rsidRPr="003609FB">
        <w:rPr>
          <w:rFonts w:ascii="Times New Roman" w:hAnsi="Times New Roman" w:cs="Times New Roman"/>
          <w:sz w:val="24"/>
          <w:szCs w:val="24"/>
        </w:rPr>
        <w:t>DarwinGrowthFunctions</w:t>
      </w:r>
      <w:proofErr w:type="spellEnd"/>
      <w:r w:rsidR="003D1E8D" w:rsidRPr="003609FB">
        <w:rPr>
          <w:rFonts w:ascii="Times New Roman" w:hAnsi="Times New Roman" w:cs="Times New Roman"/>
          <w:sz w:val="24"/>
          <w:szCs w:val="24"/>
        </w:rPr>
        <w:t xml:space="preserve"> - </w:t>
      </w:r>
      <w:r>
        <w:rPr>
          <w:rFonts w:ascii="Times New Roman" w:hAnsi="Times New Roman" w:cs="Times New Roman"/>
          <w:sz w:val="24"/>
          <w:szCs w:val="24"/>
        </w:rPr>
        <w:t xml:space="preserve">  </w:t>
      </w:r>
      <w:proofErr w:type="spellStart"/>
      <w:r w:rsidR="003D1E8D" w:rsidRPr="003609FB">
        <w:rPr>
          <w:rFonts w:ascii="Times New Roman" w:hAnsi="Times New Roman" w:cs="Times New Roman"/>
          <w:sz w:val="24"/>
          <w:szCs w:val="24"/>
        </w:rPr>
        <w:t>Kdam</w:t>
      </w:r>
      <w:proofErr w:type="spellEnd"/>
      <w:r w:rsidR="003D1E8D" w:rsidRPr="003609FB">
        <w:rPr>
          <w:rFonts w:ascii="Times New Roman" w:hAnsi="Times New Roman" w:cs="Times New Roman"/>
          <w:sz w:val="24"/>
          <w:szCs w:val="24"/>
        </w:rPr>
        <w:t>(j)*</w:t>
      </w:r>
      <w:proofErr w:type="spellStart"/>
      <w:r w:rsidR="003D1E8D" w:rsidRPr="003609FB">
        <w:rPr>
          <w:rFonts w:ascii="Times New Roman" w:hAnsi="Times New Roman" w:cs="Times New Roman"/>
          <w:sz w:val="24"/>
          <w:szCs w:val="24"/>
        </w:rPr>
        <w:t>photoTempFunc</w:t>
      </w:r>
      <w:proofErr w:type="spellEnd"/>
      <w:r w:rsidR="003D1E8D" w:rsidRPr="003609FB">
        <w:rPr>
          <w:rFonts w:ascii="Times New Roman" w:hAnsi="Times New Roman" w:cs="Times New Roman"/>
          <w:sz w:val="24"/>
          <w:szCs w:val="24"/>
        </w:rPr>
        <w:t xml:space="preserve">(j)* </w:t>
      </w:r>
      <w:r w:rsidR="00F64BF4" w:rsidRPr="003609FB">
        <w:rPr>
          <w:rFonts w:ascii="Times New Roman" w:hAnsi="Times New Roman" w:cs="Times New Roman"/>
          <w:sz w:val="24"/>
          <w:szCs w:val="24"/>
        </w:rPr>
        <w:t>[H]</w:t>
      </w:r>
      <w:r w:rsidR="003D1E8D" w:rsidRPr="003609FB">
        <w:rPr>
          <w:rFonts w:ascii="Times New Roman" w:hAnsi="Times New Roman" w:cs="Times New Roman"/>
          <w:sz w:val="24"/>
          <w:szCs w:val="24"/>
        </w:rPr>
        <w:t xml:space="preserve"> * </w:t>
      </w:r>
      <w:r w:rsidR="00F64BF4" w:rsidRPr="003609FB">
        <w:rPr>
          <w:rFonts w:ascii="Times New Roman" w:hAnsi="Times New Roman" w:cs="Times New Roman"/>
          <w:sz w:val="24"/>
          <w:szCs w:val="24"/>
        </w:rPr>
        <w:t>[P]</w:t>
      </w:r>
      <w:r w:rsidR="003D1E8D" w:rsidRPr="003609FB">
        <w:rPr>
          <w:rFonts w:ascii="Times New Roman" w:hAnsi="Times New Roman" w:cs="Times New Roman"/>
          <w:sz w:val="24"/>
          <w:szCs w:val="24"/>
        </w:rPr>
        <w:t> )</w:t>
      </w:r>
      <w:r w:rsidR="00F64BF4" w:rsidRPr="003609FB">
        <w:rPr>
          <w:rFonts w:ascii="Times New Roman" w:hAnsi="Times New Roman" w:cs="Times New Roman"/>
          <w:sz w:val="24"/>
          <w:szCs w:val="24"/>
        </w:rPr>
        <w:t>*timestep</w:t>
      </w:r>
    </w:p>
    <w:p w14:paraId="51F9434D" w14:textId="58F1F063" w:rsidR="00D450C2" w:rsidRPr="007175B3" w:rsidRDefault="00D450C2" w:rsidP="00D450C2">
      <w:pPr>
        <w:spacing w:line="360" w:lineRule="auto"/>
        <w:rPr>
          <w:rFonts w:ascii="Times New Roman" w:hAnsi="Times New Roman" w:cs="Times New Roman"/>
        </w:rPr>
      </w:pPr>
      <w:r>
        <w:rPr>
          <w:rFonts w:ascii="Times New Roman" w:hAnsi="Times New Roman" w:cs="Times New Roman"/>
        </w:rPr>
        <w:t xml:space="preserve">   P concentration            P growth rate                                 P </w:t>
      </w:r>
      <w:r w:rsidR="009973C2">
        <w:rPr>
          <w:rFonts w:ascii="Times New Roman" w:hAnsi="Times New Roman" w:cs="Times New Roman"/>
        </w:rPr>
        <w:t>death</w:t>
      </w:r>
      <w:r>
        <w:rPr>
          <w:rFonts w:ascii="Times New Roman" w:hAnsi="Times New Roman" w:cs="Times New Roman"/>
        </w:rPr>
        <w:t xml:space="preserve"> rate due to H       </w:t>
      </w:r>
    </w:p>
    <w:p w14:paraId="2FFAD77C" w14:textId="21915037" w:rsidR="00F31464" w:rsidRDefault="003D1E8D" w:rsidP="006D6E2A">
      <w:pPr>
        <w:pStyle w:val="Heading3"/>
        <w:numPr>
          <w:ilvl w:val="0"/>
          <w:numId w:val="0"/>
        </w:numPr>
        <w:spacing w:line="360" w:lineRule="auto"/>
      </w:pPr>
      <w:bookmarkStart w:id="70" w:name="_Toc173250047"/>
      <w:r w:rsidRPr="003609FB">
        <w:t xml:space="preserve">Case 3 - Leaky world, </w:t>
      </w:r>
      <w:proofErr w:type="spellStart"/>
      <w:r w:rsidR="00691B65" w:rsidRPr="00691B65">
        <w:rPr>
          <w:i/>
          <w:iCs/>
        </w:rPr>
        <w:t>Synechococcus</w:t>
      </w:r>
      <w:proofErr w:type="spellEnd"/>
      <w:r w:rsidRPr="003609FB">
        <w:t xml:space="preserve"> detoxification implemented</w:t>
      </w:r>
      <w:bookmarkEnd w:id="70"/>
    </w:p>
    <w:p w14:paraId="6CCF3813" w14:textId="6B82DB92" w:rsidR="003D1E8D" w:rsidRPr="003609FB"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monoculture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00A01DAA">
        <w:rPr>
          <w:rFonts w:ascii="Times New Roman" w:hAnsi="Times New Roman" w:cs="Times New Roman"/>
          <w:sz w:val="24"/>
          <w:szCs w:val="24"/>
        </w:rPr>
        <w:t xml:space="preserve">cell-specific </w:t>
      </w:r>
      <w:r w:rsidRPr="003609FB">
        <w:rPr>
          <w:rFonts w:ascii="Times New Roman" w:hAnsi="Times New Roman" w:cs="Times New Roman"/>
          <w:sz w:val="24"/>
          <w:szCs w:val="24"/>
        </w:rPr>
        <w:t>detoxification rate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r>
          <w:rPr>
            <w:rFonts w:ascii="Cambria Math" w:hAnsi="Cambria Math" w:cs="Times New Roman"/>
            <w:sz w:val="24"/>
            <w:szCs w:val="24"/>
          </w:rPr>
          <m:t>)</m:t>
        </m:r>
      </m:oMath>
      <w:r w:rsidRPr="003609FB">
        <w:rPr>
          <w:rFonts w:ascii="Times New Roman" w:hAnsi="Times New Roman" w:cs="Times New Roman"/>
          <w:sz w:val="24"/>
          <w:szCs w:val="24"/>
        </w:rPr>
        <w:t xml:space="preserve"> isolated from </w:t>
      </w:r>
      <w:r w:rsidR="0018798F"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was converted to Darwin’s units, seen in Table </w:t>
      </w:r>
      <w:r w:rsidR="0018798F" w:rsidRPr="003609FB">
        <w:rPr>
          <w:rFonts w:ascii="Times New Roman" w:hAnsi="Times New Roman" w:cs="Times New Roman"/>
          <w:sz w:val="24"/>
          <w:szCs w:val="24"/>
        </w:rPr>
        <w:t>4.</w:t>
      </w:r>
      <w:r w:rsidRPr="003609FB">
        <w:rPr>
          <w:rFonts w:ascii="Times New Roman" w:hAnsi="Times New Roman" w:cs="Times New Roman"/>
          <w:sz w:val="24"/>
          <w:szCs w:val="24"/>
        </w:rPr>
        <w:t>1, and inserted into the [</w:t>
      </w:r>
      <w:r w:rsidR="0021436A">
        <w:rPr>
          <w:rFonts w:ascii="Times New Roman" w:hAnsi="Times New Roman" w:cs="Times New Roman"/>
          <w:sz w:val="24"/>
          <w:szCs w:val="24"/>
        </w:rPr>
        <w:t>H</w:t>
      </w:r>
      <w:r w:rsidRPr="003609FB">
        <w:rPr>
          <w:rFonts w:ascii="Times New Roman" w:hAnsi="Times New Roman" w:cs="Times New Roman"/>
          <w:sz w:val="24"/>
          <w:szCs w:val="24"/>
        </w:rPr>
        <w:t xml:space="preserve">] tracer equation </w:t>
      </w:r>
      <w:r w:rsidR="00F64BF4" w:rsidRPr="003609FB">
        <w:rPr>
          <w:rFonts w:ascii="Times New Roman" w:hAnsi="Times New Roman" w:cs="Times New Roman"/>
          <w:sz w:val="24"/>
          <w:szCs w:val="24"/>
        </w:rPr>
        <w:t>within the</w:t>
      </w:r>
      <w:r w:rsidRPr="003609FB">
        <w:rPr>
          <w:rFonts w:ascii="Times New Roman" w:hAnsi="Times New Roman" w:cs="Times New Roman"/>
          <w:sz w:val="24"/>
          <w:szCs w:val="24"/>
        </w:rPr>
        <w:t xml:space="preserve"> biotic detoxification parameter,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w:t>
      </w:r>
      <w:r w:rsidR="00330EB7">
        <w:rPr>
          <w:rFonts w:ascii="Times New Roman" w:hAnsi="Times New Roman" w:cs="Times New Roman"/>
          <w:sz w:val="24"/>
          <w:szCs w:val="24"/>
        </w:rPr>
        <w:t xml:space="preserve"> The ‘</w:t>
      </w:r>
      <w:proofErr w:type="spellStart"/>
      <w:r w:rsidR="00330EB7" w:rsidRPr="003609FB">
        <w:rPr>
          <w:rFonts w:ascii="Times New Roman" w:hAnsi="Times New Roman" w:cs="Times New Roman"/>
          <w:sz w:val="24"/>
          <w:szCs w:val="24"/>
        </w:rPr>
        <w:t>photoTempFunc</w:t>
      </w:r>
      <w:proofErr w:type="spellEnd"/>
      <w:r w:rsidR="00330EB7">
        <w:rPr>
          <w:rFonts w:ascii="Times New Roman" w:hAnsi="Times New Roman" w:cs="Times New Roman"/>
          <w:sz w:val="24"/>
          <w:szCs w:val="24"/>
        </w:rPr>
        <w:t xml:space="preserve">’, a </w:t>
      </w:r>
      <w:r w:rsidR="00EF745F">
        <w:rPr>
          <w:rFonts w:ascii="Times New Roman" w:hAnsi="Times New Roman" w:cs="Times New Roman"/>
          <w:sz w:val="24"/>
          <w:szCs w:val="24"/>
        </w:rPr>
        <w:t>function</w:t>
      </w:r>
      <w:r w:rsidR="00330EB7">
        <w:rPr>
          <w:rFonts w:ascii="Times New Roman" w:hAnsi="Times New Roman" w:cs="Times New Roman"/>
          <w:sz w:val="24"/>
          <w:szCs w:val="24"/>
        </w:rPr>
        <w:t xml:space="preserve"> included withing the Darwin framework, ensures that reactions with the rate </w:t>
      </w: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00330EB7">
        <w:rPr>
          <w:rFonts w:ascii="Times New Roman" w:hAnsi="Times New Roman" w:cs="Times New Roman"/>
          <w:sz w:val="24"/>
          <w:szCs w:val="24"/>
        </w:rPr>
        <w:t xml:space="preserve"> only occur in ranges of ecologically relevant </w:t>
      </w:r>
      <w:r w:rsidR="00EF745F">
        <w:rPr>
          <w:rFonts w:ascii="Times New Roman" w:hAnsi="Times New Roman" w:cs="Times New Roman"/>
          <w:sz w:val="24"/>
          <w:szCs w:val="24"/>
        </w:rPr>
        <w:t>t</w:t>
      </w:r>
      <w:r w:rsidR="004D4454">
        <w:rPr>
          <w:rFonts w:ascii="Times New Roman" w:hAnsi="Times New Roman" w:cs="Times New Roman"/>
          <w:sz w:val="24"/>
          <w:szCs w:val="24"/>
        </w:rPr>
        <w:t>emperatures</w:t>
      </w:r>
      <w:r w:rsidR="00330EB7">
        <w:rPr>
          <w:rFonts w:ascii="Times New Roman" w:hAnsi="Times New Roman" w:cs="Times New Roman"/>
          <w:sz w:val="24"/>
          <w:szCs w:val="24"/>
        </w:rPr>
        <w:t xml:space="preserve"> (</w:t>
      </w:r>
      <w:r w:rsidR="00330EB7" w:rsidRPr="00330EB7">
        <w:rPr>
          <w:rFonts w:ascii="Times New Roman" w:hAnsi="Times New Roman" w:cs="Times New Roman"/>
          <w:i/>
          <w:iCs/>
          <w:sz w:val="24"/>
          <w:szCs w:val="24"/>
        </w:rPr>
        <w:t>i.e</w:t>
      </w:r>
      <w:r w:rsidR="00EF745F">
        <w:rPr>
          <w:rFonts w:ascii="Times New Roman" w:hAnsi="Times New Roman" w:cs="Times New Roman"/>
          <w:i/>
          <w:iCs/>
          <w:sz w:val="24"/>
          <w:szCs w:val="24"/>
        </w:rPr>
        <w:t>.,</w:t>
      </w:r>
      <w:r w:rsidR="00330EB7" w:rsidRPr="00330EB7">
        <w:rPr>
          <w:rFonts w:ascii="Times New Roman" w:hAnsi="Times New Roman" w:cs="Times New Roman"/>
          <w:i/>
          <w:iCs/>
          <w:sz w:val="24"/>
          <w:szCs w:val="24"/>
        </w:rPr>
        <w:t xml:space="preserve"> </w:t>
      </w:r>
      <w:r w:rsidR="00C04688">
        <w:rPr>
          <w:rFonts w:ascii="Times New Roman" w:hAnsi="Times New Roman" w:cs="Times New Roman"/>
          <w:sz w:val="24"/>
          <w:szCs w:val="24"/>
        </w:rPr>
        <w:t>t</w:t>
      </w:r>
      <w:r w:rsidR="00330EB7">
        <w:rPr>
          <w:rFonts w:ascii="Times New Roman" w:hAnsi="Times New Roman" w:cs="Times New Roman"/>
          <w:sz w:val="24"/>
          <w:szCs w:val="24"/>
        </w:rPr>
        <w:t xml:space="preserve">emperatures at which biotic growth </w:t>
      </w:r>
      <w:r w:rsidR="004D4454">
        <w:rPr>
          <w:rFonts w:ascii="Times New Roman" w:hAnsi="Times New Roman" w:cs="Times New Roman"/>
          <w:sz w:val="24"/>
          <w:szCs w:val="24"/>
        </w:rPr>
        <w:t>can occur</w:t>
      </w:r>
      <w:r w:rsidR="00330EB7">
        <w:rPr>
          <w:rFonts w:ascii="Times New Roman" w:hAnsi="Times New Roman" w:cs="Times New Roman"/>
          <w:sz w:val="24"/>
          <w:szCs w:val="24"/>
        </w:rPr>
        <w:t>)</w:t>
      </w:r>
      <w:r w:rsidR="004D4454">
        <w:rPr>
          <w:rFonts w:ascii="Times New Roman" w:hAnsi="Times New Roman" w:cs="Times New Roman"/>
          <w:sz w:val="24"/>
          <w:szCs w:val="24"/>
        </w:rPr>
        <w:t>.</w:t>
      </w:r>
      <w:r w:rsidRPr="003609FB">
        <w:rPr>
          <w:rFonts w:ascii="Times New Roman" w:hAnsi="Times New Roman" w:cs="Times New Roman"/>
          <w:sz w:val="24"/>
          <w:szCs w:val="24"/>
        </w:rPr>
        <w:t xml:space="preserve"> </w:t>
      </w:r>
      <w:r w:rsidR="00F64BF4" w:rsidRPr="003609FB">
        <w:rPr>
          <w:rFonts w:ascii="Times New Roman" w:hAnsi="Times New Roman" w:cs="Times New Roman"/>
          <w:sz w:val="24"/>
          <w:szCs w:val="24"/>
        </w:rPr>
        <w:t>The</w:t>
      </w:r>
      <w:r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tracer </w:t>
      </w:r>
      <w:r w:rsidR="00F64BF4" w:rsidRPr="003609FB">
        <w:rPr>
          <w:rFonts w:ascii="Times New Roman" w:hAnsi="Times New Roman" w:cs="Times New Roman"/>
          <w:sz w:val="24"/>
          <w:szCs w:val="24"/>
        </w:rPr>
        <w:t>was</w:t>
      </w:r>
      <w:r w:rsidRPr="003609FB">
        <w:rPr>
          <w:rFonts w:ascii="Times New Roman" w:hAnsi="Times New Roman" w:cs="Times New Roman"/>
          <w:sz w:val="24"/>
          <w:szCs w:val="24"/>
        </w:rPr>
        <w:t xml:space="preserve"> enacted as before</w:t>
      </w:r>
      <w:r w:rsidR="004D4454">
        <w:rPr>
          <w:rFonts w:ascii="Times New Roman" w:hAnsi="Times New Roman" w:cs="Times New Roman"/>
          <w:sz w:val="24"/>
          <w:szCs w:val="24"/>
        </w:rPr>
        <w:t xml:space="preserve"> in case 2</w:t>
      </w:r>
      <w:r w:rsidRPr="003609FB">
        <w:rPr>
          <w:rFonts w:ascii="Times New Roman" w:hAnsi="Times New Roman" w:cs="Times New Roman"/>
          <w:sz w:val="24"/>
          <w:szCs w:val="24"/>
        </w:rPr>
        <w:t xml:space="preserve">. </w:t>
      </w:r>
      <w:r w:rsidR="004D4454">
        <w:rPr>
          <w:rFonts w:ascii="Times New Roman" w:hAnsi="Times New Roman" w:cs="Times New Roman"/>
          <w:sz w:val="24"/>
          <w:szCs w:val="24"/>
        </w:rPr>
        <w:t xml:space="preserve">All </w:t>
      </w:r>
      <w:r w:rsidRPr="003609FB">
        <w:rPr>
          <w:rFonts w:ascii="Times New Roman" w:hAnsi="Times New Roman" w:cs="Times New Roman"/>
          <w:sz w:val="24"/>
          <w:szCs w:val="24"/>
        </w:rPr>
        <w:t xml:space="preserve">community members </w:t>
      </w:r>
      <w:r w:rsidR="00F64BF4" w:rsidRPr="003609FB">
        <w:rPr>
          <w:rFonts w:ascii="Times New Roman" w:hAnsi="Times New Roman" w:cs="Times New Roman"/>
          <w:sz w:val="24"/>
          <w:szCs w:val="24"/>
        </w:rPr>
        <w:t>we</w:t>
      </w:r>
      <w:r w:rsidRPr="003609FB">
        <w:rPr>
          <w:rFonts w:ascii="Times New Roman" w:hAnsi="Times New Roman" w:cs="Times New Roman"/>
          <w:sz w:val="24"/>
          <w:szCs w:val="24"/>
        </w:rPr>
        <w:t xml:space="preserve">re then projected forward </w:t>
      </w:r>
      <w:r w:rsidR="000C3518">
        <w:rPr>
          <w:rFonts w:ascii="Times New Roman" w:hAnsi="Times New Roman" w:cs="Times New Roman"/>
          <w:sz w:val="24"/>
          <w:szCs w:val="24"/>
        </w:rPr>
        <w:t xml:space="preserve">through time for </w:t>
      </w:r>
      <w:r w:rsidRPr="003609FB">
        <w:rPr>
          <w:rFonts w:ascii="Times New Roman" w:hAnsi="Times New Roman" w:cs="Times New Roman"/>
          <w:sz w:val="24"/>
          <w:szCs w:val="24"/>
        </w:rPr>
        <w:t>10 years to analyze resultant community composition.</w:t>
      </w:r>
    </w:p>
    <w:p w14:paraId="33A1FD1D" w14:textId="162E6E12" w:rsidR="002F4B4A" w:rsidRDefault="00072008" w:rsidP="00AB2160">
      <w:pPr>
        <w:spacing w:line="360" w:lineRule="auto"/>
        <w:rPr>
          <w:rFonts w:ascii="Times New Roman" w:hAnsi="Times New Roman" w:cs="Times New Roman"/>
          <w:sz w:val="24"/>
          <w:szCs w:val="24"/>
        </w:rPr>
      </w:pPr>
      <w:r w:rsidRPr="00E31311">
        <w:rPr>
          <w:rFonts w:ascii="Times New Roman" w:hAnsi="Times New Roman" w:cs="Times New Roman"/>
          <w:noProof/>
          <w:sz w:val="20"/>
          <w:szCs w:val="20"/>
        </w:rPr>
        <mc:AlternateContent>
          <mc:Choice Requires="wps">
            <w:drawing>
              <wp:anchor distT="0" distB="0" distL="114300" distR="114300" simplePos="0" relativeHeight="251722752" behindDoc="0" locked="0" layoutInCell="1" allowOverlap="1" wp14:anchorId="6840A7E0" wp14:editId="1508C996">
                <wp:simplePos x="0" y="0"/>
                <wp:positionH relativeFrom="column">
                  <wp:posOffset>2683824</wp:posOffset>
                </wp:positionH>
                <wp:positionV relativeFrom="paragraph">
                  <wp:posOffset>-1174750</wp:posOffset>
                </wp:positionV>
                <wp:extent cx="153671" cy="3018790"/>
                <wp:effectExtent l="2540" t="0" r="13970" b="13970"/>
                <wp:wrapNone/>
                <wp:docPr id="39" name="Left Brace 39"/>
                <wp:cNvGraphicFramePr/>
                <a:graphic xmlns:a="http://schemas.openxmlformats.org/drawingml/2006/main">
                  <a:graphicData uri="http://schemas.microsoft.com/office/word/2010/wordprocessingShape">
                    <wps:wsp>
                      <wps:cNvSpPr/>
                      <wps:spPr>
                        <a:xfrm rot="16200000">
                          <a:off x="0" y="0"/>
                          <a:ext cx="153671" cy="301879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5A1B3" id="Left Brace 39" o:spid="_x0000_s1026" type="#_x0000_t87" style="position:absolute;margin-left:211.3pt;margin-top:-92.5pt;width:12.1pt;height:237.7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" adj="92" strokecolor="black [3200]" strokeweight="1pt">
                <v:stroke joinstyle="miter"/>
              </v:shape>
            </w:pict>
          </mc:Fallback>
        </mc:AlternateContent>
      </w:r>
      <w:r w:rsidR="003D1E8D" w:rsidRPr="003609FB">
        <w:rPr>
          <w:rFonts w:ascii="Times New Roman" w:hAnsi="Times New Roman" w:cs="Times New Roman"/>
          <w:sz w:val="24"/>
          <w:szCs w:val="24"/>
        </w:rPr>
        <w:t>[</w:t>
      </w:r>
      <m:oMath>
        <m:sSub>
          <m:sSubPr>
            <m:ctrlPr>
              <w:rPr>
                <w:rFonts w:ascii="Cambria Math" w:hAnsi="Cambria Math" w:cs="Times New Roman"/>
                <w:sz w:val="24"/>
                <w:szCs w:val="24"/>
              </w:rPr>
            </m:ctrlPr>
          </m:sSubPr>
          <m:e>
            <m:r>
              <m:rPr>
                <m:sty m:val="p"/>
              </m:rPr>
              <w:rPr>
                <w:rFonts w:ascii="Cambria Math" w:hAnsi="Cambria Math" w:cs="Times New Roman"/>
                <w:sz w:val="24"/>
                <w:szCs w:val="24"/>
              </w:rPr>
              <m:t>biotic</m:t>
            </m:r>
            <m:ctrlPr>
              <w:rPr>
                <w:rFonts w:ascii="Cambria Math" w:hAnsi="Cambria Math" w:cs="Times New Roman"/>
                <w:i/>
                <w:sz w:val="24"/>
                <w:szCs w:val="24"/>
              </w:rPr>
            </m:ctrlPr>
          </m:e>
          <m:sub>
            <m:r>
              <m:rPr>
                <m:sty m:val="p"/>
              </m:rPr>
              <w:rPr>
                <w:rFonts w:ascii="Cambria Math" w:hAnsi="Cambria Math" w:cs="Times New Roman"/>
                <w:sz w:val="24"/>
                <w:szCs w:val="24"/>
              </w:rPr>
              <m:t>detox</m:t>
            </m:r>
          </m:sub>
        </m:sSub>
      </m:oMath>
      <w:r w:rsidR="003D1E8D" w:rsidRPr="003609FB">
        <w:rPr>
          <w:rFonts w:ascii="Times New Roman" w:hAnsi="Times New Roman" w:cs="Times New Roman"/>
          <w:sz w:val="24"/>
          <w:szCs w:val="24"/>
        </w:rPr>
        <w:t>]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biotic</m:t>
            </m:r>
            <m:ctrlPr>
              <w:rPr>
                <w:rFonts w:ascii="Cambria Math" w:hAnsi="Cambria Math" w:cs="Times New Roman"/>
                <w:i/>
                <w:sz w:val="24"/>
                <w:szCs w:val="24"/>
              </w:rPr>
            </m:ctrlPr>
          </m:e>
          <m:sub>
            <m:r>
              <m:rPr>
                <m:sty m:val="p"/>
              </m:rPr>
              <w:rPr>
                <w:rFonts w:ascii="Cambria Math" w:hAnsi="Cambria Math" w:cs="Times New Roman"/>
                <w:sz w:val="24"/>
                <w:szCs w:val="24"/>
              </w:rPr>
              <m:t>detox</m:t>
            </m:r>
          </m:sub>
        </m:sSub>
      </m:oMath>
      <w:r w:rsidR="003D1E8D" w:rsidRPr="003609FB">
        <w:rPr>
          <w:rFonts w:ascii="Times New Roman" w:hAnsi="Times New Roman" w:cs="Times New Roman"/>
          <w:sz w:val="24"/>
          <w:szCs w:val="24"/>
        </w:rPr>
        <w:t>] +</w:t>
      </w:r>
      <w:r w:rsidR="00F036CA" w:rsidRPr="003609FB">
        <w:rPr>
          <w:rFonts w:ascii="Times New Roman" w:hAnsi="Times New Roman" w:cs="Times New Roman"/>
          <w:sz w:val="24"/>
          <w:szCs w:val="24"/>
        </w:rPr>
        <w:t xml:space="preserve"> </w:t>
      </w:r>
      <w:proofErr w:type="gramStart"/>
      <w:r w:rsidR="003D1E8D" w:rsidRPr="003609FB">
        <w:rPr>
          <w:rFonts w:ascii="Times New Roman" w:hAnsi="Times New Roman" w:cs="Times New Roman"/>
          <w:sz w:val="24"/>
          <w:szCs w:val="24"/>
        </w:rPr>
        <w:t>( Phi</w:t>
      </w:r>
      <w:proofErr w:type="gramEnd"/>
      <w:r w:rsidR="003D1E8D" w:rsidRPr="003609FB">
        <w:rPr>
          <w:rFonts w:ascii="Times New Roman" w:hAnsi="Times New Roman" w:cs="Times New Roman"/>
          <w:sz w:val="24"/>
          <w:szCs w:val="24"/>
        </w:rPr>
        <w:t>(j)*</w:t>
      </w:r>
      <w:proofErr w:type="spellStart"/>
      <w:r w:rsidR="003D1E8D" w:rsidRPr="003609FB">
        <w:rPr>
          <w:rFonts w:ascii="Times New Roman" w:hAnsi="Times New Roman" w:cs="Times New Roman"/>
          <w:sz w:val="24"/>
          <w:szCs w:val="24"/>
        </w:rPr>
        <w:t>photoTempFunc</w:t>
      </w:r>
      <w:proofErr w:type="spellEnd"/>
      <w:r w:rsidR="003D1E8D" w:rsidRPr="003609FB">
        <w:rPr>
          <w:rFonts w:ascii="Times New Roman" w:hAnsi="Times New Roman" w:cs="Times New Roman"/>
          <w:sz w:val="24"/>
          <w:szCs w:val="24"/>
        </w:rPr>
        <w:t xml:space="preserve">( j)* </w:t>
      </w:r>
      <w:r w:rsidR="00F64BF4" w:rsidRPr="003609FB">
        <w:rPr>
          <w:rFonts w:ascii="Times New Roman" w:hAnsi="Times New Roman" w:cs="Times New Roman"/>
          <w:sz w:val="24"/>
          <w:szCs w:val="24"/>
        </w:rPr>
        <w:t xml:space="preserve">[H] </w:t>
      </w:r>
      <w:r w:rsidR="003D1E8D" w:rsidRPr="003609FB">
        <w:rPr>
          <w:rFonts w:ascii="Times New Roman" w:hAnsi="Times New Roman" w:cs="Times New Roman"/>
          <w:sz w:val="24"/>
          <w:szCs w:val="24"/>
        </w:rPr>
        <w:t>)  *X )</w:t>
      </w:r>
    </w:p>
    <w:p w14:paraId="0B3D9A18" w14:textId="14C1B66C" w:rsidR="009973C2" w:rsidRPr="003609FB" w:rsidRDefault="009973C2" w:rsidP="00AB2160">
      <w:pPr>
        <w:spacing w:line="360" w:lineRule="auto"/>
        <w:rPr>
          <w:rFonts w:ascii="Times New Roman" w:hAnsi="Times New Roman" w:cs="Times New Roman"/>
          <w:sz w:val="24"/>
          <w:szCs w:val="24"/>
        </w:rPr>
      </w:pPr>
      <w:r>
        <w:rPr>
          <w:rFonts w:ascii="Times New Roman" w:hAnsi="Times New Roman" w:cs="Times New Roman"/>
        </w:rPr>
        <w:t xml:space="preserve">                                                        </w:t>
      </w:r>
      <w:r w:rsidR="00C40322">
        <w:rPr>
          <w:rFonts w:ascii="Times New Roman" w:hAnsi="Times New Roman" w:cs="Times New Roman"/>
        </w:rPr>
        <w:t>S</w:t>
      </w:r>
      <w:r>
        <w:rPr>
          <w:rFonts w:ascii="Times New Roman" w:hAnsi="Times New Roman" w:cs="Times New Roman"/>
        </w:rPr>
        <w:t xml:space="preserve"> detoxification rate of H       </w:t>
      </w:r>
    </w:p>
    <w:p w14:paraId="5CC3D6A8" w14:textId="0D914072" w:rsidR="00EE1250" w:rsidRDefault="00F64BF4"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In the Darwin code, this line appears within a </w:t>
      </w:r>
      <w:proofErr w:type="gramStart"/>
      <w:r w:rsidRPr="003609FB">
        <w:rPr>
          <w:rFonts w:ascii="Times New Roman" w:hAnsi="Times New Roman" w:cs="Times New Roman"/>
          <w:sz w:val="24"/>
          <w:szCs w:val="24"/>
        </w:rPr>
        <w:t>for</w:t>
      </w:r>
      <w:proofErr w:type="gramEnd"/>
      <w:r w:rsidRPr="003609FB">
        <w:rPr>
          <w:rFonts w:ascii="Times New Roman" w:hAnsi="Times New Roman" w:cs="Times New Roman"/>
          <w:sz w:val="24"/>
          <w:szCs w:val="24"/>
        </w:rPr>
        <w:t xml:space="preserve"> loop that sums over plankton types, j.</w:t>
      </w:r>
      <w:r w:rsidR="004D3E64" w:rsidRPr="003609FB">
        <w:rPr>
          <w:rFonts w:ascii="Times New Roman" w:hAnsi="Times New Roman" w:cs="Times New Roman"/>
          <w:sz w:val="24"/>
          <w:szCs w:val="24"/>
        </w:rPr>
        <w:t xml:space="preserve"> </w:t>
      </w:r>
      <w:r w:rsidR="00C40322">
        <w:rPr>
          <w:rFonts w:ascii="Times New Roman" w:hAnsi="Times New Roman" w:cs="Times New Roman"/>
          <w:sz w:val="24"/>
          <w:szCs w:val="24"/>
        </w:rPr>
        <w:t xml:space="preserve"> </w:t>
      </w:r>
      <w:proofErr w:type="spellStart"/>
      <w:r w:rsidR="00C40322" w:rsidRPr="00C40322">
        <w:rPr>
          <w:rFonts w:ascii="Times" w:hAnsi="Times" w:cs="Times New Roman"/>
          <w:i/>
          <w:iCs/>
          <w:color w:val="000000" w:themeColor="text1"/>
          <w:sz w:val="24"/>
          <w:szCs w:val="24"/>
        </w:rPr>
        <w:t>Synechococcus</w:t>
      </w:r>
      <w:proofErr w:type="spellEnd"/>
      <w:r w:rsidR="00C40322">
        <w:rPr>
          <w:rFonts w:ascii="Times New Roman" w:hAnsi="Times New Roman" w:cs="Times New Roman"/>
          <w:sz w:val="24"/>
          <w:szCs w:val="24"/>
        </w:rPr>
        <w:t xml:space="preserve">, but not </w:t>
      </w:r>
      <w:r w:rsidR="00C40322" w:rsidRPr="00C40322">
        <w:rPr>
          <w:rFonts w:ascii="Times" w:hAnsi="Times" w:cs="Times New Roman"/>
          <w:i/>
          <w:iCs/>
          <w:color w:val="000000" w:themeColor="text1"/>
          <w:sz w:val="24"/>
          <w:szCs w:val="24"/>
        </w:rPr>
        <w:t>Prochlorococcus</w:t>
      </w:r>
      <w:r w:rsidR="00C40322">
        <w:rPr>
          <w:rFonts w:ascii="Times New Roman" w:hAnsi="Times New Roman" w:cs="Times New Roman"/>
          <w:sz w:val="24"/>
          <w:szCs w:val="24"/>
        </w:rPr>
        <w:t xml:space="preserve">, is part of this plankton </w:t>
      </w:r>
      <w:r w:rsidR="00B6566C">
        <w:rPr>
          <w:rFonts w:ascii="Times New Roman" w:hAnsi="Times New Roman" w:cs="Times New Roman"/>
          <w:sz w:val="24"/>
          <w:szCs w:val="24"/>
        </w:rPr>
        <w:t>type (j)</w:t>
      </w:r>
      <w:r w:rsidR="00C40322">
        <w:rPr>
          <w:rFonts w:ascii="Times New Roman" w:hAnsi="Times New Roman" w:cs="Times New Roman"/>
          <w:sz w:val="24"/>
          <w:szCs w:val="24"/>
        </w:rPr>
        <w:t>.</w:t>
      </w:r>
    </w:p>
    <w:p w14:paraId="7099DB57" w14:textId="77777777" w:rsidR="0049772E" w:rsidRPr="003609FB" w:rsidRDefault="0049772E" w:rsidP="00AB2160">
      <w:pPr>
        <w:spacing w:line="360" w:lineRule="auto"/>
        <w:rPr>
          <w:rFonts w:ascii="Times New Roman" w:hAnsi="Times New Roman" w:cs="Times New Roman"/>
          <w:sz w:val="24"/>
          <w:szCs w:val="24"/>
        </w:rPr>
      </w:pPr>
    </w:p>
    <w:p w14:paraId="6203C485" w14:textId="18620DB0" w:rsidR="00F31464" w:rsidRDefault="003D1E8D" w:rsidP="00AB2160">
      <w:pPr>
        <w:pStyle w:val="Heading3"/>
        <w:spacing w:line="360" w:lineRule="auto"/>
      </w:pPr>
      <w:bookmarkStart w:id="71" w:name="_Toc173250048"/>
      <w:r w:rsidRPr="003609FB">
        <w:lastRenderedPageBreak/>
        <w:t xml:space="preserve">Case 4 - Leaky world, </w:t>
      </w:r>
      <w:proofErr w:type="spellStart"/>
      <w:r w:rsidR="00691B65" w:rsidRPr="00691B65">
        <w:rPr>
          <w:i/>
          <w:iCs/>
        </w:rPr>
        <w:t>Synechococcus</w:t>
      </w:r>
      <w:proofErr w:type="spellEnd"/>
      <w:r w:rsidRPr="003609FB">
        <w:t xml:space="preserve"> and Bacterial detoxification</w:t>
      </w:r>
      <w:bookmarkEnd w:id="71"/>
      <w:r w:rsidRPr="003609FB">
        <w:t xml:space="preserve"> </w:t>
      </w:r>
    </w:p>
    <w:p w14:paraId="056C91EA" w14:textId="0E417019" w:rsidR="00CB3C96" w:rsidRDefault="003D1E8D" w:rsidP="0007200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Lastly,</w:t>
      </w:r>
      <w:r w:rsidR="009F210E">
        <w:rPr>
          <w:rFonts w:ascii="Times New Roman" w:hAnsi="Times New Roman" w:cs="Times New Roman"/>
          <w:sz w:val="24"/>
          <w:szCs w:val="24"/>
        </w:rPr>
        <w:t xml:space="preserve"> heterotrophic</w:t>
      </w:r>
      <w:r w:rsidRPr="003609FB">
        <w:rPr>
          <w:rFonts w:ascii="Times New Roman" w:hAnsi="Times New Roman" w:cs="Times New Roman"/>
          <w:sz w:val="24"/>
          <w:szCs w:val="24"/>
        </w:rPr>
        <w:t xml:space="preserve"> bacteria</w:t>
      </w:r>
      <w:r w:rsidR="009F210E">
        <w:rPr>
          <w:rFonts w:ascii="Times New Roman" w:hAnsi="Times New Roman" w:cs="Times New Roman"/>
          <w:sz w:val="24"/>
          <w:szCs w:val="24"/>
        </w:rPr>
        <w:t xml:space="preserve">l (bacteria in </w:t>
      </w:r>
      <w:r w:rsidR="00DC220A">
        <w:rPr>
          <w:rFonts w:ascii="Times New Roman" w:hAnsi="Times New Roman" w:cs="Times New Roman"/>
          <w:sz w:val="24"/>
          <w:szCs w:val="24"/>
        </w:rPr>
        <w:t>equation</w:t>
      </w:r>
      <w:r w:rsidR="009F210E">
        <w:rPr>
          <w:rFonts w:ascii="Times New Roman" w:hAnsi="Times New Roman" w:cs="Times New Roman"/>
          <w:sz w:val="24"/>
          <w:szCs w:val="24"/>
        </w:rPr>
        <w:t>)</w:t>
      </w:r>
      <w:r w:rsidRPr="003609FB">
        <w:rPr>
          <w:rFonts w:ascii="Times New Roman" w:hAnsi="Times New Roman" w:cs="Times New Roman"/>
          <w:sz w:val="24"/>
          <w:szCs w:val="24"/>
        </w:rPr>
        <w:t xml:space="preserve"> effects on detoxification, and thus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biogeography were assessed. Biotic decay, from case 3, was given a second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max,i</m:t>
            </m:r>
          </m:sub>
        </m:sSub>
      </m:oMath>
      <w:r w:rsidR="00931B50" w:rsidRPr="003609FB">
        <w:rPr>
          <w:rFonts w:ascii="Times New Roman" w:hAnsi="Times New Roman" w:cs="Times New Roman"/>
          <w:sz w:val="24"/>
          <w:szCs w:val="24"/>
        </w:rPr>
        <w:t xml:space="preserve"> </w:t>
      </w:r>
      <w:r w:rsidR="000C3518">
        <w:rPr>
          <w:rFonts w:ascii="Times New Roman" w:hAnsi="Times New Roman" w:cs="Times New Roman"/>
          <w:sz w:val="24"/>
          <w:szCs w:val="24"/>
        </w:rPr>
        <w:t xml:space="preserve"> </w:t>
      </w:r>
      <w:r w:rsidRPr="003609FB">
        <w:rPr>
          <w:rFonts w:ascii="Times New Roman" w:hAnsi="Times New Roman" w:cs="Times New Roman"/>
          <w:sz w:val="24"/>
          <w:szCs w:val="24"/>
        </w:rPr>
        <w:t xml:space="preserve">term, this one reliant on </w:t>
      </w:r>
      <w:r w:rsidR="00931B50" w:rsidRPr="003609FB">
        <w:rPr>
          <w:rFonts w:ascii="Times New Roman" w:hAnsi="Times New Roman" w:cs="Times New Roman"/>
          <w:sz w:val="24"/>
          <w:szCs w:val="24"/>
        </w:rPr>
        <w:t xml:space="preserve">a steady state heterotrophic </w:t>
      </w:r>
      <w:r w:rsidRPr="003609FB">
        <w:rPr>
          <w:rFonts w:ascii="Times New Roman" w:hAnsi="Times New Roman" w:cs="Times New Roman"/>
          <w:sz w:val="24"/>
          <w:szCs w:val="24"/>
        </w:rPr>
        <w:t xml:space="preserve">bacterial concentration </w:t>
      </w:r>
      <w:r w:rsidR="00931B50" w:rsidRPr="003609FB">
        <w:rPr>
          <w:rFonts w:ascii="Times New Roman" w:hAnsi="Times New Roman" w:cs="Times New Roman"/>
          <w:sz w:val="24"/>
          <w:szCs w:val="24"/>
        </w:rPr>
        <w:t>((2500</w:t>
      </w:r>
      <w:r w:rsidR="00DD5063">
        <w:rPr>
          <w:rFonts w:ascii="Times New Roman" w:hAnsi="Times New Roman" w:cs="Times New Roman"/>
          <w:sz w:val="24"/>
          <w:szCs w:val="24"/>
        </w:rPr>
        <w:t xml:space="preserve"> cells per mL</w:t>
      </w:r>
      <w:r w:rsidR="00931B50"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r w:rsidR="006F51FD" w:rsidRPr="003609FB">
        <w:rPr>
          <w:rFonts w:ascii="Times New Roman" w:hAnsi="Times New Roman" w:cs="Times New Roman"/>
          <w:sz w:val="24"/>
          <w:szCs w:val="24"/>
        </w:rPr>
        <w:t xml:space="preserve">recovered (within </w:t>
      </w:r>
      <w:r w:rsidR="00C73B8C" w:rsidRPr="003609FB">
        <w:rPr>
          <w:rFonts w:ascii="Times New Roman" w:hAnsi="Times New Roman" w:cs="Times New Roman"/>
          <w:sz w:val="24"/>
          <w:szCs w:val="24"/>
        </w:rPr>
        <w:t>Chapter 2</w:t>
      </w:r>
      <w:r w:rsidR="006F51FD" w:rsidRPr="003609FB">
        <w:rPr>
          <w:rFonts w:ascii="Times New Roman" w:hAnsi="Times New Roman" w:cs="Times New Roman"/>
          <w:sz w:val="24"/>
          <w:szCs w:val="24"/>
        </w:rPr>
        <w:t>)</w:t>
      </w:r>
      <w:r w:rsidR="00C73B8C" w:rsidRPr="003609FB">
        <w:rPr>
          <w:rFonts w:ascii="Times New Roman" w:hAnsi="Times New Roman" w:cs="Times New Roman"/>
          <w:sz w:val="24"/>
          <w:szCs w:val="24"/>
        </w:rPr>
        <w:t xml:space="preserve"> </w:t>
      </w:r>
      <w:proofErr w:type="spellStart"/>
      <w:r w:rsidRPr="000D69C4">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931B50" w:rsidRPr="003609FB">
        <w:rPr>
          <w:rFonts w:ascii="Times New Roman" w:hAnsi="Times New Roman" w:cs="Times New Roman"/>
          <w:sz w:val="24"/>
          <w:szCs w:val="24"/>
        </w:rPr>
        <w:t xml:space="preserve"> detoxification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max,B</m:t>
            </m:r>
          </m:sub>
        </m:sSub>
        <m:r>
          <m:rPr>
            <m:sty m:val="p"/>
          </m:rPr>
          <w:rPr>
            <w:rFonts w:ascii="Cambria Math" w:hAnsi="Cambria Math" w:cs="Times New Roman"/>
            <w:sz w:val="24"/>
            <w:szCs w:val="24"/>
          </w:rPr>
          <m:t>)</m:t>
        </m:r>
      </m:oMath>
      <w:r w:rsidR="00931B50" w:rsidRPr="003609FB">
        <w:rPr>
          <w:rFonts w:ascii="Times New Roman" w:hAnsi="Times New Roman" w:cs="Times New Roman"/>
          <w:sz w:val="24"/>
          <w:szCs w:val="24"/>
        </w:rPr>
        <w:t xml:space="preserve"> </w:t>
      </w:r>
      <w:r w:rsidRPr="003609FB">
        <w:rPr>
          <w:rFonts w:ascii="Times New Roman" w:hAnsi="Times New Roman" w:cs="Times New Roman"/>
          <w:sz w:val="24"/>
          <w:szCs w:val="24"/>
        </w:rPr>
        <w:t>parameter values.</w:t>
      </w:r>
      <w:r w:rsidR="00CB3C96">
        <w:rPr>
          <w:rFonts w:ascii="Times New Roman" w:hAnsi="Times New Roman" w:cs="Times New Roman"/>
          <w:sz w:val="24"/>
          <w:szCs w:val="24"/>
        </w:rPr>
        <w:t xml:space="preserve"> </w:t>
      </w:r>
      <w:r w:rsidRPr="003609FB">
        <w:rPr>
          <w:rFonts w:ascii="Times New Roman" w:hAnsi="Times New Roman" w:cs="Times New Roman"/>
          <w:sz w:val="24"/>
          <w:szCs w:val="24"/>
        </w:rPr>
        <w:t>With the lack of constraint on</w:t>
      </w:r>
      <w:r w:rsidR="00CB3C96">
        <w:rPr>
          <w:rFonts w:ascii="Times New Roman" w:hAnsi="Times New Roman" w:cs="Times New Roman"/>
          <w:sz w:val="24"/>
          <w:szCs w:val="24"/>
        </w:rPr>
        <w:t xml:space="preserve"> dynamics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CB3C96">
        <w:rPr>
          <w:rFonts w:ascii="Times New Roman" w:hAnsi="Times New Roman" w:cs="Times New Roman"/>
          <w:sz w:val="24"/>
          <w:szCs w:val="24"/>
        </w:rPr>
        <w:t xml:space="preserve">heterotrophic </w:t>
      </w:r>
      <w:r w:rsidRPr="003609FB">
        <w:rPr>
          <w:rFonts w:ascii="Times New Roman" w:hAnsi="Times New Roman" w:cs="Times New Roman"/>
          <w:sz w:val="24"/>
          <w:szCs w:val="24"/>
        </w:rPr>
        <w:t xml:space="preserve">bacterial concentrations </w:t>
      </w:r>
      <w:r w:rsidR="00CB3C96">
        <w:rPr>
          <w:rFonts w:ascii="Times New Roman" w:hAnsi="Times New Roman" w:cs="Times New Roman"/>
          <w:sz w:val="24"/>
          <w:szCs w:val="24"/>
        </w:rPr>
        <w:t>(and corresponding lack of bacterial tracers within</w:t>
      </w:r>
      <w:r w:rsidRPr="003609FB">
        <w:rPr>
          <w:rFonts w:ascii="Times New Roman" w:hAnsi="Times New Roman" w:cs="Times New Roman"/>
          <w:sz w:val="24"/>
          <w:szCs w:val="24"/>
        </w:rPr>
        <w:t xml:space="preserve"> the Darwin framework</w:t>
      </w:r>
      <w:r w:rsidR="00CB3C96">
        <w:rPr>
          <w:rFonts w:ascii="Times New Roman" w:hAnsi="Times New Roman" w:cs="Times New Roman"/>
          <w:sz w:val="24"/>
          <w:szCs w:val="24"/>
        </w:rPr>
        <w:t>)</w:t>
      </w:r>
      <w:r w:rsidRPr="003609FB">
        <w:rPr>
          <w:rFonts w:ascii="Times New Roman" w:hAnsi="Times New Roman" w:cs="Times New Roman"/>
          <w:sz w:val="24"/>
          <w:szCs w:val="24"/>
        </w:rPr>
        <w:t xml:space="preserve">, we enact </w:t>
      </w:r>
      <w:r w:rsidR="00CB3C96">
        <w:rPr>
          <w:rFonts w:ascii="Times New Roman" w:hAnsi="Times New Roman" w:cs="Times New Roman"/>
          <w:sz w:val="24"/>
          <w:szCs w:val="24"/>
        </w:rPr>
        <w:t>only</w:t>
      </w:r>
      <w:r w:rsidRPr="003609FB">
        <w:rPr>
          <w:rFonts w:ascii="Times New Roman" w:hAnsi="Times New Roman" w:cs="Times New Roman"/>
          <w:sz w:val="24"/>
          <w:szCs w:val="24"/>
        </w:rPr>
        <w:t xml:space="preserve"> a steady concentration of </w:t>
      </w:r>
      <w:r w:rsidR="00BF3E25" w:rsidRPr="003609FB">
        <w:rPr>
          <w:rFonts w:ascii="Times New Roman" w:hAnsi="Times New Roman" w:cs="Times New Roman"/>
          <w:sz w:val="24"/>
          <w:szCs w:val="24"/>
        </w:rPr>
        <w:t xml:space="preserve">heterotrophic </w:t>
      </w:r>
      <w:r w:rsidRPr="003609FB">
        <w:rPr>
          <w:rFonts w:ascii="Times New Roman" w:hAnsi="Times New Roman" w:cs="Times New Roman"/>
          <w:sz w:val="24"/>
          <w:szCs w:val="24"/>
        </w:rPr>
        <w:t>bacteria</w:t>
      </w:r>
      <w:r w:rsidR="00CB3C96">
        <w:rPr>
          <w:rFonts w:ascii="Times New Roman" w:hAnsi="Times New Roman" w:cs="Times New Roman"/>
          <w:sz w:val="24"/>
          <w:szCs w:val="24"/>
        </w:rPr>
        <w:t>, meaning no growth or innate death parameters are associated with the bacterial tracer</w:t>
      </w:r>
      <w:r w:rsidRPr="003609FB">
        <w:rPr>
          <w:rFonts w:ascii="Times New Roman" w:hAnsi="Times New Roman" w:cs="Times New Roman"/>
          <w:sz w:val="24"/>
          <w:szCs w:val="24"/>
        </w:rPr>
        <w:t xml:space="preserve">. This </w:t>
      </w:r>
      <w:r w:rsidR="00CB3C96">
        <w:rPr>
          <w:rFonts w:ascii="Times New Roman" w:hAnsi="Times New Roman" w:cs="Times New Roman"/>
          <w:sz w:val="24"/>
          <w:szCs w:val="24"/>
        </w:rPr>
        <w:t xml:space="preserve">also </w:t>
      </w:r>
      <w:r w:rsidRPr="003609FB">
        <w:rPr>
          <w:rFonts w:ascii="Times New Roman" w:hAnsi="Times New Roman" w:cs="Times New Roman"/>
          <w:sz w:val="24"/>
          <w:szCs w:val="24"/>
        </w:rPr>
        <w:t xml:space="preserve">means the detoxification </w:t>
      </w:r>
      <w:r w:rsidR="00CB3C96">
        <w:rPr>
          <w:rFonts w:ascii="Times New Roman" w:hAnsi="Times New Roman" w:cs="Times New Roman"/>
          <w:sz w:val="24"/>
          <w:szCs w:val="24"/>
        </w:rPr>
        <w:t xml:space="preserve">through bacteria </w:t>
      </w:r>
      <w:r w:rsidR="00CB3C96" w:rsidRPr="003609FB">
        <w:rPr>
          <w:rFonts w:ascii="Times New Roman" w:hAnsi="Times New Roman" w:cs="Times New Roman"/>
          <w:sz w:val="24"/>
          <w:szCs w:val="24"/>
        </w:rPr>
        <w:t>does</w:t>
      </w:r>
      <w:r w:rsidRPr="003609FB">
        <w:rPr>
          <w:rFonts w:ascii="Times New Roman" w:hAnsi="Times New Roman" w:cs="Times New Roman"/>
          <w:sz w:val="24"/>
          <w:szCs w:val="24"/>
        </w:rPr>
        <w:t xml:space="preserve"> not draw down ammonium here, mirroring work done in </w:t>
      </w:r>
      <w:r w:rsidR="00F036CA"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3), but acts outside of the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competition dynamics, acting on the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of the system alone.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damage and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detoxification is implemented as in case 3.</w:t>
      </w:r>
    </w:p>
    <w:p w14:paraId="2CF8DB68" w14:textId="61DF0CDB" w:rsidR="00CB3C96" w:rsidRDefault="00CB3C96" w:rsidP="000F4C49">
      <w:pPr>
        <w:spacing w:line="360" w:lineRule="auto"/>
        <w:ind w:firstLine="720"/>
        <w:rPr>
          <w:rFonts w:ascii="Times New Roman" w:hAnsi="Times New Roman" w:cs="Times New Roman"/>
          <w:sz w:val="24"/>
          <w:szCs w:val="24"/>
        </w:rPr>
      </w:pPr>
    </w:p>
    <w:p w14:paraId="056482E5" w14:textId="46082A4D" w:rsidR="00F036CA" w:rsidRPr="007C2733" w:rsidRDefault="00000000" w:rsidP="000F4C49">
      <w:pPr>
        <w:spacing w:line="360" w:lineRule="auto"/>
        <w:ind w:firstLine="720"/>
        <w:rPr>
          <w:rFonts w:ascii="Times New Roman" w:hAnsi="Times New Roman" w:cs="Times New Roman"/>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bacterial</m:t>
              </m:r>
              <m:ctrlPr>
                <w:rPr>
                  <w:rFonts w:ascii="Cambria Math" w:hAnsi="Cambria Math" w:cs="Times New Roman"/>
                  <w:i/>
                </w:rPr>
              </m:ctrlPr>
            </m:e>
            <m:sub>
              <m:r>
                <m:rPr>
                  <m:sty m:val="p"/>
                </m:rPr>
                <w:rPr>
                  <w:rFonts w:ascii="Cambria Math" w:hAnsi="Cambria Math" w:cs="Times New Roman"/>
                </w:rPr>
                <m:t>detox</m:t>
              </m:r>
            </m:sub>
          </m:sSub>
          <m:d>
            <m:dPr>
              <m:begChr m:val="["/>
              <m:endChr m:val="]"/>
              <m:ctrlPr>
                <w:rPr>
                  <w:rFonts w:ascii="Cambria Math" w:hAnsi="Cambria Math" w:cs="Times New Roman"/>
                </w:rPr>
              </m:ctrlPr>
            </m:dPr>
            <m:e>
              <m:r>
                <m:rPr>
                  <m:sty m:val="p"/>
                </m:rPr>
                <w:rPr>
                  <w:rFonts w:ascii="Cambria Math" w:hAnsi="Cambria Math" w:cs="Times New Roman"/>
                </w:rPr>
                <m:t>H</m:t>
              </m:r>
            </m:e>
          </m:d>
          <m:r>
            <w:rPr>
              <w:rFonts w:ascii="Cambria Math" w:hAnsi="Cambria Math" w:cs="Times New Roman"/>
            </w:rPr>
            <m:t xml:space="preserve">= </m:t>
          </m:r>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[bacterial</m:t>
              </m:r>
              <m:ctrlPr>
                <w:rPr>
                  <w:rFonts w:ascii="Cambria Math" w:hAnsi="Cambria Math" w:cs="Times New Roman"/>
                  <w:i/>
                </w:rPr>
              </m:ctrlPr>
            </m:e>
            <m:sub>
              <m:r>
                <m:rPr>
                  <m:sty m:val="p"/>
                </m:rPr>
                <w:rPr>
                  <w:rFonts w:ascii="Cambria Math" w:hAnsi="Cambria Math" w:cs="Times New Roman"/>
                </w:rPr>
                <m:t>detox</m:t>
              </m:r>
            </m:sub>
          </m:sSub>
          <m:r>
            <m:rPr>
              <m:sty m:val="p"/>
            </m:rPr>
            <w:rPr>
              <w:rFonts w:ascii="Cambria Math" w:hAnsi="Cambria Math" w:cs="Times New Roman"/>
            </w:rPr>
            <m:t>]+( Phi(j)*photoTempFunc( j)* [H] )  *X )</m:t>
          </m:r>
        </m:oMath>
      </m:oMathPara>
    </w:p>
    <w:p w14:paraId="72541C00" w14:textId="06F3282A" w:rsidR="007C2733" w:rsidRPr="000F4C49" w:rsidRDefault="002F14F0" w:rsidP="000F4C49">
      <w:pPr>
        <w:spacing w:line="360" w:lineRule="auto"/>
        <w:ind w:firstLine="720"/>
        <w:rPr>
          <w:rFonts w:ascii="Times New Roman" w:hAnsi="Times New Roman" w:cs="Times New Roman"/>
          <w:sz w:val="24"/>
          <w:szCs w:val="24"/>
        </w:rPr>
      </w:pPr>
      <w:r>
        <w:rPr>
          <w:rFonts w:ascii="Times New Roman" w:hAnsi="Times New Roman" w:cs="Times New Roman"/>
          <w:noProof/>
          <w:sz w:val="20"/>
          <w:szCs w:val="20"/>
        </w:rPr>
        <mc:AlternateContent>
          <mc:Choice Requires="wps">
            <w:drawing>
              <wp:anchor distT="0" distB="0" distL="114300" distR="114300" simplePos="0" relativeHeight="251734016" behindDoc="0" locked="0" layoutInCell="1" allowOverlap="1" wp14:anchorId="58D5BCB4" wp14:editId="41EA78C2">
                <wp:simplePos x="0" y="0"/>
                <wp:positionH relativeFrom="column">
                  <wp:posOffset>4157346</wp:posOffset>
                </wp:positionH>
                <wp:positionV relativeFrom="paragraph">
                  <wp:posOffset>608965</wp:posOffset>
                </wp:positionV>
                <wp:extent cx="1373204" cy="304800"/>
                <wp:effectExtent l="0" t="0" r="0" b="0"/>
                <wp:wrapNone/>
                <wp:docPr id="1199815199" name="Text Box 1"/>
                <wp:cNvGraphicFramePr/>
                <a:graphic xmlns:a="http://schemas.openxmlformats.org/drawingml/2006/main">
                  <a:graphicData uri="http://schemas.microsoft.com/office/word/2010/wordprocessingShape">
                    <wps:wsp>
                      <wps:cNvSpPr txBox="1"/>
                      <wps:spPr>
                        <a:xfrm>
                          <a:off x="0" y="0"/>
                          <a:ext cx="1373204" cy="304800"/>
                        </a:xfrm>
                        <a:prstGeom prst="rect">
                          <a:avLst/>
                        </a:prstGeom>
                        <a:solidFill>
                          <a:schemeClr val="lt1"/>
                        </a:solidFill>
                        <a:ln w="6350">
                          <a:noFill/>
                        </a:ln>
                      </wps:spPr>
                      <wps:txbx>
                        <w:txbxContent>
                          <w:p w14:paraId="1ECB0887" w14:textId="144B23D6" w:rsidR="002F14F0" w:rsidRPr="002F14F0" w:rsidRDefault="002F14F0" w:rsidP="002F14F0">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biotic 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D5BCB4" id="Text Box 1" o:spid="_x0000_s1033" type="#_x0000_t202" style="position:absolute;left:0;text-align:left;margin-left:327.35pt;margin-top:47.95pt;width:108.15pt;height:24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" fillcolor="white [3201]" stroked="f" strokeweight=".5pt">
                <v:textbox>
                  <w:txbxContent>
                    <w:p w14:paraId="1ECB0887" w14:textId="144B23D6" w:rsidR="002F14F0" w:rsidRPr="002F14F0" w:rsidRDefault="002F14F0" w:rsidP="002F14F0">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biotic rates</w:t>
                      </w:r>
                    </w:p>
                  </w:txbxContent>
                </v:textbox>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31968" behindDoc="0" locked="0" layoutInCell="1" allowOverlap="1" wp14:anchorId="313D806E" wp14:editId="59BDC93F">
                <wp:simplePos x="0" y="0"/>
                <wp:positionH relativeFrom="column">
                  <wp:posOffset>4309746</wp:posOffset>
                </wp:positionH>
                <wp:positionV relativeFrom="paragraph">
                  <wp:posOffset>304165</wp:posOffset>
                </wp:positionV>
                <wp:extent cx="1372870" cy="342900"/>
                <wp:effectExtent l="0" t="0" r="0" b="0"/>
                <wp:wrapNone/>
                <wp:docPr id="750503264" name="Text Box 1"/>
                <wp:cNvGraphicFramePr/>
                <a:graphic xmlns:a="http://schemas.openxmlformats.org/drawingml/2006/main">
                  <a:graphicData uri="http://schemas.microsoft.com/office/word/2010/wordprocessingShape">
                    <wps:wsp>
                      <wps:cNvSpPr txBox="1"/>
                      <wps:spPr>
                        <a:xfrm>
                          <a:off x="0" y="0"/>
                          <a:ext cx="1372870" cy="342900"/>
                        </a:xfrm>
                        <a:prstGeom prst="rect">
                          <a:avLst/>
                        </a:prstGeom>
                        <a:solidFill>
                          <a:schemeClr val="lt1"/>
                        </a:solidFill>
                        <a:ln w="6350">
                          <a:noFill/>
                        </a:ln>
                      </wps:spPr>
                      <wps:txbx>
                        <w:txbxContent>
                          <w:p w14:paraId="4BEB5306" w14:textId="0818EF24" w:rsidR="002F14F0" w:rsidRPr="002F14F0" w:rsidRDefault="002F14F0" w:rsidP="002F14F0">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abiotic rates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3D806E" id="_x0000_s1034" type="#_x0000_t202" style="position:absolute;left:0;text-align:left;margin-left:339.35pt;margin-top:23.95pt;width:108.1pt;height:27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" fillcolor="white [3201]" stroked="f" strokeweight=".5pt">
                <v:textbox>
                  <w:txbxContent>
                    <w:p w14:paraId="4BEB5306" w14:textId="0818EF24" w:rsidR="002F14F0" w:rsidRPr="002F14F0" w:rsidRDefault="002F14F0" w:rsidP="002F14F0">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abiotic rates</w:t>
                      </w:r>
                    </w:p>
                  </w:txbxContent>
                </v:textbox>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30944" behindDoc="0" locked="0" layoutInCell="1" allowOverlap="1" wp14:anchorId="68D45986" wp14:editId="3D1CC95F">
                <wp:simplePos x="0" y="0"/>
                <wp:positionH relativeFrom="column">
                  <wp:posOffset>4239894</wp:posOffset>
                </wp:positionH>
                <wp:positionV relativeFrom="paragraph">
                  <wp:posOffset>323082</wp:posOffset>
                </wp:positionV>
                <wp:extent cx="68094" cy="258702"/>
                <wp:effectExtent l="0" t="0" r="8255" b="8255"/>
                <wp:wrapNone/>
                <wp:docPr id="1038448923" name="Left Brace 1038448923"/>
                <wp:cNvGraphicFramePr/>
                <a:graphic xmlns:a="http://schemas.openxmlformats.org/drawingml/2006/main">
                  <a:graphicData uri="http://schemas.microsoft.com/office/word/2010/wordprocessingShape">
                    <wps:wsp>
                      <wps:cNvSpPr/>
                      <wps:spPr>
                        <a:xfrm rot="10800000">
                          <a:off x="0" y="0"/>
                          <a:ext cx="68094" cy="258702"/>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C094" id="Left Brace 1038448923" o:spid="_x0000_s1026" type="#_x0000_t87" style="position:absolute;margin-left:333.85pt;margin-top:25.45pt;width:5.35pt;height:20.35pt;rotation:18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" adj="474" strokecolor="black [3200]" strokeweight="1pt">
                <v:stroke joinstyle="miter"/>
              </v:shape>
            </w:pict>
          </mc:Fallback>
        </mc:AlternateContent>
      </w:r>
      <w:r w:rsidRPr="00E31311">
        <w:rPr>
          <w:rFonts w:ascii="Times New Roman" w:hAnsi="Times New Roman" w:cs="Times New Roman"/>
          <w:noProof/>
          <w:sz w:val="20"/>
          <w:szCs w:val="20"/>
        </w:rPr>
        <mc:AlternateContent>
          <mc:Choice Requires="wps">
            <w:drawing>
              <wp:anchor distT="0" distB="0" distL="114300" distR="114300" simplePos="0" relativeHeight="251728896" behindDoc="0" locked="0" layoutInCell="1" allowOverlap="1" wp14:anchorId="4313EDDA" wp14:editId="131873C7">
                <wp:simplePos x="0" y="0"/>
                <wp:positionH relativeFrom="column">
                  <wp:posOffset>4088932</wp:posOffset>
                </wp:positionH>
                <wp:positionV relativeFrom="paragraph">
                  <wp:posOffset>610703</wp:posOffset>
                </wp:positionV>
                <wp:extent cx="68094" cy="258702"/>
                <wp:effectExtent l="0" t="0" r="8255" b="8255"/>
                <wp:wrapNone/>
                <wp:docPr id="325929331" name="Left Brace 325929331"/>
                <wp:cNvGraphicFramePr/>
                <a:graphic xmlns:a="http://schemas.openxmlformats.org/drawingml/2006/main">
                  <a:graphicData uri="http://schemas.microsoft.com/office/word/2010/wordprocessingShape">
                    <wps:wsp>
                      <wps:cNvSpPr/>
                      <wps:spPr>
                        <a:xfrm rot="10800000">
                          <a:off x="0" y="0"/>
                          <a:ext cx="68094" cy="258702"/>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15813" id="Left Brace 325929331" o:spid="_x0000_s1026" type="#_x0000_t87" style="position:absolute;margin-left:321.95pt;margin-top:48.1pt;width:5.35pt;height:20.35pt;rotation:18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" adj="474" strokecolor="black [3200]" strokeweight="1pt">
                <v:stroke joinstyle="miter"/>
              </v:shape>
            </w:pict>
          </mc:Fallback>
        </mc:AlternateContent>
      </w:r>
      <w:r w:rsidR="007533D2" w:rsidRPr="00E31311">
        <w:rPr>
          <w:rFonts w:ascii="Times New Roman" w:hAnsi="Times New Roman" w:cs="Times New Roman"/>
          <w:noProof/>
          <w:sz w:val="20"/>
          <w:szCs w:val="20"/>
        </w:rPr>
        <mc:AlternateContent>
          <mc:Choice Requires="wps">
            <w:drawing>
              <wp:anchor distT="0" distB="0" distL="114300" distR="114300" simplePos="0" relativeHeight="251724800" behindDoc="0" locked="0" layoutInCell="1" allowOverlap="1" wp14:anchorId="6219D6E1" wp14:editId="6477EAB9">
                <wp:simplePos x="0" y="0"/>
                <wp:positionH relativeFrom="column">
                  <wp:posOffset>2947035</wp:posOffset>
                </wp:positionH>
                <wp:positionV relativeFrom="paragraph">
                  <wp:posOffset>-1605280</wp:posOffset>
                </wp:positionV>
                <wp:extent cx="153671" cy="3018790"/>
                <wp:effectExtent l="2540" t="0" r="13970" b="13970"/>
                <wp:wrapNone/>
                <wp:docPr id="40" name="Left Brace 40"/>
                <wp:cNvGraphicFramePr/>
                <a:graphic xmlns:a="http://schemas.openxmlformats.org/drawingml/2006/main">
                  <a:graphicData uri="http://schemas.microsoft.com/office/word/2010/wordprocessingShape">
                    <wps:wsp>
                      <wps:cNvSpPr/>
                      <wps:spPr>
                        <a:xfrm rot="16200000">
                          <a:off x="0" y="0"/>
                          <a:ext cx="153671" cy="301879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7832D" id="Left Brace 40" o:spid="_x0000_s1026" type="#_x0000_t87" style="position:absolute;margin-left:232.05pt;margin-top:-126.4pt;width:12.1pt;height:237.7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" adj="92" strokecolor="black [3200]" strokeweight="1pt">
                <v:stroke joinstyle="miter"/>
              </v:shape>
            </w:pict>
          </mc:Fallback>
        </mc:AlternateContent>
      </w:r>
      <w:r w:rsidR="007C2733">
        <w:rPr>
          <w:rFonts w:ascii="Times New Roman" w:hAnsi="Times New Roman" w:cs="Times New Roman"/>
        </w:rPr>
        <w:t xml:space="preserve">                                        </w:t>
      </w:r>
      <w:r w:rsidR="007533D2">
        <w:rPr>
          <w:rFonts w:ascii="Times New Roman" w:hAnsi="Times New Roman" w:cs="Times New Roman"/>
        </w:rPr>
        <w:t xml:space="preserve">       </w:t>
      </w:r>
      <w:r w:rsidR="007C2733">
        <w:rPr>
          <w:rFonts w:ascii="Times New Roman" w:hAnsi="Times New Roman" w:cs="Times New Roman"/>
        </w:rPr>
        <w:t xml:space="preserve">  bacterial detoxification rate of H</w:t>
      </w:r>
    </w:p>
    <w:p w14:paraId="73DF4748" w14:textId="51C8BF07" w:rsidR="003D1E8D" w:rsidRPr="002F14F0" w:rsidRDefault="00000000" w:rsidP="009F210E">
      <w:pPr>
        <w:spacing w:line="360" w:lineRule="auto"/>
        <w:jc w:val="both"/>
        <w:rPr>
          <w:rFonts w:ascii="Times New Roman" w:hAnsi="Times New Roman" w:cs="Times New Roman"/>
          <w:sz w:val="21"/>
          <w:szCs w:val="21"/>
        </w:rPr>
      </w:pPr>
      <m:oMathPara>
        <m:oMathParaPr>
          <m:jc m:val="left"/>
        </m:oMathParaPr>
        <m:oMath>
          <m:d>
            <m:dPr>
              <m:begChr m:val="["/>
              <m:endChr m:val="]"/>
              <m:ctrlPr>
                <w:rPr>
                  <w:rFonts w:ascii="Cambria Math" w:hAnsi="Cambria Math" w:cs="Times New Roman"/>
                  <w:i/>
                  <w:sz w:val="21"/>
                  <w:szCs w:val="21"/>
                </w:rPr>
              </m:ctrlPr>
            </m:dPr>
            <m:e>
              <m:r>
                <w:rPr>
                  <w:rFonts w:ascii="Cambria Math" w:hAnsi="Cambria Math" w:cs="Times New Roman"/>
                  <w:sz w:val="21"/>
                  <w:szCs w:val="21"/>
                </w:rPr>
                <m:t>H</m:t>
              </m:r>
            </m:e>
          </m:d>
          <m:r>
            <w:rPr>
              <w:rFonts w:ascii="Cambria Math" w:hAnsi="Cambria Math" w:cs="Times New Roman"/>
              <w:sz w:val="21"/>
              <w:szCs w:val="21"/>
            </w:rPr>
            <m:t>=</m:t>
          </m:r>
          <m:d>
            <m:dPr>
              <m:begChr m:val="["/>
              <m:endChr m:val="]"/>
              <m:ctrlPr>
                <w:rPr>
                  <w:rFonts w:ascii="Cambria Math" w:hAnsi="Cambria Math" w:cs="Times New Roman"/>
                  <w:i/>
                  <w:sz w:val="21"/>
                  <w:szCs w:val="21"/>
                </w:rPr>
              </m:ctrlPr>
            </m:dPr>
            <m:e>
              <m:r>
                <w:rPr>
                  <w:rFonts w:ascii="Cambria Math" w:hAnsi="Cambria Math" w:cs="Times New Roman"/>
                  <w:sz w:val="21"/>
                  <w:szCs w:val="21"/>
                </w:rPr>
                <m:t>H</m:t>
              </m:r>
            </m:e>
          </m:d>
          <m:r>
            <w:rPr>
              <w:rFonts w:ascii="Cambria Math" w:hAnsi="Cambria Math" w:cs="Times New Roman"/>
              <w:sz w:val="21"/>
              <w:szCs w:val="21"/>
            </w:rPr>
            <m:t xml:space="preserve">+ </m:t>
          </m:r>
          <m:d>
            <m:dPr>
              <m:ctrlPr>
                <w:rPr>
                  <w:rFonts w:ascii="Cambria Math" w:hAnsi="Cambria Math" w:cs="Times New Roman"/>
                  <w:i/>
                  <w:sz w:val="21"/>
                  <w:szCs w:val="21"/>
                </w:rPr>
              </m:ctrlPr>
            </m:dPr>
            <m:e>
              <m:d>
                <m:dPr>
                  <m:ctrlPr>
                    <w:rPr>
                      <w:rFonts w:ascii="Cambria Math" w:hAnsi="Cambria Math" w:cs="Times New Roman"/>
                      <w:i/>
                      <w:sz w:val="21"/>
                      <w:szCs w:val="21"/>
                    </w:rPr>
                  </m:ctrlPr>
                </m:dPr>
                <m:e>
                  <m:r>
                    <w:rPr>
                      <w:rFonts w:ascii="Cambria Math" w:hAnsi="Cambria Math" w:cs="Times New Roman"/>
                      <w:sz w:val="21"/>
                      <w:szCs w:val="21"/>
                    </w:rPr>
                    <m:t>QuantumYield</m:t>
                  </m:r>
                </m:e>
              </m:d>
              <m:d>
                <m:dPr>
                  <m:ctrlPr>
                    <w:rPr>
                      <w:rFonts w:ascii="Cambria Math" w:hAnsi="Cambria Math" w:cs="Times New Roman"/>
                      <w:i/>
                      <w:sz w:val="21"/>
                      <w:szCs w:val="21"/>
                    </w:rPr>
                  </m:ctrlPr>
                </m:dPr>
                <m:e>
                  <m:r>
                    <w:rPr>
                      <w:rFonts w:ascii="Cambria Math" w:hAnsi="Cambria Math" w:cs="Times New Roman"/>
                      <w:sz w:val="21"/>
                      <w:szCs w:val="21"/>
                    </w:rPr>
                    <m:t>DOC</m:t>
                  </m:r>
                </m:e>
              </m:d>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w:rPr>
                          <w:rFonts w:ascii="Cambria Math" w:hAnsi="Cambria Math" w:cs="Times New Roman"/>
                          <w:sz w:val="21"/>
                          <w:szCs w:val="21"/>
                        </w:rPr>
                        <m:t>PAR</m:t>
                      </m:r>
                    </m:e>
                    <m:sub>
                      <m:r>
                        <w:rPr>
                          <w:rFonts w:ascii="Cambria Math" w:hAnsi="Cambria Math" w:cs="Times New Roman"/>
                          <w:sz w:val="21"/>
                          <w:szCs w:val="21"/>
                        </w:rPr>
                        <m:t>total</m:t>
                      </m:r>
                    </m:sub>
                  </m:sSub>
                </m:e>
              </m:d>
              <m:r>
                <w:rPr>
                  <w:rFonts w:ascii="Cambria Math" w:hAnsi="Cambria Math" w:cs="Times New Roman"/>
                  <w:sz w:val="21"/>
                  <w:szCs w:val="21"/>
                </w:rPr>
                <m:t xml:space="preserve">-abioticHdecay </m:t>
              </m:r>
              <m:d>
                <m:dPr>
                  <m:begChr m:val="["/>
                  <m:endChr m:val="]"/>
                  <m:ctrlPr>
                    <w:rPr>
                      <w:rFonts w:ascii="Cambria Math" w:hAnsi="Cambria Math" w:cs="Times New Roman"/>
                      <w:i/>
                      <w:sz w:val="21"/>
                      <w:szCs w:val="21"/>
                    </w:rPr>
                  </m:ctrlPr>
                </m:dPr>
                <m:e>
                  <m:r>
                    <w:rPr>
                      <w:rFonts w:ascii="Cambria Math" w:hAnsi="Cambria Math" w:cs="Times New Roman"/>
                      <w:sz w:val="21"/>
                      <w:szCs w:val="21"/>
                    </w:rPr>
                    <m:t>H</m:t>
                  </m:r>
                </m:e>
              </m:d>
              <m:r>
                <w:rPr>
                  <w:rFonts w:ascii="Cambria Math" w:hAnsi="Cambria Math" w:cs="Times New Roman"/>
                  <w:sz w:val="21"/>
                  <w:szCs w:val="21"/>
                </w:rPr>
                <m:t xml:space="preserve">                               - </m:t>
              </m:r>
              <m:sSub>
                <m:sSubPr>
                  <m:ctrlPr>
                    <w:rPr>
                      <w:rFonts w:ascii="Cambria Math" w:hAnsi="Cambria Math" w:cs="Times New Roman"/>
                      <w:sz w:val="21"/>
                      <w:szCs w:val="21"/>
                    </w:rPr>
                  </m:ctrlPr>
                </m:sSubPr>
                <m:e>
                  <m:r>
                    <m:rPr>
                      <m:sty m:val="p"/>
                    </m:rPr>
                    <w:rPr>
                      <w:rFonts w:ascii="Cambria Math" w:hAnsi="Cambria Math" w:cs="Times New Roman"/>
                      <w:sz w:val="21"/>
                      <w:szCs w:val="21"/>
                    </w:rPr>
                    <m:t>biotic</m:t>
                  </m:r>
                  <m:ctrlPr>
                    <w:rPr>
                      <w:rFonts w:ascii="Cambria Math" w:hAnsi="Cambria Math" w:cs="Times New Roman"/>
                      <w:i/>
                      <w:sz w:val="21"/>
                      <w:szCs w:val="21"/>
                    </w:rPr>
                  </m:ctrlPr>
                </m:e>
                <m:sub>
                  <m:r>
                    <m:rPr>
                      <m:sty m:val="p"/>
                    </m:rPr>
                    <w:rPr>
                      <w:rFonts w:ascii="Cambria Math" w:hAnsi="Cambria Math" w:cs="Times New Roman"/>
                      <w:sz w:val="21"/>
                      <w:szCs w:val="21"/>
                    </w:rPr>
                    <m:t>detox</m:t>
                  </m:r>
                </m:sub>
              </m:sSub>
              <m:d>
                <m:dPr>
                  <m:begChr m:val="["/>
                  <m:endChr m:val="]"/>
                  <m:ctrlPr>
                    <w:rPr>
                      <w:rFonts w:ascii="Cambria Math" w:hAnsi="Cambria Math" w:cs="Times New Roman"/>
                      <w:sz w:val="21"/>
                      <w:szCs w:val="21"/>
                    </w:rPr>
                  </m:ctrlPr>
                </m:dPr>
                <m:e>
                  <m:r>
                    <m:rPr>
                      <m:sty m:val="p"/>
                    </m:rPr>
                    <w:rPr>
                      <w:rFonts w:ascii="Cambria Math" w:hAnsi="Cambria Math" w:cs="Times New Roman"/>
                      <w:sz w:val="21"/>
                      <w:szCs w:val="21"/>
                    </w:rPr>
                    <m:t>H</m:t>
                  </m:r>
                </m:e>
              </m:d>
              <m:r>
                <w:rPr>
                  <w:rFonts w:ascii="Cambria Math" w:hAnsi="Cambria Math" w:cs="Times New Roman"/>
                  <w:sz w:val="21"/>
                  <w:szCs w:val="21"/>
                </w:rPr>
                <m:t xml:space="preserve">       - </m:t>
              </m:r>
              <m:sSub>
                <m:sSubPr>
                  <m:ctrlPr>
                    <w:rPr>
                      <w:rFonts w:ascii="Cambria Math" w:hAnsi="Cambria Math" w:cs="Times New Roman"/>
                      <w:sz w:val="21"/>
                      <w:szCs w:val="21"/>
                    </w:rPr>
                  </m:ctrlPr>
                </m:sSubPr>
                <m:e>
                  <m:r>
                    <m:rPr>
                      <m:sty m:val="p"/>
                    </m:rPr>
                    <w:rPr>
                      <w:rFonts w:ascii="Cambria Math" w:hAnsi="Cambria Math" w:cs="Times New Roman"/>
                      <w:sz w:val="21"/>
                      <w:szCs w:val="21"/>
                    </w:rPr>
                    <m:t>bacterial</m:t>
                  </m:r>
                  <m:ctrlPr>
                    <w:rPr>
                      <w:rFonts w:ascii="Cambria Math" w:hAnsi="Cambria Math" w:cs="Times New Roman"/>
                      <w:i/>
                      <w:sz w:val="21"/>
                      <w:szCs w:val="21"/>
                    </w:rPr>
                  </m:ctrlPr>
                </m:e>
                <m:sub>
                  <m:r>
                    <m:rPr>
                      <m:sty m:val="p"/>
                    </m:rPr>
                    <w:rPr>
                      <w:rFonts w:ascii="Cambria Math" w:hAnsi="Cambria Math" w:cs="Times New Roman"/>
                      <w:sz w:val="21"/>
                      <w:szCs w:val="21"/>
                    </w:rPr>
                    <m:t>detox</m:t>
                  </m:r>
                </m:sub>
              </m:sSub>
              <m:d>
                <m:dPr>
                  <m:begChr m:val="["/>
                  <m:endChr m:val="]"/>
                  <m:ctrlPr>
                    <w:rPr>
                      <w:rFonts w:ascii="Cambria Math" w:hAnsi="Cambria Math" w:cs="Times New Roman"/>
                      <w:sz w:val="21"/>
                      <w:szCs w:val="21"/>
                    </w:rPr>
                  </m:ctrlPr>
                </m:dPr>
                <m:e>
                  <m:r>
                    <m:rPr>
                      <m:sty m:val="p"/>
                    </m:rPr>
                    <w:rPr>
                      <w:rFonts w:ascii="Cambria Math" w:hAnsi="Cambria Math" w:cs="Times New Roman"/>
                      <w:sz w:val="21"/>
                      <w:szCs w:val="21"/>
                    </w:rPr>
                    <m:t>H</m:t>
                  </m:r>
                </m:e>
              </m:d>
              <m:r>
                <w:rPr>
                  <w:rFonts w:ascii="Cambria Math" w:hAnsi="Cambria Math" w:cs="Times New Roman"/>
                  <w:sz w:val="21"/>
                  <w:szCs w:val="21"/>
                </w:rPr>
                <m:t xml:space="preserve">  </m:t>
              </m:r>
              <m:ctrlPr>
                <w:rPr>
                  <w:rFonts w:ascii="Cambria Math" w:hAnsi="Cambria Math" w:cs="Times New Roman"/>
                  <w:sz w:val="21"/>
                  <w:szCs w:val="21"/>
                </w:rPr>
              </m:ctrlPr>
            </m:e>
          </m:d>
          <m:r>
            <m:rPr>
              <m:sty m:val="p"/>
            </m:rPr>
            <w:rPr>
              <w:rFonts w:ascii="Cambria Math" w:hAnsi="Cambria Math" w:cs="Times New Roman"/>
              <w:sz w:val="21"/>
              <w:szCs w:val="21"/>
            </w:rPr>
            <m:t>*timestep</m:t>
          </m:r>
        </m:oMath>
      </m:oMathPara>
    </w:p>
    <w:p w14:paraId="1A58FD1C" w14:textId="2E1147E7" w:rsidR="007C2733" w:rsidRPr="000F4C49" w:rsidRDefault="002F14F0" w:rsidP="002F14F0">
      <w:pPr>
        <w:spacing w:line="360" w:lineRule="auto"/>
        <w:jc w:val="both"/>
        <w:rPr>
          <w:rFonts w:ascii="Times New Roman" w:hAnsi="Times New Roman" w:cs="Times New Roman"/>
        </w:rPr>
      </w:pPr>
      <w:r>
        <w:rPr>
          <w:rFonts w:ascii="Times New Roman" w:hAnsi="Times New Roman" w:cs="Times New Roman"/>
        </w:rPr>
        <w:t xml:space="preserve">                             </w:t>
      </w:r>
    </w:p>
    <w:p w14:paraId="5C641D72" w14:textId="354F30AC" w:rsidR="0058723D"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As mentioned previously, Chapter 2 and 3 considered cells as their own entities while Darwin operates in moles of carbon, thus conversions were necessary to get recovered parameters into usable forms in this Darwin framework. The </w:t>
      </w:r>
      <w:r w:rsidR="00B86D22" w:rsidRPr="00691B65">
        <w:rPr>
          <w:rFonts w:ascii="Times New Roman" w:hAnsi="Times New Roman" w:cs="Times New Roman"/>
          <w:i/>
          <w:iCs/>
          <w:sz w:val="24"/>
          <w:szCs w:val="24"/>
        </w:rPr>
        <w:t>Prochlorococcus</w:t>
      </w:r>
      <w:r w:rsidR="00B86D22" w:rsidRPr="003609FB">
        <w:rPr>
          <w:rFonts w:ascii="Times New Roman" w:hAnsi="Times New Roman" w:cs="Times New Roman"/>
          <w:sz w:val="24"/>
          <w:szCs w:val="24"/>
        </w:rPr>
        <w:t xml:space="preserve"> and</w:t>
      </w:r>
      <w:r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plankton types within a published Darwin framework tracking 6 phytoplankton types globally were utilized to parallel the work performed non-spatially in </w:t>
      </w:r>
      <w:r w:rsidR="00F31464"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3. Cellular rates and parameter ranges from </w:t>
      </w:r>
      <w:r w:rsidR="00F31464"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were transformed into carbon-based rates to detoxification or damage scalars to be implemented via binary detoxification/damage parameters respectively. </w:t>
      </w:r>
      <w:r w:rsidR="00F146CF" w:rsidRPr="003609FB">
        <w:rPr>
          <w:rFonts w:ascii="Times New Roman" w:hAnsi="Times New Roman" w:cs="Times New Roman"/>
          <w:sz w:val="24"/>
          <w:szCs w:val="24"/>
        </w:rPr>
        <w:t xml:space="preserve">The </w:t>
      </w:r>
      <w:r w:rsidR="00207EA9" w:rsidRPr="003609FB">
        <w:rPr>
          <w:rFonts w:ascii="Times New Roman" w:hAnsi="Times New Roman" w:cs="Times New Roman"/>
          <w:sz w:val="24"/>
          <w:szCs w:val="24"/>
        </w:rPr>
        <w:t xml:space="preserve">values and conversions of Chapter 2 laboratory parameters to global model parameters for the Darwin framework are shown in Table 3. </w:t>
      </w:r>
      <w:r w:rsidR="00F146CF" w:rsidRPr="003609FB">
        <w:rPr>
          <w:rFonts w:ascii="Times New Roman" w:hAnsi="Times New Roman" w:cs="Times New Roman"/>
          <w:sz w:val="24"/>
          <w:szCs w:val="24"/>
        </w:rPr>
        <w:t xml:space="preserve">The </w:t>
      </w:r>
      <w:r w:rsidR="00207EA9" w:rsidRPr="003609FB">
        <w:rPr>
          <w:rFonts w:ascii="Times New Roman" w:hAnsi="Times New Roman" w:cs="Times New Roman"/>
          <w:sz w:val="24"/>
          <w:szCs w:val="24"/>
        </w:rPr>
        <w:t xml:space="preserve">binary </w:t>
      </w:r>
      <w:r w:rsidR="00F146CF" w:rsidRPr="003609FB">
        <w:rPr>
          <w:rFonts w:ascii="Times New Roman" w:hAnsi="Times New Roman" w:cs="Times New Roman"/>
          <w:sz w:val="24"/>
          <w:szCs w:val="24"/>
        </w:rPr>
        <w:t xml:space="preserve">state (on or off) of each </w:t>
      </w:r>
      <w:r w:rsidR="00207EA9" w:rsidRPr="003609FB">
        <w:rPr>
          <w:rFonts w:ascii="Times New Roman" w:hAnsi="Times New Roman" w:cs="Times New Roman"/>
          <w:sz w:val="24"/>
          <w:szCs w:val="24"/>
        </w:rPr>
        <w:t xml:space="preserve">global model </w:t>
      </w:r>
      <w:r w:rsidR="00F146CF" w:rsidRPr="003609FB">
        <w:rPr>
          <w:rFonts w:ascii="Times New Roman" w:hAnsi="Times New Roman" w:cs="Times New Roman"/>
          <w:sz w:val="24"/>
          <w:szCs w:val="24"/>
        </w:rPr>
        <w:t xml:space="preserve">parameter for </w:t>
      </w:r>
      <w:r w:rsidR="00207EA9" w:rsidRPr="003609FB">
        <w:rPr>
          <w:rFonts w:ascii="Times New Roman" w:hAnsi="Times New Roman" w:cs="Times New Roman"/>
          <w:sz w:val="24"/>
          <w:szCs w:val="24"/>
        </w:rPr>
        <w:t xml:space="preserve">investigative </w:t>
      </w:r>
      <w:r w:rsidR="00C87DAF" w:rsidRPr="003609FB">
        <w:rPr>
          <w:rFonts w:ascii="Times New Roman" w:hAnsi="Times New Roman" w:cs="Times New Roman"/>
          <w:sz w:val="24"/>
          <w:szCs w:val="24"/>
        </w:rPr>
        <w:t>C</w:t>
      </w:r>
      <w:r w:rsidR="00207EA9" w:rsidRPr="003609FB">
        <w:rPr>
          <w:rFonts w:ascii="Times New Roman" w:hAnsi="Times New Roman" w:cs="Times New Roman"/>
          <w:sz w:val="24"/>
          <w:szCs w:val="24"/>
        </w:rPr>
        <w:t>ases 1-</w:t>
      </w:r>
      <w:r w:rsidR="00C87DAF" w:rsidRPr="003609FB">
        <w:rPr>
          <w:rFonts w:ascii="Times New Roman" w:hAnsi="Times New Roman" w:cs="Times New Roman"/>
          <w:sz w:val="24"/>
          <w:szCs w:val="24"/>
        </w:rPr>
        <w:t xml:space="preserve"> </w:t>
      </w:r>
      <w:r w:rsidR="00207EA9" w:rsidRPr="003609FB">
        <w:rPr>
          <w:rFonts w:ascii="Times New Roman" w:hAnsi="Times New Roman" w:cs="Times New Roman"/>
          <w:sz w:val="24"/>
          <w:szCs w:val="24"/>
        </w:rPr>
        <w:t>4 is</w:t>
      </w:r>
      <w:r w:rsidR="00F146CF" w:rsidRPr="003609FB">
        <w:rPr>
          <w:rFonts w:ascii="Times New Roman" w:hAnsi="Times New Roman" w:cs="Times New Roman"/>
          <w:sz w:val="24"/>
          <w:szCs w:val="24"/>
        </w:rPr>
        <w:t xml:space="preserve"> indicated by the color blocking in </w:t>
      </w:r>
      <w:r w:rsidRPr="003609FB">
        <w:rPr>
          <w:rFonts w:ascii="Times New Roman" w:hAnsi="Times New Roman" w:cs="Times New Roman"/>
          <w:sz w:val="24"/>
          <w:szCs w:val="24"/>
        </w:rPr>
        <w:t xml:space="preserve">Table </w:t>
      </w:r>
      <w:r w:rsidR="00F146CF" w:rsidRPr="003609FB">
        <w:rPr>
          <w:rFonts w:ascii="Times New Roman" w:hAnsi="Times New Roman" w:cs="Times New Roman"/>
          <w:sz w:val="24"/>
          <w:szCs w:val="24"/>
        </w:rPr>
        <w:t>4.</w:t>
      </w:r>
    </w:p>
    <w:p w14:paraId="1B799F77" w14:textId="77777777" w:rsidR="00072008" w:rsidRDefault="00072008" w:rsidP="00072008">
      <w:pPr>
        <w:pStyle w:val="Heading2"/>
        <w:numPr>
          <w:ilvl w:val="0"/>
          <w:numId w:val="0"/>
        </w:numPr>
        <w:spacing w:line="360" w:lineRule="auto"/>
      </w:pPr>
      <w:bookmarkStart w:id="72" w:name="_Toc173250049"/>
      <w:r w:rsidRPr="003609FB">
        <w:lastRenderedPageBreak/>
        <w:t>Results:</w:t>
      </w:r>
      <w:bookmarkEnd w:id="72"/>
    </w:p>
    <w:p w14:paraId="7CC01FDE" w14:textId="77777777" w:rsidR="00072008" w:rsidRPr="003609FB" w:rsidRDefault="00072008" w:rsidP="0007200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Following </w:t>
      </w:r>
      <w:r>
        <w:rPr>
          <w:rFonts w:ascii="Times New Roman" w:hAnsi="Times New Roman" w:cs="Times New Roman"/>
          <w:sz w:val="24"/>
          <w:szCs w:val="24"/>
        </w:rPr>
        <w:t xml:space="preserve">the </w:t>
      </w:r>
      <w:r w:rsidRPr="003609FB">
        <w:rPr>
          <w:rFonts w:ascii="Times New Roman" w:hAnsi="Times New Roman" w:cs="Times New Roman"/>
          <w:sz w:val="24"/>
          <w:szCs w:val="24"/>
        </w:rPr>
        <w:t xml:space="preserve">cases </w:t>
      </w:r>
      <w:r>
        <w:rPr>
          <w:rFonts w:ascii="Times New Roman" w:hAnsi="Times New Roman" w:cs="Times New Roman"/>
          <w:sz w:val="24"/>
          <w:szCs w:val="24"/>
        </w:rPr>
        <w:t xml:space="preserve">laid out in </w:t>
      </w:r>
      <w:r w:rsidRPr="003609FB">
        <w:rPr>
          <w:rFonts w:ascii="Times New Roman" w:hAnsi="Times New Roman" w:cs="Times New Roman"/>
          <w:sz w:val="24"/>
          <w:szCs w:val="24"/>
        </w:rPr>
        <w:t>Figure 4.1</w:t>
      </w:r>
      <w:r>
        <w:rPr>
          <w:rFonts w:ascii="Times New Roman" w:hAnsi="Times New Roman" w:cs="Times New Roman"/>
          <w:sz w:val="24"/>
          <w:szCs w:val="24"/>
        </w:rPr>
        <w:t>,</w:t>
      </w:r>
      <w:r w:rsidRPr="003609FB">
        <w:rPr>
          <w:rFonts w:ascii="Times New Roman" w:hAnsi="Times New Roman" w:cs="Times New Roman"/>
          <w:sz w:val="24"/>
          <w:szCs w:val="24"/>
        </w:rPr>
        <w:t xml:space="preserve"> we analyze the effect of stepwise inclusion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parameters delineated in Table 4. In Figure 4.2 we show our predicted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abiotic concentrations buildup via </w:t>
      </w:r>
      <w:r>
        <w:rPr>
          <w:rFonts w:ascii="Times New Roman" w:hAnsi="Times New Roman" w:cs="Times New Roman"/>
          <w:sz w:val="24"/>
          <w:szCs w:val="24"/>
        </w:rPr>
        <w:t>dissolved organic material (</w:t>
      </w:r>
      <w:r w:rsidRPr="003609FB">
        <w:rPr>
          <w:rFonts w:ascii="Times New Roman" w:hAnsi="Times New Roman" w:cs="Times New Roman"/>
          <w:sz w:val="24"/>
          <w:szCs w:val="24"/>
        </w:rPr>
        <w:t>DOM</w:t>
      </w:r>
      <w:r>
        <w:rPr>
          <w:rFonts w:ascii="Times New Roman" w:hAnsi="Times New Roman" w:cs="Times New Roman"/>
          <w:sz w:val="24"/>
          <w:szCs w:val="24"/>
        </w:rPr>
        <w:t>)</w:t>
      </w:r>
      <w:r w:rsidRPr="003609FB">
        <w:rPr>
          <w:rFonts w:ascii="Times New Roman" w:hAnsi="Times New Roman" w:cs="Times New Roman"/>
          <w:sz w:val="24"/>
          <w:szCs w:val="24"/>
        </w:rPr>
        <w:t>, light, and recovered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parameter </w:t>
      </w:r>
      <w:r>
        <w:rPr>
          <w:rFonts w:ascii="Times New Roman" w:hAnsi="Times New Roman" w:cs="Times New Roman"/>
          <w:sz w:val="24"/>
          <w:szCs w:val="24"/>
        </w:rPr>
        <w:t>values</w:t>
      </w:r>
      <w:r w:rsidRPr="003609FB">
        <w:rPr>
          <w:rFonts w:ascii="Times New Roman" w:hAnsi="Times New Roman" w:cs="Times New Roman"/>
          <w:sz w:val="24"/>
          <w:szCs w:val="24"/>
        </w:rPr>
        <w:t xml:space="preserve"> (from Chapter 2) using the Darwin framework that </w:t>
      </w:r>
      <w:r>
        <w:rPr>
          <w:rFonts w:ascii="Times New Roman" w:hAnsi="Times New Roman" w:cs="Times New Roman"/>
          <w:sz w:val="24"/>
          <w:szCs w:val="24"/>
        </w:rPr>
        <w:t xml:space="preserve">works </w:t>
      </w:r>
      <w:r w:rsidRPr="003609FB">
        <w:rPr>
          <w:rFonts w:ascii="Times New Roman" w:hAnsi="Times New Roman" w:cs="Times New Roman"/>
          <w:sz w:val="24"/>
          <w:szCs w:val="24"/>
        </w:rPr>
        <w:t xml:space="preserve">on top of </w:t>
      </w:r>
      <w:r>
        <w:rPr>
          <w:rFonts w:ascii="Times New Roman" w:hAnsi="Times New Roman" w:cs="Times New Roman"/>
          <w:sz w:val="24"/>
          <w:szCs w:val="24"/>
        </w:rPr>
        <w:t xml:space="preserve">MIT global </w:t>
      </w:r>
      <w:r w:rsidRPr="003609FB">
        <w:rPr>
          <w:rFonts w:ascii="Times New Roman" w:hAnsi="Times New Roman" w:cs="Times New Roman"/>
          <w:sz w:val="24"/>
          <w:szCs w:val="24"/>
        </w:rPr>
        <w:t>circulation models</w:t>
      </w:r>
      <w:r>
        <w:rPr>
          <w:rFonts w:ascii="Times New Roman" w:hAnsi="Times New Roman" w:cs="Times New Roman"/>
          <w:sz w:val="24"/>
          <w:szCs w:val="24"/>
        </w:rPr>
        <w:t xml:space="preserve">. This means that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concentration is now subject to </w:t>
      </w:r>
      <w:r w:rsidRPr="003609FB">
        <w:rPr>
          <w:rFonts w:ascii="Times New Roman" w:hAnsi="Times New Roman" w:cs="Times New Roman"/>
          <w:sz w:val="24"/>
          <w:szCs w:val="24"/>
        </w:rPr>
        <w:t>spatial/temporal patterns</w:t>
      </w:r>
      <w:r>
        <w:rPr>
          <w:rFonts w:ascii="Times New Roman" w:hAnsi="Times New Roman" w:cs="Times New Roman"/>
          <w:sz w:val="24"/>
          <w:szCs w:val="24"/>
        </w:rPr>
        <w:t xml:space="preserve"> from physical models. Thus, our model allows for the analysis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as it </w:t>
      </w:r>
      <w:proofErr w:type="gramStart"/>
      <w:r>
        <w:rPr>
          <w:rFonts w:ascii="Times New Roman" w:hAnsi="Times New Roman" w:cs="Times New Roman"/>
          <w:sz w:val="24"/>
          <w:szCs w:val="24"/>
        </w:rPr>
        <w:t>impacts of</w:t>
      </w:r>
      <w:proofErr w:type="gramEnd"/>
      <w:r w:rsidRPr="003609FB">
        <w:rPr>
          <w:rFonts w:ascii="Times New Roman" w:hAnsi="Times New Roman" w:cs="Times New Roman"/>
          <w:sz w:val="24"/>
          <w:szCs w:val="24"/>
        </w:rPr>
        <w:t xml:space="preserve"> </w:t>
      </w:r>
      <w:r>
        <w:rPr>
          <w:rFonts w:ascii="Times New Roman" w:hAnsi="Times New Roman" w:cs="Times New Roman"/>
          <w:sz w:val="24"/>
          <w:szCs w:val="24"/>
        </w:rPr>
        <w:t xml:space="preserve">global </w:t>
      </w:r>
      <w:r w:rsidRPr="003609FB">
        <w:rPr>
          <w:rFonts w:ascii="Times New Roman" w:hAnsi="Times New Roman" w:cs="Times New Roman"/>
          <w:sz w:val="24"/>
          <w:szCs w:val="24"/>
        </w:rPr>
        <w:t>nutrient and chemical</w:t>
      </w:r>
      <w:r>
        <w:rPr>
          <w:rFonts w:ascii="Times New Roman" w:hAnsi="Times New Roman" w:cs="Times New Roman"/>
          <w:sz w:val="24"/>
          <w:szCs w:val="24"/>
        </w:rPr>
        <w:t xml:space="preserve"> fluxes. Note that DOM within Darwin is a combined term composed of DOC (Dissolved organic carbon) and other dissolved organic nutrients that were not tracked within original laboratory cultures from Chapter 2. </w:t>
      </w:r>
    </w:p>
    <w:p w14:paraId="0186B55C" w14:textId="77777777" w:rsidR="00072008" w:rsidRDefault="00072008" w:rsidP="00072008">
      <w:pPr>
        <w:pStyle w:val="Heading3"/>
        <w:spacing w:line="360" w:lineRule="auto"/>
      </w:pPr>
      <w:bookmarkStart w:id="73" w:name="_Toc173250050"/>
      <w:r w:rsidRPr="003609FB">
        <w:t>Case 1 – Nonleaky world, H</w:t>
      </w:r>
      <w:r w:rsidRPr="00351FC4">
        <w:rPr>
          <w:vertAlign w:val="subscript"/>
        </w:rPr>
        <w:t>2</w:t>
      </w:r>
      <w:r w:rsidRPr="003609FB">
        <w:t>O</w:t>
      </w:r>
      <w:r w:rsidRPr="00351FC4">
        <w:rPr>
          <w:vertAlign w:val="subscript"/>
        </w:rPr>
        <w:t>2</w:t>
      </w:r>
      <w:r w:rsidRPr="003609FB">
        <w:t xml:space="preserve"> </w:t>
      </w:r>
      <w:r>
        <w:t>n</w:t>
      </w:r>
      <w:r w:rsidRPr="003609FB">
        <w:t>o-impact</w:t>
      </w:r>
      <w:bookmarkEnd w:id="73"/>
    </w:p>
    <w:p w14:paraId="1589DBFD" w14:textId="13A3401F" w:rsidR="00072008" w:rsidRPr="0049637C" w:rsidRDefault="00072008" w:rsidP="0007200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We first evaluated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implementation on a non-leaky world, or a world where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does not cross the cell membrane. Thus, we produce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(Figure 4.3) but the microbes are not affected by it (no biotic damage term, </w:t>
      </w:r>
      <w:proofErr w:type="spellStart"/>
      <w:proofErr w:type="gramStart"/>
      <w:r w:rsidRPr="003609FB">
        <w:rPr>
          <w:rFonts w:ascii="Times New Roman" w:hAnsi="Times New Roman" w:cs="Times New Roman"/>
          <w:sz w:val="24"/>
          <w:szCs w:val="24"/>
        </w:rPr>
        <w:t>k</w:t>
      </w:r>
      <w:r w:rsidRPr="00EE62AF">
        <w:rPr>
          <w:rFonts w:ascii="Times New Roman" w:hAnsi="Times New Roman" w:cs="Times New Roman"/>
          <w:sz w:val="24"/>
          <w:szCs w:val="24"/>
          <w:vertAlign w:val="subscript"/>
        </w:rPr>
        <w:t>dam</w:t>
      </w:r>
      <w:r w:rsidRPr="003609FB">
        <w:rPr>
          <w:rFonts w:ascii="Times New Roman" w:hAnsi="Times New Roman" w:cs="Times New Roman"/>
          <w:sz w:val="24"/>
          <w:szCs w:val="24"/>
        </w:rPr>
        <w:t>,</w:t>
      </w:r>
      <w:r w:rsidRPr="00753A84">
        <w:rPr>
          <w:rFonts w:ascii="Times New Roman" w:hAnsi="Times New Roman" w:cs="Times New Roman"/>
          <w:sz w:val="24"/>
          <w:szCs w:val="24"/>
          <w:vertAlign w:val="subscript"/>
        </w:rPr>
        <w:t>i</w:t>
      </w:r>
      <w:proofErr w:type="spellEnd"/>
      <w:proofErr w:type="gramEnd"/>
      <w:r w:rsidRPr="003609FB">
        <w:rPr>
          <w:rFonts w:ascii="Times New Roman" w:hAnsi="Times New Roman" w:cs="Times New Roman"/>
          <w:sz w:val="24"/>
          <w:szCs w:val="24"/>
        </w:rPr>
        <w:t xml:space="preserve"> = 0) and are not affecting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either (no biotic detoxification term, </w:t>
      </w:r>
      <m:oMath>
        <m:sSub>
          <m:sSubPr>
            <m:ctrlPr>
              <w:rPr>
                <w:rFonts w:ascii="Cambria Math" w:hAnsi="Cambria Math"/>
              </w:rPr>
            </m:ctrlPr>
          </m:sSubPr>
          <m:e>
            <m:r>
              <w:rPr>
                <w:rFonts w:ascii="Cambria Math" w:hAnsi="Cambria Math"/>
              </w:rPr>
              <m:t>ϕ</m:t>
            </m:r>
          </m:e>
          <m:sub>
            <m:r>
              <w:rPr>
                <w:rFonts w:ascii="Cambria Math" w:hAnsi="Cambria Math"/>
              </w:rPr>
              <m:t>max,i</m:t>
            </m:r>
          </m:sub>
        </m:sSub>
      </m:oMath>
      <w:r w:rsidRPr="003609FB">
        <w:rPr>
          <w:rFonts w:ascii="Times New Roman" w:hAnsi="Times New Roman" w:cs="Times New Roman"/>
          <w:sz w:val="24"/>
          <w:szCs w:val="24"/>
        </w:rPr>
        <w:t xml:space="preserve">= 0). This means that competition between microbes should be governed solely by their nutrient and temperature functions in Darwin. Specifically with regards to the differing size classes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 implemented to account for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growth disadvantage due to catalase production. </w:t>
      </w:r>
    </w:p>
    <w:p w14:paraId="0091BDCB" w14:textId="77777777" w:rsidR="0049772E" w:rsidRDefault="0049772E" w:rsidP="0049772E">
      <w:pPr>
        <w:spacing w:line="360" w:lineRule="auto"/>
        <w:ind w:firstLine="720"/>
        <w:rPr>
          <w:rFonts w:ascii="Times New Roman" w:hAnsi="Times New Roman" w:cs="Times New Roman"/>
          <w:sz w:val="24"/>
          <w:szCs w:val="24"/>
        </w:rPr>
      </w:pP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should numerically dominate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 areas where ammonium superiority would give a growth advantage. This is seen in Figure 4.3 alongside a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plot that remains unchanged between </w:t>
      </w:r>
      <w:r>
        <w:rPr>
          <w:rFonts w:ascii="Times New Roman" w:hAnsi="Times New Roman" w:cs="Times New Roman"/>
          <w:sz w:val="24"/>
          <w:szCs w:val="24"/>
        </w:rPr>
        <w:t>F</w:t>
      </w:r>
      <w:r w:rsidRPr="003609FB">
        <w:rPr>
          <w:rFonts w:ascii="Times New Roman" w:hAnsi="Times New Roman" w:cs="Times New Roman"/>
          <w:sz w:val="24"/>
          <w:szCs w:val="24"/>
        </w:rPr>
        <w:t>igure 4.2 as there is no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49637C">
        <w:rPr>
          <w:rFonts w:ascii="Times New Roman" w:hAnsi="Times New Roman" w:cs="Times New Roman"/>
          <w:sz w:val="24"/>
          <w:szCs w:val="24"/>
        </w:rPr>
        <w:t>-based</w:t>
      </w:r>
      <w:r w:rsidRPr="003609FB">
        <w:rPr>
          <w:rFonts w:ascii="Times New Roman" w:hAnsi="Times New Roman" w:cs="Times New Roman"/>
          <w:sz w:val="24"/>
          <w:szCs w:val="24"/>
        </w:rPr>
        <w:t xml:space="preserve"> drawdowns</w:t>
      </w:r>
      <w:r>
        <w:rPr>
          <w:rFonts w:ascii="Times New Roman" w:hAnsi="Times New Roman" w:cs="Times New Roman"/>
          <w:sz w:val="24"/>
          <w:szCs w:val="24"/>
        </w:rPr>
        <w:t xml:space="preserve"> on any plankton groups’ cell concentration</w:t>
      </w:r>
      <w:r w:rsidRPr="003609FB">
        <w:rPr>
          <w:rFonts w:ascii="Times New Roman" w:hAnsi="Times New Roman" w:cs="Times New Roman"/>
          <w:sz w:val="24"/>
          <w:szCs w:val="24"/>
        </w:rPr>
        <w:t xml:space="preserve">. </w:t>
      </w:r>
      <w:r w:rsidRPr="0049637C">
        <w:rPr>
          <w:rFonts w:ascii="Times" w:hAnsi="Times" w:cs="Times New Roman"/>
          <w:i/>
          <w:iCs/>
          <w:color w:val="000000" w:themeColor="text1"/>
          <w:sz w:val="24"/>
          <w:szCs w:val="24"/>
        </w:rPr>
        <w:t>Prochlorococcus</w:t>
      </w:r>
      <w:r>
        <w:rPr>
          <w:rFonts w:ascii="Times New Roman" w:hAnsi="Times New Roman" w:cs="Times New Roman"/>
          <w:sz w:val="24"/>
          <w:szCs w:val="24"/>
        </w:rPr>
        <w:t xml:space="preserve"> global concentration predictions, and all other tracer predictions except for DOC, thus remain largely unchanged between Darwin iterations without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rPr>
        <w:t xml:space="preserve"> and this first case of our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49637C">
        <w:rPr>
          <w:rFonts w:ascii="Times New Roman" w:hAnsi="Times New Roman" w:cs="Times New Roman"/>
          <w:sz w:val="24"/>
          <w:szCs w:val="24"/>
        </w:rPr>
        <w:t>model.</w:t>
      </w:r>
      <w:r>
        <w:rPr>
          <w:rFonts w:ascii="Times New Roman" w:hAnsi="Times New Roman" w:cs="Times New Roman"/>
          <w:sz w:val="24"/>
          <w:szCs w:val="24"/>
          <w:vertAlign w:val="subscript"/>
        </w:rPr>
        <w:t xml:space="preserve"> </w:t>
      </w:r>
      <w:r w:rsidRPr="0049637C">
        <w:rPr>
          <w:rFonts w:ascii="Times New Roman" w:hAnsi="Times New Roman" w:cs="Times New Roman"/>
          <w:sz w:val="24"/>
          <w:szCs w:val="24"/>
        </w:rPr>
        <w:t>(Only minute</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differences </w:t>
      </w:r>
      <w:r w:rsidRPr="0049637C">
        <w:rPr>
          <w:rFonts w:ascii="Times New Roman" w:hAnsi="Times New Roman" w:cs="Times New Roman"/>
          <w:sz w:val="24"/>
          <w:szCs w:val="24"/>
        </w:rPr>
        <w:t xml:space="preserve">in </w:t>
      </w:r>
      <w:r w:rsidRPr="0049637C">
        <w:rPr>
          <w:rFonts w:ascii="Times" w:hAnsi="Times" w:cs="Times New Roman"/>
          <w:color w:val="000000" w:themeColor="text1"/>
          <w:sz w:val="24"/>
          <w:szCs w:val="24"/>
        </w:rPr>
        <w:t>predictions occur here due to use of DOC in</w:t>
      </w:r>
      <w:r>
        <w:rPr>
          <w:rFonts w:ascii="Times" w:hAnsi="Times" w:cs="Times New Roman"/>
          <w:i/>
          <w:iCs/>
          <w:color w:val="000000" w:themeColor="text1"/>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49637C">
        <w:rPr>
          <w:rFonts w:ascii="Times New Roman" w:hAnsi="Times New Roman" w:cs="Times New Roman"/>
          <w:sz w:val="24"/>
          <w:szCs w:val="24"/>
        </w:rPr>
        <w:t>production.</w:t>
      </w:r>
    </w:p>
    <w:p w14:paraId="6D786E14" w14:textId="77777777" w:rsidR="0049772E" w:rsidRPr="003609FB" w:rsidRDefault="0049772E" w:rsidP="0049772E">
      <w:pPr>
        <w:pStyle w:val="Heading3"/>
        <w:spacing w:line="360" w:lineRule="auto"/>
      </w:pPr>
      <w:bookmarkStart w:id="74" w:name="_Toc173250051"/>
      <w:r w:rsidRPr="003609FB">
        <w:t>Case 2 – Nonleaky world, H</w:t>
      </w:r>
      <w:r w:rsidRPr="00351FC4">
        <w:rPr>
          <w:vertAlign w:val="subscript"/>
        </w:rPr>
        <w:t>2</w:t>
      </w:r>
      <w:r w:rsidRPr="003609FB">
        <w:t>O</w:t>
      </w:r>
      <w:r w:rsidRPr="00351FC4">
        <w:rPr>
          <w:vertAlign w:val="subscript"/>
        </w:rPr>
        <w:t>2</w:t>
      </w:r>
      <w:r w:rsidRPr="003609FB">
        <w:t xml:space="preserve"> damage on </w:t>
      </w:r>
      <w:r w:rsidRPr="00691B65">
        <w:rPr>
          <w:i/>
          <w:iCs/>
        </w:rPr>
        <w:t>Prochlorococcus</w:t>
      </w:r>
      <w:r w:rsidRPr="003609FB">
        <w:t xml:space="preserve"> implemented</w:t>
      </w:r>
      <w:bookmarkEnd w:id="74"/>
    </w:p>
    <w:p w14:paraId="4023DC71" w14:textId="5AF6987B" w:rsidR="0049772E" w:rsidRPr="00662BBF" w:rsidRDefault="0049772E" w:rsidP="0049772E">
      <w:pPr>
        <w:spacing w:line="360" w:lineRule="auto"/>
        <w:rPr>
          <w:rFonts w:ascii="Times New Roman" w:hAnsi="Times New Roman" w:cs="Times New Roman"/>
          <w:sz w:val="24"/>
          <w:szCs w:val="24"/>
        </w:rPr>
      </w:pPr>
      <w:r w:rsidRPr="003609FB">
        <w:rPr>
          <w:rFonts w:ascii="Times New Roman" w:hAnsi="Times New Roman" w:cs="Times New Roman"/>
          <w:sz w:val="24"/>
          <w:szCs w:val="24"/>
        </w:rPr>
        <w:br/>
        <w:t xml:space="preserve"> </w:t>
      </w:r>
      <w:r w:rsidRPr="003609FB">
        <w:rPr>
          <w:rFonts w:ascii="Times New Roman" w:hAnsi="Times New Roman" w:cs="Times New Roman"/>
          <w:sz w:val="24"/>
          <w:szCs w:val="24"/>
        </w:rPr>
        <w:tab/>
        <w:t xml:space="preserve">We next implement our retrieved monoculture damage rate for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in a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analogue in the global model. The flux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across membranes here is only </w:t>
      </w:r>
    </w:p>
    <w:p w14:paraId="0DDD3652" w14:textId="1B0DF883" w:rsidR="000F4C49" w:rsidRPr="003609FB" w:rsidRDefault="007B0D8D" w:rsidP="00511118">
      <w:pPr>
        <w:pStyle w:val="Caption"/>
      </w:pPr>
      <w:bookmarkStart w:id="75" w:name="_Toc172910640"/>
      <w:r>
        <w:lastRenderedPageBreak/>
        <w:t xml:space="preserve">Table </w:t>
      </w:r>
      <w:r w:rsidR="00000000">
        <w:fldChar w:fldCharType="begin"/>
      </w:r>
      <w:r w:rsidR="00000000">
        <w:instrText xml:space="preserve"> SEQ Table \* ARABIC </w:instrText>
      </w:r>
      <w:r w:rsidR="00000000">
        <w:fldChar w:fldCharType="separate"/>
      </w:r>
      <w:r>
        <w:rPr>
          <w:noProof/>
        </w:rPr>
        <w:t>3</w:t>
      </w:r>
      <w:r w:rsidR="00000000">
        <w:rPr>
          <w:noProof/>
        </w:rPr>
        <w:fldChar w:fldCharType="end"/>
      </w:r>
      <w:r>
        <w:t xml:space="preserve"> </w:t>
      </w:r>
      <w:r w:rsidRPr="00B538A2">
        <w:t>Monoculture laboratory parameters conversion to global Darwin parameters</w:t>
      </w:r>
      <w:bookmarkEnd w:id="75"/>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891"/>
        <w:gridCol w:w="2158"/>
        <w:gridCol w:w="1191"/>
        <w:gridCol w:w="1870"/>
      </w:tblGrid>
      <w:tr w:rsidR="0058723D" w:rsidRPr="00EE62AF" w14:paraId="6B50015C" w14:textId="77777777" w:rsidTr="00553190">
        <w:trPr>
          <w:trHeight w:val="603"/>
        </w:trPr>
        <w:tc>
          <w:tcPr>
            <w:tcW w:w="1202" w:type="pct"/>
            <w:tcBorders>
              <w:top w:val="single" w:sz="4" w:space="0" w:color="auto"/>
              <w:left w:val="nil"/>
              <w:bottom w:val="single" w:sz="4" w:space="0" w:color="auto"/>
              <w:right w:val="nil"/>
            </w:tcBorders>
            <w:shd w:val="clear" w:color="auto" w:fill="auto"/>
            <w:hideMark/>
          </w:tcPr>
          <w:p w14:paraId="7F62910A"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 xml:space="preserve">Monoculture Name </w:t>
            </w:r>
          </w:p>
        </w:tc>
        <w:tc>
          <w:tcPr>
            <w:tcW w:w="1010" w:type="pct"/>
            <w:tcBorders>
              <w:top w:val="single" w:sz="4" w:space="0" w:color="auto"/>
              <w:left w:val="nil"/>
              <w:bottom w:val="single" w:sz="4" w:space="0" w:color="auto"/>
              <w:right w:val="nil"/>
            </w:tcBorders>
          </w:tcPr>
          <w:p w14:paraId="03631A1B"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Monoculture units</w:t>
            </w:r>
          </w:p>
        </w:tc>
        <w:tc>
          <w:tcPr>
            <w:tcW w:w="1153" w:type="pct"/>
            <w:tcBorders>
              <w:top w:val="single" w:sz="4" w:space="0" w:color="auto"/>
              <w:left w:val="nil"/>
              <w:bottom w:val="single" w:sz="4" w:space="0" w:color="auto"/>
              <w:right w:val="nil"/>
            </w:tcBorders>
            <w:shd w:val="clear" w:color="auto" w:fill="auto"/>
            <w:hideMark/>
          </w:tcPr>
          <w:p w14:paraId="0BED3FD3"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Darwin Name</w:t>
            </w:r>
          </w:p>
        </w:tc>
        <w:tc>
          <w:tcPr>
            <w:tcW w:w="636" w:type="pct"/>
            <w:tcBorders>
              <w:top w:val="single" w:sz="4" w:space="0" w:color="auto"/>
              <w:left w:val="nil"/>
              <w:bottom w:val="single" w:sz="4" w:space="0" w:color="auto"/>
              <w:right w:val="nil"/>
            </w:tcBorders>
            <w:shd w:val="clear" w:color="auto" w:fill="auto"/>
            <w:hideMark/>
          </w:tcPr>
          <w:p w14:paraId="27B6361B"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Value</w:t>
            </w:r>
          </w:p>
        </w:tc>
        <w:tc>
          <w:tcPr>
            <w:tcW w:w="999" w:type="pct"/>
            <w:tcBorders>
              <w:top w:val="single" w:sz="4" w:space="0" w:color="auto"/>
              <w:left w:val="nil"/>
              <w:bottom w:val="single" w:sz="4" w:space="0" w:color="auto"/>
              <w:right w:val="nil"/>
            </w:tcBorders>
            <w:shd w:val="clear" w:color="auto" w:fill="auto"/>
            <w:hideMark/>
          </w:tcPr>
          <w:p w14:paraId="144662FB"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Units in Darwin</w:t>
            </w:r>
          </w:p>
        </w:tc>
      </w:tr>
      <w:tr w:rsidR="0058723D" w:rsidRPr="00EE62AF" w14:paraId="50DA4303" w14:textId="77777777" w:rsidTr="00553190">
        <w:trPr>
          <w:trHeight w:val="603"/>
        </w:trPr>
        <w:tc>
          <w:tcPr>
            <w:tcW w:w="1202" w:type="pct"/>
            <w:tcBorders>
              <w:top w:val="single" w:sz="4" w:space="0" w:color="auto"/>
              <w:left w:val="nil"/>
              <w:bottom w:val="nil"/>
              <w:right w:val="nil"/>
            </w:tcBorders>
            <w:shd w:val="clear" w:color="auto" w:fill="auto"/>
            <w:hideMark/>
          </w:tcPr>
          <w:p w14:paraId="77511FE1"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--------NA---------</w:t>
            </w:r>
          </w:p>
        </w:tc>
        <w:tc>
          <w:tcPr>
            <w:tcW w:w="1010" w:type="pct"/>
            <w:tcBorders>
              <w:top w:val="single" w:sz="4" w:space="0" w:color="auto"/>
              <w:left w:val="nil"/>
              <w:bottom w:val="nil"/>
              <w:right w:val="nil"/>
            </w:tcBorders>
          </w:tcPr>
          <w:p w14:paraId="7E40E582"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w:t>
            </w:r>
          </w:p>
        </w:tc>
        <w:tc>
          <w:tcPr>
            <w:tcW w:w="1153" w:type="pct"/>
            <w:tcBorders>
              <w:top w:val="single" w:sz="4" w:space="0" w:color="auto"/>
              <w:left w:val="nil"/>
              <w:bottom w:val="nil"/>
              <w:right w:val="nil"/>
            </w:tcBorders>
            <w:shd w:val="clear" w:color="auto" w:fill="auto"/>
            <w:hideMark/>
          </w:tcPr>
          <w:p w14:paraId="1AB1A64A" w14:textId="5BB5CEB9" w:rsidR="0058723D" w:rsidRPr="00EE62AF" w:rsidRDefault="00F52F1E" w:rsidP="00AB2160">
            <w:pPr>
              <w:spacing w:line="360" w:lineRule="auto"/>
              <w:rPr>
                <w:rFonts w:ascii="Times New Roman" w:hAnsi="Times New Roman" w:cs="Times New Roman"/>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8723D" w:rsidRPr="00EE62AF">
              <w:rPr>
                <w:rFonts w:ascii="Times New Roman" w:hAnsi="Times New Roman" w:cs="Times New Roman"/>
              </w:rPr>
              <w:t>_quantum_yield</w:t>
            </w:r>
          </w:p>
        </w:tc>
        <w:tc>
          <w:tcPr>
            <w:tcW w:w="636" w:type="pct"/>
            <w:tcBorders>
              <w:top w:val="single" w:sz="4" w:space="0" w:color="auto"/>
              <w:left w:val="nil"/>
              <w:bottom w:val="nil"/>
              <w:right w:val="nil"/>
            </w:tcBorders>
            <w:shd w:val="clear" w:color="auto" w:fill="auto"/>
            <w:hideMark/>
          </w:tcPr>
          <w:p w14:paraId="2C451450" w14:textId="6C9EE663" w:rsidR="0058723D" w:rsidRPr="00EE62AF" w:rsidRDefault="00C84C31" w:rsidP="00AB2160">
            <w:pPr>
              <w:spacing w:line="360" w:lineRule="auto"/>
              <w:rPr>
                <w:rFonts w:ascii="Times New Roman" w:hAnsi="Times New Roman" w:cs="Times New Roman"/>
              </w:rPr>
            </w:pPr>
            <w:r>
              <w:rPr>
                <w:rFonts w:ascii="Times New Roman" w:hAnsi="Times New Roman" w:cs="Times New Roman"/>
              </w:rPr>
              <w:t>3.0 x10</w:t>
            </w:r>
            <w:r w:rsidRPr="00EE62AF">
              <w:rPr>
                <w:rFonts w:ascii="Times New Roman" w:hAnsi="Times New Roman" w:cs="Times New Roman"/>
                <w:vertAlign w:val="superscript"/>
              </w:rPr>
              <w:t>-</w:t>
            </w:r>
            <w:r>
              <w:rPr>
                <w:rFonts w:ascii="Times New Roman" w:hAnsi="Times New Roman" w:cs="Times New Roman"/>
                <w:vertAlign w:val="superscript"/>
              </w:rPr>
              <w:t>10</w:t>
            </w:r>
          </w:p>
        </w:tc>
        <w:tc>
          <w:tcPr>
            <w:tcW w:w="999" w:type="pct"/>
            <w:tcBorders>
              <w:top w:val="single" w:sz="4" w:space="0" w:color="auto"/>
              <w:left w:val="nil"/>
              <w:bottom w:val="nil"/>
              <w:right w:val="nil"/>
            </w:tcBorders>
            <w:shd w:val="clear" w:color="auto" w:fill="auto"/>
            <w:hideMark/>
          </w:tcPr>
          <w:p w14:paraId="71291A13" w14:textId="77777777" w:rsidR="0058723D" w:rsidRPr="00EE62AF" w:rsidRDefault="0058723D" w:rsidP="00AB2160">
            <w:pPr>
              <w:spacing w:line="360" w:lineRule="auto"/>
              <w:rPr>
                <w:rFonts w:ascii="Times New Roman" w:hAnsi="Times New Roman" w:cs="Times New Roman"/>
              </w:rPr>
            </w:pPr>
          </w:p>
        </w:tc>
      </w:tr>
      <w:tr w:rsidR="0058723D" w:rsidRPr="00EE62AF" w14:paraId="52D6801B" w14:textId="77777777" w:rsidTr="00553190">
        <w:trPr>
          <w:trHeight w:val="603"/>
        </w:trPr>
        <w:tc>
          <w:tcPr>
            <w:tcW w:w="1202" w:type="pct"/>
            <w:tcBorders>
              <w:top w:val="nil"/>
              <w:left w:val="nil"/>
              <w:bottom w:val="nil"/>
              <w:right w:val="nil"/>
            </w:tcBorders>
            <w:shd w:val="clear" w:color="auto" w:fill="auto"/>
            <w:hideMark/>
          </w:tcPr>
          <w:p w14:paraId="6049AA85" w14:textId="1411F654" w:rsidR="0058723D" w:rsidRPr="00EE62AF" w:rsidRDefault="0058723D" w:rsidP="00AB2160">
            <w:pPr>
              <w:spacing w:line="360" w:lineRule="auto"/>
              <w:rPr>
                <w:rFonts w:ascii="Times New Roman" w:hAnsi="Times New Roman" w:cs="Times New Roman"/>
              </w:rPr>
            </w:pPr>
            <w:proofErr w:type="spellStart"/>
            <w:r w:rsidRPr="00EE62AF">
              <w:rPr>
                <w:rFonts w:ascii="Times New Roman" w:hAnsi="Times New Roman" w:cs="Times New Roman"/>
              </w:rPr>
              <w:t>K</w:t>
            </w:r>
            <w:r w:rsidRPr="00EE62AF">
              <w:rPr>
                <w:rFonts w:ascii="Times New Roman" w:hAnsi="Times New Roman" w:cs="Times New Roman"/>
                <w:vertAlign w:val="subscript"/>
              </w:rPr>
              <w:t>dam</w:t>
            </w:r>
            <w:proofErr w:type="spellEnd"/>
            <w:r w:rsidRPr="00EE62AF">
              <w:rPr>
                <w:rFonts w:ascii="Times New Roman" w:hAnsi="Times New Roman" w:cs="Times New Roman"/>
              </w:rPr>
              <w:t> </w:t>
            </w:r>
            <w:r w:rsidR="00691B65" w:rsidRPr="00EE62AF">
              <w:rPr>
                <w:rFonts w:ascii="Times New Roman" w:hAnsi="Times New Roman" w:cs="Times New Roman"/>
                <w:i/>
                <w:iCs/>
              </w:rPr>
              <w:t>Prochlorococcus</w:t>
            </w:r>
            <w:r w:rsidR="00691B65" w:rsidRPr="00EE62AF">
              <w:rPr>
                <w:rFonts w:ascii="Times New Roman" w:hAnsi="Times New Roman" w:cs="Times New Roman"/>
              </w:rPr>
              <w:t xml:space="preserve"> </w:t>
            </w:r>
          </w:p>
        </w:tc>
        <w:tc>
          <w:tcPr>
            <w:tcW w:w="1010" w:type="pct"/>
            <w:tcBorders>
              <w:top w:val="nil"/>
              <w:left w:val="nil"/>
              <w:bottom w:val="nil"/>
              <w:right w:val="nil"/>
            </w:tcBorders>
          </w:tcPr>
          <w:p w14:paraId="051FA7C2" w14:textId="65D34E10" w:rsidR="0058723D" w:rsidRPr="00EE62AF" w:rsidRDefault="00EE62AF" w:rsidP="00AB2160">
            <w:pPr>
              <w:spacing w:line="360" w:lineRule="auto"/>
              <w:rPr>
                <w:rFonts w:ascii="Times New Roman" w:hAnsi="Times New Roman" w:cs="Times New Roman"/>
              </w:rPr>
            </w:pPr>
            <w:r w:rsidRPr="00EE62AF">
              <w:rPr>
                <w:rFonts w:ascii="Times New Roman" w:hAnsi="Times New Roman" w:cs="Times New Roman"/>
              </w:rPr>
              <w:t xml:space="preserve"> </w:t>
            </w:r>
            <w:r w:rsidR="0058723D" w:rsidRPr="00EE62AF">
              <w:rPr>
                <w:rFonts w:ascii="Times New Roman" w:hAnsi="Times New Roman" w:cs="Times New Roman"/>
              </w:rPr>
              <w:t>ml(cell)</w:t>
            </w:r>
            <w:r w:rsidR="0058723D" w:rsidRPr="00EE62AF">
              <w:rPr>
                <w:rFonts w:ascii="Times New Roman" w:hAnsi="Times New Roman" w:cs="Times New Roman"/>
                <w:vertAlign w:val="superscript"/>
              </w:rPr>
              <w:t>-1</w:t>
            </w:r>
            <w:r w:rsidR="0058723D" w:rsidRPr="00EE62AF">
              <w:rPr>
                <w:rFonts w:ascii="Times New Roman" w:hAnsi="Times New Roman" w:cs="Times New Roman"/>
              </w:rPr>
              <w:t>(day)</w:t>
            </w:r>
            <w:r w:rsidR="0058723D" w:rsidRPr="00EE62AF">
              <w:rPr>
                <w:rFonts w:ascii="Times New Roman" w:hAnsi="Times New Roman" w:cs="Times New Roman"/>
                <w:vertAlign w:val="superscript"/>
              </w:rPr>
              <w:t>-1</w:t>
            </w:r>
          </w:p>
        </w:tc>
        <w:tc>
          <w:tcPr>
            <w:tcW w:w="1153" w:type="pct"/>
            <w:tcBorders>
              <w:top w:val="nil"/>
              <w:left w:val="nil"/>
              <w:bottom w:val="nil"/>
              <w:right w:val="nil"/>
            </w:tcBorders>
            <w:shd w:val="clear" w:color="auto" w:fill="auto"/>
            <w:hideMark/>
          </w:tcPr>
          <w:p w14:paraId="2A735F1F" w14:textId="6BC33F68" w:rsidR="0058723D" w:rsidRPr="00EE62AF" w:rsidRDefault="00F52F1E" w:rsidP="00AB2160">
            <w:pPr>
              <w:spacing w:line="360" w:lineRule="auto"/>
              <w:rPr>
                <w:rFonts w:ascii="Times New Roman" w:hAnsi="Times New Roman" w:cs="Times New Roman"/>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8723D" w:rsidRPr="00EE62AF">
              <w:rPr>
                <w:rFonts w:ascii="Times New Roman" w:hAnsi="Times New Roman" w:cs="Times New Roman"/>
              </w:rPr>
              <w:t>_grp_Kdam</w:t>
            </w:r>
          </w:p>
        </w:tc>
        <w:tc>
          <w:tcPr>
            <w:tcW w:w="636" w:type="pct"/>
            <w:tcBorders>
              <w:top w:val="nil"/>
              <w:left w:val="nil"/>
              <w:bottom w:val="nil"/>
              <w:right w:val="nil"/>
            </w:tcBorders>
            <w:shd w:val="clear" w:color="auto" w:fill="auto"/>
            <w:hideMark/>
          </w:tcPr>
          <w:p w14:paraId="2714F118" w14:textId="475D03D8"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6.4</w:t>
            </w:r>
            <w:r w:rsidR="00EE62AF">
              <w:rPr>
                <w:rFonts w:ascii="Times New Roman" w:hAnsi="Times New Roman" w:cs="Times New Roman"/>
              </w:rPr>
              <w:t>x10</w:t>
            </w:r>
            <w:r w:rsidRPr="00EE62AF">
              <w:rPr>
                <w:rFonts w:ascii="Times New Roman" w:hAnsi="Times New Roman" w:cs="Times New Roman"/>
                <w:vertAlign w:val="superscript"/>
              </w:rPr>
              <w:t>-5</w:t>
            </w:r>
          </w:p>
        </w:tc>
        <w:tc>
          <w:tcPr>
            <w:tcW w:w="999" w:type="pct"/>
            <w:tcBorders>
              <w:top w:val="nil"/>
              <w:left w:val="nil"/>
              <w:bottom w:val="nil"/>
              <w:right w:val="nil"/>
            </w:tcBorders>
            <w:shd w:val="clear" w:color="auto" w:fill="auto"/>
            <w:hideMark/>
          </w:tcPr>
          <w:p w14:paraId="6971EE79"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m</w:t>
            </w:r>
            <w:r w:rsidRPr="00EE62AF">
              <w:rPr>
                <w:rFonts w:ascii="Times New Roman" w:hAnsi="Times New Roman" w:cs="Times New Roman"/>
                <w:vertAlign w:val="superscript"/>
              </w:rPr>
              <w:t>3</w:t>
            </w:r>
            <w:r w:rsidRPr="00EE62AF">
              <w:rPr>
                <w:rFonts w:ascii="Times New Roman" w:hAnsi="Times New Roman" w:cs="Times New Roman"/>
              </w:rPr>
              <w:t>(mmol)</w:t>
            </w:r>
            <w:r w:rsidRPr="00EE62AF">
              <w:rPr>
                <w:rFonts w:ascii="Times New Roman" w:hAnsi="Times New Roman" w:cs="Times New Roman"/>
                <w:vertAlign w:val="superscript"/>
              </w:rPr>
              <w:t>-1</w:t>
            </w:r>
            <w:r w:rsidRPr="00EE62AF">
              <w:rPr>
                <w:rFonts w:ascii="Times New Roman" w:hAnsi="Times New Roman" w:cs="Times New Roman"/>
              </w:rPr>
              <w:t xml:space="preserve"> (s)</w:t>
            </w:r>
            <w:r w:rsidRPr="00EE62AF">
              <w:rPr>
                <w:rFonts w:ascii="Times New Roman" w:hAnsi="Times New Roman" w:cs="Times New Roman"/>
                <w:vertAlign w:val="superscript"/>
              </w:rPr>
              <w:t>-1</w:t>
            </w:r>
          </w:p>
        </w:tc>
      </w:tr>
      <w:tr w:rsidR="0058723D" w:rsidRPr="00EE62AF" w14:paraId="02B142AC" w14:textId="77777777" w:rsidTr="00553190">
        <w:trPr>
          <w:trHeight w:val="603"/>
        </w:trPr>
        <w:tc>
          <w:tcPr>
            <w:tcW w:w="1202" w:type="pct"/>
            <w:tcBorders>
              <w:top w:val="nil"/>
              <w:left w:val="nil"/>
              <w:bottom w:val="nil"/>
              <w:right w:val="nil"/>
            </w:tcBorders>
            <w:shd w:val="clear" w:color="auto" w:fill="auto"/>
            <w:hideMark/>
          </w:tcPr>
          <w:p w14:paraId="09FD7815" w14:textId="52884934" w:rsidR="0058723D" w:rsidRPr="00C84C31" w:rsidRDefault="00000000" w:rsidP="00C84C31">
            <w:pPr>
              <w:spacing w:line="360" w:lineRule="auto"/>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m:t>
                  </m:r>
                </m:sub>
              </m:sSub>
            </m:oMath>
            <w:r w:rsidR="0058723D" w:rsidRPr="00EE62AF">
              <w:rPr>
                <w:rFonts w:ascii="Times New Roman" w:hAnsi="Times New Roman" w:cs="Times New Roman"/>
              </w:rPr>
              <w:t xml:space="preserve"> abiotic</w:t>
            </w:r>
          </w:p>
        </w:tc>
        <w:tc>
          <w:tcPr>
            <w:tcW w:w="1010" w:type="pct"/>
            <w:tcBorders>
              <w:top w:val="nil"/>
              <w:left w:val="nil"/>
              <w:bottom w:val="nil"/>
              <w:right w:val="nil"/>
            </w:tcBorders>
          </w:tcPr>
          <w:p w14:paraId="5BF48329"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 xml:space="preserve"> (day)</w:t>
            </w:r>
            <w:r w:rsidRPr="00EE62AF">
              <w:rPr>
                <w:rFonts w:ascii="Times New Roman" w:hAnsi="Times New Roman" w:cs="Times New Roman"/>
                <w:vertAlign w:val="superscript"/>
              </w:rPr>
              <w:t>-1</w:t>
            </w:r>
          </w:p>
        </w:tc>
        <w:tc>
          <w:tcPr>
            <w:tcW w:w="1153" w:type="pct"/>
            <w:tcBorders>
              <w:top w:val="nil"/>
              <w:left w:val="nil"/>
              <w:bottom w:val="nil"/>
              <w:right w:val="nil"/>
            </w:tcBorders>
            <w:shd w:val="clear" w:color="auto" w:fill="auto"/>
            <w:hideMark/>
          </w:tcPr>
          <w:p w14:paraId="4E58AB50" w14:textId="75656E95" w:rsidR="0058723D" w:rsidRPr="00EE62AF" w:rsidRDefault="00F52F1E" w:rsidP="00AB2160">
            <w:pPr>
              <w:spacing w:line="360" w:lineRule="auto"/>
              <w:rPr>
                <w:rFonts w:ascii="Times New Roman" w:hAnsi="Times New Roman" w:cs="Times New Roman"/>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8723D" w:rsidRPr="00EE62AF">
              <w:rPr>
                <w:rFonts w:ascii="Times New Roman" w:hAnsi="Times New Roman" w:cs="Times New Roman"/>
              </w:rPr>
              <w:t>_abiotic_detox</w:t>
            </w:r>
          </w:p>
        </w:tc>
        <w:tc>
          <w:tcPr>
            <w:tcW w:w="636" w:type="pct"/>
            <w:tcBorders>
              <w:top w:val="nil"/>
              <w:left w:val="nil"/>
              <w:bottom w:val="nil"/>
              <w:right w:val="nil"/>
            </w:tcBorders>
            <w:shd w:val="clear" w:color="auto" w:fill="auto"/>
            <w:hideMark/>
          </w:tcPr>
          <w:p w14:paraId="3AB0F9B9" w14:textId="07A22F43" w:rsidR="0058723D" w:rsidRPr="00EE62AF" w:rsidRDefault="00FA3362" w:rsidP="00AB2160">
            <w:pPr>
              <w:spacing w:line="360" w:lineRule="auto"/>
              <w:rPr>
                <w:rFonts w:ascii="Times New Roman" w:hAnsi="Times New Roman" w:cs="Times New Roman"/>
              </w:rPr>
            </w:pPr>
            <w:r w:rsidRPr="00EE62AF">
              <w:rPr>
                <w:rFonts w:ascii="Times New Roman" w:hAnsi="Times New Roman" w:cs="Times New Roman"/>
              </w:rPr>
              <w:t>5</w:t>
            </w:r>
            <w:r>
              <w:rPr>
                <w:rFonts w:ascii="Times New Roman" w:hAnsi="Times New Roman" w:cs="Times New Roman"/>
              </w:rPr>
              <w:t>.</w:t>
            </w:r>
            <w:r w:rsidRPr="00EE62AF">
              <w:rPr>
                <w:rFonts w:ascii="Times New Roman" w:hAnsi="Times New Roman" w:cs="Times New Roman"/>
              </w:rPr>
              <w:t>8</w:t>
            </w:r>
            <w:r>
              <w:rPr>
                <w:rFonts w:ascii="Times New Roman" w:hAnsi="Times New Roman" w:cs="Times New Roman"/>
              </w:rPr>
              <w:t xml:space="preserve"> x10</w:t>
            </w:r>
            <w:r w:rsidRPr="00EE62AF">
              <w:rPr>
                <w:rFonts w:ascii="Times New Roman" w:hAnsi="Times New Roman" w:cs="Times New Roman"/>
                <w:vertAlign w:val="superscript"/>
              </w:rPr>
              <w:t>-</w:t>
            </w:r>
            <w:r>
              <w:rPr>
                <w:rFonts w:ascii="Times New Roman" w:hAnsi="Times New Roman" w:cs="Times New Roman"/>
                <w:vertAlign w:val="superscript"/>
              </w:rPr>
              <w:t>8</w:t>
            </w:r>
          </w:p>
        </w:tc>
        <w:tc>
          <w:tcPr>
            <w:tcW w:w="999" w:type="pct"/>
            <w:tcBorders>
              <w:top w:val="nil"/>
              <w:left w:val="nil"/>
              <w:bottom w:val="nil"/>
              <w:right w:val="nil"/>
            </w:tcBorders>
            <w:shd w:val="clear" w:color="auto" w:fill="auto"/>
            <w:hideMark/>
          </w:tcPr>
          <w:p w14:paraId="326909FF"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(s)</w:t>
            </w:r>
            <w:r w:rsidRPr="00EE62AF">
              <w:rPr>
                <w:rFonts w:ascii="Times New Roman" w:hAnsi="Times New Roman" w:cs="Times New Roman"/>
                <w:vertAlign w:val="superscript"/>
              </w:rPr>
              <w:t>-1</w:t>
            </w:r>
          </w:p>
        </w:tc>
      </w:tr>
      <w:tr w:rsidR="0058723D" w:rsidRPr="00EE62AF" w14:paraId="6C2548A3" w14:textId="77777777" w:rsidTr="00553190">
        <w:trPr>
          <w:trHeight w:val="603"/>
        </w:trPr>
        <w:tc>
          <w:tcPr>
            <w:tcW w:w="1202" w:type="pct"/>
            <w:tcBorders>
              <w:top w:val="nil"/>
              <w:left w:val="nil"/>
              <w:bottom w:val="nil"/>
              <w:right w:val="nil"/>
            </w:tcBorders>
            <w:shd w:val="clear" w:color="auto" w:fill="auto"/>
            <w:hideMark/>
          </w:tcPr>
          <w:p w14:paraId="65577B73" w14:textId="233CCCFF" w:rsidR="0058723D" w:rsidRPr="00EE62AF" w:rsidRDefault="00000000" w:rsidP="00AB2160">
            <w:pPr>
              <w:spacing w:line="360" w:lineRule="auto"/>
              <w:rPr>
                <w:rFonts w:ascii="Times New Roman" w:hAnsi="Times New Roman" w:cs="Times New Roman"/>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m:t>
                  </m:r>
                </m:sub>
              </m:sSub>
            </m:oMath>
            <w:r w:rsidR="00C84C31" w:rsidRPr="00EE62AF">
              <w:rPr>
                <w:rFonts w:ascii="Times New Roman" w:hAnsi="Times New Roman" w:cs="Times New Roman"/>
              </w:rPr>
              <w:t xml:space="preserve"> </w:t>
            </w:r>
            <w:r w:rsidR="0058723D" w:rsidRPr="00EE62AF">
              <w:rPr>
                <w:rFonts w:ascii="Times New Roman" w:hAnsi="Times New Roman" w:cs="Times New Roman"/>
              </w:rPr>
              <w:t xml:space="preserve"> bacteria</w:t>
            </w:r>
          </w:p>
        </w:tc>
        <w:tc>
          <w:tcPr>
            <w:tcW w:w="1010" w:type="pct"/>
            <w:tcBorders>
              <w:top w:val="nil"/>
              <w:left w:val="nil"/>
              <w:bottom w:val="nil"/>
              <w:right w:val="nil"/>
            </w:tcBorders>
          </w:tcPr>
          <w:p w14:paraId="6827E91B"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ml(cell)</w:t>
            </w:r>
            <w:r w:rsidRPr="00EE62AF">
              <w:rPr>
                <w:rFonts w:ascii="Times New Roman" w:hAnsi="Times New Roman" w:cs="Times New Roman"/>
                <w:vertAlign w:val="superscript"/>
              </w:rPr>
              <w:t>-1</w:t>
            </w:r>
            <w:r w:rsidRPr="00EE62AF">
              <w:rPr>
                <w:rFonts w:ascii="Times New Roman" w:hAnsi="Times New Roman" w:cs="Times New Roman"/>
              </w:rPr>
              <w:t>(day)</w:t>
            </w:r>
            <w:r w:rsidRPr="00EE62AF">
              <w:rPr>
                <w:rFonts w:ascii="Times New Roman" w:hAnsi="Times New Roman" w:cs="Times New Roman"/>
                <w:vertAlign w:val="superscript"/>
              </w:rPr>
              <w:t>-1</w:t>
            </w:r>
          </w:p>
        </w:tc>
        <w:tc>
          <w:tcPr>
            <w:tcW w:w="1153" w:type="pct"/>
            <w:tcBorders>
              <w:top w:val="nil"/>
              <w:left w:val="nil"/>
              <w:bottom w:val="nil"/>
              <w:right w:val="nil"/>
            </w:tcBorders>
            <w:shd w:val="clear" w:color="auto" w:fill="auto"/>
            <w:hideMark/>
          </w:tcPr>
          <w:p w14:paraId="5E26AB17" w14:textId="57A7C062" w:rsidR="0058723D" w:rsidRPr="00EE62AF" w:rsidRDefault="00F52F1E" w:rsidP="00AB2160">
            <w:pPr>
              <w:spacing w:line="360" w:lineRule="auto"/>
              <w:rPr>
                <w:rFonts w:ascii="Times New Roman" w:hAnsi="Times New Roman" w:cs="Times New Roman"/>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8723D" w:rsidRPr="00EE62AF">
              <w:rPr>
                <w:rFonts w:ascii="Times New Roman" w:hAnsi="Times New Roman" w:cs="Times New Roman"/>
              </w:rPr>
              <w:t>_bacterial_detox</w:t>
            </w:r>
          </w:p>
        </w:tc>
        <w:tc>
          <w:tcPr>
            <w:tcW w:w="636" w:type="pct"/>
            <w:tcBorders>
              <w:top w:val="nil"/>
              <w:left w:val="nil"/>
              <w:bottom w:val="nil"/>
              <w:right w:val="nil"/>
            </w:tcBorders>
            <w:shd w:val="clear" w:color="auto" w:fill="auto"/>
            <w:hideMark/>
          </w:tcPr>
          <w:p w14:paraId="0C7E7BFB" w14:textId="7AA2C238"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5</w:t>
            </w:r>
            <w:r w:rsidR="00FA3362">
              <w:rPr>
                <w:rFonts w:ascii="Times New Roman" w:hAnsi="Times New Roman" w:cs="Times New Roman"/>
              </w:rPr>
              <w:t>.</w:t>
            </w:r>
            <w:r w:rsidRPr="00EE62AF">
              <w:rPr>
                <w:rFonts w:ascii="Times New Roman" w:hAnsi="Times New Roman" w:cs="Times New Roman"/>
              </w:rPr>
              <w:t>8</w:t>
            </w:r>
            <w:r w:rsidR="00FA3362">
              <w:rPr>
                <w:rFonts w:ascii="Times New Roman" w:hAnsi="Times New Roman" w:cs="Times New Roman"/>
              </w:rPr>
              <w:t xml:space="preserve"> x10</w:t>
            </w:r>
            <w:r w:rsidR="00FA3362" w:rsidRPr="00EE62AF">
              <w:rPr>
                <w:rFonts w:ascii="Times New Roman" w:hAnsi="Times New Roman" w:cs="Times New Roman"/>
                <w:vertAlign w:val="superscript"/>
              </w:rPr>
              <w:t>-</w:t>
            </w:r>
            <w:r w:rsidR="00FA3362">
              <w:rPr>
                <w:rFonts w:ascii="Times New Roman" w:hAnsi="Times New Roman" w:cs="Times New Roman"/>
                <w:vertAlign w:val="superscript"/>
              </w:rPr>
              <w:t>6</w:t>
            </w:r>
          </w:p>
        </w:tc>
        <w:tc>
          <w:tcPr>
            <w:tcW w:w="999" w:type="pct"/>
            <w:tcBorders>
              <w:top w:val="nil"/>
              <w:left w:val="nil"/>
              <w:bottom w:val="nil"/>
              <w:right w:val="nil"/>
            </w:tcBorders>
            <w:shd w:val="clear" w:color="auto" w:fill="auto"/>
            <w:hideMark/>
          </w:tcPr>
          <w:p w14:paraId="6B6711DD"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m</w:t>
            </w:r>
            <w:r w:rsidRPr="00EE62AF">
              <w:rPr>
                <w:rFonts w:ascii="Times New Roman" w:hAnsi="Times New Roman" w:cs="Times New Roman"/>
                <w:vertAlign w:val="superscript"/>
              </w:rPr>
              <w:t>3</w:t>
            </w:r>
            <w:r w:rsidRPr="00EE62AF">
              <w:rPr>
                <w:rFonts w:ascii="Times New Roman" w:hAnsi="Times New Roman" w:cs="Times New Roman"/>
              </w:rPr>
              <w:t>(mmol)</w:t>
            </w:r>
            <w:r w:rsidRPr="00EE62AF">
              <w:rPr>
                <w:rFonts w:ascii="Times New Roman" w:hAnsi="Times New Roman" w:cs="Times New Roman"/>
                <w:vertAlign w:val="superscript"/>
              </w:rPr>
              <w:t>-1</w:t>
            </w:r>
            <w:r w:rsidRPr="00EE62AF">
              <w:rPr>
                <w:rFonts w:ascii="Times New Roman" w:hAnsi="Times New Roman" w:cs="Times New Roman"/>
              </w:rPr>
              <w:t xml:space="preserve"> (s)</w:t>
            </w:r>
            <w:r w:rsidRPr="00EE62AF">
              <w:rPr>
                <w:rFonts w:ascii="Times New Roman" w:hAnsi="Times New Roman" w:cs="Times New Roman"/>
                <w:vertAlign w:val="superscript"/>
              </w:rPr>
              <w:t>-1</w:t>
            </w:r>
          </w:p>
        </w:tc>
      </w:tr>
      <w:tr w:rsidR="0058723D" w:rsidRPr="00EE62AF" w14:paraId="69FCDC0F" w14:textId="77777777" w:rsidTr="00553190">
        <w:trPr>
          <w:trHeight w:val="603"/>
        </w:trPr>
        <w:tc>
          <w:tcPr>
            <w:tcW w:w="1202" w:type="pct"/>
            <w:tcBorders>
              <w:top w:val="nil"/>
              <w:left w:val="nil"/>
              <w:bottom w:val="single" w:sz="4" w:space="0" w:color="auto"/>
              <w:right w:val="nil"/>
            </w:tcBorders>
            <w:shd w:val="clear" w:color="auto" w:fill="auto"/>
            <w:hideMark/>
          </w:tcPr>
          <w:p w14:paraId="6D609112" w14:textId="4D876DFD" w:rsidR="0058723D" w:rsidRPr="00EE62AF" w:rsidRDefault="00000000" w:rsidP="00AB2160">
            <w:pPr>
              <w:spacing w:line="360" w:lineRule="auto"/>
              <w:rPr>
                <w:rFonts w:ascii="Times New Roman" w:hAnsi="Times New Roman" w:cs="Times New Roman"/>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m:t>
                  </m:r>
                </m:sub>
              </m:sSub>
            </m:oMath>
            <w:r w:rsidR="00C84C31" w:rsidRPr="00EE62AF">
              <w:rPr>
                <w:rFonts w:ascii="Times New Roman" w:hAnsi="Times New Roman" w:cs="Times New Roman"/>
              </w:rPr>
              <w:t xml:space="preserve"> </w:t>
            </w:r>
            <w:r w:rsidR="0058723D" w:rsidRPr="00EE62AF">
              <w:rPr>
                <w:rFonts w:ascii="Times New Roman" w:hAnsi="Times New Roman" w:cs="Times New Roman"/>
              </w:rPr>
              <w:t xml:space="preserve"> </w:t>
            </w:r>
            <w:proofErr w:type="spellStart"/>
            <w:r w:rsidR="00691B65" w:rsidRPr="00EE62AF">
              <w:rPr>
                <w:rFonts w:ascii="Times New Roman" w:hAnsi="Times New Roman" w:cs="Times New Roman"/>
                <w:i/>
                <w:iCs/>
              </w:rPr>
              <w:t>Synechococcus</w:t>
            </w:r>
            <w:proofErr w:type="spellEnd"/>
          </w:p>
        </w:tc>
        <w:tc>
          <w:tcPr>
            <w:tcW w:w="1010" w:type="pct"/>
            <w:tcBorders>
              <w:top w:val="nil"/>
              <w:left w:val="nil"/>
              <w:bottom w:val="single" w:sz="4" w:space="0" w:color="auto"/>
              <w:right w:val="nil"/>
            </w:tcBorders>
          </w:tcPr>
          <w:p w14:paraId="2CAA431F" w14:textId="77777777"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ml(cell)</w:t>
            </w:r>
            <w:r w:rsidRPr="00EE62AF">
              <w:rPr>
                <w:rFonts w:ascii="Times New Roman" w:hAnsi="Times New Roman" w:cs="Times New Roman"/>
                <w:vertAlign w:val="superscript"/>
              </w:rPr>
              <w:t>-1</w:t>
            </w:r>
            <w:r w:rsidRPr="00EE62AF">
              <w:rPr>
                <w:rFonts w:ascii="Times New Roman" w:hAnsi="Times New Roman" w:cs="Times New Roman"/>
              </w:rPr>
              <w:t>(day)</w:t>
            </w:r>
            <w:r w:rsidRPr="00EE62AF">
              <w:rPr>
                <w:rFonts w:ascii="Times New Roman" w:hAnsi="Times New Roman" w:cs="Times New Roman"/>
                <w:vertAlign w:val="superscript"/>
              </w:rPr>
              <w:t>-1</w:t>
            </w:r>
          </w:p>
        </w:tc>
        <w:tc>
          <w:tcPr>
            <w:tcW w:w="1153" w:type="pct"/>
            <w:tcBorders>
              <w:top w:val="nil"/>
              <w:left w:val="nil"/>
              <w:bottom w:val="single" w:sz="4" w:space="0" w:color="auto"/>
              <w:right w:val="nil"/>
            </w:tcBorders>
            <w:shd w:val="clear" w:color="auto" w:fill="auto"/>
            <w:hideMark/>
          </w:tcPr>
          <w:p w14:paraId="1ADDBF2D" w14:textId="7923409A" w:rsidR="0058723D" w:rsidRPr="00EE62AF" w:rsidRDefault="00F52F1E" w:rsidP="00AB2160">
            <w:pPr>
              <w:spacing w:line="360" w:lineRule="auto"/>
              <w:rPr>
                <w:rFonts w:ascii="Times New Roman" w:hAnsi="Times New Roman" w:cs="Times New Roman"/>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8723D" w:rsidRPr="00EE62AF">
              <w:rPr>
                <w:rFonts w:ascii="Times New Roman" w:hAnsi="Times New Roman" w:cs="Times New Roman"/>
              </w:rPr>
              <w:t>_grp_Phi</w:t>
            </w:r>
          </w:p>
        </w:tc>
        <w:tc>
          <w:tcPr>
            <w:tcW w:w="636" w:type="pct"/>
            <w:tcBorders>
              <w:top w:val="nil"/>
              <w:left w:val="nil"/>
              <w:bottom w:val="single" w:sz="4" w:space="0" w:color="auto"/>
              <w:right w:val="nil"/>
            </w:tcBorders>
            <w:shd w:val="clear" w:color="auto" w:fill="auto"/>
            <w:hideMark/>
          </w:tcPr>
          <w:p w14:paraId="47FBDCB1" w14:textId="65E39EE1" w:rsidR="0058723D" w:rsidRPr="00EE62AF" w:rsidRDefault="0058723D" w:rsidP="00AB2160">
            <w:pPr>
              <w:spacing w:line="360" w:lineRule="auto"/>
              <w:rPr>
                <w:rFonts w:ascii="Times New Roman" w:hAnsi="Times New Roman" w:cs="Times New Roman"/>
              </w:rPr>
            </w:pPr>
            <w:r w:rsidRPr="00EE62AF">
              <w:rPr>
                <w:rFonts w:ascii="Times New Roman" w:hAnsi="Times New Roman" w:cs="Times New Roman"/>
              </w:rPr>
              <w:t>1.39</w:t>
            </w:r>
            <w:r w:rsidR="00EE62AF">
              <w:rPr>
                <w:rFonts w:ascii="Times New Roman" w:hAnsi="Times New Roman" w:cs="Times New Roman"/>
              </w:rPr>
              <w:t xml:space="preserve"> x10</w:t>
            </w:r>
            <w:r w:rsidRPr="00EE62AF">
              <w:rPr>
                <w:rFonts w:ascii="Times New Roman" w:hAnsi="Times New Roman" w:cs="Times New Roman"/>
                <w:vertAlign w:val="superscript"/>
              </w:rPr>
              <w:t>-4</w:t>
            </w:r>
          </w:p>
        </w:tc>
        <w:tc>
          <w:tcPr>
            <w:tcW w:w="999" w:type="pct"/>
            <w:tcBorders>
              <w:top w:val="nil"/>
              <w:left w:val="nil"/>
              <w:bottom w:val="single" w:sz="4" w:space="0" w:color="auto"/>
              <w:right w:val="nil"/>
            </w:tcBorders>
            <w:shd w:val="clear" w:color="auto" w:fill="auto"/>
            <w:hideMark/>
          </w:tcPr>
          <w:p w14:paraId="244E46BF" w14:textId="77777777" w:rsidR="0058723D" w:rsidRPr="00EE62AF" w:rsidRDefault="0058723D" w:rsidP="00AB2160">
            <w:pPr>
              <w:keepNext/>
              <w:spacing w:line="360" w:lineRule="auto"/>
              <w:rPr>
                <w:rFonts w:ascii="Times New Roman" w:hAnsi="Times New Roman" w:cs="Times New Roman"/>
              </w:rPr>
            </w:pPr>
            <w:r w:rsidRPr="00EE62AF">
              <w:rPr>
                <w:rFonts w:ascii="Times New Roman" w:hAnsi="Times New Roman" w:cs="Times New Roman"/>
              </w:rPr>
              <w:t>m</w:t>
            </w:r>
            <w:r w:rsidRPr="00EE62AF">
              <w:rPr>
                <w:rFonts w:ascii="Times New Roman" w:hAnsi="Times New Roman" w:cs="Times New Roman"/>
                <w:vertAlign w:val="superscript"/>
              </w:rPr>
              <w:t>3</w:t>
            </w:r>
            <w:r w:rsidRPr="00EE62AF">
              <w:rPr>
                <w:rFonts w:ascii="Times New Roman" w:hAnsi="Times New Roman" w:cs="Times New Roman"/>
              </w:rPr>
              <w:t>(mmol)</w:t>
            </w:r>
            <w:r w:rsidRPr="00EE62AF">
              <w:rPr>
                <w:rFonts w:ascii="Times New Roman" w:hAnsi="Times New Roman" w:cs="Times New Roman"/>
                <w:vertAlign w:val="superscript"/>
              </w:rPr>
              <w:t>-1</w:t>
            </w:r>
            <w:r w:rsidRPr="00EE62AF">
              <w:rPr>
                <w:rFonts w:ascii="Times New Roman" w:hAnsi="Times New Roman" w:cs="Times New Roman"/>
              </w:rPr>
              <w:t xml:space="preserve"> (s)</w:t>
            </w:r>
            <w:r w:rsidRPr="00EE62AF">
              <w:rPr>
                <w:rFonts w:ascii="Times New Roman" w:hAnsi="Times New Roman" w:cs="Times New Roman"/>
                <w:vertAlign w:val="superscript"/>
              </w:rPr>
              <w:t>-1</w:t>
            </w:r>
          </w:p>
        </w:tc>
      </w:tr>
    </w:tbl>
    <w:p w14:paraId="1F91FE9C" w14:textId="77777777" w:rsidR="0058723D" w:rsidRDefault="0058723D" w:rsidP="00AB2160">
      <w:pPr>
        <w:spacing w:line="360" w:lineRule="auto"/>
        <w:rPr>
          <w:rFonts w:ascii="Times New Roman" w:hAnsi="Times New Roman" w:cs="Times New Roman"/>
          <w:sz w:val="24"/>
          <w:szCs w:val="24"/>
        </w:rPr>
      </w:pPr>
    </w:p>
    <w:p w14:paraId="3EE17306" w14:textId="77777777" w:rsidR="0058723D" w:rsidRDefault="0058723D" w:rsidP="00AB2160">
      <w:pPr>
        <w:spacing w:line="360" w:lineRule="auto"/>
        <w:rPr>
          <w:rFonts w:ascii="Times New Roman" w:hAnsi="Times New Roman" w:cs="Times New Roman"/>
          <w:sz w:val="24"/>
          <w:szCs w:val="24"/>
        </w:rPr>
      </w:pPr>
    </w:p>
    <w:p w14:paraId="6A068A8A" w14:textId="77777777" w:rsidR="0058723D" w:rsidRDefault="0058723D" w:rsidP="00AB2160">
      <w:pPr>
        <w:spacing w:line="360" w:lineRule="auto"/>
        <w:rPr>
          <w:rFonts w:ascii="Times New Roman" w:hAnsi="Times New Roman" w:cs="Times New Roman"/>
          <w:sz w:val="24"/>
          <w:szCs w:val="24"/>
        </w:rPr>
      </w:pPr>
    </w:p>
    <w:p w14:paraId="17FDB66A" w14:textId="77777777" w:rsidR="0058723D" w:rsidRDefault="0058723D" w:rsidP="00AB2160">
      <w:pPr>
        <w:spacing w:line="360" w:lineRule="auto"/>
        <w:rPr>
          <w:rFonts w:ascii="Times New Roman" w:hAnsi="Times New Roman" w:cs="Times New Roman"/>
          <w:sz w:val="24"/>
          <w:szCs w:val="24"/>
        </w:rPr>
      </w:pPr>
    </w:p>
    <w:p w14:paraId="7B4BB1A8" w14:textId="77777777" w:rsidR="0058723D" w:rsidRDefault="0058723D" w:rsidP="00AB2160">
      <w:pPr>
        <w:spacing w:line="360" w:lineRule="auto"/>
        <w:rPr>
          <w:rFonts w:ascii="Times New Roman" w:hAnsi="Times New Roman" w:cs="Times New Roman"/>
          <w:sz w:val="24"/>
          <w:szCs w:val="24"/>
        </w:rPr>
      </w:pPr>
    </w:p>
    <w:p w14:paraId="21EB803B" w14:textId="77777777" w:rsidR="0058723D" w:rsidRDefault="0058723D" w:rsidP="00AB2160">
      <w:pPr>
        <w:spacing w:line="360" w:lineRule="auto"/>
        <w:rPr>
          <w:rFonts w:ascii="Times New Roman" w:hAnsi="Times New Roman" w:cs="Times New Roman"/>
          <w:sz w:val="24"/>
          <w:szCs w:val="24"/>
        </w:rPr>
      </w:pPr>
    </w:p>
    <w:p w14:paraId="62A31732" w14:textId="77777777" w:rsidR="0058723D" w:rsidRDefault="0058723D" w:rsidP="00AB2160">
      <w:pPr>
        <w:spacing w:line="360" w:lineRule="auto"/>
        <w:rPr>
          <w:rFonts w:ascii="Times New Roman" w:hAnsi="Times New Roman" w:cs="Times New Roman"/>
          <w:sz w:val="24"/>
          <w:szCs w:val="24"/>
        </w:rPr>
      </w:pPr>
    </w:p>
    <w:p w14:paraId="25BDC91C" w14:textId="77777777" w:rsidR="0058723D" w:rsidRDefault="0058723D" w:rsidP="00AB2160">
      <w:pPr>
        <w:spacing w:line="360" w:lineRule="auto"/>
        <w:rPr>
          <w:rFonts w:ascii="Times New Roman" w:hAnsi="Times New Roman" w:cs="Times New Roman"/>
          <w:sz w:val="24"/>
          <w:szCs w:val="24"/>
        </w:rPr>
      </w:pPr>
    </w:p>
    <w:p w14:paraId="7CD8F8E1" w14:textId="77777777" w:rsidR="0058723D" w:rsidRDefault="0058723D" w:rsidP="00AB2160">
      <w:pPr>
        <w:spacing w:line="360" w:lineRule="auto"/>
        <w:rPr>
          <w:rFonts w:ascii="Times New Roman" w:hAnsi="Times New Roman" w:cs="Times New Roman"/>
          <w:sz w:val="24"/>
          <w:szCs w:val="24"/>
        </w:rPr>
      </w:pPr>
    </w:p>
    <w:p w14:paraId="24932104" w14:textId="77777777" w:rsidR="0058723D" w:rsidRDefault="0058723D" w:rsidP="00AB2160">
      <w:pPr>
        <w:spacing w:line="360" w:lineRule="auto"/>
        <w:rPr>
          <w:rFonts w:ascii="Times New Roman" w:hAnsi="Times New Roman" w:cs="Times New Roman"/>
          <w:sz w:val="24"/>
          <w:szCs w:val="24"/>
        </w:rPr>
      </w:pPr>
      <w:r>
        <w:rPr>
          <w:rFonts w:ascii="Times New Roman" w:hAnsi="Times New Roman" w:cs="Times New Roman"/>
          <w:sz w:val="24"/>
          <w:szCs w:val="24"/>
        </w:rPr>
        <w:br/>
      </w:r>
    </w:p>
    <w:p w14:paraId="3B6649B4" w14:textId="77777777" w:rsidR="0058723D" w:rsidRDefault="0058723D" w:rsidP="00AB2160">
      <w:pPr>
        <w:spacing w:line="360" w:lineRule="auto"/>
        <w:rPr>
          <w:rFonts w:ascii="Times New Roman" w:hAnsi="Times New Roman" w:cs="Times New Roman"/>
          <w:sz w:val="24"/>
          <w:szCs w:val="24"/>
        </w:rPr>
      </w:pPr>
    </w:p>
    <w:p w14:paraId="5E266185" w14:textId="3A6CA1F6" w:rsidR="0058723D" w:rsidRDefault="0058723D" w:rsidP="00AB2160">
      <w:pPr>
        <w:spacing w:line="360" w:lineRule="auto"/>
        <w:rPr>
          <w:rFonts w:ascii="Times New Roman" w:hAnsi="Times New Roman" w:cs="Times New Roman"/>
          <w:sz w:val="24"/>
          <w:szCs w:val="24"/>
        </w:rPr>
      </w:pPr>
    </w:p>
    <w:p w14:paraId="10F28C6A" w14:textId="102A2151" w:rsidR="0058723D" w:rsidRDefault="0058723D" w:rsidP="00511118">
      <w:pPr>
        <w:pStyle w:val="Caption"/>
      </w:pPr>
    </w:p>
    <w:p w14:paraId="6B0BA0A1" w14:textId="05259F2D" w:rsidR="00613727" w:rsidRPr="003609FB" w:rsidRDefault="00613727" w:rsidP="00511118">
      <w:pPr>
        <w:pStyle w:val="Caption"/>
      </w:pPr>
      <w:bookmarkStart w:id="76" w:name="_Toc172910641"/>
      <w:r w:rsidRPr="006475CC">
        <w:lastRenderedPageBreak/>
        <w:t xml:space="preserve">Table </w:t>
      </w:r>
      <w:r w:rsidR="00000000">
        <w:fldChar w:fldCharType="begin"/>
      </w:r>
      <w:r w:rsidR="00000000">
        <w:instrText xml:space="preserve"> SEQ Table \* ARABIC </w:instrText>
      </w:r>
      <w:r w:rsidR="00000000">
        <w:fldChar w:fldCharType="separate"/>
      </w:r>
      <w:r>
        <w:rPr>
          <w:noProof/>
        </w:rPr>
        <w:t>4</w:t>
      </w:r>
      <w:r w:rsidR="00000000">
        <w:rPr>
          <w:noProof/>
        </w:rPr>
        <w:fldChar w:fldCharType="end"/>
      </w:r>
      <w:r w:rsidRPr="006475CC">
        <w:t xml:space="preserve"> Global parameter inclusion into four</w:t>
      </w:r>
      <w:r w:rsidR="000904E6">
        <w:t xml:space="preserve"> global</w:t>
      </w:r>
      <w:r w:rsidRPr="006475CC">
        <w:t xml:space="preserve"> model cases</w:t>
      </w:r>
      <w:bookmarkEnd w:id="76"/>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599"/>
        <w:gridCol w:w="1814"/>
        <w:gridCol w:w="2091"/>
        <w:gridCol w:w="1908"/>
        <w:gridCol w:w="1943"/>
      </w:tblGrid>
      <w:tr w:rsidR="000904E6" w:rsidRPr="003609FB" w14:paraId="0DCCD578" w14:textId="77777777" w:rsidTr="00E323DE">
        <w:trPr>
          <w:trHeight w:val="517"/>
        </w:trPr>
        <w:tc>
          <w:tcPr>
            <w:tcW w:w="537" w:type="pct"/>
            <w:tcBorders>
              <w:top w:val="single" w:sz="4" w:space="0" w:color="auto"/>
              <w:left w:val="nil"/>
              <w:bottom w:val="single" w:sz="4" w:space="0" w:color="auto"/>
              <w:right w:val="nil"/>
            </w:tcBorders>
            <w:shd w:val="clear" w:color="auto" w:fill="auto"/>
            <w:vAlign w:val="center"/>
            <w:hideMark/>
          </w:tcPr>
          <w:p w14:paraId="44016818" w14:textId="60169017" w:rsidR="0058723D" w:rsidRPr="003609FB" w:rsidRDefault="000904E6" w:rsidP="004A5982">
            <w:pPr>
              <w:spacing w:line="360" w:lineRule="auto"/>
              <w:jc w:val="center"/>
              <w:rPr>
                <w:rFonts w:ascii="Times New Roman" w:hAnsi="Times New Roman" w:cs="Times New Roman"/>
                <w:sz w:val="24"/>
                <w:szCs w:val="24"/>
              </w:rPr>
            </w:pPr>
            <w:r>
              <w:rPr>
                <w:rFonts w:ascii="Times New Roman" w:hAnsi="Times New Roman" w:cs="Times New Roman"/>
                <w:sz w:val="24"/>
                <w:szCs w:val="24"/>
              </w:rPr>
              <w:t>C</w:t>
            </w:r>
            <w:r w:rsidR="004A5982">
              <w:rPr>
                <w:rFonts w:ascii="Times New Roman" w:hAnsi="Times New Roman" w:cs="Times New Roman"/>
                <w:sz w:val="24"/>
                <w:szCs w:val="24"/>
              </w:rPr>
              <w:t>ase</w:t>
            </w:r>
          </w:p>
        </w:tc>
        <w:tc>
          <w:tcPr>
            <w:tcW w:w="320" w:type="pct"/>
            <w:tcBorders>
              <w:top w:val="single" w:sz="4" w:space="0" w:color="auto"/>
              <w:left w:val="nil"/>
              <w:bottom w:val="single" w:sz="4" w:space="0" w:color="auto"/>
              <w:right w:val="nil"/>
            </w:tcBorders>
            <w:shd w:val="clear" w:color="auto" w:fill="auto"/>
            <w:vAlign w:val="center"/>
            <w:hideMark/>
          </w:tcPr>
          <w:p w14:paraId="0503334B" w14:textId="35FBDD01" w:rsidR="0058723D" w:rsidRPr="003609FB" w:rsidRDefault="00F52F1E" w:rsidP="004A5982">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p>
        </w:tc>
        <w:tc>
          <w:tcPr>
            <w:tcW w:w="969" w:type="pct"/>
            <w:tcBorders>
              <w:top w:val="single" w:sz="4" w:space="0" w:color="auto"/>
              <w:left w:val="nil"/>
              <w:bottom w:val="single" w:sz="4" w:space="0" w:color="auto"/>
              <w:right w:val="nil"/>
            </w:tcBorders>
            <w:shd w:val="clear" w:color="auto" w:fill="auto"/>
            <w:vAlign w:val="center"/>
            <w:hideMark/>
          </w:tcPr>
          <w:p w14:paraId="66D37E2A" w14:textId="04ED2F5C" w:rsidR="0058723D" w:rsidRPr="003609FB" w:rsidRDefault="0058723D" w:rsidP="004A5982">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Abiotic detoxification</w:t>
            </w:r>
          </w:p>
        </w:tc>
        <w:tc>
          <w:tcPr>
            <w:tcW w:w="1117" w:type="pct"/>
            <w:tcBorders>
              <w:top w:val="single" w:sz="4" w:space="0" w:color="auto"/>
              <w:left w:val="nil"/>
              <w:bottom w:val="single" w:sz="4" w:space="0" w:color="auto"/>
              <w:right w:val="nil"/>
            </w:tcBorders>
            <w:shd w:val="clear" w:color="auto" w:fill="auto"/>
            <w:vAlign w:val="center"/>
            <w:hideMark/>
          </w:tcPr>
          <w:p w14:paraId="5A9BFAC1" w14:textId="1A3E7EF7" w:rsidR="0058723D" w:rsidRPr="003609FB" w:rsidRDefault="0058723D" w:rsidP="004A5982">
            <w:pPr>
              <w:spacing w:line="360" w:lineRule="auto"/>
              <w:jc w:val="center"/>
              <w:rPr>
                <w:rFonts w:ascii="Times New Roman" w:hAnsi="Times New Roman" w:cs="Times New Roman"/>
                <w:sz w:val="24"/>
                <w:szCs w:val="24"/>
              </w:rPr>
            </w:pPr>
            <w:proofErr w:type="spellStart"/>
            <w:r w:rsidRPr="003609FB">
              <w:rPr>
                <w:rFonts w:ascii="Times New Roman" w:hAnsi="Times New Roman" w:cs="Times New Roman"/>
                <w:sz w:val="24"/>
                <w:szCs w:val="24"/>
              </w:rPr>
              <w:t>K</w:t>
            </w:r>
            <w:r w:rsidRPr="007B2A0D">
              <w:rPr>
                <w:rFonts w:ascii="Times New Roman" w:hAnsi="Times New Roman" w:cs="Times New Roman"/>
                <w:sz w:val="24"/>
                <w:szCs w:val="24"/>
                <w:vertAlign w:val="subscript"/>
              </w:rPr>
              <w:t>dam</w:t>
            </w:r>
            <w:proofErr w:type="spellEnd"/>
            <w:r w:rsidR="000904E6">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p>
        </w:tc>
        <w:tc>
          <w:tcPr>
            <w:tcW w:w="1019" w:type="pct"/>
            <w:tcBorders>
              <w:top w:val="single" w:sz="4" w:space="0" w:color="auto"/>
              <w:left w:val="nil"/>
              <w:bottom w:val="single" w:sz="4" w:space="0" w:color="auto"/>
              <w:right w:val="nil"/>
            </w:tcBorders>
            <w:shd w:val="clear" w:color="auto" w:fill="auto"/>
            <w:vAlign w:val="center"/>
            <w:hideMark/>
          </w:tcPr>
          <w:p w14:paraId="2CEFB4BA" w14:textId="71FEDA88" w:rsidR="0058723D" w:rsidRPr="003609FB" w:rsidRDefault="00000000" w:rsidP="004A5982">
            <w:pPr>
              <w:spacing w:line="36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m:t>
                  </m:r>
                </m:sub>
              </m:sSub>
            </m:oMath>
            <w:r w:rsidR="000904E6" w:rsidRPr="00EE62AF">
              <w:rPr>
                <w:rFonts w:ascii="Times New Roman" w:hAnsi="Times New Roman" w:cs="Times New Roman"/>
              </w:rPr>
              <w:t xml:space="preserve">  </w:t>
            </w:r>
            <w:r w:rsidR="0058723D" w:rsidRPr="003609FB">
              <w:rPr>
                <w:rFonts w:ascii="Times New Roman" w:hAnsi="Times New Roman" w:cs="Times New Roman"/>
                <w:sz w:val="24"/>
                <w:szCs w:val="24"/>
              </w:rPr>
              <w:t xml:space="preserve"> </w:t>
            </w:r>
            <w:proofErr w:type="spellStart"/>
            <w:r w:rsidR="00691B65" w:rsidRPr="00691B65">
              <w:rPr>
                <w:rFonts w:ascii="Times New Roman" w:hAnsi="Times New Roman" w:cs="Times New Roman"/>
                <w:i/>
                <w:iCs/>
                <w:sz w:val="24"/>
                <w:szCs w:val="24"/>
              </w:rPr>
              <w:t>Synechococcus</w:t>
            </w:r>
            <w:proofErr w:type="spellEnd"/>
          </w:p>
        </w:tc>
        <w:tc>
          <w:tcPr>
            <w:tcW w:w="1038" w:type="pct"/>
            <w:tcBorders>
              <w:top w:val="single" w:sz="4" w:space="0" w:color="auto"/>
              <w:left w:val="nil"/>
              <w:bottom w:val="single" w:sz="4" w:space="0" w:color="auto"/>
              <w:right w:val="nil"/>
            </w:tcBorders>
            <w:shd w:val="clear" w:color="auto" w:fill="auto"/>
            <w:vAlign w:val="center"/>
            <w:hideMark/>
          </w:tcPr>
          <w:p w14:paraId="359B79E5" w14:textId="5CA2BA50" w:rsidR="000904E6" w:rsidRDefault="00000000" w:rsidP="004A5982">
            <w:pPr>
              <w:spacing w:line="360" w:lineRule="auto"/>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ϕ</m:t>
                    </m:r>
                  </m:e>
                  <m:sub>
                    <m:r>
                      <w:rPr>
                        <w:rFonts w:ascii="Cambria Math" w:hAnsi="Cambria Math" w:cs="Times New Roman"/>
                        <w:sz w:val="24"/>
                        <w:szCs w:val="24"/>
                      </w:rPr>
                      <m:t>max</m:t>
                    </m:r>
                  </m:sub>
                </m:sSub>
              </m:oMath>
            </m:oMathPara>
          </w:p>
          <w:p w14:paraId="02F50BA8" w14:textId="58D67035" w:rsidR="0058723D" w:rsidRPr="003609FB" w:rsidRDefault="000904E6" w:rsidP="004A5982">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H</w:t>
            </w:r>
            <w:r>
              <w:rPr>
                <w:rFonts w:ascii="Times New Roman" w:hAnsi="Times New Roman" w:cs="Times New Roman"/>
                <w:sz w:val="24"/>
                <w:szCs w:val="24"/>
              </w:rPr>
              <w:t>eterotrophic</w:t>
            </w:r>
            <w:r w:rsidR="0058723D" w:rsidRPr="003609FB">
              <w:rPr>
                <w:rFonts w:ascii="Times New Roman" w:hAnsi="Times New Roman" w:cs="Times New Roman"/>
                <w:sz w:val="24"/>
                <w:szCs w:val="24"/>
              </w:rPr>
              <w:t xml:space="preserve"> bacteria</w:t>
            </w:r>
          </w:p>
        </w:tc>
      </w:tr>
      <w:tr w:rsidR="000904E6" w:rsidRPr="003609FB" w14:paraId="5371A9DA" w14:textId="77777777" w:rsidTr="00E323DE">
        <w:trPr>
          <w:trHeight w:val="517"/>
        </w:trPr>
        <w:tc>
          <w:tcPr>
            <w:tcW w:w="537" w:type="pct"/>
            <w:tcBorders>
              <w:top w:val="single" w:sz="4" w:space="0" w:color="auto"/>
              <w:left w:val="nil"/>
              <w:bottom w:val="nil"/>
              <w:right w:val="nil"/>
            </w:tcBorders>
            <w:shd w:val="clear" w:color="auto" w:fill="auto"/>
            <w:hideMark/>
          </w:tcPr>
          <w:p w14:paraId="0626213C" w14:textId="0B6FA746" w:rsidR="0058723D" w:rsidRPr="003609FB" w:rsidRDefault="004A5982" w:rsidP="000904E6">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0" w:type="pct"/>
            <w:tcBorders>
              <w:top w:val="single" w:sz="4" w:space="0" w:color="auto"/>
              <w:left w:val="nil"/>
              <w:bottom w:val="nil"/>
              <w:right w:val="nil"/>
            </w:tcBorders>
            <w:shd w:val="clear" w:color="auto" w:fill="92D050"/>
            <w:hideMark/>
          </w:tcPr>
          <w:p w14:paraId="7FD5AD98"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969" w:type="pct"/>
            <w:tcBorders>
              <w:top w:val="single" w:sz="4" w:space="0" w:color="auto"/>
              <w:left w:val="nil"/>
              <w:bottom w:val="nil"/>
              <w:right w:val="nil"/>
            </w:tcBorders>
            <w:shd w:val="clear" w:color="auto" w:fill="92D050"/>
            <w:hideMark/>
          </w:tcPr>
          <w:p w14:paraId="4371A644"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117" w:type="pct"/>
            <w:tcBorders>
              <w:top w:val="single" w:sz="4" w:space="0" w:color="auto"/>
              <w:left w:val="nil"/>
              <w:bottom w:val="nil"/>
              <w:right w:val="nil"/>
            </w:tcBorders>
            <w:shd w:val="clear" w:color="auto" w:fill="F6C5AC"/>
            <w:hideMark/>
          </w:tcPr>
          <w:p w14:paraId="7A0456E4"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c>
          <w:tcPr>
            <w:tcW w:w="1019" w:type="pct"/>
            <w:tcBorders>
              <w:top w:val="single" w:sz="4" w:space="0" w:color="auto"/>
              <w:left w:val="nil"/>
              <w:bottom w:val="nil"/>
              <w:right w:val="nil"/>
            </w:tcBorders>
            <w:shd w:val="clear" w:color="auto" w:fill="F6C5AC"/>
            <w:hideMark/>
          </w:tcPr>
          <w:p w14:paraId="13866104"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c>
          <w:tcPr>
            <w:tcW w:w="1038" w:type="pct"/>
            <w:tcBorders>
              <w:top w:val="single" w:sz="4" w:space="0" w:color="auto"/>
              <w:left w:val="nil"/>
              <w:bottom w:val="nil"/>
              <w:right w:val="nil"/>
            </w:tcBorders>
            <w:shd w:val="clear" w:color="auto" w:fill="F6C5AC"/>
            <w:hideMark/>
          </w:tcPr>
          <w:p w14:paraId="2544976B"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r>
      <w:tr w:rsidR="000904E6" w:rsidRPr="003609FB" w14:paraId="1995E6B7" w14:textId="77777777" w:rsidTr="00E323DE">
        <w:trPr>
          <w:trHeight w:val="517"/>
        </w:trPr>
        <w:tc>
          <w:tcPr>
            <w:tcW w:w="537" w:type="pct"/>
            <w:tcBorders>
              <w:top w:val="nil"/>
              <w:left w:val="nil"/>
              <w:bottom w:val="nil"/>
              <w:right w:val="nil"/>
            </w:tcBorders>
            <w:shd w:val="clear" w:color="auto" w:fill="auto"/>
            <w:hideMark/>
          </w:tcPr>
          <w:p w14:paraId="4A8E030F" w14:textId="64583478" w:rsidR="0058723D" w:rsidRPr="003609FB" w:rsidRDefault="004A5982" w:rsidP="000904E6">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0" w:type="pct"/>
            <w:tcBorders>
              <w:top w:val="nil"/>
              <w:left w:val="nil"/>
              <w:bottom w:val="nil"/>
              <w:right w:val="nil"/>
            </w:tcBorders>
            <w:shd w:val="clear" w:color="auto" w:fill="92D050"/>
            <w:hideMark/>
          </w:tcPr>
          <w:p w14:paraId="451841BF"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969" w:type="pct"/>
            <w:tcBorders>
              <w:top w:val="nil"/>
              <w:left w:val="nil"/>
              <w:bottom w:val="nil"/>
              <w:right w:val="nil"/>
            </w:tcBorders>
            <w:shd w:val="clear" w:color="auto" w:fill="92D050"/>
            <w:hideMark/>
          </w:tcPr>
          <w:p w14:paraId="4E9F1A6C"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117" w:type="pct"/>
            <w:tcBorders>
              <w:top w:val="nil"/>
              <w:left w:val="nil"/>
              <w:bottom w:val="nil"/>
              <w:right w:val="nil"/>
            </w:tcBorders>
            <w:shd w:val="clear" w:color="auto" w:fill="92D050"/>
            <w:hideMark/>
          </w:tcPr>
          <w:p w14:paraId="48C57980"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019" w:type="pct"/>
            <w:tcBorders>
              <w:top w:val="nil"/>
              <w:left w:val="nil"/>
              <w:bottom w:val="nil"/>
              <w:right w:val="nil"/>
            </w:tcBorders>
            <w:shd w:val="clear" w:color="auto" w:fill="F6C5AC"/>
            <w:hideMark/>
          </w:tcPr>
          <w:p w14:paraId="5AD2FC4A"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c>
          <w:tcPr>
            <w:tcW w:w="1038" w:type="pct"/>
            <w:tcBorders>
              <w:top w:val="nil"/>
              <w:left w:val="nil"/>
              <w:bottom w:val="nil"/>
              <w:right w:val="nil"/>
            </w:tcBorders>
            <w:shd w:val="clear" w:color="auto" w:fill="F6C5AC"/>
            <w:hideMark/>
          </w:tcPr>
          <w:p w14:paraId="6B258616"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r>
      <w:tr w:rsidR="000904E6" w:rsidRPr="003609FB" w14:paraId="159C41CF" w14:textId="77777777" w:rsidTr="00E323DE">
        <w:trPr>
          <w:trHeight w:val="517"/>
        </w:trPr>
        <w:tc>
          <w:tcPr>
            <w:tcW w:w="537" w:type="pct"/>
            <w:tcBorders>
              <w:top w:val="nil"/>
              <w:left w:val="nil"/>
              <w:bottom w:val="nil"/>
              <w:right w:val="nil"/>
            </w:tcBorders>
            <w:shd w:val="clear" w:color="auto" w:fill="auto"/>
            <w:hideMark/>
          </w:tcPr>
          <w:p w14:paraId="26C0C38A" w14:textId="41A12ECD" w:rsidR="0058723D" w:rsidRPr="003609FB" w:rsidRDefault="004A5982" w:rsidP="000904E6">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20" w:type="pct"/>
            <w:tcBorders>
              <w:top w:val="nil"/>
              <w:left w:val="nil"/>
              <w:bottom w:val="nil"/>
              <w:right w:val="nil"/>
            </w:tcBorders>
            <w:shd w:val="clear" w:color="auto" w:fill="92D050"/>
            <w:hideMark/>
          </w:tcPr>
          <w:p w14:paraId="4C1A3C6E"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969" w:type="pct"/>
            <w:tcBorders>
              <w:top w:val="nil"/>
              <w:left w:val="nil"/>
              <w:bottom w:val="nil"/>
              <w:right w:val="nil"/>
            </w:tcBorders>
            <w:shd w:val="clear" w:color="auto" w:fill="92D050"/>
            <w:hideMark/>
          </w:tcPr>
          <w:p w14:paraId="258D23C0"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117" w:type="pct"/>
            <w:tcBorders>
              <w:top w:val="nil"/>
              <w:left w:val="nil"/>
              <w:bottom w:val="nil"/>
              <w:right w:val="nil"/>
            </w:tcBorders>
            <w:shd w:val="clear" w:color="auto" w:fill="92D050"/>
            <w:hideMark/>
          </w:tcPr>
          <w:p w14:paraId="32A143C8"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019" w:type="pct"/>
            <w:tcBorders>
              <w:top w:val="nil"/>
              <w:left w:val="nil"/>
              <w:bottom w:val="nil"/>
              <w:right w:val="nil"/>
            </w:tcBorders>
            <w:shd w:val="clear" w:color="auto" w:fill="92D050"/>
            <w:hideMark/>
          </w:tcPr>
          <w:p w14:paraId="6FB230FC"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038" w:type="pct"/>
            <w:tcBorders>
              <w:top w:val="nil"/>
              <w:left w:val="nil"/>
              <w:bottom w:val="nil"/>
              <w:right w:val="nil"/>
            </w:tcBorders>
            <w:shd w:val="clear" w:color="auto" w:fill="F6C5AC"/>
            <w:hideMark/>
          </w:tcPr>
          <w:p w14:paraId="220E31E1"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no</w:t>
            </w:r>
          </w:p>
        </w:tc>
      </w:tr>
      <w:tr w:rsidR="000904E6" w:rsidRPr="003609FB" w14:paraId="47703926" w14:textId="77777777" w:rsidTr="00E323DE">
        <w:trPr>
          <w:trHeight w:val="198"/>
        </w:trPr>
        <w:tc>
          <w:tcPr>
            <w:tcW w:w="537" w:type="pct"/>
            <w:tcBorders>
              <w:top w:val="nil"/>
              <w:left w:val="nil"/>
              <w:bottom w:val="single" w:sz="4" w:space="0" w:color="auto"/>
              <w:right w:val="nil"/>
            </w:tcBorders>
            <w:shd w:val="clear" w:color="auto" w:fill="auto"/>
            <w:hideMark/>
          </w:tcPr>
          <w:p w14:paraId="2695571A" w14:textId="48168E03" w:rsidR="0058723D" w:rsidRPr="003609FB" w:rsidRDefault="004A5982" w:rsidP="000904E6">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0" w:type="pct"/>
            <w:tcBorders>
              <w:top w:val="nil"/>
              <w:left w:val="nil"/>
              <w:bottom w:val="single" w:sz="4" w:space="0" w:color="auto"/>
              <w:right w:val="nil"/>
            </w:tcBorders>
            <w:shd w:val="clear" w:color="auto" w:fill="92D050"/>
            <w:hideMark/>
          </w:tcPr>
          <w:p w14:paraId="4A3B3D10"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969" w:type="pct"/>
            <w:tcBorders>
              <w:top w:val="nil"/>
              <w:left w:val="nil"/>
              <w:bottom w:val="single" w:sz="4" w:space="0" w:color="auto"/>
              <w:right w:val="nil"/>
            </w:tcBorders>
            <w:shd w:val="clear" w:color="auto" w:fill="92D050"/>
            <w:hideMark/>
          </w:tcPr>
          <w:p w14:paraId="5DA266A1"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117" w:type="pct"/>
            <w:tcBorders>
              <w:top w:val="nil"/>
              <w:left w:val="nil"/>
              <w:bottom w:val="single" w:sz="4" w:space="0" w:color="auto"/>
              <w:right w:val="nil"/>
            </w:tcBorders>
            <w:shd w:val="clear" w:color="auto" w:fill="92D050"/>
            <w:hideMark/>
          </w:tcPr>
          <w:p w14:paraId="3A4803D5"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019" w:type="pct"/>
            <w:tcBorders>
              <w:top w:val="nil"/>
              <w:left w:val="nil"/>
              <w:bottom w:val="single" w:sz="4" w:space="0" w:color="auto"/>
              <w:right w:val="nil"/>
            </w:tcBorders>
            <w:shd w:val="clear" w:color="auto" w:fill="92D050"/>
            <w:hideMark/>
          </w:tcPr>
          <w:p w14:paraId="77C7D7F2" w14:textId="77777777" w:rsidR="0058723D" w:rsidRPr="003609FB" w:rsidRDefault="0058723D" w:rsidP="000904E6">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c>
          <w:tcPr>
            <w:tcW w:w="1038" w:type="pct"/>
            <w:tcBorders>
              <w:top w:val="nil"/>
              <w:left w:val="nil"/>
              <w:bottom w:val="single" w:sz="4" w:space="0" w:color="auto"/>
              <w:right w:val="nil"/>
            </w:tcBorders>
            <w:shd w:val="clear" w:color="auto" w:fill="92D050"/>
            <w:hideMark/>
          </w:tcPr>
          <w:p w14:paraId="48B44963" w14:textId="77777777" w:rsidR="0058723D" w:rsidRPr="003609FB" w:rsidRDefault="0058723D" w:rsidP="000904E6">
            <w:pPr>
              <w:keepNext/>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yes</w:t>
            </w:r>
          </w:p>
        </w:tc>
      </w:tr>
    </w:tbl>
    <w:p w14:paraId="2B901647" w14:textId="77777777" w:rsidR="0058723D" w:rsidRDefault="0058723D" w:rsidP="00AB2160">
      <w:pPr>
        <w:spacing w:line="360" w:lineRule="auto"/>
        <w:rPr>
          <w:rFonts w:ascii="Times New Roman" w:hAnsi="Times New Roman" w:cs="Times New Roman"/>
          <w:sz w:val="24"/>
          <w:szCs w:val="24"/>
        </w:rPr>
      </w:pPr>
    </w:p>
    <w:p w14:paraId="51B35F62" w14:textId="454EC30A" w:rsidR="0058723D" w:rsidRDefault="0058723D" w:rsidP="00AB2160">
      <w:pPr>
        <w:spacing w:line="360" w:lineRule="auto"/>
        <w:rPr>
          <w:rFonts w:ascii="Times New Roman" w:hAnsi="Times New Roman" w:cs="Times New Roman"/>
          <w:sz w:val="24"/>
          <w:szCs w:val="24"/>
        </w:rPr>
      </w:pPr>
    </w:p>
    <w:p w14:paraId="799D3DE1" w14:textId="205BEC7B" w:rsidR="0058723D" w:rsidRDefault="0058723D" w:rsidP="00AB2160">
      <w:pPr>
        <w:spacing w:line="360" w:lineRule="auto"/>
        <w:rPr>
          <w:rFonts w:ascii="Times New Roman" w:hAnsi="Times New Roman" w:cs="Times New Roman"/>
          <w:sz w:val="24"/>
          <w:szCs w:val="24"/>
        </w:rPr>
      </w:pPr>
    </w:p>
    <w:p w14:paraId="018BFB63" w14:textId="7237AA20" w:rsidR="0058723D" w:rsidRDefault="0058723D" w:rsidP="00AB2160">
      <w:pPr>
        <w:spacing w:line="360" w:lineRule="auto"/>
        <w:rPr>
          <w:rFonts w:ascii="Times New Roman" w:hAnsi="Times New Roman" w:cs="Times New Roman"/>
          <w:sz w:val="24"/>
          <w:szCs w:val="24"/>
        </w:rPr>
      </w:pPr>
    </w:p>
    <w:p w14:paraId="5C86916C" w14:textId="3185D518" w:rsidR="0058723D" w:rsidRDefault="0058723D" w:rsidP="00AB2160">
      <w:pPr>
        <w:spacing w:line="360" w:lineRule="auto"/>
        <w:rPr>
          <w:rFonts w:ascii="Times New Roman" w:hAnsi="Times New Roman" w:cs="Times New Roman"/>
          <w:sz w:val="24"/>
          <w:szCs w:val="24"/>
        </w:rPr>
      </w:pPr>
    </w:p>
    <w:p w14:paraId="764CD308" w14:textId="7C48C786" w:rsidR="0058723D" w:rsidRDefault="0058723D" w:rsidP="00AB2160">
      <w:pPr>
        <w:spacing w:line="360" w:lineRule="auto"/>
        <w:rPr>
          <w:rFonts w:ascii="Times New Roman" w:hAnsi="Times New Roman" w:cs="Times New Roman"/>
          <w:sz w:val="24"/>
          <w:szCs w:val="24"/>
        </w:rPr>
      </w:pPr>
    </w:p>
    <w:p w14:paraId="0F1B55FF" w14:textId="26BEC3EC" w:rsidR="0058723D" w:rsidRDefault="0058723D" w:rsidP="00AB2160">
      <w:pPr>
        <w:spacing w:line="360" w:lineRule="auto"/>
        <w:rPr>
          <w:rFonts w:ascii="Times New Roman" w:hAnsi="Times New Roman" w:cs="Times New Roman"/>
          <w:sz w:val="24"/>
          <w:szCs w:val="24"/>
        </w:rPr>
      </w:pPr>
    </w:p>
    <w:p w14:paraId="7F6EF59E" w14:textId="5ED1BA23" w:rsidR="0058723D" w:rsidRDefault="0058723D" w:rsidP="00AB2160">
      <w:pPr>
        <w:spacing w:line="360" w:lineRule="auto"/>
        <w:rPr>
          <w:rFonts w:ascii="Times New Roman" w:hAnsi="Times New Roman" w:cs="Times New Roman"/>
          <w:sz w:val="24"/>
          <w:szCs w:val="24"/>
        </w:rPr>
      </w:pPr>
    </w:p>
    <w:p w14:paraId="2EDEC7C7" w14:textId="33A2E8D2" w:rsidR="0058723D" w:rsidRDefault="0058723D" w:rsidP="00AB2160">
      <w:pPr>
        <w:spacing w:line="360" w:lineRule="auto"/>
        <w:rPr>
          <w:rFonts w:ascii="Times New Roman" w:hAnsi="Times New Roman" w:cs="Times New Roman"/>
          <w:sz w:val="24"/>
          <w:szCs w:val="24"/>
        </w:rPr>
      </w:pPr>
    </w:p>
    <w:p w14:paraId="0BCA9DBA" w14:textId="7711AF73" w:rsidR="0058723D" w:rsidRDefault="0058723D" w:rsidP="00AB2160">
      <w:pPr>
        <w:spacing w:line="360" w:lineRule="auto"/>
        <w:rPr>
          <w:rFonts w:ascii="Times New Roman" w:hAnsi="Times New Roman" w:cs="Times New Roman"/>
          <w:sz w:val="24"/>
          <w:szCs w:val="24"/>
        </w:rPr>
      </w:pPr>
    </w:p>
    <w:p w14:paraId="7C84C888" w14:textId="0D0E100E" w:rsidR="0058723D" w:rsidRDefault="0058723D" w:rsidP="00AB2160">
      <w:pPr>
        <w:spacing w:line="360" w:lineRule="auto"/>
        <w:rPr>
          <w:rFonts w:ascii="Times New Roman" w:hAnsi="Times New Roman" w:cs="Times New Roman"/>
          <w:sz w:val="24"/>
          <w:szCs w:val="24"/>
        </w:rPr>
      </w:pPr>
    </w:p>
    <w:p w14:paraId="6F8AAC4B" w14:textId="3600B6D4" w:rsidR="0058723D" w:rsidRDefault="0058723D" w:rsidP="00AB2160">
      <w:pPr>
        <w:spacing w:line="360" w:lineRule="auto"/>
        <w:rPr>
          <w:rFonts w:ascii="Times New Roman" w:hAnsi="Times New Roman" w:cs="Times New Roman"/>
          <w:sz w:val="24"/>
          <w:szCs w:val="24"/>
        </w:rPr>
      </w:pPr>
    </w:p>
    <w:p w14:paraId="341BC608" w14:textId="77777777" w:rsidR="00072008" w:rsidRDefault="00072008" w:rsidP="00AB2160">
      <w:pPr>
        <w:spacing w:line="360" w:lineRule="auto"/>
        <w:rPr>
          <w:rFonts w:ascii="Times New Roman" w:hAnsi="Times New Roman" w:cs="Times New Roman"/>
          <w:sz w:val="24"/>
          <w:szCs w:val="24"/>
        </w:rPr>
      </w:pPr>
    </w:p>
    <w:p w14:paraId="7DE6509F" w14:textId="07AFE1B8" w:rsidR="0049772E" w:rsidRDefault="0049772E" w:rsidP="0049772E">
      <w:pPr>
        <w:pStyle w:val="Caption"/>
      </w:pPr>
      <w:r w:rsidRPr="003609FB">
        <w:lastRenderedPageBreak/>
        <w:t>allowed for cells damaged by H</w:t>
      </w:r>
      <w:r w:rsidRPr="00351FC4">
        <w:rPr>
          <w:vertAlign w:val="subscript"/>
        </w:rPr>
        <w:t>2</w:t>
      </w:r>
      <w:r w:rsidRPr="003609FB">
        <w:t>O</w:t>
      </w:r>
      <w:r w:rsidRPr="00351FC4">
        <w:rPr>
          <w:vertAlign w:val="subscript"/>
        </w:rPr>
        <w:t>2</w:t>
      </w:r>
      <w:r w:rsidRPr="00EE62AF">
        <w:rPr>
          <w:i/>
          <w:iCs/>
        </w:rPr>
        <w:t xml:space="preserve">, </w:t>
      </w:r>
      <w:r w:rsidRPr="001823BB">
        <w:t>Again,</w:t>
      </w:r>
      <w:r>
        <w:rPr>
          <w:i/>
          <w:iCs/>
        </w:rPr>
        <w:t xml:space="preserve"> </w:t>
      </w:r>
      <w:proofErr w:type="spellStart"/>
      <w:r w:rsidRPr="00691B65">
        <w:rPr>
          <w:i/>
          <w:iCs/>
        </w:rPr>
        <w:t>Synechococcus</w:t>
      </w:r>
      <w:proofErr w:type="spellEnd"/>
      <w:r w:rsidRPr="003609FB">
        <w:t xml:space="preserve"> and other (heterotrophic) bacterial tracers are agnostic to H</w:t>
      </w:r>
      <w:r w:rsidRPr="00351FC4">
        <w:rPr>
          <w:vertAlign w:val="subscript"/>
        </w:rPr>
        <w:t>2</w:t>
      </w:r>
      <w:r w:rsidRPr="003609FB">
        <w:t>O</w:t>
      </w:r>
      <w:r w:rsidRPr="00351FC4">
        <w:rPr>
          <w:vertAlign w:val="subscript"/>
        </w:rPr>
        <w:t>2</w:t>
      </w:r>
      <w:r w:rsidRPr="003609FB">
        <w:t>. When projecting these results below, we see that the damage from H</w:t>
      </w:r>
      <w:r w:rsidRPr="00351FC4">
        <w:rPr>
          <w:vertAlign w:val="subscript"/>
        </w:rPr>
        <w:t>2</w:t>
      </w:r>
      <w:r w:rsidRPr="003609FB">
        <w:t>O</w:t>
      </w:r>
      <w:r w:rsidRPr="00351FC4">
        <w:rPr>
          <w:vertAlign w:val="subscript"/>
        </w:rPr>
        <w:t>2</w:t>
      </w:r>
      <w:r w:rsidRPr="003609FB">
        <w:t xml:space="preserve"> decimates </w:t>
      </w:r>
      <w:r w:rsidRPr="00691B65">
        <w:rPr>
          <w:i/>
          <w:iCs/>
        </w:rPr>
        <w:t>Prochlorococcus</w:t>
      </w:r>
      <w:r w:rsidRPr="003609FB">
        <w:t xml:space="preserve"> across the globe allowing for </w:t>
      </w:r>
      <w:proofErr w:type="spellStart"/>
      <w:r w:rsidRPr="00691B65">
        <w:rPr>
          <w:i/>
          <w:iCs/>
        </w:rPr>
        <w:t>Synechococcus</w:t>
      </w:r>
      <w:proofErr w:type="spellEnd"/>
      <w:r w:rsidRPr="003609FB">
        <w:t xml:space="preserve"> to achieve what many humans </w:t>
      </w:r>
      <w:r>
        <w:t>strive</w:t>
      </w:r>
      <w:r w:rsidRPr="003609FB">
        <w:t xml:space="preserve"> </w:t>
      </w:r>
      <w:proofErr w:type="gramStart"/>
      <w:r w:rsidRPr="003609FB">
        <w:t>for;</w:t>
      </w:r>
      <w:proofErr w:type="gramEnd"/>
      <w:r w:rsidRPr="003609FB">
        <w:t xml:space="preserve"> world domination.</w:t>
      </w:r>
      <w:r>
        <w:t xml:space="preserve"> However non-leaky detoxification is not possible practically for microbes in the ocean as </w:t>
      </w:r>
      <w:r w:rsidRPr="003609FB">
        <w:t>H</w:t>
      </w:r>
      <w:r w:rsidRPr="00351FC4">
        <w:rPr>
          <w:vertAlign w:val="subscript"/>
        </w:rPr>
        <w:t>2</w:t>
      </w:r>
      <w:r w:rsidRPr="003609FB">
        <w:t>O</w:t>
      </w:r>
      <w:r w:rsidRPr="00351FC4">
        <w:rPr>
          <w:vertAlign w:val="subscript"/>
        </w:rPr>
        <w:t>2</w:t>
      </w:r>
      <w:r>
        <w:t xml:space="preserve"> crosses cell membranes and is produced in the sunlit surface ocean.</w:t>
      </w:r>
    </w:p>
    <w:p w14:paraId="646D4A12" w14:textId="41448D1C" w:rsidR="00FC6C7F" w:rsidRDefault="00FC6C7F" w:rsidP="00FC6C7F">
      <w:pPr>
        <w:pStyle w:val="Heading3"/>
        <w:spacing w:line="360" w:lineRule="auto"/>
      </w:pPr>
      <w:bookmarkStart w:id="77" w:name="_Toc173250052"/>
      <w:r w:rsidRPr="003609FB">
        <w:t xml:space="preserve">Case </w:t>
      </w:r>
      <w:r w:rsidR="00C04688">
        <w:t>3</w:t>
      </w:r>
      <w:r w:rsidRPr="003609FB">
        <w:t xml:space="preserve"> - Leaky world, </w:t>
      </w:r>
      <w:proofErr w:type="spellStart"/>
      <w:r w:rsidRPr="00691B65">
        <w:rPr>
          <w:i/>
          <w:iCs/>
        </w:rPr>
        <w:t>Synechococcus</w:t>
      </w:r>
      <w:proofErr w:type="spellEnd"/>
      <w:r w:rsidRPr="003609FB">
        <w:t xml:space="preserve"> detoxification implemented</w:t>
      </w:r>
      <w:bookmarkEnd w:id="77"/>
    </w:p>
    <w:p w14:paraId="01670978" w14:textId="35007D95" w:rsidR="00FC6C7F" w:rsidRDefault="00FC6C7F" w:rsidP="002064B4">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We next transition to a leaky world, as we know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can cross biological and artificial </w:t>
      </w:r>
      <w:r w:rsidR="007D55BB">
        <w:rPr>
          <w:rFonts w:ascii="Times New Roman" w:hAnsi="Times New Roman" w:cs="Times New Roman"/>
          <w:sz w:val="24"/>
          <w:szCs w:val="24"/>
        </w:rPr>
        <w:t xml:space="preserve">phospholipid </w:t>
      </w:r>
      <w:r w:rsidRPr="003609FB">
        <w:rPr>
          <w:rFonts w:ascii="Times New Roman" w:hAnsi="Times New Roman" w:cs="Times New Roman"/>
          <w:sz w:val="24"/>
          <w:szCs w:val="24"/>
        </w:rPr>
        <w:t xml:space="preserve">membranes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{"citationID":"1cx3SePn","properties":{"formattedCitation":"(Antunes and Cadenas 2000; M\\uc0\\u246{}ller et al. 2019; Tjell and Almdal 2018)","plainCitation":"(Antunes and Cadenas 2000; Möller et al. 2019; Tjell and Almdal 2018)","noteIndex":0},"citationItems":[{"id":6671,"uris":["http://zotero.org/users/6128296/items/RLT6GBNC"],"itemData":{"id":6671,"type":"article-journal","abstract":"When cells are exposed to an external source of H2O2, the rapid enzymatic consumption of H2O2 inside the cell provides the driving force for the formation of the gradient across the plasma and other subcellular membranes. By using the concepts of enzyme latency, the following gradients ^ formed after a few seconds following the exposure to H2O2 ^ were estimated in Jurkat T-cells : [H2O2]cytosol/[H2O2]peroxisomes = 3 ; [H2O2]extracellular/[H2O2]cytosol = 7. The procedure presented in this work can easily be applied to other cell lines and provides a quantitative framework to interpret the data obtained when cells are exposed to an external source of H2O2. ß 2000 Federation of European Biochemical Societies. Published by Elsevier Science B.V. All rights reserved.","container-title":"FEBS Letters","DOI":"10.1016/S0014-5793(00)01638-0","ISSN":"0014-5793, 1873-3468","issue":"2","journalAbbreviation":"FEBS Letters","language":"en","license":"http://onlinelibrary.wiley.com/termsAndConditions#vor","page":"121-126","source":"DOI.org (Crossref)","title":"Estimation of H &lt;sub&gt;2&lt;/sub&gt; O &lt;sub&gt;2&lt;/sub&gt; gradients across biomembranes","volume":"475","author":[{"family":"Antunes","given":""},{"family":"Cadenas","given":"Enrique"}],"issued":{"date-parts":[["2000",6,16]]}}},{"id":4102,"uris":["http://zotero.org/users/6128296/items/IFIZUZAN"],"itemData":{"id":4102,"type":"chapter","container-title":"Bioactive Lipids in Health and Disease","event-place":"Cham","ISBN":"978-3-030-11487-9","language":"en","note":"collection-title: Advances in Experimental Medicine and Biology\nDOI: 10.1007/978-3-030-11488-6_1","page":"3-19","publisher":"Springer International Publishing","publisher-place":"Cham","source":"DOI.org (Crossref)","title":"Diffusion and Transport of Reactive Species Across Cell Membranes","URL":"http://link.springer.com/10.1007/978-3-030-11488-6_1","volume":"1127","editor":[{"family":"Trostchansky","given":""},{"family":"Rubbo","given":"Homero"}],"author":[{"family":"Möller","given":"Matias N."},{"family":"Cuevasanta","given":"Ernesto"},{"family":"Orrico","given":"Florencia"},{"family":"Lopez","given":"Ana C."},{"family":"Thomson","given":"Leonor"},{"family":"Denicola","given":"Ana"}],"accessed":{"date-parts":[["2024",2,2]]},"issued":{"date-parts":[["2019"]]}}},{"id":4125,"uris":["http://zotero.org/users/6128296/items/UYREI4CZ"],"itemData":{"id":4125,"type":"article-journal","abstract":"In our efforts to design an optical sensor for hydrogen peroxide, we have realized the importance of knowing/ controlling the diffusion of hydrogen peroxide to the indicator, especially in the case of an irreversible indicator. Since we found little literature data, we decided to test the permeability of hydrogen peroxide in commercially available polymers, focusing on the polyurethanes HydroMed™ and HydroThane™, which are commonly used for immobilization matrices in optical sensors. Measured values are between 5.12 10−9 ± 8.50 10−10 and 2.25 10−6 ± 1.00 10−7 cm2 s−1.","container-title":"Sensing and Bio-Sensing Research","DOI":"10.1016/j.sbsr.2018.10.001","ISSN":"22141804","journalAbbreviation":"Sensing and Bio-Sensing Research","language":"en","page":"35-39","source":"DOI.org (Crossref)","title":"Diffusion rate of hydrogen peroxide through water-swelled polyurethane membranes","volume":"21","author":[{"family":"Tjell","given":""},{"family":"Almdal","given":"Kristoffer"}],"issued":{"date-parts":[["2018",11]]}}}],"schema":"https://github.com/citation-style-language/schema/raw/master/csl-citation.json"} </w:instrText>
      </w:r>
      <w:r w:rsidRPr="003609FB">
        <w:rPr>
          <w:rFonts w:ascii="Times New Roman" w:hAnsi="Times New Roman" w:cs="Times New Roman"/>
          <w:sz w:val="24"/>
          <w:szCs w:val="24"/>
        </w:rPr>
        <w:fldChar w:fldCharType="separate"/>
      </w:r>
      <w:r w:rsidRPr="00920699">
        <w:rPr>
          <w:rFonts w:ascii="Times New Roman" w:hAnsi="Times New Roman" w:cs="Times New Roman"/>
          <w:sz w:val="24"/>
        </w:rPr>
        <w:t xml:space="preserve">(Antunes and Cadenas 2000; Möller </w:t>
      </w:r>
      <w:r w:rsidR="00183222" w:rsidRPr="00183222">
        <w:rPr>
          <w:rFonts w:ascii="Times New Roman" w:hAnsi="Times New Roman" w:cs="Times New Roman"/>
          <w:i/>
          <w:iCs/>
          <w:sz w:val="24"/>
          <w:szCs w:val="24"/>
        </w:rPr>
        <w:t>et al</w:t>
      </w:r>
      <w:r w:rsidRPr="00920699">
        <w:rPr>
          <w:rFonts w:ascii="Times New Roman" w:hAnsi="Times New Roman" w:cs="Times New Roman"/>
          <w:sz w:val="24"/>
        </w:rPr>
        <w:t>. 2019; Tjell and Almdal 2018)</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Implementing detoxification found in Chapter 2 for the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 we view a global model of a two-microbe system in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below in Figure 4.5. With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alone conducting detoxification,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biogeography is expanded back to a range </w:t>
      </w:r>
      <w:r w:rsidR="007D55BB">
        <w:rPr>
          <w:rFonts w:ascii="Times New Roman" w:hAnsi="Times New Roman" w:cs="Times New Roman"/>
          <w:sz w:val="24"/>
          <w:szCs w:val="24"/>
        </w:rPr>
        <w:t>reminiscent of</w:t>
      </w:r>
      <w:r w:rsidRPr="003609FB">
        <w:rPr>
          <w:rFonts w:ascii="Times New Roman" w:hAnsi="Times New Roman" w:cs="Times New Roman"/>
          <w:sz w:val="24"/>
          <w:szCs w:val="24"/>
        </w:rPr>
        <w:t xml:space="preserve">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studies. Not only does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survive in marine environments unavailable to it in Figure 4.4.</w:t>
      </w:r>
      <w:r w:rsidR="002064B4">
        <w:rPr>
          <w:rFonts w:ascii="Times New Roman" w:hAnsi="Times New Roman" w:cs="Times New Roman"/>
          <w:sz w:val="24"/>
          <w:szCs w:val="24"/>
        </w:rPr>
        <w:t xml:space="preserve">, </w:t>
      </w:r>
      <w:proofErr w:type="gramStart"/>
      <w:r w:rsidR="002064B4">
        <w:rPr>
          <w:rFonts w:ascii="Times New Roman" w:hAnsi="Times New Roman" w:cs="Times New Roman"/>
          <w:sz w:val="24"/>
          <w:szCs w:val="24"/>
        </w:rPr>
        <w:t>it does</w:t>
      </w:r>
      <w:proofErr w:type="gramEnd"/>
      <w:r w:rsidR="00C04688">
        <w:rPr>
          <w:rFonts w:ascii="Times New Roman" w:hAnsi="Times New Roman" w:cs="Times New Roman"/>
          <w:sz w:val="24"/>
          <w:szCs w:val="24"/>
        </w:rPr>
        <w:t xml:space="preserve"> so</w:t>
      </w:r>
      <w:r w:rsidR="002064B4">
        <w:rPr>
          <w:rFonts w:ascii="Times New Roman" w:hAnsi="Times New Roman" w:cs="Times New Roman"/>
          <w:sz w:val="24"/>
          <w:szCs w:val="24"/>
        </w:rPr>
        <w:t xml:space="preserve"> with the</w:t>
      </w:r>
      <w:r w:rsidRPr="003609FB">
        <w:rPr>
          <w:rFonts w:ascii="Times New Roman" w:hAnsi="Times New Roman" w:cs="Times New Roman"/>
          <w:sz w:val="24"/>
          <w:szCs w:val="24"/>
        </w:rPr>
        <w:t xml:space="preserve"> implementation of monoculture </w:t>
      </w:r>
      <w:r w:rsidR="00C04688">
        <w:rPr>
          <w:rFonts w:ascii="Times New Roman" w:hAnsi="Times New Roman" w:cs="Times New Roman"/>
          <w:sz w:val="24"/>
          <w:szCs w:val="24"/>
        </w:rPr>
        <w:t>H</w:t>
      </w:r>
      <w:r w:rsidR="00C04688" w:rsidRPr="00C04688">
        <w:rPr>
          <w:rFonts w:ascii="Times New Roman" w:hAnsi="Times New Roman" w:cs="Times New Roman"/>
          <w:sz w:val="24"/>
          <w:szCs w:val="24"/>
          <w:vertAlign w:val="subscript"/>
        </w:rPr>
        <w:t>2</w:t>
      </w:r>
      <w:r w:rsidR="00C04688">
        <w:rPr>
          <w:rFonts w:ascii="Times New Roman" w:hAnsi="Times New Roman" w:cs="Times New Roman"/>
          <w:sz w:val="24"/>
          <w:szCs w:val="24"/>
        </w:rPr>
        <w:t>O</w:t>
      </w:r>
      <w:r w:rsidR="00C04688" w:rsidRPr="00C04688">
        <w:rPr>
          <w:rFonts w:ascii="Times New Roman" w:hAnsi="Times New Roman" w:cs="Times New Roman"/>
          <w:sz w:val="24"/>
          <w:szCs w:val="24"/>
          <w:vertAlign w:val="subscript"/>
        </w:rPr>
        <w:t xml:space="preserve">2 </w:t>
      </w:r>
      <w:r w:rsidR="00C04688">
        <w:rPr>
          <w:rFonts w:ascii="Times New Roman" w:hAnsi="Times New Roman" w:cs="Times New Roman"/>
          <w:sz w:val="24"/>
          <w:szCs w:val="24"/>
        </w:rPr>
        <w:t xml:space="preserve">damage and detoxification </w:t>
      </w:r>
      <w:r w:rsidR="00B93F7C">
        <w:rPr>
          <w:rFonts w:ascii="Times New Roman" w:hAnsi="Times New Roman" w:cs="Times New Roman"/>
          <w:sz w:val="24"/>
          <w:szCs w:val="24"/>
        </w:rPr>
        <w:t>(</w:t>
      </w:r>
      <m:oMath>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m:t>
        </m:r>
      </m:oMath>
      <w:r w:rsidRPr="003609FB">
        <w:rPr>
          <w:rFonts w:ascii="Times New Roman" w:hAnsi="Times New Roman" w:cs="Times New Roman"/>
          <w:sz w:val="24"/>
          <w:szCs w:val="24"/>
        </w:rPr>
        <w:t xml:space="preserve">parameters retrieved in Chapter 2. </w:t>
      </w:r>
      <w:r w:rsidR="002064B4">
        <w:rPr>
          <w:rFonts w:ascii="Times New Roman" w:hAnsi="Times New Roman" w:cs="Times New Roman"/>
          <w:sz w:val="24"/>
          <w:szCs w:val="24"/>
        </w:rPr>
        <w:t>Thus, monoculture</w:t>
      </w:r>
      <w:r w:rsidR="002064B4" w:rsidRPr="002064B4">
        <w:rPr>
          <w:rFonts w:ascii="Times New Roman" w:hAnsi="Times New Roman" w:cs="Times New Roman"/>
          <w:sz w:val="24"/>
          <w:szCs w:val="24"/>
        </w:rPr>
        <w:t xml:space="preserve"> </w:t>
      </w:r>
      <w:r w:rsidR="002064B4" w:rsidRPr="003609FB">
        <w:rPr>
          <w:rFonts w:ascii="Times New Roman" w:hAnsi="Times New Roman" w:cs="Times New Roman"/>
          <w:sz w:val="24"/>
          <w:szCs w:val="24"/>
        </w:rPr>
        <w:t>H</w:t>
      </w:r>
      <w:r w:rsidR="002064B4" w:rsidRPr="00351FC4">
        <w:rPr>
          <w:rFonts w:ascii="Times New Roman" w:hAnsi="Times New Roman" w:cs="Times New Roman"/>
          <w:sz w:val="24"/>
          <w:szCs w:val="24"/>
          <w:vertAlign w:val="subscript"/>
        </w:rPr>
        <w:t>2</w:t>
      </w:r>
      <w:r w:rsidR="002064B4" w:rsidRPr="003609FB">
        <w:rPr>
          <w:rFonts w:ascii="Times New Roman" w:hAnsi="Times New Roman" w:cs="Times New Roman"/>
          <w:sz w:val="24"/>
          <w:szCs w:val="24"/>
        </w:rPr>
        <w:t>O</w:t>
      </w:r>
      <w:r w:rsidR="002064B4" w:rsidRPr="00351FC4">
        <w:rPr>
          <w:rFonts w:ascii="Times New Roman" w:hAnsi="Times New Roman" w:cs="Times New Roman"/>
          <w:sz w:val="24"/>
          <w:szCs w:val="24"/>
          <w:vertAlign w:val="subscript"/>
        </w:rPr>
        <w:t>2</w:t>
      </w:r>
      <w:r w:rsidR="002064B4">
        <w:rPr>
          <w:rFonts w:ascii="Times New Roman" w:hAnsi="Times New Roman" w:cs="Times New Roman"/>
          <w:sz w:val="24"/>
          <w:szCs w:val="24"/>
        </w:rPr>
        <w:t xml:space="preserve"> interactions, parameterized in laboratory cultures, have the potential to impact global microbial populations. </w:t>
      </w:r>
      <w:r w:rsidRPr="003609FB">
        <w:rPr>
          <w:rFonts w:ascii="Times New Roman" w:hAnsi="Times New Roman" w:cs="Times New Roman"/>
          <w:sz w:val="24"/>
          <w:szCs w:val="24"/>
        </w:rPr>
        <w:t xml:space="preserve">Note that while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does grow in the lower latitudes, the encroachment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into the northern Atlantic regions does not match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data</w:t>
      </w:r>
      <w:r w:rsidR="002B2322">
        <w:rPr>
          <w:rFonts w:ascii="Times New Roman" w:hAnsi="Times New Roman" w:cs="Times New Roman"/>
          <w:sz w:val="24"/>
          <w:szCs w:val="24"/>
        </w:rPr>
        <w:t xml:space="preserve"> </w:t>
      </w:r>
      <w:r w:rsidR="002B2322">
        <w:rPr>
          <w:rFonts w:ascii="Times New Roman" w:hAnsi="Times New Roman" w:cs="Times New Roman"/>
          <w:sz w:val="24"/>
          <w:szCs w:val="24"/>
        </w:rPr>
        <w:fldChar w:fldCharType="begin"/>
      </w:r>
      <w:r w:rsidR="002B2322">
        <w:rPr>
          <w:rFonts w:ascii="Times New Roman" w:hAnsi="Times New Roman" w:cs="Times New Roman"/>
          <w:sz w:val="24"/>
          <w:szCs w:val="24"/>
        </w:rPr>
        <w:instrText xml:space="preserve"> ADDIN ZOTERO_ITEM CSL_CITATION {"citationID":"nvrLztlI","properties":{"formattedCitation":"(Buitenhuis et al. 2012; Partensky, Blanchot, and Vaulot 1999)","plainCitation":"(Buitenhuis et al. 2012; Partensky, Blanchot, and Vaulot 1999)","noteIndex":0},"citationItems":[{"id":196,"uris":["http://zotero.org/users/6128296/items/RT965KH5"],"itemData":{"id":196,"type":"article-journal","abstract":"The smallest marine phytoplankton, collectively termed picophytoplankton, have been routinely enumerated by flow cytometry since the late 1980s, during cruises throughout most of the world ocean. We compiled a database of 40 946 data points, with separate abundance entries for Prochlorococcus, Synechococcus and picoeukaryotes. We use 5 average conversion factors for each of the three groups to convert the abundance data to carbon biomass. After gridding with 1◦ spacing, the database covers 2.4 % of the ocean surface area, with the best data coverage in the North Atlantic, the South Pacific and North Indian basins. The average picophytoplankton biomass is 12 ± 22 μg C l−1 or 1.9 g C m−2. We estimate a total global picophytoplankton biomass of 0.53–0.74 Pg C 10 (17–39 % Prochlorococcus, 12–15 % Synechococcus and 49–69 % picoeukaryotes). Future efforts in this area of research should focus on reporting calibrated cell size, and collecting data in undersampled regions. Although data coverage, at 2.4 % of the ocean surface, is by no means complete, if we randomly select half of the depth profiles, in 10 random samples the average in25 tegrated biomass varied between 96 and 104 % of the value for the whole dataset, while the averages from the Southern and Northern Hemispheres are 119 % and 96 %, 22\nPicophytoplankton biomass distribution in the global ocean respectively. On the other hand, the average using the indirect in situ conversion factors is 72 % of the value estimated using the direct conversion factors. Thus, the main uncertainty in determining the global picophytoplankton biomass in this analysis is the conversion from cell abundance to carbon biomass.","container-title":"Earth System Science Data Discussions","DOI":"10.5194/essdd-5-221-2012","ISSN":"1866-3591","issue":"1","journalAbbreviation":"Earth Syst. Sci. Data Discuss.","language":"en","page":"221-242","source":"DOI.org (Crossref)","title":"Picophytoplankton biomass distribution in the global ocean","volume":"5","author":[{"family":"Buitenhuis","given":""},{"family":"Li","given":"W. K. W."},{"family":"Vaulot","given":"D."},{"family":"Lomas","given":"M. W."},{"family":"Landry","given":"M."},{"family":"Partensky","given":"F."},{"family":"Karl","given":"D. M."},{"family":"Ulloa","given":"O."},{"family":"Campbell","given":"L."},{"family":"Jacquet","given":"S."},{"family":"Lantoine","given":"F."},{"family":"Chavez","given":"F."},{"family":"Macias","given":"D."},{"family":"Gosselin","given":"M."},{"family":"McManus","given":"G. B."}],"issued":{"date-parts":[["2012",4,27]]}}},{"id":4251,"uris":["http://zotero.org/users/6128296/items/KSAT33BJ"],"itemData":{"id":4251,"type":"article-journal","container-title":"Bulletin-Institut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review.\"","author":[{"family":"Partensky","given":""},{"family":"Blanchot","given":"Jean"},{"family":"Vaulot","given":"D"}],"issued":{"date-parts":[["1999"]]}}}],"schema":"https://github.com/citation-style-language/schema/raw/master/csl-citation.json"} </w:instrText>
      </w:r>
      <w:r w:rsidR="002B2322">
        <w:rPr>
          <w:rFonts w:ascii="Times New Roman" w:hAnsi="Times New Roman" w:cs="Times New Roman"/>
          <w:sz w:val="24"/>
          <w:szCs w:val="24"/>
        </w:rPr>
        <w:fldChar w:fldCharType="separate"/>
      </w:r>
      <w:r w:rsidR="002B2322">
        <w:rPr>
          <w:rFonts w:ascii="Times New Roman" w:hAnsi="Times New Roman" w:cs="Times New Roman"/>
          <w:noProof/>
          <w:sz w:val="24"/>
          <w:szCs w:val="24"/>
        </w:rPr>
        <w:t xml:space="preserve">(Buitenhuis </w:t>
      </w:r>
      <w:r w:rsidR="00183222" w:rsidRPr="00183222">
        <w:rPr>
          <w:rFonts w:ascii="Times New Roman" w:hAnsi="Times New Roman" w:cs="Times New Roman"/>
          <w:i/>
          <w:iCs/>
          <w:sz w:val="24"/>
          <w:szCs w:val="24"/>
        </w:rPr>
        <w:t>et al</w:t>
      </w:r>
      <w:r w:rsidR="002B2322">
        <w:rPr>
          <w:rFonts w:ascii="Times New Roman" w:hAnsi="Times New Roman" w:cs="Times New Roman"/>
          <w:noProof/>
          <w:sz w:val="24"/>
          <w:szCs w:val="24"/>
        </w:rPr>
        <w:t>. 2012; Partensky, Blanchot, and Vaulot 1999)</w:t>
      </w:r>
      <w:r w:rsidR="002B2322">
        <w:rPr>
          <w:rFonts w:ascii="Times New Roman" w:hAnsi="Times New Roman" w:cs="Times New Roman"/>
          <w:sz w:val="24"/>
          <w:szCs w:val="24"/>
        </w:rPr>
        <w:fldChar w:fldCharType="end"/>
      </w:r>
      <w:r w:rsidRPr="003609FB">
        <w:rPr>
          <w:rFonts w:ascii="Times New Roman" w:hAnsi="Times New Roman" w:cs="Times New Roman"/>
          <w:sz w:val="24"/>
          <w:szCs w:val="24"/>
        </w:rPr>
        <w:t>.</w:t>
      </w:r>
    </w:p>
    <w:p w14:paraId="60C9DCAD" w14:textId="77777777" w:rsidR="00072008" w:rsidRPr="003609FB" w:rsidRDefault="00072008" w:rsidP="00072008">
      <w:pPr>
        <w:pStyle w:val="Heading3"/>
        <w:spacing w:line="360" w:lineRule="auto"/>
      </w:pPr>
      <w:bookmarkStart w:id="78" w:name="_Toc173250053"/>
      <w:r w:rsidRPr="003609FB">
        <w:t xml:space="preserve">Case 4 - Leaky world, </w:t>
      </w:r>
      <w:proofErr w:type="spellStart"/>
      <w:r w:rsidRPr="00691B65">
        <w:rPr>
          <w:i/>
          <w:iCs/>
        </w:rPr>
        <w:t>Synechococcus</w:t>
      </w:r>
      <w:proofErr w:type="spellEnd"/>
      <w:r w:rsidRPr="003609FB">
        <w:t xml:space="preserve"> and Bacterial detoxification</w:t>
      </w:r>
      <w:bookmarkEnd w:id="78"/>
      <w:r w:rsidRPr="003609FB">
        <w:t xml:space="preserve"> </w:t>
      </w:r>
    </w:p>
    <w:p w14:paraId="649ECF31" w14:textId="77777777" w:rsidR="00072008" w:rsidRDefault="00072008" w:rsidP="0007200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Lastly, bacterial detoxification along with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biotic detoxification was analyzed with respect to model outcomes. Figure 6 shows these results.  With bacterial detoxification implemented as a </w:t>
      </w:r>
      <m:oMath>
        <m:sSub>
          <m:sSubPr>
            <m:ctrlPr>
              <w:rPr>
                <w:rFonts w:ascii="Cambria Math" w:hAnsi="Cambria Math"/>
              </w:rPr>
            </m:ctrlPr>
          </m:sSubPr>
          <m:e>
            <m:r>
              <w:rPr>
                <w:rFonts w:ascii="Cambria Math" w:hAnsi="Cambria Math"/>
              </w:rPr>
              <m:t>ϕ</m:t>
            </m:r>
          </m:e>
          <m:sub>
            <m:r>
              <w:rPr>
                <w:rFonts w:ascii="Cambria Math" w:hAnsi="Cambria Math"/>
              </w:rPr>
              <m:t>max,B</m:t>
            </m:r>
          </m:sub>
        </m:sSub>
      </m:oMath>
      <w:r w:rsidRPr="003609FB">
        <w:rPr>
          <w:rFonts w:ascii="Times New Roman" w:hAnsi="Times New Roman" w:cs="Times New Roman"/>
          <w:sz w:val="24"/>
          <w:szCs w:val="24"/>
        </w:rPr>
        <w:t xml:space="preserve"> and B*, with B* here </w:t>
      </w:r>
      <w:r>
        <w:rPr>
          <w:rFonts w:ascii="Times New Roman" w:hAnsi="Times New Roman" w:cs="Times New Roman"/>
          <w:sz w:val="24"/>
          <w:szCs w:val="24"/>
        </w:rPr>
        <w:t xml:space="preserve">representing the </w:t>
      </w:r>
      <w:r w:rsidRPr="003609FB">
        <w:rPr>
          <w:rFonts w:ascii="Times New Roman" w:hAnsi="Times New Roman" w:cs="Times New Roman"/>
          <w:sz w:val="24"/>
          <w:szCs w:val="24"/>
        </w:rPr>
        <w:t xml:space="preserve">assumed </w:t>
      </w:r>
      <w:r>
        <w:rPr>
          <w:rFonts w:ascii="Times New Roman" w:hAnsi="Times New Roman" w:cs="Times New Roman"/>
          <w:sz w:val="24"/>
          <w:szCs w:val="24"/>
        </w:rPr>
        <w:t>equilibria (</w:t>
      </w:r>
      <w:r w:rsidRPr="003609FB">
        <w:rPr>
          <w:rFonts w:ascii="Times New Roman" w:hAnsi="Times New Roman" w:cs="Times New Roman"/>
          <w:sz w:val="24"/>
          <w:szCs w:val="24"/>
        </w:rPr>
        <w:t>stationary phase</w:t>
      </w:r>
      <w:r>
        <w:rPr>
          <w:rFonts w:ascii="Times New Roman" w:hAnsi="Times New Roman" w:cs="Times New Roman"/>
          <w:sz w:val="24"/>
          <w:szCs w:val="24"/>
        </w:rPr>
        <w:t xml:space="preserve"> concentration) of heterotrophic </w:t>
      </w:r>
      <w:r w:rsidRPr="003609FB">
        <w:rPr>
          <w:rFonts w:ascii="Times New Roman" w:hAnsi="Times New Roman" w:cs="Times New Roman"/>
          <w:sz w:val="24"/>
          <w:szCs w:val="24"/>
        </w:rPr>
        <w:t>bacterial population. This additional detoxification essentially reduced the standing stock of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that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then </w:t>
      </w:r>
      <w:proofErr w:type="gramStart"/>
      <w:r w:rsidRPr="003609FB">
        <w:rPr>
          <w:rFonts w:ascii="Times New Roman" w:hAnsi="Times New Roman" w:cs="Times New Roman"/>
          <w:sz w:val="24"/>
          <w:szCs w:val="24"/>
        </w:rPr>
        <w:t>has to</w:t>
      </w:r>
      <w:proofErr w:type="gramEnd"/>
      <w:r w:rsidRPr="003609FB">
        <w:rPr>
          <w:rFonts w:ascii="Times New Roman" w:hAnsi="Times New Roman" w:cs="Times New Roman"/>
          <w:sz w:val="24"/>
          <w:szCs w:val="24"/>
        </w:rPr>
        <w:t xml:space="preserve"> detoxify in order to compete to coexist with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Bacterial detoxification (without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is visualized in the Chapter 4 Supplementary Information of Appendix C. While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detoxification alone seems to save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in this model framework, the amount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recovered with bacteria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is greater than that of </w:t>
      </w:r>
      <w:proofErr w:type="spellStart"/>
      <w:r w:rsidRPr="00691B65">
        <w:rPr>
          <w:rFonts w:ascii="Times New Roman" w:hAnsi="Times New Roman" w:cs="Times New Roman"/>
          <w:i/>
          <w:iCs/>
          <w:sz w:val="24"/>
          <w:szCs w:val="24"/>
        </w:rPr>
        <w:lastRenderedPageBreak/>
        <w:t>Synechococcus</w:t>
      </w:r>
      <w:proofErr w:type="spellEnd"/>
      <w:r w:rsidRPr="003609FB">
        <w:rPr>
          <w:rFonts w:ascii="Times New Roman" w:hAnsi="Times New Roman" w:cs="Times New Roman"/>
          <w:sz w:val="24"/>
          <w:szCs w:val="24"/>
        </w:rPr>
        <w:t xml:space="preserve"> detoxification alone. With bacteria like </w:t>
      </w:r>
      <w:proofErr w:type="spellStart"/>
      <w:r w:rsidRPr="007D55BB">
        <w:rPr>
          <w:rFonts w:ascii="Times New Roman" w:hAnsi="Times New Roman" w:cs="Times New Roman"/>
          <w:i/>
          <w:iCs/>
          <w:sz w:val="24"/>
          <w:szCs w:val="24"/>
        </w:rPr>
        <w:t>Alteromonas</w:t>
      </w:r>
      <w:proofErr w:type="spellEnd"/>
      <w:r w:rsidRPr="007D55BB">
        <w:rPr>
          <w:rFonts w:ascii="Times New Roman" w:hAnsi="Times New Roman" w:cs="Times New Roman"/>
          <w:i/>
          <w:iCs/>
          <w:sz w:val="24"/>
          <w:szCs w:val="24"/>
        </w:rPr>
        <w:t xml:space="preserve"> </w:t>
      </w:r>
      <w:r w:rsidRPr="003609FB">
        <w:rPr>
          <w:rFonts w:ascii="Times New Roman" w:hAnsi="Times New Roman" w:cs="Times New Roman"/>
          <w:sz w:val="24"/>
          <w:szCs w:val="24"/>
        </w:rPr>
        <w:t xml:space="preserve">absent from biogeochemical models, </w:t>
      </w:r>
      <w:proofErr w:type="gramStart"/>
      <w:r w:rsidRPr="003609FB">
        <w:rPr>
          <w:rFonts w:ascii="Times New Roman" w:hAnsi="Times New Roman" w:cs="Times New Roman"/>
          <w:sz w:val="24"/>
          <w:szCs w:val="24"/>
        </w:rPr>
        <w:t>this basal</w:t>
      </w:r>
      <w:proofErr w:type="gramEnd"/>
      <w:r w:rsidRPr="003609FB">
        <w:rPr>
          <w:rFonts w:ascii="Times New Roman" w:hAnsi="Times New Roman" w:cs="Times New Roman"/>
          <w:sz w:val="24"/>
          <w:szCs w:val="24"/>
        </w:rPr>
        <w:t xml:space="preserve"> detoxification using monoculture parameters and assumed stationary bacteria are the limit of this study. </w:t>
      </w:r>
    </w:p>
    <w:p w14:paraId="1E9AB8F6" w14:textId="77777777" w:rsidR="00072008" w:rsidRDefault="00072008" w:rsidP="00072008">
      <w:pPr>
        <w:pStyle w:val="Heading2"/>
        <w:spacing w:line="360" w:lineRule="auto"/>
      </w:pPr>
      <w:bookmarkStart w:id="79" w:name="_Toc173250054"/>
      <w:r w:rsidRPr="005B5998">
        <w:t>Discussion:</w:t>
      </w:r>
      <w:bookmarkEnd w:id="79"/>
    </w:p>
    <w:p w14:paraId="39E80EB6" w14:textId="77777777" w:rsidR="0049772E" w:rsidRDefault="00072008" w:rsidP="0049772E">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Chapter 4 adds realism to this modeling story with the addition of </w:t>
      </w:r>
      <w:r>
        <w:rPr>
          <w:rFonts w:ascii="Times New Roman" w:hAnsi="Times New Roman" w:cs="Times New Roman"/>
          <w:sz w:val="24"/>
          <w:szCs w:val="24"/>
        </w:rPr>
        <w:t xml:space="preserve">physical </w:t>
      </w:r>
      <w:r w:rsidRPr="003609FB">
        <w:rPr>
          <w:rFonts w:ascii="Times New Roman" w:hAnsi="Times New Roman" w:cs="Times New Roman"/>
          <w:sz w:val="24"/>
          <w:szCs w:val="24"/>
        </w:rPr>
        <w:t>water movement</w:t>
      </w:r>
      <w:r>
        <w:rPr>
          <w:rFonts w:ascii="Times New Roman" w:hAnsi="Times New Roman" w:cs="Times New Roman"/>
          <w:sz w:val="24"/>
          <w:szCs w:val="24"/>
        </w:rPr>
        <w:t>s, seasonal variation,</w:t>
      </w:r>
      <w:r w:rsidRPr="003609FB">
        <w:rPr>
          <w:rFonts w:ascii="Times New Roman" w:hAnsi="Times New Roman" w:cs="Times New Roman"/>
          <w:sz w:val="24"/>
          <w:szCs w:val="24"/>
        </w:rPr>
        <w:t xml:space="preserve"> and </w:t>
      </w:r>
      <w:r>
        <w:rPr>
          <w:rFonts w:ascii="Times New Roman" w:hAnsi="Times New Roman" w:cs="Times New Roman"/>
          <w:sz w:val="24"/>
          <w:szCs w:val="24"/>
        </w:rPr>
        <w:t xml:space="preserve">global </w:t>
      </w:r>
      <w:r w:rsidRPr="003609FB">
        <w:rPr>
          <w:rFonts w:ascii="Times New Roman" w:hAnsi="Times New Roman" w:cs="Times New Roman"/>
          <w:sz w:val="24"/>
          <w:szCs w:val="24"/>
        </w:rPr>
        <w:t xml:space="preserve">spatial resolution. We use the Darwin framework that transports biological tracers, affected by light, nutrient, and temperature fields, by currents, </w:t>
      </w:r>
      <w:r w:rsidRPr="007D55BB">
        <w:rPr>
          <w:rFonts w:ascii="Times New Roman" w:hAnsi="Times New Roman" w:cs="Times New Roman"/>
          <w:b/>
          <w:bCs/>
          <w:sz w:val="24"/>
          <w:szCs w:val="24"/>
        </w:rPr>
        <w:t>u</w:t>
      </w:r>
      <w:r w:rsidRPr="003609FB">
        <w:rPr>
          <w:rFonts w:ascii="Times New Roman" w:hAnsi="Times New Roman" w:cs="Times New Roman"/>
          <w:sz w:val="24"/>
          <w:szCs w:val="24"/>
        </w:rPr>
        <w:t xml:space="preserve">, and mixing coefficients, </w:t>
      </w:r>
      <w:r w:rsidRPr="007D55BB">
        <w:rPr>
          <w:rFonts w:ascii="Times New Roman" w:hAnsi="Times New Roman" w:cs="Times New Roman"/>
          <w:b/>
          <w:bCs/>
          <w:sz w:val="24"/>
          <w:szCs w:val="24"/>
        </w:rPr>
        <w:t>κ</w:t>
      </w:r>
      <w:r w:rsidRPr="003609FB">
        <w:rPr>
          <w:rFonts w:ascii="Times New Roman" w:hAnsi="Times New Roman" w:cs="Times New Roman"/>
          <w:sz w:val="24"/>
          <w:szCs w:val="24"/>
        </w:rPr>
        <w:t xml:space="preserve">, using the MIT ocean circulation model. Cases 1 – 4 shown in Table 4 are investigated using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analogues made to differ in nutrient affinity using Darwin ‘s built in allometric scaling. </w:t>
      </w:r>
      <w:r>
        <w:rPr>
          <w:rFonts w:ascii="Times New Roman" w:hAnsi="Times New Roman" w:cs="Times New Roman"/>
          <w:sz w:val="24"/>
          <w:szCs w:val="24"/>
        </w:rPr>
        <w:t>Initial</w:t>
      </w:r>
      <w:r w:rsidRPr="003609FB">
        <w:rPr>
          <w:rFonts w:ascii="Times New Roman" w:hAnsi="Times New Roman" w:cs="Times New Roman"/>
          <w:sz w:val="24"/>
          <w:szCs w:val="24"/>
        </w:rPr>
        <w:t xml:space="preserve"> model runs, case 1, were used to ensure that under a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regime (Figure 4.3), a superior nutrient affinity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analogue) ensures competitive advantage in marine systems. </w:t>
      </w:r>
      <w:r w:rsidR="0049772E">
        <w:rPr>
          <w:rFonts w:ascii="Times New Roman" w:hAnsi="Times New Roman" w:cs="Times New Roman"/>
          <w:sz w:val="24"/>
          <w:szCs w:val="24"/>
        </w:rPr>
        <w:t xml:space="preserve">This </w:t>
      </w:r>
      <w:r w:rsidR="0049772E" w:rsidRPr="0015010E">
        <w:rPr>
          <w:rFonts w:asciiTheme="majorBidi" w:hAnsiTheme="majorBidi"/>
          <w:sz w:val="24"/>
          <w:szCs w:val="24"/>
        </w:rPr>
        <w:t>H</w:t>
      </w:r>
      <w:r w:rsidR="0049772E" w:rsidRPr="0015010E">
        <w:rPr>
          <w:rFonts w:asciiTheme="majorBidi" w:hAnsiTheme="majorBidi"/>
          <w:sz w:val="24"/>
          <w:szCs w:val="24"/>
          <w:vertAlign w:val="subscript"/>
        </w:rPr>
        <w:t>2</w:t>
      </w:r>
      <w:r w:rsidR="0049772E" w:rsidRPr="0015010E">
        <w:rPr>
          <w:rFonts w:asciiTheme="majorBidi" w:hAnsiTheme="majorBidi"/>
          <w:sz w:val="24"/>
          <w:szCs w:val="24"/>
        </w:rPr>
        <w:t>O</w:t>
      </w:r>
      <w:r w:rsidR="0049772E" w:rsidRPr="0015010E">
        <w:rPr>
          <w:rFonts w:asciiTheme="majorBidi" w:hAnsiTheme="majorBidi"/>
          <w:sz w:val="24"/>
          <w:szCs w:val="24"/>
          <w:vertAlign w:val="subscript"/>
        </w:rPr>
        <w:t>2</w:t>
      </w:r>
      <w:r w:rsidR="0049772E">
        <w:rPr>
          <w:rFonts w:asciiTheme="majorBidi" w:hAnsiTheme="majorBidi"/>
          <w:sz w:val="24"/>
          <w:szCs w:val="24"/>
          <w:vertAlign w:val="subscript"/>
        </w:rPr>
        <w:t xml:space="preserve"> </w:t>
      </w:r>
      <w:r w:rsidR="0049772E">
        <w:rPr>
          <w:rFonts w:asciiTheme="majorBidi" w:hAnsiTheme="majorBidi"/>
          <w:sz w:val="24"/>
          <w:szCs w:val="24"/>
        </w:rPr>
        <w:t xml:space="preserve">map is projected from case 1 of the methods mentioned above. </w:t>
      </w:r>
      <w:r w:rsidR="0049772E" w:rsidRPr="0015010E">
        <w:rPr>
          <w:rFonts w:asciiTheme="majorBidi" w:hAnsiTheme="majorBidi"/>
          <w:sz w:val="24"/>
          <w:szCs w:val="24"/>
        </w:rPr>
        <w:t>Brighter</w:t>
      </w:r>
      <w:r w:rsidR="0049772E" w:rsidRPr="003609FB">
        <w:rPr>
          <w:rFonts w:ascii="Times New Roman" w:hAnsi="Times New Roman" w:cs="Times New Roman"/>
          <w:sz w:val="24"/>
          <w:szCs w:val="24"/>
        </w:rPr>
        <w:t xml:space="preserve"> red colors represent higher H</w:t>
      </w:r>
      <w:r w:rsidR="0049772E" w:rsidRPr="00351FC4">
        <w:rPr>
          <w:rFonts w:ascii="Times New Roman" w:hAnsi="Times New Roman" w:cs="Times New Roman"/>
          <w:sz w:val="24"/>
          <w:szCs w:val="24"/>
          <w:vertAlign w:val="subscript"/>
        </w:rPr>
        <w:t>2</w:t>
      </w:r>
      <w:r w:rsidR="0049772E" w:rsidRPr="003609FB">
        <w:rPr>
          <w:rFonts w:ascii="Times New Roman" w:hAnsi="Times New Roman" w:cs="Times New Roman"/>
          <w:sz w:val="24"/>
          <w:szCs w:val="24"/>
        </w:rPr>
        <w:t>O</w:t>
      </w:r>
      <w:r w:rsidR="0049772E" w:rsidRPr="00351FC4">
        <w:rPr>
          <w:rFonts w:ascii="Times New Roman" w:hAnsi="Times New Roman" w:cs="Times New Roman"/>
          <w:sz w:val="24"/>
          <w:szCs w:val="24"/>
          <w:vertAlign w:val="subscript"/>
        </w:rPr>
        <w:t>2</w:t>
      </w:r>
      <w:r w:rsidR="0049772E">
        <w:rPr>
          <w:rFonts w:ascii="Times New Roman" w:hAnsi="Times New Roman" w:cs="Times New Roman"/>
          <w:sz w:val="24"/>
          <w:szCs w:val="24"/>
        </w:rPr>
        <w:t xml:space="preserve"> within ocean waters</w:t>
      </w:r>
      <w:r w:rsidR="0049772E" w:rsidRPr="003609FB">
        <w:rPr>
          <w:rFonts w:ascii="Times New Roman" w:hAnsi="Times New Roman" w:cs="Times New Roman"/>
          <w:sz w:val="24"/>
          <w:szCs w:val="24"/>
        </w:rPr>
        <w:t xml:space="preserve">. These projected values are from between the 25 and 30m depth slice </w:t>
      </w:r>
      <w:r w:rsidR="0049772E">
        <w:rPr>
          <w:rFonts w:ascii="Times New Roman" w:hAnsi="Times New Roman" w:cs="Times New Roman"/>
          <w:sz w:val="24"/>
          <w:szCs w:val="24"/>
        </w:rPr>
        <w:t xml:space="preserve">(27.5 meters is the midpoint) </w:t>
      </w:r>
      <w:r w:rsidR="0049772E" w:rsidRPr="003609FB">
        <w:rPr>
          <w:rFonts w:ascii="Times New Roman" w:hAnsi="Times New Roman" w:cs="Times New Roman"/>
          <w:sz w:val="24"/>
          <w:szCs w:val="24"/>
        </w:rPr>
        <w:t>of the MITgcm giving the approximate mixed layer concentration of H</w:t>
      </w:r>
      <w:r w:rsidR="0049772E" w:rsidRPr="00351FC4">
        <w:rPr>
          <w:rFonts w:ascii="Times New Roman" w:hAnsi="Times New Roman" w:cs="Times New Roman"/>
          <w:sz w:val="24"/>
          <w:szCs w:val="24"/>
          <w:vertAlign w:val="subscript"/>
        </w:rPr>
        <w:t>2</w:t>
      </w:r>
      <w:r w:rsidR="0049772E" w:rsidRPr="003609FB">
        <w:rPr>
          <w:rFonts w:ascii="Times New Roman" w:hAnsi="Times New Roman" w:cs="Times New Roman"/>
          <w:sz w:val="24"/>
          <w:szCs w:val="24"/>
        </w:rPr>
        <w:t>O</w:t>
      </w:r>
      <w:r w:rsidR="0049772E" w:rsidRPr="00351FC4">
        <w:rPr>
          <w:rFonts w:ascii="Times New Roman" w:hAnsi="Times New Roman" w:cs="Times New Roman"/>
          <w:sz w:val="24"/>
          <w:szCs w:val="24"/>
          <w:vertAlign w:val="subscript"/>
        </w:rPr>
        <w:t>2</w:t>
      </w:r>
      <w:r w:rsidR="0049772E" w:rsidRPr="003609FB">
        <w:rPr>
          <w:rFonts w:ascii="Times New Roman" w:hAnsi="Times New Roman" w:cs="Times New Roman"/>
          <w:sz w:val="24"/>
          <w:szCs w:val="24"/>
        </w:rPr>
        <w:t xml:space="preserve"> of the globe.</w:t>
      </w:r>
    </w:p>
    <w:p w14:paraId="6CDEAE86" w14:textId="0F753483" w:rsidR="0049772E" w:rsidRPr="007D55BB" w:rsidRDefault="0049772E" w:rsidP="0049772E">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global production was implemented as a function of our recovered (Chapter 2)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rate, </w:t>
      </w:r>
      <w:r>
        <w:rPr>
          <w:rFonts w:ascii="Times New Roman" w:hAnsi="Times New Roman" w:cs="Times New Roman"/>
          <w:sz w:val="24"/>
          <w:szCs w:val="24"/>
        </w:rPr>
        <w:t>Dissolved organic material (</w:t>
      </w:r>
      <w:r w:rsidRPr="003609FB">
        <w:rPr>
          <w:rFonts w:ascii="Times New Roman" w:hAnsi="Times New Roman" w:cs="Times New Roman"/>
          <w:sz w:val="24"/>
          <w:szCs w:val="24"/>
        </w:rPr>
        <w:t>DOM</w:t>
      </w:r>
      <w:r>
        <w:rPr>
          <w:rFonts w:ascii="Times New Roman" w:hAnsi="Times New Roman" w:cs="Times New Roman"/>
          <w:sz w:val="24"/>
          <w:szCs w:val="24"/>
        </w:rPr>
        <w:t>)</w:t>
      </w:r>
      <w:r w:rsidRPr="003609FB">
        <w:rPr>
          <w:rFonts w:ascii="Times New Roman" w:hAnsi="Times New Roman" w:cs="Times New Roman"/>
          <w:sz w:val="24"/>
          <w:szCs w:val="24"/>
        </w:rPr>
        <w:t xml:space="preserve"> concentrations, and light influx for the surface ocean. </w:t>
      </w:r>
      <w:r>
        <w:rPr>
          <w:rFonts w:ascii="Times New Roman" w:hAnsi="Times New Roman" w:cs="Times New Roman"/>
          <w:sz w:val="24"/>
          <w:szCs w:val="24"/>
        </w:rPr>
        <w:t xml:space="preserve">More accurate quantum yields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rPr>
        <w:t>take into account</w:t>
      </w:r>
      <w:proofErr w:type="gramEnd"/>
      <w:r>
        <w:rPr>
          <w:rFonts w:ascii="Times New Roman" w:hAnsi="Times New Roman" w:cs="Times New Roman"/>
          <w:sz w:val="24"/>
          <w:szCs w:val="24"/>
        </w:rPr>
        <w:t xml:space="preserve"> the wavelengths of light, but this is not yet feasible for this model within the Darwin framework as PAR is a composite variable. However</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609FB">
        <w:rPr>
          <w:rFonts w:ascii="Times New Roman" w:hAnsi="Times New Roman" w:cs="Times New Roman"/>
          <w:sz w:val="24"/>
          <w:szCs w:val="24"/>
        </w:rPr>
        <w:t xml:space="preserve">global map of 1 year the results </w:t>
      </w:r>
      <w:r>
        <w:rPr>
          <w:rFonts w:ascii="Times New Roman" w:hAnsi="Times New Roman" w:cs="Times New Roman"/>
          <w:sz w:val="24"/>
          <w:szCs w:val="24"/>
        </w:rPr>
        <w:t xml:space="preserve">of our projected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geography </w:t>
      </w:r>
      <w:r>
        <w:rPr>
          <w:rFonts w:ascii="Times New Roman" w:hAnsi="Times New Roman" w:cs="Times New Roman"/>
          <w:sz w:val="24"/>
          <w:szCs w:val="24"/>
        </w:rPr>
        <w:t>in</w:t>
      </w:r>
      <w:r w:rsidRPr="003609FB">
        <w:rPr>
          <w:rFonts w:ascii="Times New Roman" w:hAnsi="Times New Roman" w:cs="Times New Roman"/>
          <w:sz w:val="24"/>
          <w:szCs w:val="24"/>
        </w:rPr>
        <w:t xml:space="preserve"> </w:t>
      </w:r>
      <w:r>
        <w:rPr>
          <w:rFonts w:ascii="Times New Roman" w:hAnsi="Times New Roman" w:cs="Times New Roman"/>
          <w:sz w:val="24"/>
          <w:szCs w:val="24"/>
        </w:rPr>
        <w:t>F</w:t>
      </w:r>
      <w:r w:rsidRPr="003609FB">
        <w:rPr>
          <w:rFonts w:ascii="Times New Roman" w:hAnsi="Times New Roman" w:cs="Times New Roman"/>
          <w:sz w:val="24"/>
          <w:szCs w:val="24"/>
        </w:rPr>
        <w:t>igures 4.2a and 4.2b respectively</w:t>
      </w:r>
      <w:r>
        <w:rPr>
          <w:rFonts w:ascii="Times New Roman" w:hAnsi="Times New Roman" w:cs="Times New Roman"/>
          <w:sz w:val="24"/>
          <w:szCs w:val="24"/>
        </w:rPr>
        <w:t xml:space="preserve"> give similar patterns and ranges to more complex photochemical models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{"citationID":"PuLR3uVj","properties":{"formattedCitation":"(Zhu et al. 2022)","plainCitation":"(Zhu et al. 2022)","noteIndex":0},"citationItems":[{"id":4059,"uris":["http://zotero.org/users/6128296/items/UQC3QQF2"],"itemData":{"id":4059,"type":"article-journal","abstract":"Hydrogen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Pr>
          <w:rFonts w:ascii="Cambria Math" w:hAnsi="Cambria Math" w:cs="Cambria Math"/>
          <w:sz w:val="24"/>
          <w:szCs w:val="24"/>
        </w:rPr>
        <w:instrText>∼</w:instrText>
      </w:r>
      <w:r>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(Zhu </w:t>
      </w:r>
      <w:r w:rsidRPr="00183222">
        <w:rPr>
          <w:rFonts w:ascii="Times New Roman" w:hAnsi="Times New Roman" w:cs="Times New Roman"/>
          <w:i/>
          <w:iCs/>
          <w:sz w:val="24"/>
          <w:szCs w:val="24"/>
        </w:rPr>
        <w:t>et al</w:t>
      </w:r>
      <w:r>
        <w:rPr>
          <w:rFonts w:ascii="Times New Roman" w:hAnsi="Times New Roman" w:cs="Times New Roman"/>
          <w:noProof/>
          <w:sz w:val="24"/>
          <w:szCs w:val="24"/>
        </w:rPr>
        <w:t>. 2022)</w:t>
      </w:r>
      <w:r>
        <w:rPr>
          <w:rFonts w:ascii="Times New Roman" w:hAnsi="Times New Roman" w:cs="Times New Roman"/>
          <w:sz w:val="24"/>
          <w:szCs w:val="24"/>
        </w:rPr>
        <w:fldChar w:fldCharType="end"/>
      </w:r>
      <w:r w:rsidRPr="003609FB">
        <w:rPr>
          <w:rFonts w:ascii="Times New Roman" w:hAnsi="Times New Roman" w:cs="Times New Roman"/>
          <w:sz w:val="24"/>
          <w:szCs w:val="24"/>
        </w:rPr>
        <w:t>. With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solved, the biological connections between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and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or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were inserted first with damage and then detoxification rates. By inserting damage rates (recovered from Chapter 2) without implementing detoxification as well, we simulate a ‘selfish detoxification’ world. This allows for Figure 4.5 to give the resultant ‘flipped’ biogeography to that of known oceanic measurements </w:t>
      </w:r>
      <w:r w:rsidRPr="003609FB">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{"citationID":"Vq7geR5B","properties":{"formattedCitation":"(Partensky, Blanchot, and Vaulot 1999)","plainCitation":"(Partensky, Blanchot, and Vaulot 1999)","noteIndex":0},"citationItems":[{"id":4251,"uris":["http://zotero.org/users/6128296/items/KSAT33BJ"],"itemData":{"id":4251,"type":"article-journal","container-title":"Bulletin-Institut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review.\"","author":[{"family":"Partensky","given":""},{"family":"Blanchot","given":"Jean"},{"family":"Vaulot","given":"D"}],"issued":{"date-parts":[["1999"]]}}}],"schema":"https://github.com/citation-style-language/schema/raw/master/csl-citation.json"} </w:instrText>
      </w:r>
      <w:r w:rsidRPr="003609FB">
        <w:rPr>
          <w:rFonts w:ascii="Times New Roman" w:hAnsi="Times New Roman" w:cs="Times New Roman"/>
          <w:sz w:val="24"/>
          <w:szCs w:val="24"/>
        </w:rPr>
        <w:fldChar w:fldCharType="separate"/>
      </w:r>
      <w:r>
        <w:rPr>
          <w:rFonts w:ascii="Times New Roman" w:hAnsi="Times New Roman" w:cs="Times New Roman"/>
          <w:sz w:val="24"/>
        </w:rPr>
        <w:t>(</w:t>
      </w:r>
      <w:proofErr w:type="spellStart"/>
      <w:r>
        <w:rPr>
          <w:rFonts w:ascii="Times New Roman" w:hAnsi="Times New Roman" w:cs="Times New Roman"/>
          <w:sz w:val="24"/>
        </w:rPr>
        <w:t>Partensky</w:t>
      </w:r>
      <w:proofErr w:type="spellEnd"/>
      <w:r>
        <w:rPr>
          <w:rFonts w:ascii="Times New Roman" w:hAnsi="Times New Roman" w:cs="Times New Roman"/>
          <w:sz w:val="24"/>
        </w:rPr>
        <w:t xml:space="preserve">, </w:t>
      </w:r>
      <w:proofErr w:type="spellStart"/>
      <w:r>
        <w:rPr>
          <w:rFonts w:ascii="Times New Roman" w:hAnsi="Times New Roman" w:cs="Times New Roman"/>
          <w:sz w:val="24"/>
        </w:rPr>
        <w:t>Blanchot</w:t>
      </w:r>
      <w:proofErr w:type="spellEnd"/>
      <w:r>
        <w:rPr>
          <w:rFonts w:ascii="Times New Roman" w:hAnsi="Times New Roman" w:cs="Times New Roman"/>
          <w:sz w:val="24"/>
        </w:rPr>
        <w:t xml:space="preserve">, and </w:t>
      </w:r>
      <w:proofErr w:type="spellStart"/>
      <w:r>
        <w:rPr>
          <w:rFonts w:ascii="Times New Roman" w:hAnsi="Times New Roman" w:cs="Times New Roman"/>
          <w:sz w:val="24"/>
        </w:rPr>
        <w:t>Vaulot</w:t>
      </w:r>
      <w:proofErr w:type="spellEnd"/>
      <w:r>
        <w:rPr>
          <w:rFonts w:ascii="Times New Roman" w:hAnsi="Times New Roman" w:cs="Times New Roman"/>
          <w:sz w:val="24"/>
        </w:rPr>
        <w:t xml:space="preserve"> 1999)</w:t>
      </w:r>
      <w:r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 while the implementation of both damage and detoxification gave a more realistic world view in </w:t>
      </w:r>
      <w:r>
        <w:rPr>
          <w:rFonts w:ascii="Times New Roman" w:hAnsi="Times New Roman" w:cs="Times New Roman"/>
          <w:sz w:val="24"/>
          <w:szCs w:val="24"/>
        </w:rPr>
        <w:t>F</w:t>
      </w:r>
      <w:r w:rsidRPr="003609FB">
        <w:rPr>
          <w:rFonts w:ascii="Times New Roman" w:hAnsi="Times New Roman" w:cs="Times New Roman"/>
          <w:sz w:val="24"/>
          <w:szCs w:val="24"/>
        </w:rPr>
        <w:t xml:space="preserve">igure </w:t>
      </w:r>
      <w:r>
        <w:rPr>
          <w:rFonts w:ascii="Times New Roman" w:hAnsi="Times New Roman" w:cs="Times New Roman"/>
          <w:sz w:val="24"/>
          <w:szCs w:val="24"/>
        </w:rPr>
        <w:t>4.</w:t>
      </w:r>
      <w:r w:rsidRPr="003609FB">
        <w:rPr>
          <w:rFonts w:ascii="Times New Roman" w:hAnsi="Times New Roman" w:cs="Times New Roman"/>
          <w:sz w:val="24"/>
          <w:szCs w:val="24"/>
        </w:rPr>
        <w:t xml:space="preserve">6. The abiotic decay, </w:t>
      </w:r>
    </w:p>
    <w:p w14:paraId="4C9F065E" w14:textId="77777777" w:rsidR="00691E30" w:rsidRDefault="00691E30" w:rsidP="00AB2160">
      <w:pPr>
        <w:spacing w:line="360" w:lineRule="auto"/>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6"/>
      </w:tblGrid>
      <w:tr w:rsidR="0058723D" w:rsidRPr="003609FB" w14:paraId="1C516F09" w14:textId="77777777" w:rsidTr="00A43D25">
        <w:trPr>
          <w:trHeight w:val="3357"/>
          <w:jc w:val="center"/>
        </w:trPr>
        <w:tc>
          <w:tcPr>
            <w:tcW w:w="0" w:type="auto"/>
          </w:tcPr>
          <w:p w14:paraId="4545A82C" w14:textId="476AAED7" w:rsidR="0058723D" w:rsidRPr="003609FB" w:rsidRDefault="0058723D" w:rsidP="00AB2160">
            <w:pPr>
              <w:keepNext/>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7CED5798" wp14:editId="044C150B">
                  <wp:extent cx="4610100" cy="2529172"/>
                  <wp:effectExtent l="0" t="0" r="0" b="0"/>
                  <wp:docPr id="58" name="Picture 58" descr="A red and orange clouds with 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red and orange clouds with a map of the world&#10;&#10;Description automatically generated"/>
                          <pic:cNvPicPr/>
                        </pic:nvPicPr>
                        <pic:blipFill rotWithShape="1">
                          <a:blip r:embed="rId62" cstate="print">
                            <a:extLst>
                              <a:ext uri="{28A0092B-C50C-407E-A947-70E740481C1C}">
                                <a14:useLocalDpi xmlns:a14="http://schemas.microsoft.com/office/drawing/2010/main" val="0"/>
                              </a:ext>
                            </a:extLst>
                          </a:blip>
                          <a:srcRect l="18590" t="31788" r="25201" b="49710"/>
                          <a:stretch/>
                        </pic:blipFill>
                        <pic:spPr bwMode="auto">
                          <a:xfrm>
                            <a:off x="0" y="0"/>
                            <a:ext cx="4654044" cy="2553280"/>
                          </a:xfrm>
                          <a:prstGeom prst="rect">
                            <a:avLst/>
                          </a:prstGeom>
                          <a:ln>
                            <a:noFill/>
                          </a:ln>
                          <a:extLst>
                            <a:ext uri="{53640926-AAD7-44D8-BBD7-CCE9431645EC}">
                              <a14:shadowObscured xmlns:a14="http://schemas.microsoft.com/office/drawing/2010/main"/>
                            </a:ext>
                          </a:extLst>
                        </pic:spPr>
                      </pic:pic>
                    </a:graphicData>
                  </a:graphic>
                </wp:inline>
              </w:drawing>
            </w:r>
            <w:r w:rsidR="00FC3F7E">
              <w:rPr>
                <w:rFonts w:ascii="Times New Roman" w:hAnsi="Times New Roman" w:cs="Times New Roman"/>
                <w:noProof/>
                <w:sz w:val="24"/>
                <w:szCs w:val="24"/>
              </w:rPr>
              <w:drawing>
                <wp:inline distT="0" distB="0" distL="0" distR="0" wp14:anchorId="62C25787" wp14:editId="75CFF0E1">
                  <wp:extent cx="939800" cy="3017638"/>
                  <wp:effectExtent l="0" t="0" r="0" b="0"/>
                  <wp:docPr id="2059388809" name="Picture 2059388809" descr="A red and yellow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09" name="Picture 2059388809" descr="A red and yellow line&#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961866" cy="3088492"/>
                          </a:xfrm>
                          <a:prstGeom prst="rect">
                            <a:avLst/>
                          </a:prstGeom>
                        </pic:spPr>
                      </pic:pic>
                    </a:graphicData>
                  </a:graphic>
                </wp:inline>
              </w:drawing>
            </w:r>
          </w:p>
        </w:tc>
      </w:tr>
    </w:tbl>
    <w:p w14:paraId="56C36155" w14:textId="0D35B842" w:rsidR="005B5998" w:rsidRDefault="00CE160A" w:rsidP="00511118">
      <w:pPr>
        <w:pStyle w:val="Caption"/>
      </w:pPr>
      <w:bookmarkStart w:id="80" w:name="_Toc173148389"/>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4</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2</w:t>
      </w:r>
      <w:r w:rsidR="00000000">
        <w:rPr>
          <w:noProof/>
        </w:rPr>
        <w:fldChar w:fldCharType="end"/>
      </w:r>
      <w:r>
        <w:t xml:space="preserve"> </w:t>
      </w:r>
      <w:r w:rsidR="00945137">
        <w:t xml:space="preserve">Mean temporally aggregated </w:t>
      </w:r>
      <w:r w:rsidR="00F52F1E" w:rsidRPr="003609FB">
        <w:t>H</w:t>
      </w:r>
      <w:r w:rsidR="00F52F1E" w:rsidRPr="00351FC4">
        <w:rPr>
          <w:vertAlign w:val="subscript"/>
        </w:rPr>
        <w:t>2</w:t>
      </w:r>
      <w:r w:rsidR="00F52F1E" w:rsidRPr="003609FB">
        <w:t>O</w:t>
      </w:r>
      <w:r w:rsidR="00F52F1E" w:rsidRPr="00351FC4">
        <w:rPr>
          <w:vertAlign w:val="subscript"/>
        </w:rPr>
        <w:t>2</w:t>
      </w:r>
      <w:r w:rsidRPr="005B5E2F">
        <w:t xml:space="preserve"> </w:t>
      </w:r>
      <w:r w:rsidR="00945137">
        <w:t>concentration</w:t>
      </w:r>
      <w:r w:rsidRPr="005B5E2F">
        <w:t xml:space="preserve"> from </w:t>
      </w:r>
      <w:r w:rsidR="00945137">
        <w:t xml:space="preserve">last </w:t>
      </w:r>
      <w:r w:rsidRPr="005B5E2F">
        <w:t>year of</w:t>
      </w:r>
      <w:r w:rsidR="00945137">
        <w:t xml:space="preserve"> a</w:t>
      </w:r>
      <w:r w:rsidRPr="005B5E2F">
        <w:t xml:space="preserve"> </w:t>
      </w:r>
      <w:proofErr w:type="gramStart"/>
      <w:r w:rsidR="00945137">
        <w:t>10 year</w:t>
      </w:r>
      <w:proofErr w:type="gramEnd"/>
      <w:r w:rsidR="00945137">
        <w:t xml:space="preserve"> </w:t>
      </w:r>
      <w:r w:rsidRPr="005B5E2F">
        <w:t>global circulation model</w:t>
      </w:r>
      <w:bookmarkEnd w:id="80"/>
    </w:p>
    <w:p w14:paraId="2F789E3F" w14:textId="4201E9E3" w:rsidR="0058723D" w:rsidRDefault="0058723D" w:rsidP="00AB2160">
      <w:pPr>
        <w:spacing w:line="360" w:lineRule="auto"/>
        <w:rPr>
          <w:rFonts w:ascii="Times New Roman" w:hAnsi="Times New Roman" w:cs="Times New Roman"/>
          <w:sz w:val="24"/>
          <w:szCs w:val="24"/>
        </w:rPr>
      </w:pPr>
    </w:p>
    <w:p w14:paraId="730B1E99" w14:textId="4A79FBDB" w:rsidR="0058723D" w:rsidRDefault="0058723D" w:rsidP="0056506B">
      <w:pPr>
        <w:spacing w:line="360" w:lineRule="auto"/>
        <w:rPr>
          <w:rFonts w:ascii="Times New Roman" w:hAnsi="Times New Roman" w:cs="Times New Roman"/>
          <w:sz w:val="24"/>
          <w:szCs w:val="24"/>
        </w:rPr>
      </w:pPr>
    </w:p>
    <w:p w14:paraId="24FCB490" w14:textId="77777777" w:rsidR="00FC6C7F" w:rsidRDefault="00FC6C7F" w:rsidP="0056506B">
      <w:pPr>
        <w:spacing w:line="360" w:lineRule="auto"/>
        <w:rPr>
          <w:rFonts w:ascii="Times New Roman" w:hAnsi="Times New Roman" w:cs="Times New Roman"/>
          <w:sz w:val="24"/>
          <w:szCs w:val="24"/>
        </w:rPr>
      </w:pPr>
    </w:p>
    <w:p w14:paraId="7617034D" w14:textId="77777777" w:rsidR="00FC6C7F" w:rsidRDefault="00FC6C7F" w:rsidP="0056506B">
      <w:pPr>
        <w:spacing w:line="360" w:lineRule="auto"/>
        <w:rPr>
          <w:rFonts w:ascii="Times New Roman" w:hAnsi="Times New Roman" w:cs="Times New Roman"/>
          <w:sz w:val="24"/>
          <w:szCs w:val="24"/>
        </w:rPr>
      </w:pPr>
    </w:p>
    <w:p w14:paraId="0660D41A" w14:textId="77777777" w:rsidR="00FC6C7F" w:rsidRDefault="00FC6C7F" w:rsidP="0056506B">
      <w:pPr>
        <w:spacing w:line="360" w:lineRule="auto"/>
        <w:rPr>
          <w:rFonts w:ascii="Times New Roman" w:hAnsi="Times New Roman" w:cs="Times New Roman"/>
          <w:sz w:val="24"/>
          <w:szCs w:val="24"/>
        </w:rPr>
      </w:pPr>
    </w:p>
    <w:p w14:paraId="317219BC" w14:textId="77777777" w:rsidR="00B93F7C" w:rsidRDefault="00B93F7C" w:rsidP="0056506B">
      <w:pPr>
        <w:spacing w:line="360" w:lineRule="auto"/>
        <w:rPr>
          <w:rFonts w:ascii="Times New Roman" w:hAnsi="Times New Roman" w:cs="Times New Roman"/>
          <w:sz w:val="24"/>
          <w:szCs w:val="24"/>
        </w:rPr>
      </w:pPr>
    </w:p>
    <w:p w14:paraId="45C840CF" w14:textId="77777777" w:rsidR="00B93F7C" w:rsidRDefault="00B93F7C" w:rsidP="0056506B">
      <w:pPr>
        <w:spacing w:line="360" w:lineRule="auto"/>
        <w:rPr>
          <w:rFonts w:ascii="Times New Roman" w:hAnsi="Times New Roman" w:cs="Times New Roman"/>
          <w:sz w:val="24"/>
          <w:szCs w:val="24"/>
        </w:rPr>
      </w:pPr>
    </w:p>
    <w:p w14:paraId="481FE042" w14:textId="77777777" w:rsidR="0049772E" w:rsidRDefault="0049772E" w:rsidP="0056506B">
      <w:pPr>
        <w:spacing w:line="360" w:lineRule="auto"/>
        <w:rPr>
          <w:rFonts w:ascii="Times New Roman" w:hAnsi="Times New Roman" w:cs="Times New Roman"/>
          <w:sz w:val="24"/>
          <w:szCs w:val="24"/>
        </w:rPr>
      </w:pPr>
    </w:p>
    <w:p w14:paraId="1A70DD49" w14:textId="77777777" w:rsidR="0049772E" w:rsidRDefault="0049772E" w:rsidP="0056506B">
      <w:pPr>
        <w:spacing w:line="360" w:lineRule="auto"/>
        <w:rPr>
          <w:rFonts w:ascii="Times New Roman" w:hAnsi="Times New Roman" w:cs="Times New Roman"/>
          <w:sz w:val="24"/>
          <w:szCs w:val="24"/>
        </w:rPr>
      </w:pPr>
    </w:p>
    <w:p w14:paraId="7E5E9440" w14:textId="77777777" w:rsidR="00072008" w:rsidRDefault="00072008" w:rsidP="00AB2160">
      <w:pPr>
        <w:spacing w:line="360" w:lineRule="auto"/>
        <w:rPr>
          <w:rFonts w:ascii="Times New Roman" w:hAnsi="Times New Roman" w:cs="Times New Roman"/>
          <w:sz w:val="24"/>
          <w:szCs w:val="24"/>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5"/>
      </w:tblGrid>
      <w:tr w:rsidR="0058723D" w:rsidRPr="003609FB" w14:paraId="5F954C2B" w14:textId="77777777" w:rsidTr="00A43D25">
        <w:trPr>
          <w:trHeight w:val="513"/>
        </w:trPr>
        <w:tc>
          <w:tcPr>
            <w:tcW w:w="0" w:type="auto"/>
          </w:tcPr>
          <w:p w14:paraId="0DB7CF38" w14:textId="39DB3264" w:rsidR="0058723D" w:rsidRPr="003609FB" w:rsidRDefault="00072008"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a </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                             b </w:t>
            </w:r>
            <w:r>
              <w:rPr>
                <w:rFonts w:ascii="Times New Roman" w:hAnsi="Times New Roman" w:cs="Times New Roman"/>
                <w:sz w:val="24"/>
                <w:szCs w:val="24"/>
              </w:rPr>
              <w:t xml:space="preserve">                      </w:t>
            </w:r>
            <w:r w:rsidRPr="003609FB">
              <w:rPr>
                <w:rFonts w:ascii="Times New Roman" w:hAnsi="Times New Roman" w:cs="Times New Roman"/>
                <w:sz w:val="24"/>
                <w:szCs w:val="24"/>
              </w:rPr>
              <w:t>Syn/ (Pro+ Syn)</w:t>
            </w:r>
          </w:p>
        </w:tc>
      </w:tr>
      <w:tr w:rsidR="0058723D" w:rsidRPr="003609FB" w14:paraId="47EAC7CA" w14:textId="77777777" w:rsidTr="00A43D25">
        <w:trPr>
          <w:trHeight w:val="530"/>
        </w:trPr>
        <w:tc>
          <w:tcPr>
            <w:tcW w:w="0" w:type="auto"/>
          </w:tcPr>
          <w:p w14:paraId="3359C3EF" w14:textId="14579ED0" w:rsidR="00CE160A" w:rsidRDefault="00115332" w:rsidP="00AB2160">
            <w:pPr>
              <w:keepNext/>
              <w:spacing w:line="360" w:lineRule="auto"/>
            </w:pPr>
            <w:r>
              <w:rPr>
                <w:noProof/>
              </w:rPr>
              <w:drawing>
                <wp:inline distT="0" distB="0" distL="0" distR="0" wp14:anchorId="0074541A" wp14:editId="157696E7">
                  <wp:extent cx="5943600" cy="2383790"/>
                  <wp:effectExtent l="0" t="0" r="0" b="3810"/>
                  <wp:docPr id="2059388800" name="Picture 2059388800" descr="A close-up of 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00" name="Picture 2059388800" descr="A close-up of a map of the world&#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2383790"/>
                          </a:xfrm>
                          <a:prstGeom prst="rect">
                            <a:avLst/>
                          </a:prstGeom>
                        </pic:spPr>
                      </pic:pic>
                    </a:graphicData>
                  </a:graphic>
                </wp:inline>
              </w:drawing>
            </w:r>
          </w:p>
          <w:p w14:paraId="7D97E9A1" w14:textId="6A2DC4BF" w:rsidR="0058723D" w:rsidRPr="00CE160A" w:rsidRDefault="00CE160A" w:rsidP="00511118">
            <w:pPr>
              <w:pStyle w:val="Caption"/>
            </w:pPr>
            <w:bookmarkStart w:id="81" w:name="_Toc173148390"/>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4</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3</w:t>
            </w:r>
            <w:r w:rsidR="00000000">
              <w:rPr>
                <w:noProof/>
              </w:rPr>
              <w:fldChar w:fldCharType="end"/>
            </w:r>
            <w:r>
              <w:t xml:space="preserve"> </w:t>
            </w:r>
            <w:r w:rsidRPr="00A3090B">
              <w:t>Nutrient Competition in a non-leaky world</w:t>
            </w:r>
            <w:bookmarkEnd w:id="81"/>
          </w:p>
        </w:tc>
      </w:tr>
      <w:tr w:rsidR="0058723D" w:rsidRPr="003609FB" w14:paraId="24E2E6A8" w14:textId="77777777" w:rsidTr="00A43D25">
        <w:trPr>
          <w:trHeight w:val="1007"/>
        </w:trPr>
        <w:tc>
          <w:tcPr>
            <w:tcW w:w="0" w:type="auto"/>
          </w:tcPr>
          <w:p w14:paraId="14FF656E" w14:textId="5163935E" w:rsidR="0058723D" w:rsidRPr="003609FB" w:rsidRDefault="00BA0C68" w:rsidP="00AB2160">
            <w:pPr>
              <w:spacing w:line="360" w:lineRule="auto"/>
              <w:rPr>
                <w:rFonts w:ascii="Times New Roman" w:hAnsi="Times New Roman" w:cs="Times New Roman"/>
                <w:sz w:val="24"/>
                <w:szCs w:val="24"/>
              </w:rPr>
            </w:pPr>
            <w:r>
              <w:rPr>
                <w:rFonts w:ascii="Times New Roman" w:hAnsi="Times New Roman" w:cs="Times New Roman"/>
                <w:sz w:val="24"/>
                <w:szCs w:val="24"/>
              </w:rPr>
              <w:t xml:space="preserve">Annual mean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(a, left) and the ratio of</w:t>
            </w:r>
            <w:r>
              <w:rPr>
                <w:rFonts w:ascii="Times New Roman" w:hAnsi="Times New Roman" w:cs="Times New Roman"/>
                <w:sz w:val="24"/>
                <w:szCs w:val="24"/>
              </w:rPr>
              <w:t xml:space="preserve"> </w:t>
            </w:r>
            <w:proofErr w:type="spellStart"/>
            <w:r w:rsidRPr="00BA0C68">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BA0C68">
              <w:rPr>
                <w:rFonts w:ascii="Times" w:hAnsi="Times" w:cs="Times New Roman"/>
                <w:i/>
                <w:iCs/>
                <w:color w:val="000000" w:themeColor="text1"/>
                <w:sz w:val="24"/>
                <w:szCs w:val="24"/>
              </w:rPr>
              <w:t>Syn</w:t>
            </w:r>
            <w:r>
              <w:rPr>
                <w:rFonts w:ascii="Times New Roman" w:hAnsi="Times New Roman" w:cs="Times New Roman"/>
                <w:sz w:val="24"/>
                <w:szCs w:val="24"/>
              </w:rPr>
              <w:t>) over</w:t>
            </w:r>
            <w:r w:rsidR="0058723D" w:rsidRPr="003609FB">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58723D" w:rsidRPr="003609FB">
              <w:rPr>
                <w:rFonts w:ascii="Times New Roman" w:hAnsi="Times New Roman" w:cs="Times New Roman"/>
                <w:sz w:val="24"/>
                <w:szCs w:val="24"/>
              </w:rPr>
              <w:t xml:space="preserve"> </w:t>
            </w:r>
            <w:r w:rsidRPr="00D3214C">
              <w:rPr>
                <w:rFonts w:ascii="Times New Roman" w:hAnsi="Times New Roman" w:cs="Times New Roman"/>
                <w:sz w:val="24"/>
                <w:szCs w:val="24"/>
              </w:rPr>
              <w:t>(</w:t>
            </w:r>
            <w:r w:rsidRPr="00D3214C">
              <w:rPr>
                <w:rFonts w:ascii="Times" w:hAnsi="Times" w:cs="Times New Roman"/>
                <w:color w:val="000000" w:themeColor="text1"/>
                <w:sz w:val="24"/>
                <w:szCs w:val="24"/>
              </w:rPr>
              <w:t>Pro</w:t>
            </w:r>
            <w:r w:rsidRPr="00D3214C">
              <w:rPr>
                <w:rFonts w:ascii="Times New Roman" w:hAnsi="Times New Roman" w:cs="Times New Roman"/>
                <w:sz w:val="24"/>
                <w:szCs w:val="24"/>
              </w:rPr>
              <w:t>)</w:t>
            </w:r>
            <w:r>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and </w:t>
            </w:r>
            <w:proofErr w:type="spellStart"/>
            <w:r w:rsidR="00691B65" w:rsidRPr="00691B65">
              <w:rPr>
                <w:rFonts w:ascii="Times New Roman" w:hAnsi="Times New Roman" w:cs="Times New Roman"/>
                <w:i/>
                <w:iCs/>
                <w:sz w:val="24"/>
                <w:szCs w:val="24"/>
              </w:rPr>
              <w:t>Synechococcus</w:t>
            </w:r>
            <w:proofErr w:type="spellEnd"/>
            <w:r>
              <w:rPr>
                <w:rFonts w:ascii="Times New Roman" w:hAnsi="Times New Roman" w:cs="Times New Roman"/>
                <w:i/>
                <w:iCs/>
                <w:sz w:val="24"/>
                <w:szCs w:val="24"/>
              </w:rPr>
              <w:t xml:space="preserve"> </w:t>
            </w:r>
            <w:r w:rsidRPr="00D3214C">
              <w:rPr>
                <w:rFonts w:ascii="Times New Roman" w:hAnsi="Times New Roman" w:cs="Times New Roman"/>
                <w:sz w:val="24"/>
                <w:szCs w:val="24"/>
              </w:rPr>
              <w:t>(</w:t>
            </w:r>
            <w:r w:rsidRPr="00D3214C">
              <w:rPr>
                <w:rFonts w:ascii="Times" w:hAnsi="Times" w:cs="Times New Roman"/>
                <w:color w:val="000000" w:themeColor="text1"/>
                <w:sz w:val="24"/>
                <w:szCs w:val="24"/>
              </w:rPr>
              <w:t>Syn</w:t>
            </w:r>
            <w:r w:rsidRPr="00D3214C">
              <w:rPr>
                <w:rFonts w:ascii="Times New Roman" w:hAnsi="Times New Roman" w:cs="Times New Roman"/>
                <w:sz w:val="24"/>
                <w:szCs w:val="24"/>
              </w:rPr>
              <w:t>)</w:t>
            </w:r>
            <w:r w:rsidR="0058723D" w:rsidRPr="003609FB">
              <w:rPr>
                <w:rFonts w:ascii="Times New Roman" w:hAnsi="Times New Roman" w:cs="Times New Roman"/>
                <w:sz w:val="24"/>
                <w:szCs w:val="24"/>
              </w:rPr>
              <w:t xml:space="preserve"> (</w:t>
            </w:r>
            <w:proofErr w:type="spellStart"/>
            <w:proofErr w:type="gramStart"/>
            <w:r w:rsidR="0058723D" w:rsidRPr="003609FB">
              <w:rPr>
                <w:rFonts w:ascii="Times New Roman" w:hAnsi="Times New Roman" w:cs="Times New Roman"/>
                <w:sz w:val="24"/>
                <w:szCs w:val="24"/>
              </w:rPr>
              <w:t>b,right</w:t>
            </w:r>
            <w:proofErr w:type="spellEnd"/>
            <w:proofErr w:type="gramEnd"/>
            <w:r w:rsidR="0058723D" w:rsidRPr="003609FB">
              <w:rPr>
                <w:rFonts w:ascii="Times New Roman" w:hAnsi="Times New Roman" w:cs="Times New Roman"/>
                <w:sz w:val="24"/>
                <w:szCs w:val="24"/>
              </w:rPr>
              <w:t xml:space="preserve">) from the last year </w:t>
            </w:r>
            <w:r w:rsidR="005942BF">
              <w:rPr>
                <w:rFonts w:ascii="Times New Roman" w:hAnsi="Times New Roman" w:cs="Times New Roman"/>
                <w:sz w:val="24"/>
                <w:szCs w:val="24"/>
              </w:rPr>
              <w:t>(9 or 10) in</w:t>
            </w:r>
            <w:r w:rsidR="0058723D" w:rsidRPr="003609FB">
              <w:rPr>
                <w:rFonts w:ascii="Times New Roman" w:hAnsi="Times New Roman" w:cs="Times New Roman"/>
                <w:sz w:val="24"/>
                <w:szCs w:val="24"/>
              </w:rPr>
              <w:t xml:space="preserve"> case 1</w:t>
            </w:r>
            <w:r w:rsidR="005942BF">
              <w:rPr>
                <w:rFonts w:ascii="Times New Roman" w:hAnsi="Times New Roman" w:cs="Times New Roman"/>
                <w:sz w:val="24"/>
                <w:szCs w:val="24"/>
              </w:rPr>
              <w:t xml:space="preserve"> of our model</w:t>
            </w:r>
            <w:r w:rsidR="0058723D" w:rsidRPr="003609FB">
              <w:rPr>
                <w:rFonts w:ascii="Times New Roman" w:hAnsi="Times New Roman" w:cs="Times New Roman"/>
                <w:sz w:val="24"/>
                <w:szCs w:val="24"/>
              </w:rPr>
              <w:t xml:space="preserve">. With the nutrient tradeoff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detoxification incorporated but not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impact, </w:t>
            </w:r>
            <w:proofErr w:type="spellStart"/>
            <w:r w:rsidR="00691B65" w:rsidRPr="00691B65">
              <w:rPr>
                <w:rFonts w:ascii="Times New Roman" w:hAnsi="Times New Roman" w:cs="Times New Roman"/>
                <w:i/>
                <w:iCs/>
                <w:sz w:val="24"/>
                <w:szCs w:val="24"/>
              </w:rPr>
              <w:t>Synechococcus</w:t>
            </w:r>
            <w:proofErr w:type="spellEnd"/>
            <w:r w:rsidR="0058723D" w:rsidRPr="003609FB">
              <w:rPr>
                <w:rFonts w:ascii="Times New Roman" w:hAnsi="Times New Roman" w:cs="Times New Roman"/>
                <w:sz w:val="24"/>
                <w:szCs w:val="24"/>
              </w:rPr>
              <w:t xml:space="preserve"> (in red) is outcompeted nearly everywhere by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(in green).  Thus, if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is not directly tied to the biology,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is this model format is projected to numerically dominate over </w:t>
            </w:r>
            <w:proofErr w:type="spellStart"/>
            <w:r w:rsidR="00691B65" w:rsidRPr="00691B65">
              <w:rPr>
                <w:rFonts w:ascii="Times New Roman" w:hAnsi="Times New Roman" w:cs="Times New Roman"/>
                <w:i/>
                <w:iCs/>
                <w:sz w:val="24"/>
                <w:szCs w:val="24"/>
              </w:rPr>
              <w:t>Synechococcus</w:t>
            </w:r>
            <w:proofErr w:type="spellEnd"/>
            <w:r w:rsidR="0058723D" w:rsidRPr="003609FB">
              <w:rPr>
                <w:rFonts w:ascii="Times New Roman" w:hAnsi="Times New Roman" w:cs="Times New Roman"/>
                <w:sz w:val="24"/>
                <w:szCs w:val="24"/>
              </w:rPr>
              <w:t xml:space="preserve"> at lower latitudes via its superior ammonium affinity.</w:t>
            </w:r>
          </w:p>
        </w:tc>
      </w:tr>
    </w:tbl>
    <w:p w14:paraId="40961FC2" w14:textId="3E8306CD" w:rsidR="0058723D" w:rsidRDefault="0058723D" w:rsidP="00AB2160">
      <w:pPr>
        <w:spacing w:line="360" w:lineRule="auto"/>
        <w:rPr>
          <w:rFonts w:ascii="Times New Roman" w:hAnsi="Times New Roman" w:cs="Times New Roman"/>
          <w:sz w:val="24"/>
          <w:szCs w:val="24"/>
        </w:rPr>
      </w:pPr>
    </w:p>
    <w:p w14:paraId="43A8B55F" w14:textId="3A42E19E" w:rsidR="003D7834" w:rsidRDefault="003D7834" w:rsidP="00AB2160">
      <w:pPr>
        <w:spacing w:line="360" w:lineRule="auto"/>
        <w:rPr>
          <w:rFonts w:ascii="Times New Roman" w:hAnsi="Times New Roman" w:cs="Times New Roman"/>
          <w:sz w:val="24"/>
          <w:szCs w:val="24"/>
        </w:rPr>
      </w:pPr>
    </w:p>
    <w:p w14:paraId="32D637A7" w14:textId="5F21BF8F" w:rsidR="003D7834" w:rsidRDefault="003D7834" w:rsidP="00AB2160">
      <w:pPr>
        <w:spacing w:line="360" w:lineRule="auto"/>
        <w:rPr>
          <w:rFonts w:ascii="Times New Roman" w:hAnsi="Times New Roman" w:cs="Times New Roman"/>
          <w:sz w:val="24"/>
          <w:szCs w:val="24"/>
        </w:rPr>
      </w:pPr>
    </w:p>
    <w:p w14:paraId="2CBEAC23" w14:textId="29DE96BA" w:rsidR="003D7834" w:rsidRDefault="003D7834" w:rsidP="00AB2160">
      <w:pPr>
        <w:spacing w:line="360" w:lineRule="auto"/>
        <w:rPr>
          <w:rFonts w:ascii="Times New Roman" w:hAnsi="Times New Roman" w:cs="Times New Roman"/>
          <w:sz w:val="24"/>
          <w:szCs w:val="24"/>
        </w:rPr>
      </w:pPr>
    </w:p>
    <w:p w14:paraId="5B493982" w14:textId="23300533" w:rsidR="003D7834" w:rsidRDefault="003D7834" w:rsidP="00AB2160">
      <w:pPr>
        <w:spacing w:line="360" w:lineRule="auto"/>
        <w:rPr>
          <w:rFonts w:ascii="Times New Roman" w:hAnsi="Times New Roman" w:cs="Times New Roman"/>
          <w:sz w:val="24"/>
          <w:szCs w:val="24"/>
        </w:rPr>
      </w:pPr>
    </w:p>
    <w:p w14:paraId="16FCF119" w14:textId="77777777" w:rsidR="004A316C" w:rsidRDefault="004A316C" w:rsidP="00AB2160">
      <w:pPr>
        <w:spacing w:line="360" w:lineRule="auto"/>
        <w:rPr>
          <w:rFonts w:ascii="Times New Roman" w:hAnsi="Times New Roman" w:cs="Times New Roman"/>
          <w:sz w:val="24"/>
          <w:szCs w:val="24"/>
        </w:rPr>
      </w:pPr>
    </w:p>
    <w:p w14:paraId="5DAFCD03" w14:textId="3C58C8A0" w:rsidR="0058723D" w:rsidRDefault="0058723D" w:rsidP="00AB2160">
      <w:pPr>
        <w:spacing w:line="360" w:lineRule="auto"/>
        <w:rPr>
          <w:rFonts w:ascii="Times New Roman" w:hAnsi="Times New Roman" w:cs="Times New Roman"/>
          <w:sz w:val="24"/>
          <w:szCs w:val="24"/>
        </w:rPr>
      </w:pPr>
    </w:p>
    <w:p w14:paraId="4185E271" w14:textId="77777777" w:rsidR="00072008" w:rsidRDefault="00072008" w:rsidP="00AB2160">
      <w:pPr>
        <w:spacing w:line="360" w:lineRule="auto"/>
        <w:rPr>
          <w:rFonts w:ascii="Times New Roman" w:hAnsi="Times New Roman" w:cs="Times New Roman"/>
          <w:sz w:val="24"/>
          <w:szCs w:val="24"/>
        </w:rPr>
      </w:pPr>
    </w:p>
    <w:tbl>
      <w:tblPr>
        <w:tblStyle w:val="TableGrid"/>
        <w:tblW w:w="519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3"/>
      </w:tblGrid>
      <w:tr w:rsidR="0058723D" w:rsidRPr="003609FB" w14:paraId="3C13DF12" w14:textId="77777777" w:rsidTr="00F63A22">
        <w:trPr>
          <w:trHeight w:val="497"/>
        </w:trPr>
        <w:tc>
          <w:tcPr>
            <w:tcW w:w="5000" w:type="pct"/>
          </w:tcPr>
          <w:p w14:paraId="748C0E77" w14:textId="3EE3C0AD" w:rsidR="0058723D" w:rsidRPr="003609FB" w:rsidRDefault="00FC6C7F"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a </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                             b </w:t>
            </w:r>
            <w:r>
              <w:rPr>
                <w:rFonts w:ascii="Times New Roman" w:hAnsi="Times New Roman" w:cs="Times New Roman"/>
                <w:sz w:val="24"/>
                <w:szCs w:val="24"/>
              </w:rPr>
              <w:t xml:space="preserve">                      </w:t>
            </w:r>
            <w:r w:rsidRPr="003609FB">
              <w:rPr>
                <w:rFonts w:ascii="Times New Roman" w:hAnsi="Times New Roman" w:cs="Times New Roman"/>
                <w:sz w:val="24"/>
                <w:szCs w:val="24"/>
              </w:rPr>
              <w:t>Syn/ (Pro+ Syn)</w:t>
            </w:r>
          </w:p>
        </w:tc>
      </w:tr>
      <w:tr w:rsidR="0058723D" w:rsidRPr="003609FB" w14:paraId="75BDD9CE" w14:textId="77777777" w:rsidTr="00F63A22">
        <w:trPr>
          <w:trHeight w:val="514"/>
        </w:trPr>
        <w:tc>
          <w:tcPr>
            <w:tcW w:w="5000" w:type="pct"/>
          </w:tcPr>
          <w:p w14:paraId="48837D57" w14:textId="5532D160" w:rsidR="00CE160A" w:rsidRDefault="00C31268" w:rsidP="00AB2160">
            <w:pPr>
              <w:keepNext/>
              <w:spacing w:line="360" w:lineRule="auto"/>
            </w:pPr>
            <w:r>
              <w:rPr>
                <w:noProof/>
              </w:rPr>
              <w:drawing>
                <wp:inline distT="0" distB="0" distL="0" distR="0" wp14:anchorId="199728D1" wp14:editId="3EF9F76A">
                  <wp:extent cx="5943600" cy="2350770"/>
                  <wp:effectExtent l="0" t="0" r="0" b="0"/>
                  <wp:docPr id="52" name="Picture 52" descr="A close-up of 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close-up of a map of the world&#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2350770"/>
                          </a:xfrm>
                          <a:prstGeom prst="rect">
                            <a:avLst/>
                          </a:prstGeom>
                        </pic:spPr>
                      </pic:pic>
                    </a:graphicData>
                  </a:graphic>
                </wp:inline>
              </w:drawing>
            </w:r>
          </w:p>
          <w:p w14:paraId="6161887C" w14:textId="4DFC5CC8" w:rsidR="0058723D" w:rsidRPr="00CE160A" w:rsidRDefault="00CE160A" w:rsidP="00511118">
            <w:pPr>
              <w:pStyle w:val="Caption"/>
            </w:pPr>
            <w:bookmarkStart w:id="82" w:name="_Toc173148391"/>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4</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4</w:t>
            </w:r>
            <w:r w:rsidR="00000000">
              <w:rPr>
                <w:noProof/>
              </w:rPr>
              <w:fldChar w:fldCharType="end"/>
            </w:r>
            <w:r>
              <w:t xml:space="preserve"> </w:t>
            </w:r>
            <w:r w:rsidRPr="006B63B7">
              <w:t xml:space="preserve">Unilateral </w:t>
            </w:r>
            <w:r w:rsidR="00F52F1E" w:rsidRPr="003609FB">
              <w:t>H</w:t>
            </w:r>
            <w:r w:rsidR="00F52F1E" w:rsidRPr="00351FC4">
              <w:rPr>
                <w:vertAlign w:val="subscript"/>
              </w:rPr>
              <w:t>2</w:t>
            </w:r>
            <w:r w:rsidR="00F52F1E" w:rsidRPr="003609FB">
              <w:t>O</w:t>
            </w:r>
            <w:r w:rsidR="00F52F1E" w:rsidRPr="00351FC4">
              <w:rPr>
                <w:vertAlign w:val="subscript"/>
              </w:rPr>
              <w:t>2</w:t>
            </w:r>
            <w:r w:rsidRPr="006B63B7">
              <w:t xml:space="preserve"> damage in a non-leaky world</w:t>
            </w:r>
            <w:bookmarkEnd w:id="82"/>
          </w:p>
        </w:tc>
      </w:tr>
      <w:tr w:rsidR="0058723D" w:rsidRPr="003609FB" w14:paraId="7E9EFDE9" w14:textId="77777777" w:rsidTr="00F63A22">
        <w:trPr>
          <w:trHeight w:val="1230"/>
        </w:trPr>
        <w:tc>
          <w:tcPr>
            <w:tcW w:w="5000" w:type="pct"/>
          </w:tcPr>
          <w:p w14:paraId="4EDA10D0" w14:textId="17DDBEC4" w:rsidR="0058723D" w:rsidRDefault="00465D53" w:rsidP="00AB2160">
            <w:pPr>
              <w:spacing w:line="360" w:lineRule="auto"/>
              <w:rPr>
                <w:rFonts w:ascii="Times New Roman" w:hAnsi="Times New Roman" w:cs="Times New Roman"/>
                <w:sz w:val="24"/>
                <w:szCs w:val="24"/>
              </w:rPr>
            </w:pPr>
            <w:r>
              <w:rPr>
                <w:rFonts w:ascii="Times New Roman" w:hAnsi="Times New Roman" w:cs="Times New Roman"/>
                <w:sz w:val="24"/>
                <w:szCs w:val="24"/>
              </w:rPr>
              <w:t xml:space="preserve">Annual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(left, a) and (</w:t>
            </w:r>
            <w:proofErr w:type="spellStart"/>
            <w:proofErr w:type="gramStart"/>
            <w:r w:rsidR="0058723D" w:rsidRPr="003609FB">
              <w:rPr>
                <w:rFonts w:ascii="Times New Roman" w:hAnsi="Times New Roman" w:cs="Times New Roman"/>
                <w:sz w:val="24"/>
                <w:szCs w:val="24"/>
              </w:rPr>
              <w:t>right,b</w:t>
            </w:r>
            <w:proofErr w:type="spellEnd"/>
            <w:proofErr w:type="gramEnd"/>
            <w:r w:rsidR="0058723D" w:rsidRPr="003609FB">
              <w:rPr>
                <w:rFonts w:ascii="Times New Roman" w:hAnsi="Times New Roman" w:cs="Times New Roman"/>
                <w:sz w:val="24"/>
                <w:szCs w:val="24"/>
              </w:rPr>
              <w:t xml:space="preserve">) </w:t>
            </w:r>
            <w:proofErr w:type="spellStart"/>
            <w:r w:rsidRPr="00465D53">
              <w:rPr>
                <w:rFonts w:ascii="Times" w:hAnsi="Times" w:cs="Times New Roman"/>
                <w:i/>
                <w:iCs/>
                <w:color w:val="000000" w:themeColor="text1"/>
                <w:sz w:val="24"/>
                <w:szCs w:val="24"/>
              </w:rPr>
              <w:t>Synechococcus</w:t>
            </w:r>
            <w:proofErr w:type="spellEnd"/>
            <w:r>
              <w:rPr>
                <w:rFonts w:ascii="Times New Roman" w:hAnsi="Times New Roman" w:cs="Times New Roman"/>
                <w:sz w:val="24"/>
                <w:szCs w:val="24"/>
              </w:rPr>
              <w:t xml:space="preserve"> </w:t>
            </w:r>
            <w:r w:rsidRPr="001A5645">
              <w:rPr>
                <w:rFonts w:ascii="Times New Roman" w:hAnsi="Times New Roman" w:cs="Times New Roman"/>
                <w:sz w:val="24"/>
                <w:szCs w:val="24"/>
              </w:rPr>
              <w:t>(</w:t>
            </w:r>
            <w:r w:rsidRPr="001A5645">
              <w:rPr>
                <w:rFonts w:ascii="Times" w:hAnsi="Times" w:cs="Times New Roman"/>
                <w:color w:val="000000" w:themeColor="text1"/>
                <w:sz w:val="24"/>
                <w:szCs w:val="24"/>
              </w:rPr>
              <w:t>Syn</w:t>
            </w:r>
            <w:r w:rsidRPr="001A5645">
              <w:rPr>
                <w:rFonts w:ascii="Times New Roman" w:hAnsi="Times New Roman" w:cs="Times New Roman"/>
                <w:sz w:val="24"/>
                <w:szCs w:val="24"/>
              </w:rPr>
              <w:t>)</w:t>
            </w:r>
            <w:r>
              <w:rPr>
                <w:rFonts w:ascii="Times New Roman" w:hAnsi="Times New Roman" w:cs="Times New Roman"/>
                <w:sz w:val="24"/>
                <w:szCs w:val="24"/>
              </w:rPr>
              <w:t xml:space="preserve"> over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(Pro) and </w:t>
            </w:r>
            <w:proofErr w:type="spellStart"/>
            <w:r w:rsidR="00691B65" w:rsidRPr="00691B65">
              <w:rPr>
                <w:rFonts w:ascii="Times New Roman" w:hAnsi="Times New Roman" w:cs="Times New Roman"/>
                <w:i/>
                <w:iCs/>
                <w:sz w:val="24"/>
                <w:szCs w:val="24"/>
              </w:rPr>
              <w:t>Synechococcus</w:t>
            </w:r>
            <w:proofErr w:type="spellEnd"/>
            <w:r w:rsidR="0058723D" w:rsidRPr="003609FB">
              <w:rPr>
                <w:rFonts w:ascii="Times New Roman" w:hAnsi="Times New Roman" w:cs="Times New Roman"/>
                <w:sz w:val="24"/>
                <w:szCs w:val="24"/>
              </w:rPr>
              <w:t xml:space="preserve"> (Syn) ratio predicted from 1 year if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influx </w:t>
            </w:r>
            <w:r w:rsidR="00B93F7C">
              <w:rPr>
                <w:rFonts w:ascii="Times New Roman" w:hAnsi="Times New Roman" w:cs="Times New Roman"/>
                <w:sz w:val="24"/>
                <w:szCs w:val="24"/>
              </w:rPr>
              <w:t>(S</w:t>
            </w:r>
            <w:r w:rsidR="00B93F7C" w:rsidRPr="00B93F7C">
              <w:rPr>
                <w:rFonts w:ascii="Times New Roman" w:hAnsi="Times New Roman" w:cs="Times New Roman"/>
                <w:sz w:val="24"/>
                <w:szCs w:val="24"/>
                <w:vertAlign w:val="subscript"/>
              </w:rPr>
              <w:t xml:space="preserve">H </w:t>
            </w:r>
            <w:r w:rsidR="00B93F7C" w:rsidRPr="00B93F7C">
              <w:rPr>
                <w:rFonts w:ascii="Times New Roman" w:hAnsi="Times New Roman" w:cs="Times New Roman"/>
                <w:sz w:val="24"/>
                <w:szCs w:val="24"/>
              </w:rPr>
              <w:t>&gt; 0</w:t>
            </w:r>
            <w:r w:rsidR="00B93F7C">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and damage </w:t>
            </w:r>
            <w:r w:rsidR="00B93F7C">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i/>
                      <w:sz w:val="24"/>
                      <w:szCs w:val="24"/>
                    </w:rPr>
                    <w:sym w:font="Symbol" w:char="F06B"/>
                  </m:r>
                </m:e>
                <m:sub>
                  <m:r>
                    <w:rPr>
                      <w:rFonts w:ascii="Cambria Math" w:hAnsi="Cambria Math" w:cs="Times New Roman"/>
                      <w:sz w:val="24"/>
                      <w:szCs w:val="24"/>
                    </w:rPr>
                    <m:t>dam,i</m:t>
                  </m:r>
                </m:sub>
              </m:sSub>
            </m:oMath>
            <w:r w:rsidR="00B93F7C">
              <w:rPr>
                <w:rFonts w:ascii="Times New Roman" w:hAnsi="Times New Roman" w:cs="Times New Roman"/>
                <w:sz w:val="24"/>
                <w:szCs w:val="24"/>
              </w:rPr>
              <w:t xml:space="preserve">) </w:t>
            </w:r>
            <w:r w:rsidR="0058723D" w:rsidRPr="003609FB">
              <w:rPr>
                <w:rFonts w:ascii="Times New Roman" w:hAnsi="Times New Roman" w:cs="Times New Roman"/>
                <w:sz w:val="24"/>
                <w:szCs w:val="24"/>
              </w:rPr>
              <w:t>but no biotic detoxification</w:t>
            </w:r>
            <w:r w:rsidR="00B93F7C">
              <w:rPr>
                <w:rFonts w:ascii="Times New Roman" w:hAnsi="Times New Roman" w:cs="Times New Roman"/>
                <w:sz w:val="24"/>
                <w:szCs w:val="24"/>
              </w:rPr>
              <w:t xml:space="preserve"> </w:t>
            </w:r>
            <m:oMath>
              <m:d>
                <m:dPr>
                  <m:ctrlPr>
                    <w:rPr>
                      <w:rFonts w:ascii="Cambria Math" w:hAnsi="Cambria Math"/>
                      <w:i/>
                    </w:rPr>
                  </m:ctrlPr>
                </m:dPr>
                <m:e>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m:t>
                  </m:r>
                </m:e>
              </m:d>
            </m:oMath>
            <w:r w:rsidR="0058723D" w:rsidRPr="003609FB">
              <w:rPr>
                <w:rFonts w:ascii="Times New Roman" w:hAnsi="Times New Roman" w:cs="Times New Roman"/>
                <w:sz w:val="24"/>
                <w:szCs w:val="24"/>
              </w:rPr>
              <w:t xml:space="preserve"> is allowed. </w:t>
            </w:r>
            <w:proofErr w:type="spellStart"/>
            <w:r w:rsidR="00691B65" w:rsidRPr="00691B65">
              <w:rPr>
                <w:rFonts w:ascii="Times New Roman" w:hAnsi="Times New Roman" w:cs="Times New Roman"/>
                <w:i/>
                <w:iCs/>
                <w:sz w:val="24"/>
                <w:szCs w:val="24"/>
              </w:rPr>
              <w:t>Synechococcus</w:t>
            </w:r>
            <w:proofErr w:type="spellEnd"/>
            <w:r w:rsidR="0058723D" w:rsidRPr="003609FB">
              <w:rPr>
                <w:rFonts w:ascii="Times New Roman" w:hAnsi="Times New Roman" w:cs="Times New Roman"/>
                <w:sz w:val="24"/>
                <w:szCs w:val="24"/>
              </w:rPr>
              <w:t xml:space="preserve"> survives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58723D" w:rsidRPr="003609FB">
              <w:rPr>
                <w:rFonts w:ascii="Times New Roman" w:hAnsi="Times New Roman" w:cs="Times New Roman"/>
                <w:sz w:val="24"/>
                <w:szCs w:val="24"/>
              </w:rPr>
              <w:t xml:space="preserve"> test while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58723D" w:rsidRPr="003609FB">
              <w:rPr>
                <w:rFonts w:ascii="Times New Roman" w:hAnsi="Times New Roman" w:cs="Times New Roman"/>
                <w:sz w:val="24"/>
                <w:szCs w:val="24"/>
              </w:rPr>
              <w:t xml:space="preserve">is killed everywhere despite its superior nutrient affinity. Leading to a world devoid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1823BB">
              <w:rPr>
                <w:rFonts w:ascii="Times New Roman" w:hAnsi="Times New Roman" w:cs="Times New Roman"/>
                <w:sz w:val="24"/>
                <w:szCs w:val="24"/>
              </w:rPr>
              <w:t>cell biomass</w:t>
            </w:r>
            <w:r w:rsidR="0058723D" w:rsidRPr="003609FB">
              <w:rPr>
                <w:rFonts w:ascii="Times New Roman" w:hAnsi="Times New Roman" w:cs="Times New Roman"/>
                <w:sz w:val="24"/>
                <w:szCs w:val="24"/>
              </w:rPr>
              <w:t xml:space="preserve">. </w:t>
            </w:r>
          </w:p>
          <w:p w14:paraId="5C193861" w14:textId="77777777" w:rsidR="0058723D" w:rsidRDefault="0058723D" w:rsidP="00AB2160">
            <w:pPr>
              <w:spacing w:line="360" w:lineRule="auto"/>
              <w:rPr>
                <w:rFonts w:ascii="Times New Roman" w:hAnsi="Times New Roman" w:cs="Times New Roman"/>
                <w:sz w:val="24"/>
                <w:szCs w:val="24"/>
              </w:rPr>
            </w:pPr>
          </w:p>
          <w:p w14:paraId="3E26D9EB" w14:textId="77777777" w:rsidR="0058723D" w:rsidRDefault="0058723D" w:rsidP="00AB2160">
            <w:pPr>
              <w:spacing w:line="360" w:lineRule="auto"/>
              <w:rPr>
                <w:rFonts w:ascii="Times New Roman" w:hAnsi="Times New Roman" w:cs="Times New Roman"/>
                <w:sz w:val="24"/>
                <w:szCs w:val="24"/>
              </w:rPr>
            </w:pPr>
          </w:p>
          <w:p w14:paraId="7C5C9E9A" w14:textId="77777777" w:rsidR="0058723D" w:rsidRDefault="0058723D" w:rsidP="00AB2160">
            <w:pPr>
              <w:spacing w:line="360" w:lineRule="auto"/>
              <w:rPr>
                <w:rFonts w:ascii="Times New Roman" w:hAnsi="Times New Roman" w:cs="Times New Roman"/>
                <w:sz w:val="24"/>
                <w:szCs w:val="24"/>
              </w:rPr>
            </w:pPr>
          </w:p>
          <w:p w14:paraId="377E6CD5" w14:textId="77777777" w:rsidR="0058723D" w:rsidRDefault="0058723D" w:rsidP="00AB2160">
            <w:pPr>
              <w:spacing w:line="360" w:lineRule="auto"/>
              <w:rPr>
                <w:rFonts w:ascii="Times New Roman" w:hAnsi="Times New Roman" w:cs="Times New Roman"/>
                <w:sz w:val="24"/>
                <w:szCs w:val="24"/>
              </w:rPr>
            </w:pPr>
          </w:p>
          <w:p w14:paraId="4A2FA8CD" w14:textId="77777777" w:rsidR="003D7834" w:rsidRDefault="003D7834" w:rsidP="00FC6C7F">
            <w:pPr>
              <w:spacing w:line="360" w:lineRule="auto"/>
              <w:rPr>
                <w:rFonts w:ascii="Times New Roman" w:hAnsi="Times New Roman" w:cs="Times New Roman"/>
                <w:sz w:val="24"/>
                <w:szCs w:val="24"/>
              </w:rPr>
            </w:pPr>
          </w:p>
          <w:p w14:paraId="3781C6F1" w14:textId="77777777" w:rsidR="00B93F7C" w:rsidRDefault="00B93F7C" w:rsidP="00FC6C7F">
            <w:pPr>
              <w:spacing w:line="360" w:lineRule="auto"/>
              <w:rPr>
                <w:rFonts w:ascii="Times New Roman" w:hAnsi="Times New Roman" w:cs="Times New Roman"/>
                <w:sz w:val="24"/>
                <w:szCs w:val="24"/>
              </w:rPr>
            </w:pPr>
          </w:p>
          <w:p w14:paraId="34FC60B5" w14:textId="77777777" w:rsidR="00DD5229" w:rsidRDefault="00DD5229" w:rsidP="00FC6C7F">
            <w:pPr>
              <w:spacing w:line="360" w:lineRule="auto"/>
              <w:rPr>
                <w:rFonts w:ascii="Times New Roman" w:hAnsi="Times New Roman" w:cs="Times New Roman"/>
                <w:sz w:val="24"/>
                <w:szCs w:val="24"/>
              </w:rPr>
            </w:pPr>
          </w:p>
          <w:p w14:paraId="1B3A62A9" w14:textId="77777777" w:rsidR="00B93F7C" w:rsidRDefault="00B93F7C" w:rsidP="00FC6C7F">
            <w:pPr>
              <w:spacing w:line="360" w:lineRule="auto"/>
              <w:rPr>
                <w:rFonts w:ascii="Times New Roman" w:hAnsi="Times New Roman" w:cs="Times New Roman"/>
                <w:sz w:val="24"/>
                <w:szCs w:val="24"/>
              </w:rPr>
            </w:pPr>
          </w:p>
          <w:p w14:paraId="0F59AF19" w14:textId="7F344681" w:rsidR="00072008" w:rsidRPr="003609FB" w:rsidRDefault="00072008" w:rsidP="00FC6C7F">
            <w:pPr>
              <w:spacing w:line="360" w:lineRule="auto"/>
              <w:rPr>
                <w:rFonts w:ascii="Times New Roman" w:hAnsi="Times New Roman" w:cs="Times New Roman"/>
                <w:sz w:val="24"/>
                <w:szCs w:val="24"/>
              </w:rPr>
            </w:pPr>
          </w:p>
        </w:tc>
      </w:tr>
      <w:tr w:rsidR="0058723D" w:rsidRPr="003609FB" w14:paraId="38AE91CF" w14:textId="77777777" w:rsidTr="00F63A22">
        <w:trPr>
          <w:trHeight w:val="513"/>
        </w:trPr>
        <w:tc>
          <w:tcPr>
            <w:tcW w:w="5000" w:type="pct"/>
          </w:tcPr>
          <w:p w14:paraId="04151AB7" w14:textId="334DF3E0" w:rsidR="0058723D" w:rsidRPr="003609FB" w:rsidRDefault="005F17C9" w:rsidP="00AB216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C6C7F" w:rsidRPr="003609FB">
              <w:rPr>
                <w:rFonts w:ascii="Times New Roman" w:hAnsi="Times New Roman" w:cs="Times New Roman"/>
                <w:sz w:val="24"/>
                <w:szCs w:val="24"/>
              </w:rPr>
              <w:t xml:space="preserve">a </w:t>
            </w:r>
            <w:r w:rsidR="00FC6C7F">
              <w:rPr>
                <w:rFonts w:ascii="Times New Roman" w:hAnsi="Times New Roman" w:cs="Times New Roman"/>
                <w:sz w:val="24"/>
                <w:szCs w:val="24"/>
              </w:rPr>
              <w:t xml:space="preserve">      </w:t>
            </w:r>
            <w:r w:rsidR="00FC6C7F" w:rsidRPr="003609FB">
              <w:rPr>
                <w:rFonts w:ascii="Times New Roman" w:hAnsi="Times New Roman" w:cs="Times New Roman"/>
                <w:sz w:val="24"/>
                <w:szCs w:val="24"/>
              </w:rPr>
              <w:t xml:space="preserve">  </w:t>
            </w:r>
            <w:r w:rsidR="00FC6C7F">
              <w:rPr>
                <w:rFonts w:ascii="Times New Roman" w:hAnsi="Times New Roman" w:cs="Times New Roman"/>
                <w:sz w:val="24"/>
                <w:szCs w:val="24"/>
              </w:rPr>
              <w:t xml:space="preserve">                 </w:t>
            </w:r>
            <w:r w:rsidR="00FC6C7F" w:rsidRPr="003609FB">
              <w:rPr>
                <w:rFonts w:ascii="Times New Roman" w:hAnsi="Times New Roman" w:cs="Times New Roman"/>
                <w:sz w:val="24"/>
                <w:szCs w:val="24"/>
              </w:rPr>
              <w:t>H</w:t>
            </w:r>
            <w:r w:rsidR="00FC6C7F" w:rsidRPr="00351FC4">
              <w:rPr>
                <w:rFonts w:ascii="Times New Roman" w:hAnsi="Times New Roman" w:cs="Times New Roman"/>
                <w:sz w:val="24"/>
                <w:szCs w:val="24"/>
                <w:vertAlign w:val="subscript"/>
              </w:rPr>
              <w:t>2</w:t>
            </w:r>
            <w:r w:rsidR="00FC6C7F" w:rsidRPr="003609FB">
              <w:rPr>
                <w:rFonts w:ascii="Times New Roman" w:hAnsi="Times New Roman" w:cs="Times New Roman"/>
                <w:sz w:val="24"/>
                <w:szCs w:val="24"/>
              </w:rPr>
              <w:t>O</w:t>
            </w:r>
            <w:r w:rsidR="00FC6C7F" w:rsidRPr="00351FC4">
              <w:rPr>
                <w:rFonts w:ascii="Times New Roman" w:hAnsi="Times New Roman" w:cs="Times New Roman"/>
                <w:sz w:val="24"/>
                <w:szCs w:val="24"/>
                <w:vertAlign w:val="subscript"/>
              </w:rPr>
              <w:t>2</w:t>
            </w:r>
            <w:r w:rsidR="00FC6C7F" w:rsidRPr="003609FB">
              <w:rPr>
                <w:rFonts w:ascii="Times New Roman" w:hAnsi="Times New Roman" w:cs="Times New Roman"/>
                <w:sz w:val="24"/>
                <w:szCs w:val="24"/>
              </w:rPr>
              <w:t xml:space="preserve"> M                             </w:t>
            </w:r>
            <w:r w:rsidR="00506D75">
              <w:rPr>
                <w:rFonts w:ascii="Times New Roman" w:hAnsi="Times New Roman" w:cs="Times New Roman"/>
                <w:sz w:val="24"/>
                <w:szCs w:val="24"/>
              </w:rPr>
              <w:t xml:space="preserve">       </w:t>
            </w:r>
            <w:r w:rsidR="00FC6C7F" w:rsidRPr="003609FB">
              <w:rPr>
                <w:rFonts w:ascii="Times New Roman" w:hAnsi="Times New Roman" w:cs="Times New Roman"/>
                <w:sz w:val="24"/>
                <w:szCs w:val="24"/>
              </w:rPr>
              <w:t xml:space="preserve">b </w:t>
            </w:r>
            <w:r w:rsidR="00FC6C7F">
              <w:rPr>
                <w:rFonts w:ascii="Times New Roman" w:hAnsi="Times New Roman" w:cs="Times New Roman"/>
                <w:sz w:val="24"/>
                <w:szCs w:val="24"/>
              </w:rPr>
              <w:t xml:space="preserve">                  </w:t>
            </w:r>
            <w:r w:rsidR="00FC6C7F" w:rsidRPr="003609FB">
              <w:rPr>
                <w:rFonts w:ascii="Times New Roman" w:hAnsi="Times New Roman" w:cs="Times New Roman"/>
                <w:sz w:val="24"/>
                <w:szCs w:val="24"/>
              </w:rPr>
              <w:t xml:space="preserve">Syn/ (Pro+ Syn) </w:t>
            </w:r>
          </w:p>
        </w:tc>
      </w:tr>
      <w:tr w:rsidR="0058723D" w:rsidRPr="003609FB" w14:paraId="0AE53376" w14:textId="77777777" w:rsidTr="00F63A22">
        <w:trPr>
          <w:trHeight w:val="530"/>
        </w:trPr>
        <w:tc>
          <w:tcPr>
            <w:tcW w:w="5000" w:type="pct"/>
          </w:tcPr>
          <w:p w14:paraId="1C1C75F0" w14:textId="16D960DC" w:rsidR="0058723D" w:rsidRPr="003609FB" w:rsidRDefault="005F17C9" w:rsidP="00AB2160">
            <w:pPr>
              <w:keepNext/>
              <w:spacing w:line="360" w:lineRule="auto"/>
              <w:rPr>
                <w:rFonts w:ascii="Times New Roman" w:hAnsi="Times New Roman" w:cs="Times New Roman"/>
                <w:sz w:val="24"/>
                <w:szCs w:val="24"/>
                <w:highlight w:val="yellow"/>
              </w:rPr>
            </w:pPr>
            <w:r>
              <w:rPr>
                <w:rFonts w:ascii="Times New Roman" w:hAnsi="Times New Roman" w:cs="Times New Roman"/>
                <w:noProof/>
                <w:sz w:val="24"/>
                <w:szCs w:val="24"/>
              </w:rPr>
              <w:drawing>
                <wp:inline distT="0" distB="0" distL="0" distR="0" wp14:anchorId="2C658B66" wp14:editId="509196A4">
                  <wp:extent cx="5943600" cy="2348230"/>
                  <wp:effectExtent l="0" t="0" r="0" b="1270"/>
                  <wp:docPr id="26" name="Picture 26" descr="A close-up of 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close-up of a map of the world&#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2348230"/>
                          </a:xfrm>
                          <a:prstGeom prst="rect">
                            <a:avLst/>
                          </a:prstGeom>
                        </pic:spPr>
                      </pic:pic>
                    </a:graphicData>
                  </a:graphic>
                </wp:inline>
              </w:drawing>
            </w:r>
          </w:p>
        </w:tc>
      </w:tr>
    </w:tbl>
    <w:p w14:paraId="1973AE92" w14:textId="3B84D41B" w:rsidR="00072008" w:rsidRPr="003609FB" w:rsidRDefault="00F63A22" w:rsidP="00072008">
      <w:pPr>
        <w:pStyle w:val="Caption"/>
      </w:pPr>
      <w:bookmarkStart w:id="83" w:name="_Toc173148392"/>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4</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5</w:t>
      </w:r>
      <w:r w:rsidR="00000000">
        <w:rPr>
          <w:noProof/>
        </w:rPr>
        <w:fldChar w:fldCharType="end"/>
      </w:r>
      <w:r>
        <w:t xml:space="preserve"> </w:t>
      </w:r>
      <w:r w:rsidRPr="00B50633">
        <w:t xml:space="preserve">Leaky </w:t>
      </w:r>
      <w:r w:rsidR="00F52F1E" w:rsidRPr="003609FB">
        <w:t>H</w:t>
      </w:r>
      <w:r w:rsidR="00F52F1E" w:rsidRPr="00351FC4">
        <w:rPr>
          <w:vertAlign w:val="subscript"/>
        </w:rPr>
        <w:t>2</w:t>
      </w:r>
      <w:r w:rsidR="00F52F1E" w:rsidRPr="003609FB">
        <w:t>O</w:t>
      </w:r>
      <w:r w:rsidR="00F52F1E" w:rsidRPr="00351FC4">
        <w:rPr>
          <w:vertAlign w:val="subscript"/>
        </w:rPr>
        <w:t>2</w:t>
      </w:r>
      <w:r w:rsidRPr="00B50633">
        <w:t xml:space="preserve"> dynamics using monoculture </w:t>
      </w:r>
      <w:r w:rsidRPr="00DA51C2">
        <w:rPr>
          <w:i/>
          <w:iCs/>
        </w:rPr>
        <w:t>Prochlorococcus</w:t>
      </w:r>
      <w:r w:rsidRPr="00B50633">
        <w:t xml:space="preserve"> and </w:t>
      </w:r>
      <w:proofErr w:type="spellStart"/>
      <w:r w:rsidRPr="00DA51C2">
        <w:rPr>
          <w:i/>
          <w:iCs/>
        </w:rPr>
        <w:t>Synechococcus</w:t>
      </w:r>
      <w:proofErr w:type="spellEnd"/>
      <w:r w:rsidRPr="00B50633">
        <w:t xml:space="preserve"> parameters</w:t>
      </w:r>
      <w:r>
        <w:t>.</w:t>
      </w:r>
      <w:bookmarkEnd w:id="83"/>
      <w:r w:rsidR="00072008">
        <w:t xml:space="preserve"> Annual mean </w:t>
      </w:r>
      <w:r w:rsidR="00072008" w:rsidRPr="003609FB">
        <w:t>H</w:t>
      </w:r>
      <w:r w:rsidR="00072008" w:rsidRPr="00351FC4">
        <w:rPr>
          <w:vertAlign w:val="subscript"/>
        </w:rPr>
        <w:t>2</w:t>
      </w:r>
      <w:r w:rsidR="00072008" w:rsidRPr="003609FB">
        <w:t>O</w:t>
      </w:r>
      <w:r w:rsidR="00072008" w:rsidRPr="00351FC4">
        <w:rPr>
          <w:vertAlign w:val="subscript"/>
        </w:rPr>
        <w:t>2</w:t>
      </w:r>
      <w:r w:rsidR="00072008" w:rsidRPr="003609FB">
        <w:t xml:space="preserve"> (</w:t>
      </w:r>
      <w:proofErr w:type="spellStart"/>
      <w:proofErr w:type="gramStart"/>
      <w:r w:rsidR="00072008" w:rsidRPr="003609FB">
        <w:t>left,a</w:t>
      </w:r>
      <w:proofErr w:type="spellEnd"/>
      <w:proofErr w:type="gramEnd"/>
      <w:r w:rsidR="00072008" w:rsidRPr="003609FB">
        <w:t>) and (</w:t>
      </w:r>
      <w:proofErr w:type="spellStart"/>
      <w:r w:rsidR="00072008" w:rsidRPr="003609FB">
        <w:t>right,b</w:t>
      </w:r>
      <w:proofErr w:type="spellEnd"/>
      <w:r w:rsidR="00072008" w:rsidRPr="003609FB">
        <w:t xml:space="preserve">) </w:t>
      </w:r>
      <w:r w:rsidR="00072008" w:rsidRPr="00691B65">
        <w:rPr>
          <w:i/>
          <w:iCs/>
        </w:rPr>
        <w:t>Prochlorococcus</w:t>
      </w:r>
      <w:r w:rsidR="00072008" w:rsidRPr="003609FB">
        <w:t xml:space="preserve"> and </w:t>
      </w:r>
      <w:proofErr w:type="spellStart"/>
      <w:r w:rsidR="00072008" w:rsidRPr="00691B65">
        <w:rPr>
          <w:i/>
          <w:iCs/>
        </w:rPr>
        <w:t>Synechococcus</w:t>
      </w:r>
      <w:proofErr w:type="spellEnd"/>
      <w:r w:rsidR="00072008" w:rsidRPr="003609FB">
        <w:t xml:space="preserve"> from year </w:t>
      </w:r>
      <w:r w:rsidR="00072008">
        <w:t xml:space="preserve">9 </w:t>
      </w:r>
      <w:r w:rsidR="00072008" w:rsidRPr="003609FB">
        <w:t>o</w:t>
      </w:r>
      <w:r w:rsidR="00072008">
        <w:t xml:space="preserve">f our model case for </w:t>
      </w:r>
      <w:r w:rsidR="00072008" w:rsidRPr="003609FB">
        <w:t>H</w:t>
      </w:r>
      <w:r w:rsidR="00072008" w:rsidRPr="00351FC4">
        <w:rPr>
          <w:vertAlign w:val="subscript"/>
        </w:rPr>
        <w:t>2</w:t>
      </w:r>
      <w:r w:rsidR="00072008" w:rsidRPr="003609FB">
        <w:t>O</w:t>
      </w:r>
      <w:r w:rsidR="00072008" w:rsidRPr="00351FC4">
        <w:rPr>
          <w:vertAlign w:val="subscript"/>
        </w:rPr>
        <w:t>2</w:t>
      </w:r>
      <w:r w:rsidR="00072008" w:rsidRPr="003609FB">
        <w:t xml:space="preserve"> </w:t>
      </w:r>
      <w:r w:rsidR="00072008">
        <w:t xml:space="preserve">impact </w:t>
      </w:r>
      <w:r w:rsidR="00072008" w:rsidRPr="003609FB">
        <w:t>with biotic detoxification implemented</w:t>
      </w:r>
      <w:r w:rsidR="00072008">
        <w:t xml:space="preserve"> as well</w:t>
      </w:r>
      <w:r w:rsidR="00072008" w:rsidRPr="003609FB">
        <w:t xml:space="preserve">. </w:t>
      </w:r>
      <w:r w:rsidR="00072008" w:rsidRPr="00691B65">
        <w:rPr>
          <w:i/>
          <w:iCs/>
        </w:rPr>
        <w:t>Prochlorococcus</w:t>
      </w:r>
      <w:r w:rsidR="00072008" w:rsidRPr="003609FB">
        <w:t xml:space="preserve"> is saved </w:t>
      </w:r>
      <w:r w:rsidR="00072008">
        <w:t xml:space="preserve">from obliteration through the implementation of a biotic </w:t>
      </w:r>
      <w:r w:rsidR="00072008" w:rsidRPr="003609FB">
        <w:t>H</w:t>
      </w:r>
      <w:r w:rsidR="00072008" w:rsidRPr="00351FC4">
        <w:rPr>
          <w:vertAlign w:val="subscript"/>
        </w:rPr>
        <w:t>2</w:t>
      </w:r>
      <w:r w:rsidR="00072008" w:rsidRPr="003609FB">
        <w:t>O</w:t>
      </w:r>
      <w:r w:rsidR="00072008" w:rsidRPr="00351FC4">
        <w:rPr>
          <w:vertAlign w:val="subscript"/>
        </w:rPr>
        <w:t>2</w:t>
      </w:r>
      <w:r w:rsidR="00072008" w:rsidRPr="003609FB">
        <w:t xml:space="preserve"> detox</w:t>
      </w:r>
      <w:r w:rsidR="00072008">
        <w:t xml:space="preserve">ification </w:t>
      </w:r>
      <w:r w:rsidR="00072008" w:rsidRPr="003609FB">
        <w:t xml:space="preserve">parameter </w:t>
      </w:r>
      <m:oMath>
        <m:d>
          <m:dPr>
            <m:ctrlPr>
              <w:rPr>
                <w:rFonts w:ascii="Cambria Math" w:hAnsi="Cambria Math"/>
                <w:i/>
              </w:rPr>
            </m:ctrlPr>
          </m:dPr>
          <m:e>
            <m:sSub>
              <m:sSubPr>
                <m:ctrlPr>
                  <w:rPr>
                    <w:rFonts w:ascii="Cambria Math" w:hAnsi="Cambria Math"/>
                  </w:rPr>
                </m:ctrlPr>
              </m:sSubPr>
              <m:e>
                <m:r>
                  <w:rPr>
                    <w:rFonts w:ascii="Cambria Math" w:hAnsi="Cambria Math"/>
                  </w:rPr>
                  <m:t>ϕ</m:t>
                </m:r>
              </m:e>
              <m:sub>
                <m:r>
                  <w:rPr>
                    <w:rFonts w:ascii="Cambria Math" w:hAnsi="Cambria Math"/>
                  </w:rPr>
                  <m:t>max,i</m:t>
                </m:r>
              </m:sub>
            </m:sSub>
            <m:r>
              <w:rPr>
                <w:rFonts w:ascii="Cambria Math" w:hAnsi="Cambria Math"/>
              </w:rPr>
              <m:t xml:space="preserve"> </m:t>
            </m:r>
          </m:e>
        </m:d>
        <m:r>
          <w:rPr>
            <w:rFonts w:ascii="Cambria Math" w:hAnsi="Cambria Math"/>
          </w:rPr>
          <m:t xml:space="preserve"> </m:t>
        </m:r>
      </m:oMath>
      <w:r w:rsidR="00072008">
        <w:t>provided by</w:t>
      </w:r>
      <w:r w:rsidR="00072008" w:rsidRPr="003609FB">
        <w:t xml:space="preserve"> </w:t>
      </w:r>
      <w:proofErr w:type="spellStart"/>
      <w:r w:rsidR="00072008" w:rsidRPr="00691B65">
        <w:rPr>
          <w:i/>
          <w:iCs/>
        </w:rPr>
        <w:t>Synechococcus</w:t>
      </w:r>
      <w:proofErr w:type="spellEnd"/>
      <w:r w:rsidR="00072008" w:rsidRPr="003609FB">
        <w:t xml:space="preserve"> </w:t>
      </w:r>
      <w:r w:rsidR="00072008">
        <w:t>cells (</w:t>
      </w:r>
      <m:oMath>
        <m:sSub>
          <m:sSubPr>
            <m:ctrlPr>
              <w:rPr>
                <w:rFonts w:ascii="Cambria Math" w:hAnsi="Cambria Math"/>
              </w:rPr>
            </m:ctrlPr>
          </m:sSubPr>
          <m:e>
            <m:r>
              <w:rPr>
                <w:rFonts w:ascii="Cambria Math" w:hAnsi="Cambria Math"/>
              </w:rPr>
              <m:t>ϕ</m:t>
            </m:r>
          </m:e>
          <m:sub>
            <m:r>
              <w:rPr>
                <w:rFonts w:ascii="Cambria Math" w:hAnsi="Cambria Math"/>
              </w:rPr>
              <m:t>max,S</m:t>
            </m:r>
          </m:sub>
        </m:sSub>
        <m:r>
          <w:rPr>
            <w:rFonts w:ascii="Cambria Math" w:hAnsi="Cambria Math"/>
          </w:rPr>
          <m:t xml:space="preserve">) </m:t>
        </m:r>
      </m:oMath>
      <w:r w:rsidR="00072008">
        <w:t xml:space="preserve">in this case 3 model run. Heterotrophic </w:t>
      </w:r>
      <w:r w:rsidR="00072008" w:rsidRPr="003609FB">
        <w:t>bacteria</w:t>
      </w:r>
      <w:r w:rsidR="00072008">
        <w:t xml:space="preserve"> </w:t>
      </w:r>
      <w:r w:rsidR="00072008" w:rsidRPr="003609FB">
        <w:t xml:space="preserve">are neglected </w:t>
      </w:r>
      <w:r w:rsidR="00072008">
        <w:t>in this case (#3)</w:t>
      </w:r>
      <w:r w:rsidR="00072008" w:rsidRPr="003609FB">
        <w:t>.</w:t>
      </w:r>
    </w:p>
    <w:p w14:paraId="01D4B9D0" w14:textId="05FCE199" w:rsidR="00F63A22" w:rsidRDefault="00F63A22" w:rsidP="00511118">
      <w:pPr>
        <w:pStyle w:val="Caption"/>
      </w:pPr>
    </w:p>
    <w:p w14:paraId="4D1ADEB2" w14:textId="1ADE229D" w:rsidR="0058723D" w:rsidRDefault="0058723D" w:rsidP="00AB2160">
      <w:pPr>
        <w:spacing w:line="360" w:lineRule="auto"/>
        <w:rPr>
          <w:rFonts w:ascii="Times New Roman" w:hAnsi="Times New Roman" w:cs="Times New Roman"/>
          <w:sz w:val="24"/>
          <w:szCs w:val="24"/>
        </w:rPr>
      </w:pPr>
    </w:p>
    <w:p w14:paraId="56E2B39B" w14:textId="52112197" w:rsidR="0058723D" w:rsidRDefault="0058723D" w:rsidP="00AB2160">
      <w:pPr>
        <w:spacing w:line="360" w:lineRule="auto"/>
        <w:rPr>
          <w:rFonts w:ascii="Times New Roman" w:hAnsi="Times New Roman" w:cs="Times New Roman"/>
          <w:sz w:val="24"/>
          <w:szCs w:val="24"/>
        </w:rPr>
      </w:pPr>
    </w:p>
    <w:p w14:paraId="7642875A" w14:textId="714F7E4E" w:rsidR="0058723D" w:rsidRDefault="0058723D" w:rsidP="00AB2160">
      <w:pPr>
        <w:spacing w:line="360" w:lineRule="auto"/>
        <w:rPr>
          <w:rFonts w:ascii="Times New Roman" w:hAnsi="Times New Roman" w:cs="Times New Roman"/>
          <w:sz w:val="24"/>
          <w:szCs w:val="24"/>
        </w:rPr>
      </w:pPr>
    </w:p>
    <w:p w14:paraId="11AD64DC" w14:textId="4402FC67" w:rsidR="0058723D" w:rsidRDefault="0058723D" w:rsidP="00AB2160">
      <w:pPr>
        <w:spacing w:line="360" w:lineRule="auto"/>
        <w:rPr>
          <w:rFonts w:ascii="Times New Roman" w:hAnsi="Times New Roman" w:cs="Times New Roman"/>
          <w:sz w:val="24"/>
          <w:szCs w:val="24"/>
        </w:rPr>
      </w:pPr>
    </w:p>
    <w:p w14:paraId="4199C2E6" w14:textId="42D6D655" w:rsidR="0058723D" w:rsidRDefault="0058723D" w:rsidP="00AB2160">
      <w:pPr>
        <w:spacing w:line="360" w:lineRule="auto"/>
        <w:rPr>
          <w:rFonts w:ascii="Times New Roman" w:hAnsi="Times New Roman" w:cs="Times New Roman"/>
          <w:sz w:val="24"/>
          <w:szCs w:val="24"/>
        </w:rPr>
      </w:pPr>
    </w:p>
    <w:p w14:paraId="641BF0DA" w14:textId="77777777" w:rsidR="001A5645" w:rsidRDefault="001A5645" w:rsidP="00AB2160">
      <w:pPr>
        <w:spacing w:line="360" w:lineRule="auto"/>
        <w:rPr>
          <w:rFonts w:ascii="Times New Roman" w:hAnsi="Times New Roman" w:cs="Times New Roman"/>
          <w:sz w:val="24"/>
          <w:szCs w:val="24"/>
        </w:rPr>
      </w:pPr>
    </w:p>
    <w:p w14:paraId="5450DFF9" w14:textId="7F196B32" w:rsidR="00554769" w:rsidRPr="003609FB" w:rsidRDefault="00FC6C7F" w:rsidP="00AB2160">
      <w:pPr>
        <w:keepNext/>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609FB">
        <w:rPr>
          <w:rFonts w:ascii="Times New Roman" w:hAnsi="Times New Roman" w:cs="Times New Roman"/>
          <w:sz w:val="24"/>
          <w:szCs w:val="24"/>
        </w:rPr>
        <w:t xml:space="preserve">a </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                             b </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Syn/ (Pro+ Syn) </w:t>
      </w:r>
      <w:r w:rsidR="00C31268">
        <w:rPr>
          <w:rFonts w:ascii="Times New Roman" w:hAnsi="Times New Roman" w:cs="Times New Roman"/>
          <w:noProof/>
          <w:sz w:val="24"/>
          <w:szCs w:val="24"/>
        </w:rPr>
        <w:drawing>
          <wp:inline distT="0" distB="0" distL="0" distR="0" wp14:anchorId="0D3254E7" wp14:editId="3894C944">
            <wp:extent cx="5943600" cy="2368550"/>
            <wp:effectExtent l="0" t="0" r="0" b="6350"/>
            <wp:docPr id="38" name="Picture 38"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up of a map&#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2368550"/>
                    </a:xfrm>
                    <a:prstGeom prst="rect">
                      <a:avLst/>
                    </a:prstGeom>
                  </pic:spPr>
                </pic:pic>
              </a:graphicData>
            </a:graphic>
          </wp:inline>
        </w:drawing>
      </w:r>
    </w:p>
    <w:p w14:paraId="43FF3685" w14:textId="75BD2321" w:rsidR="00554769" w:rsidRDefault="00590F22" w:rsidP="00511118">
      <w:pPr>
        <w:pStyle w:val="Caption"/>
      </w:pPr>
      <w:bookmarkStart w:id="84" w:name="_Toc173148393"/>
      <w:r>
        <w:t xml:space="preserve">Figure </w:t>
      </w:r>
      <w:r w:rsidR="00000000">
        <w:fldChar w:fldCharType="begin"/>
      </w:r>
      <w:r w:rsidR="00000000">
        <w:instrText xml:space="preserve"> STYLEREF 1 \s </w:instrText>
      </w:r>
      <w:r w:rsidR="00000000">
        <w:fldChar w:fldCharType="separate"/>
      </w:r>
      <w:r w:rsidR="000D7BCF">
        <w:rPr>
          <w:noProof/>
          <w:cs/>
        </w:rPr>
        <w:t>‎</w:t>
      </w:r>
      <w:r w:rsidR="000D7BCF">
        <w:rPr>
          <w:noProof/>
        </w:rPr>
        <w:t>4</w:t>
      </w:r>
      <w:r w:rsidR="00000000">
        <w:rPr>
          <w:noProof/>
        </w:rPr>
        <w:fldChar w:fldCharType="end"/>
      </w:r>
      <w:r w:rsidR="000D7BCF">
        <w:t>.</w:t>
      </w:r>
      <w:r w:rsidR="00000000">
        <w:fldChar w:fldCharType="begin"/>
      </w:r>
      <w:r w:rsidR="00000000">
        <w:instrText xml:space="preserve"> SEQ Figure \* ARABIC \s 1 </w:instrText>
      </w:r>
      <w:r w:rsidR="00000000">
        <w:fldChar w:fldCharType="separate"/>
      </w:r>
      <w:r w:rsidR="000D7BCF">
        <w:rPr>
          <w:noProof/>
        </w:rPr>
        <w:t>6</w:t>
      </w:r>
      <w:r w:rsidR="00000000">
        <w:rPr>
          <w:noProof/>
        </w:rPr>
        <w:fldChar w:fldCharType="end"/>
      </w:r>
      <w:r>
        <w:t xml:space="preserve"> </w:t>
      </w:r>
      <w:r w:rsidRPr="008077C6">
        <w:t xml:space="preserve">Leaky </w:t>
      </w:r>
      <w:r w:rsidR="00F52F1E" w:rsidRPr="003609FB">
        <w:t>H</w:t>
      </w:r>
      <w:r w:rsidR="00F52F1E" w:rsidRPr="00351FC4">
        <w:rPr>
          <w:vertAlign w:val="subscript"/>
        </w:rPr>
        <w:t>2</w:t>
      </w:r>
      <w:r w:rsidR="00F52F1E" w:rsidRPr="003609FB">
        <w:t>O</w:t>
      </w:r>
      <w:r w:rsidR="00F52F1E" w:rsidRPr="00351FC4">
        <w:rPr>
          <w:vertAlign w:val="subscript"/>
        </w:rPr>
        <w:t>2</w:t>
      </w:r>
      <w:r w:rsidRPr="008077C6">
        <w:t xml:space="preserve"> dynamics using Bacterial and </w:t>
      </w:r>
      <w:proofErr w:type="spellStart"/>
      <w:r w:rsidRPr="00590F22">
        <w:rPr>
          <w:i/>
          <w:iCs/>
        </w:rPr>
        <w:t>Synechococcus</w:t>
      </w:r>
      <w:proofErr w:type="spellEnd"/>
      <w:r w:rsidRPr="008077C6">
        <w:t xml:space="preserve"> detoxification </w:t>
      </w:r>
      <w:r w:rsidR="00357530" w:rsidRPr="008077C6">
        <w:t>parameters.</w:t>
      </w:r>
      <w:bookmarkEnd w:id="84"/>
    </w:p>
    <w:p w14:paraId="6149EE48" w14:textId="7DD13731" w:rsidR="00590F22" w:rsidRPr="003609FB" w:rsidRDefault="00F52F1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90F22" w:rsidRPr="003609FB">
        <w:rPr>
          <w:rFonts w:ascii="Times New Roman" w:hAnsi="Times New Roman" w:cs="Times New Roman"/>
          <w:sz w:val="24"/>
          <w:szCs w:val="24"/>
        </w:rPr>
        <w:t xml:space="preserve"> (left, a) and (</w:t>
      </w:r>
      <w:proofErr w:type="spellStart"/>
      <w:proofErr w:type="gramStart"/>
      <w:r w:rsidR="00590F22" w:rsidRPr="003609FB">
        <w:rPr>
          <w:rFonts w:ascii="Times New Roman" w:hAnsi="Times New Roman" w:cs="Times New Roman"/>
          <w:sz w:val="24"/>
          <w:szCs w:val="24"/>
        </w:rPr>
        <w:t>right,b</w:t>
      </w:r>
      <w:proofErr w:type="spellEnd"/>
      <w:proofErr w:type="gramEnd"/>
      <w:r w:rsidR="00590F22" w:rsidRPr="003609FB">
        <w:rPr>
          <w:rFonts w:ascii="Times New Roman" w:hAnsi="Times New Roman" w:cs="Times New Roman"/>
          <w:sz w:val="24"/>
          <w:szCs w:val="24"/>
        </w:rPr>
        <w:t xml:space="preserve"> ), </w:t>
      </w:r>
      <w:r w:rsidR="00590F22" w:rsidRPr="00691B65">
        <w:rPr>
          <w:rFonts w:ascii="Times New Roman" w:hAnsi="Times New Roman" w:cs="Times New Roman"/>
          <w:i/>
          <w:iCs/>
          <w:sz w:val="24"/>
          <w:szCs w:val="24"/>
        </w:rPr>
        <w:t>Prochlorococcus</w:t>
      </w:r>
      <w:r w:rsidR="00590F22" w:rsidRPr="003609FB">
        <w:rPr>
          <w:rFonts w:ascii="Times New Roman" w:hAnsi="Times New Roman" w:cs="Times New Roman"/>
          <w:sz w:val="24"/>
          <w:szCs w:val="24"/>
        </w:rPr>
        <w:t xml:space="preserve"> and </w:t>
      </w:r>
      <w:proofErr w:type="spellStart"/>
      <w:r w:rsidR="00590F22" w:rsidRPr="00691B65">
        <w:rPr>
          <w:rFonts w:ascii="Times New Roman" w:hAnsi="Times New Roman" w:cs="Times New Roman"/>
          <w:i/>
          <w:iCs/>
          <w:sz w:val="24"/>
          <w:szCs w:val="24"/>
        </w:rPr>
        <w:t>Synechococcus</w:t>
      </w:r>
      <w:proofErr w:type="spellEnd"/>
      <w:r w:rsidR="00590F22" w:rsidRPr="003609FB">
        <w:rPr>
          <w:rFonts w:ascii="Times New Roman" w:hAnsi="Times New Roman" w:cs="Times New Roman"/>
          <w:sz w:val="24"/>
          <w:szCs w:val="24"/>
        </w:rPr>
        <w:t xml:space="preserve"> ratio predictions incurred from </w:t>
      </w:r>
      <w:proofErr w:type="spellStart"/>
      <w:r w:rsidR="00590F22" w:rsidRPr="00691B65">
        <w:rPr>
          <w:rFonts w:ascii="Times New Roman" w:hAnsi="Times New Roman" w:cs="Times New Roman"/>
          <w:i/>
          <w:iCs/>
          <w:sz w:val="24"/>
          <w:szCs w:val="24"/>
        </w:rPr>
        <w:t>Synechococcus</w:t>
      </w:r>
      <w:proofErr w:type="spellEnd"/>
      <w:r w:rsidR="00590F22" w:rsidRPr="003609FB">
        <w:rPr>
          <w:rFonts w:ascii="Times New Roman" w:hAnsi="Times New Roman" w:cs="Times New Roman"/>
          <w:sz w:val="24"/>
          <w:szCs w:val="24"/>
        </w:rPr>
        <w:t xml:space="preserve"> and bacterial detoxification both occurring within a global framework.  </w:t>
      </w:r>
      <w:r w:rsidR="00590F22" w:rsidRPr="00691B65">
        <w:rPr>
          <w:rFonts w:ascii="Times New Roman" w:hAnsi="Times New Roman" w:cs="Times New Roman"/>
          <w:i/>
          <w:iCs/>
          <w:sz w:val="24"/>
          <w:szCs w:val="24"/>
        </w:rPr>
        <w:t>Prochlorococcus</w:t>
      </w:r>
      <w:r w:rsidR="00590F22" w:rsidRPr="003609FB">
        <w:rPr>
          <w:rFonts w:ascii="Times New Roman" w:hAnsi="Times New Roman" w:cs="Times New Roman"/>
          <w:sz w:val="24"/>
          <w:szCs w:val="24"/>
        </w:rPr>
        <w:t xml:space="preserve"> is further saved by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590F22" w:rsidRPr="003609FB">
        <w:rPr>
          <w:rFonts w:ascii="Times New Roman" w:hAnsi="Times New Roman" w:cs="Times New Roman"/>
          <w:sz w:val="24"/>
          <w:szCs w:val="24"/>
        </w:rPr>
        <w:t xml:space="preserve"> detox</w:t>
      </w:r>
      <w:r w:rsidR="001A5645">
        <w:rPr>
          <w:rFonts w:ascii="Times New Roman" w:hAnsi="Times New Roman" w:cs="Times New Roman"/>
          <w:sz w:val="24"/>
          <w:szCs w:val="24"/>
        </w:rPr>
        <w:t>ification</w:t>
      </w:r>
      <w:r w:rsidR="00590F22" w:rsidRPr="003609FB">
        <w:rPr>
          <w:rFonts w:ascii="Times New Roman" w:hAnsi="Times New Roman" w:cs="Times New Roman"/>
          <w:sz w:val="24"/>
          <w:szCs w:val="24"/>
        </w:rPr>
        <w:t xml:space="preserve"> parameter from </w:t>
      </w:r>
      <w:proofErr w:type="spellStart"/>
      <w:r w:rsidR="00590F22" w:rsidRPr="00691B65">
        <w:rPr>
          <w:rFonts w:ascii="Times New Roman" w:hAnsi="Times New Roman" w:cs="Times New Roman"/>
          <w:i/>
          <w:iCs/>
          <w:sz w:val="24"/>
          <w:szCs w:val="24"/>
        </w:rPr>
        <w:t>Synechococcus</w:t>
      </w:r>
      <w:proofErr w:type="spellEnd"/>
      <w:r w:rsidR="00590F22" w:rsidRPr="003609FB">
        <w:rPr>
          <w:rFonts w:ascii="Times New Roman" w:hAnsi="Times New Roman" w:cs="Times New Roman"/>
          <w:sz w:val="24"/>
          <w:szCs w:val="24"/>
        </w:rPr>
        <w:t xml:space="preserve"> </w:t>
      </w:r>
      <w:r w:rsidR="001A5645">
        <w:rPr>
          <w:rFonts w:ascii="Times New Roman" w:hAnsi="Times New Roman" w:cs="Times New Roman"/>
          <w:sz w:val="24"/>
          <w:szCs w:val="24"/>
        </w:rPr>
        <w:t>(</w:t>
      </w:r>
      <m:oMath>
        <m:sSub>
          <m:sSubPr>
            <m:ctrlPr>
              <w:rPr>
                <w:rFonts w:ascii="Cambria Math" w:hAnsi="Cambria Math"/>
              </w:rPr>
            </m:ctrlPr>
          </m:sSubPr>
          <m:e>
            <m:r>
              <w:rPr>
                <w:rFonts w:ascii="Cambria Math" w:hAnsi="Cambria Math"/>
              </w:rPr>
              <m:t>ϕ</m:t>
            </m:r>
          </m:e>
          <m:sub>
            <m:r>
              <w:rPr>
                <w:rFonts w:ascii="Cambria Math" w:hAnsi="Cambria Math"/>
              </w:rPr>
              <m:t>max,S</m:t>
            </m:r>
          </m:sub>
        </m:sSub>
      </m:oMath>
      <w:r w:rsidR="001A5645">
        <w:rPr>
          <w:rFonts w:ascii="Times New Roman" w:hAnsi="Times New Roman" w:cs="Times New Roman"/>
          <w:sz w:val="24"/>
          <w:szCs w:val="24"/>
        </w:rPr>
        <w:t xml:space="preserve">) </w:t>
      </w:r>
      <w:r w:rsidR="00590F22" w:rsidRPr="003609FB">
        <w:rPr>
          <w:rFonts w:ascii="Times New Roman" w:hAnsi="Times New Roman" w:cs="Times New Roman"/>
          <w:sz w:val="24"/>
          <w:szCs w:val="24"/>
        </w:rPr>
        <w:t>and bacterial detoxification</w:t>
      </w:r>
      <w:r w:rsidR="001A5645">
        <w:rPr>
          <w:rFonts w:ascii="Times New Roman" w:hAnsi="Times New Roman" w:cs="Times New Roman"/>
          <w:sz w:val="24"/>
          <w:szCs w:val="24"/>
        </w:rPr>
        <w:t xml:space="preserve"> (</w:t>
      </w:r>
      <m:oMath>
        <m:sSub>
          <m:sSubPr>
            <m:ctrlPr>
              <w:rPr>
                <w:rFonts w:ascii="Cambria Math" w:hAnsi="Cambria Math"/>
              </w:rPr>
            </m:ctrlPr>
          </m:sSubPr>
          <m:e>
            <m:r>
              <w:rPr>
                <w:rFonts w:ascii="Cambria Math" w:hAnsi="Cambria Math"/>
              </w:rPr>
              <m:t>ϕ</m:t>
            </m:r>
          </m:e>
          <m:sub>
            <m:r>
              <w:rPr>
                <w:rFonts w:ascii="Cambria Math" w:hAnsi="Cambria Math"/>
              </w:rPr>
              <m:t>max,B</m:t>
            </m:r>
          </m:sub>
        </m:sSub>
      </m:oMath>
      <w:r w:rsidR="001A5645">
        <w:rPr>
          <w:rFonts w:ascii="Times New Roman" w:hAnsi="Times New Roman" w:cs="Times New Roman"/>
          <w:sz w:val="24"/>
          <w:szCs w:val="24"/>
        </w:rPr>
        <w:t>)</w:t>
      </w:r>
      <w:r w:rsidR="00590F22" w:rsidRPr="003609FB">
        <w:rPr>
          <w:rFonts w:ascii="Times New Roman" w:hAnsi="Times New Roman" w:cs="Times New Roman"/>
          <w:sz w:val="24"/>
          <w:szCs w:val="24"/>
        </w:rPr>
        <w:t xml:space="preserve"> inclusion, while </w:t>
      </w:r>
      <w:proofErr w:type="spellStart"/>
      <w:r w:rsidR="00590F22" w:rsidRPr="00691B65">
        <w:rPr>
          <w:rFonts w:ascii="Times New Roman" w:hAnsi="Times New Roman" w:cs="Times New Roman"/>
          <w:i/>
          <w:iCs/>
          <w:sz w:val="24"/>
          <w:szCs w:val="24"/>
        </w:rPr>
        <w:t>Synechococcus</w:t>
      </w:r>
      <w:proofErr w:type="spellEnd"/>
      <w:r w:rsidR="00590F22" w:rsidRPr="003609FB">
        <w:rPr>
          <w:rFonts w:ascii="Times New Roman" w:hAnsi="Times New Roman" w:cs="Times New Roman"/>
          <w:sz w:val="24"/>
          <w:szCs w:val="24"/>
        </w:rPr>
        <w:t xml:space="preserve"> biomass is also bolstered (in the </w:t>
      </w:r>
      <w:proofErr w:type="gramStart"/>
      <w:r w:rsidR="00590F22" w:rsidRPr="003609FB">
        <w:rPr>
          <w:rFonts w:ascii="Times New Roman" w:hAnsi="Times New Roman" w:cs="Times New Roman"/>
          <w:sz w:val="24"/>
          <w:szCs w:val="24"/>
        </w:rPr>
        <w:t>southern</w:t>
      </w:r>
      <w:r w:rsidR="00357530">
        <w:rPr>
          <w:rFonts w:ascii="Times New Roman" w:hAnsi="Times New Roman" w:cs="Times New Roman"/>
          <w:sz w:val="24"/>
          <w:szCs w:val="24"/>
        </w:rPr>
        <w:t xml:space="preserve"> </w:t>
      </w:r>
      <w:r w:rsidR="00590F22" w:rsidRPr="003609FB">
        <w:rPr>
          <w:rFonts w:ascii="Times New Roman" w:hAnsi="Times New Roman" w:cs="Times New Roman"/>
          <w:sz w:val="24"/>
          <w:szCs w:val="24"/>
        </w:rPr>
        <w:t>ocean</w:t>
      </w:r>
      <w:proofErr w:type="gramEnd"/>
      <w:r w:rsidR="00590F22" w:rsidRPr="003609FB">
        <w:rPr>
          <w:rFonts w:ascii="Times New Roman" w:hAnsi="Times New Roman" w:cs="Times New Roman"/>
          <w:sz w:val="24"/>
          <w:szCs w:val="24"/>
        </w:rPr>
        <w:t>) by the additional (heterotrophic bacteria) detoxification.</w:t>
      </w:r>
    </w:p>
    <w:p w14:paraId="6DF326CB" w14:textId="2424287E" w:rsidR="00554769" w:rsidRDefault="00554769" w:rsidP="00AB2160">
      <w:pPr>
        <w:spacing w:line="360" w:lineRule="auto"/>
        <w:ind w:firstLine="720"/>
        <w:rPr>
          <w:rFonts w:ascii="Times New Roman" w:hAnsi="Times New Roman" w:cs="Times New Roman"/>
          <w:sz w:val="24"/>
          <w:szCs w:val="24"/>
        </w:rPr>
      </w:pPr>
    </w:p>
    <w:p w14:paraId="1A322F3C" w14:textId="124AD2E3" w:rsidR="00554769" w:rsidRDefault="00554769" w:rsidP="00AB2160">
      <w:pPr>
        <w:spacing w:line="360" w:lineRule="auto"/>
        <w:ind w:firstLine="720"/>
        <w:rPr>
          <w:rFonts w:ascii="Times New Roman" w:hAnsi="Times New Roman" w:cs="Times New Roman"/>
          <w:sz w:val="24"/>
          <w:szCs w:val="24"/>
        </w:rPr>
      </w:pPr>
    </w:p>
    <w:p w14:paraId="08300892" w14:textId="572615BA" w:rsidR="00554769" w:rsidRDefault="00554769" w:rsidP="00AB2160">
      <w:pPr>
        <w:spacing w:line="360" w:lineRule="auto"/>
        <w:ind w:firstLine="720"/>
        <w:rPr>
          <w:rFonts w:ascii="Times New Roman" w:hAnsi="Times New Roman" w:cs="Times New Roman"/>
          <w:sz w:val="24"/>
          <w:szCs w:val="24"/>
        </w:rPr>
      </w:pPr>
    </w:p>
    <w:p w14:paraId="6B1C6A71" w14:textId="3C2C6424" w:rsidR="007E7055" w:rsidRDefault="007E7055" w:rsidP="00AB2160">
      <w:pPr>
        <w:spacing w:line="360" w:lineRule="auto"/>
        <w:ind w:firstLine="720"/>
        <w:rPr>
          <w:rFonts w:ascii="Times New Roman" w:hAnsi="Times New Roman" w:cs="Times New Roman"/>
          <w:sz w:val="24"/>
          <w:szCs w:val="24"/>
        </w:rPr>
      </w:pPr>
    </w:p>
    <w:p w14:paraId="0E0A92EC" w14:textId="46B3130B" w:rsidR="007E7055" w:rsidRDefault="007E7055" w:rsidP="00AB2160">
      <w:pPr>
        <w:spacing w:line="360" w:lineRule="auto"/>
        <w:ind w:firstLine="720"/>
        <w:rPr>
          <w:rFonts w:ascii="Times New Roman" w:hAnsi="Times New Roman" w:cs="Times New Roman"/>
          <w:sz w:val="24"/>
          <w:szCs w:val="24"/>
        </w:rPr>
      </w:pPr>
    </w:p>
    <w:p w14:paraId="5EEE6662" w14:textId="77777777" w:rsidR="007E7055" w:rsidRDefault="007E7055" w:rsidP="00AB2160">
      <w:pPr>
        <w:spacing w:line="360" w:lineRule="auto"/>
        <w:ind w:firstLine="720"/>
        <w:rPr>
          <w:rFonts w:ascii="Times New Roman" w:hAnsi="Times New Roman" w:cs="Times New Roman"/>
          <w:sz w:val="24"/>
          <w:szCs w:val="24"/>
        </w:rPr>
      </w:pPr>
    </w:p>
    <w:p w14:paraId="1A546009" w14:textId="00BA1A03" w:rsidR="00957B12" w:rsidRPr="003609FB" w:rsidRDefault="00452410" w:rsidP="004A316C">
      <w:pPr>
        <w:spacing w:line="360" w:lineRule="auto"/>
        <w:ind w:firstLine="720"/>
        <w:rPr>
          <w:rFonts w:ascii="Times New Roman" w:hAnsi="Times New Roman" w:cs="Times New Roman"/>
          <w:sz w:val="24"/>
          <w:szCs w:val="24"/>
        </w:rPr>
      </w:pPr>
      <w:r>
        <w:rPr>
          <w:rFonts w:ascii="Times New Roman" w:hAnsi="Times New Roman" w:cs="Times New Roman"/>
          <w:sz w:val="24"/>
          <w:szCs w:val="24"/>
        </w:rPr>
        <w:br/>
      </w:r>
    </w:p>
    <w:p w14:paraId="37C4FC72" w14:textId="13A27661" w:rsidR="003D1E8D" w:rsidRPr="003609FB" w:rsidRDefault="0049772E" w:rsidP="00AB2160">
      <w:pPr>
        <w:spacing w:line="360" w:lineRule="auto"/>
        <w:rPr>
          <w:rFonts w:ascii="Times New Roman" w:hAnsi="Times New Roman" w:cs="Times New Roman"/>
          <w:sz w:val="24"/>
          <w:szCs w:val="24"/>
        </w:rPr>
      </w:pPr>
      <w:proofErr w:type="gramStart"/>
      <w:r w:rsidRPr="003609FB">
        <w:rPr>
          <w:rFonts w:ascii="Times New Roman" w:hAnsi="Times New Roman" w:cs="Times New Roman"/>
          <w:sz w:val="24"/>
          <w:szCs w:val="24"/>
        </w:rPr>
        <w:lastRenderedPageBreak/>
        <w:t>other</w:t>
      </w:r>
      <w:proofErr w:type="gramEnd"/>
      <w:r w:rsidRPr="003609FB">
        <w:rPr>
          <w:rFonts w:ascii="Times New Roman" w:hAnsi="Times New Roman" w:cs="Times New Roman"/>
          <w:sz w:val="24"/>
          <w:szCs w:val="24"/>
        </w:rPr>
        <w:t xml:space="preserve"> than bacterial inclusion in case 4, is not linked to cell waste. Dead cells </w:t>
      </w:r>
      <w:r>
        <w:rPr>
          <w:rFonts w:ascii="Times New Roman" w:hAnsi="Times New Roman" w:cs="Times New Roman"/>
          <w:sz w:val="24"/>
          <w:szCs w:val="24"/>
        </w:rPr>
        <w:t>and</w:t>
      </w:r>
      <w:r w:rsidRPr="003609FB">
        <w:rPr>
          <w:rFonts w:ascii="Times New Roman" w:hAnsi="Times New Roman" w:cs="Times New Roman"/>
          <w:sz w:val="24"/>
          <w:szCs w:val="24"/>
        </w:rPr>
        <w:t xml:space="preserve"> particulate </w:t>
      </w:r>
      <w:r>
        <w:rPr>
          <w:rFonts w:ascii="Times New Roman" w:hAnsi="Times New Roman" w:cs="Times New Roman"/>
          <w:sz w:val="24"/>
          <w:szCs w:val="24"/>
        </w:rPr>
        <w:t xml:space="preserve">matter </w:t>
      </w:r>
      <w:r w:rsidRPr="003609FB">
        <w:rPr>
          <w:rFonts w:ascii="Times New Roman" w:hAnsi="Times New Roman" w:cs="Times New Roman"/>
          <w:sz w:val="24"/>
          <w:szCs w:val="24"/>
        </w:rPr>
        <w:t>pools</w:t>
      </w:r>
      <w:r>
        <w:rPr>
          <w:rFonts w:ascii="Times New Roman" w:hAnsi="Times New Roman" w:cs="Times New Roman"/>
          <w:sz w:val="24"/>
          <w:szCs w:val="24"/>
        </w:rPr>
        <w:t xml:space="preserve"> of material</w:t>
      </w:r>
      <w:r w:rsidRPr="003609FB">
        <w:rPr>
          <w:rFonts w:ascii="Times New Roman" w:hAnsi="Times New Roman" w:cs="Times New Roman"/>
          <w:sz w:val="24"/>
          <w:szCs w:val="24"/>
        </w:rPr>
        <w:t xml:space="preserve"> may act as significant reactive oxygen sinks.  But as these are unquantified currently on monoculture levels, we </w:t>
      </w:r>
      <w:r>
        <w:rPr>
          <w:rFonts w:ascii="Times New Roman" w:hAnsi="Times New Roman" w:cs="Times New Roman"/>
          <w:sz w:val="24"/>
          <w:szCs w:val="24"/>
        </w:rPr>
        <w:t>identify</w:t>
      </w:r>
      <w:r w:rsidRPr="003609FB">
        <w:rPr>
          <w:rFonts w:ascii="Times New Roman" w:hAnsi="Times New Roman" w:cs="Times New Roman"/>
          <w:sz w:val="24"/>
          <w:szCs w:val="24"/>
        </w:rPr>
        <w:t xml:space="preserve"> this for future studies.</w:t>
      </w:r>
      <w:r>
        <w:rPr>
          <w:rFonts w:ascii="Times New Roman" w:hAnsi="Times New Roman" w:cs="Times New Roman"/>
          <w:sz w:val="24"/>
          <w:szCs w:val="24"/>
        </w:rPr>
        <w:t xml:space="preserv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 biogeography is commonly modeled to be primarily based on the intersection of environmental nitrogen, temperature, and light forcings </w:t>
      </w:r>
      <w:r w:rsidR="00A4670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{"citationID":"mcHzUP2D","properties":{"formattedCitation":"(Flombaum et al. 2013; Rabouille, Edwards, and Zehr 2007)","plainCitation":"(Flombaum et al. 2013; Rabouille, Edwards, and Zehr 2007)","noteIndex":0},"citationItems":[{"id":89,"uris":["http://zotero.org/users/6128296/items/MCUHQ8Y3"],"itemData":{"id":89,"type":"article-journal","container-title":"Proceedings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C."}],"issued":{"date-parts":[["2013",6,11]]}}},{"id":3501,"uris":["http://zotero.org/users/6128296/items/FXLB6JDG"],"itemData":{"id":3501,"type":"article-journal","abstract":"A simple model was developed to examine the vertical distribution of Prochlorococcus and Synechococcus ecotypes in the water column, based on their adaptation to light intensity. Model simulations were compared with a 14-year time series of Prochlorococcus and Synechococcus cell abundances at Station ALOHA in the North Paciﬁc Subtropical Gyre. Data were analysed to examine spatial and temporal patterns in abundances and their ranges of variability in the euphotic zone, the surface mixed layer and the layer in the euphotic zone but below the base of the mixed layer. Model simulations show that the apparent occupation of the whole euphotic zone by a genus can be the result of a co-occurrence of different ecotypes that segregate vertically. The segregation of ecotypes can result simply from differences in light response. A sensitivity analysis of the model, performed on the parameter a (initial slope of the lightresponse curve) and the DIN concentration in the upper water column, demonstrates that the model successfully reproduces the observed range of vertical distributions. Results support the idea that intermittent mixing events may have important ecological and geochemical impacts on the phytoplankton community at Station ALOHA.","container-title":"Environmental Microbiology","DOI":"10.1111/j.1462-2920.2007.01376.x","ISSN":"1462-2912, 1462-2920","issue":"10","journalAbbreviation":"Environ Microbiol","language":"en","page":"2588-2602","source":"DOI.org (Crossref)","title":"Modelling the vertical distribution of Prochlorococcus and Synechococcus in the North Pacific Subtropical Ocean","volume":"9","author":[{"family":"Rabouille","given":""},{"family":"Edwards","given":"Christopher A."},{"family":"Zehr","given":"Jonathan P."}],"issued":{"date-parts":[["2007",10]]}}}],"schema":"https://github.com/citation-style-language/schema/raw/master/csl-citation.json"} </w:instrText>
      </w:r>
      <w:r w:rsidR="00A4670A"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2013; Rabouille, Edwards, and Zehr 2007)</w:t>
      </w:r>
      <w:r w:rsidR="00A4670A" w:rsidRPr="003609FB">
        <w:rPr>
          <w:rFonts w:ascii="Times New Roman" w:hAnsi="Times New Roman" w:cs="Times New Roman"/>
          <w:sz w:val="24"/>
          <w:szCs w:val="24"/>
        </w:rPr>
        <w:fldChar w:fldCharType="end"/>
      </w:r>
      <w:r w:rsidR="00A4670A" w:rsidRPr="003609FB">
        <w:rPr>
          <w:rFonts w:ascii="Times New Roman" w:hAnsi="Times New Roman" w:cs="Times New Roman"/>
          <w:sz w:val="24"/>
          <w:szCs w:val="24"/>
        </w:rPr>
        <w:t xml:space="preserve">. </w:t>
      </w:r>
      <w:r w:rsidR="005F6A4C" w:rsidRPr="003609FB">
        <w:rPr>
          <w:rFonts w:ascii="Times New Roman" w:hAnsi="Times New Roman" w:cs="Times New Roman"/>
          <w:sz w:val="24"/>
          <w:szCs w:val="24"/>
        </w:rPr>
        <w:t>Higher</w:t>
      </w:r>
      <w:r w:rsidR="003D1E8D" w:rsidRPr="003609FB">
        <w:rPr>
          <w:rFonts w:ascii="Times New Roman" w:hAnsi="Times New Roman" w:cs="Times New Roman"/>
          <w:sz w:val="24"/>
          <w:szCs w:val="24"/>
        </w:rPr>
        <w:t xml:space="preserve"> ammonium affinity allows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 to numerically dominate low latitude and oceanic gyres </w:t>
      </w:r>
      <w:r w:rsidR="00A4670A"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{"citationID":"oTWac5tN","properties":{"formattedCitation":"(Partensky, Blanchot, and Vaulot 1999, 201; Partensky and Garczarek 2010)","plainCitation":"(Partensky, Blanchot, and Vaulot 1999, 201; Partensky and Garczarek 2010)","noteIndex":0},"citationItems":[{"id":4251,"uris":["http://zotero.org/users/6128296/items/KSAT33BJ"],"itemData":{"id":4251,"type":"article-journal","container-title":"Bulletin-Institut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locator":"201"},{"id":2095,"uris":["http://zotero.org/users/6128296/items/MGSFTWLC"],"itemData":{"id":2095,"type":"article-journal","abstract":"Prochlorococcus is the key phytoplanktonic organism of tropical gyres, large ocean regions that are depleted of the essential macronutrients needed for photosynthesis and cell growth. This cyanobacterium has adapted itself to oligotrophy by minimizing the resources necessary for life through a drastic reduction of cell and genome sizes. This rarely observed strategy in freeliving organisms has conferred on Prochlorococcus a considerable advantage over other phototrophs, including its closest relative Synechococcus, for life in this vast yet little variable ecosystem. However, this strategy seems to reach its limits in the upper layer of the S Paciﬁc gyre, the most oligotrophic region of the world ocean. By losing some important genes and/or functions during evolution, Prochlorococcus has seemingly become dependent on co-occurring microorganisms. In this review, we present some of the recent advances in the ecology, biology, and evolution of Prochlorococcus, which because of its ecological importance and tiny genome is rapidly imposing itself as a model organism in environmental microbiology.","container-title":"Annual Review of Marine Science","DOI":"10.1146/annurev-marine-120308-081034","ISSN":"1941-1405, 1941-0611","issue":"1","journalAbbreviation":"Annu. Rev. Mar. Sci.","language":"en","page":"305-331","source":"DOI.org (Crossref)","title":"&lt;i&gt;Prochlorococcus&lt;/i&gt; : Advantages and Limits of Minimalism","title-short":"&lt;i&gt;Prochlorococcus&lt;/i&gt;","volume":"2","author":[{"family":"Partensky","given":""},{"family":"Garczarek","given":"Laurence"}],"issued":{"date-parts":[["2010",1]]}}}],"schema":"https://github.com/citation-style-language/schema/raw/master/csl-citation.json"} </w:instrText>
      </w:r>
      <w:r w:rsidR="00A4670A"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201;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Garczarek</w:t>
      </w:r>
      <w:proofErr w:type="spellEnd"/>
      <w:r w:rsidR="009D7443">
        <w:rPr>
          <w:rFonts w:ascii="Times New Roman" w:hAnsi="Times New Roman" w:cs="Times New Roman"/>
          <w:sz w:val="24"/>
        </w:rPr>
        <w:t xml:space="preserve"> 2010)</w:t>
      </w:r>
      <w:r w:rsidR="00A4670A" w:rsidRPr="003609FB">
        <w:rPr>
          <w:rFonts w:ascii="Times New Roman" w:hAnsi="Times New Roman" w:cs="Times New Roman"/>
          <w:sz w:val="24"/>
          <w:szCs w:val="24"/>
        </w:rPr>
        <w:fldChar w:fldCharType="end"/>
      </w:r>
      <w:r w:rsidR="00A4670A"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over other phytoplankton genera </w:t>
      </w:r>
      <w:r w:rsidR="00006217"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{"citationID":"YY6pDdJ4","properties":{"formattedCitation":"(Dutkiewicz, Follows, and Bragg 2009)","plainCitation":"(Dutkiewicz, Follows, and Bragg 2009)","noteIndex":0},"citationItems":[{"id":88,"uris":["http://zotero.org/users/6128296/items/GNGVK9JM"],"itemData":{"id":88,"type":"article-journal","abstract":"We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G."}],"issued":{"date-parts":[["2009",12]]}}}],"schema":"https://github.com/citation-style-language/schema/raw/master/csl-citation.json"} </w:instrText>
      </w:r>
      <w:r w:rsidR="00006217"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(Dutkiewicz, Follows, and Bragg 2009)</w:t>
      </w:r>
      <w:r w:rsidR="00006217" w:rsidRPr="003609FB">
        <w:rPr>
          <w:rFonts w:ascii="Times New Roman" w:hAnsi="Times New Roman" w:cs="Times New Roman"/>
          <w:sz w:val="24"/>
          <w:szCs w:val="24"/>
        </w:rPr>
        <w:fldChar w:fldCharType="end"/>
      </w:r>
      <w:r w:rsidR="00006217"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Previous models indicate </w:t>
      </w:r>
      <w:r w:rsidR="00691B65" w:rsidRPr="00691B65">
        <w:rPr>
          <w:rFonts w:ascii="Times New Roman" w:hAnsi="Times New Roman" w:cs="Times New Roman"/>
          <w:i/>
          <w:iCs/>
          <w:sz w:val="24"/>
          <w:szCs w:val="24"/>
        </w:rPr>
        <w:t>Prochlorococcus</w:t>
      </w:r>
      <w:r w:rsidR="003D1E8D" w:rsidRPr="003609FB">
        <w:rPr>
          <w:rFonts w:ascii="Times New Roman" w:hAnsi="Times New Roman" w:cs="Times New Roman"/>
          <w:sz w:val="24"/>
          <w:szCs w:val="24"/>
        </w:rPr>
        <w:t xml:space="preserve"> and </w:t>
      </w:r>
      <w:proofErr w:type="spellStart"/>
      <w:r w:rsidR="00691B65" w:rsidRPr="00691B65">
        <w:rPr>
          <w:rFonts w:ascii="Times New Roman" w:hAnsi="Times New Roman" w:cs="Times New Roman"/>
          <w:i/>
          <w:iCs/>
          <w:sz w:val="24"/>
          <w:szCs w:val="24"/>
        </w:rPr>
        <w:t>Synechococcus</w:t>
      </w:r>
      <w:proofErr w:type="spellEnd"/>
      <w:r w:rsidR="003D1E8D" w:rsidRPr="003609FB">
        <w:rPr>
          <w:rFonts w:ascii="Times New Roman" w:hAnsi="Times New Roman" w:cs="Times New Roman"/>
          <w:sz w:val="24"/>
          <w:szCs w:val="24"/>
        </w:rPr>
        <w:t xml:space="preserve"> community composition is influenced by differential light and nutrient or temperature optima </w:t>
      </w:r>
      <w:r w:rsidR="00D67270"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{"citationID":"Y45KvsKZ","properties":{"formattedCitation":"(Moore, Goericke, and Chisholm 1995; Mella-Flores et al. 2012; Lipschultz 1995)","plainCitation":"(Moore, Goericke, and Chisholm 1995; Mella-Flores et al. 2012; Lipschultz 1995)","noteIndex":0},"citationItems":[{"id":4662,"uris":["http://zotero.org/users/6128296/items/I2R5CJFQ"],"itemData":{"id":4662,"type":"article-journal","container-title":"Marine Ecology Progress Series","issue":"1/3","page":"259–275.","title":"Comparative physiology of Synechococcus and Prochlorococcus: influence of light and temperature on growth, pigments, fluorescence and absorptive properties.","volume":"116","author":[{"family":"Moore","given":""},{"family":"Goericke","given":""},{"family":"Chisholm","given":""}],"issued":{"date-parts":[["1995"]]}}},{"id":108,"uris":["http://zotero.org/users/6128296/items/WMKLBFRH"],"itemData":{"id":108,"type":"article-journal","abstract":"Prochlorococcus and Synechococcus, which numerically dominate vast oceanic areas, are the two most abundant oxygenic phototrophs on Earth. Although they require solar energy for photosynthesis, excess light and associated high UV radiations can induce high levels of oxidative stress that may have deleterious effects on their growth and productivity. Here, we compared the photophysiologies of the model strains Prochlorococcus marinus PCC 9511 and Synechococcus sp. WH7803 grown under a bell-shaped light/dark cycle of high visible light supplemented or not with UV. Prochlorococcus exhibited a higher sensitivity to photoinactivation than Synechococcus under both conditions, as shown by a larger drop of photosystem II (PSII) quantum yield at noon and different diel patterns of the D1 protein pool. In the presence of UV, the PSII repair rate was signiﬁcantly depressed at noon in Prochlorococcus compared to Synechococcus. Additionally, Prochlorococcus was more sensitive than Synechococcus to oxidative stress, as shown by the different degrees of PSII photoinactivation after addition of hydrogen peroxide. A transcriptional analysis also revealed dramatic discrepancies between the two organisms in the diel expression patterns of several genes involved notably in the biosynthesis and/or repair of photosystems, light-harvesting complexes, CO2 ﬁxation as well as protection mechanisms against light, UV, and oxidative stress, which likely translate profound differences in their light-controlled regulation. Altogether our results suggest that while Synechococcus has developed efﬁcient ways to cope with light and UV stress, Prochlorococcus cells seemingly survive stressful hours of the day by launching a minimal set of protection mechanisms and by temporarily bringing down several key metabolic processes. This study provides unprecedented insights into understanding the distinct depth distributions and dynamics of these two picocyanobacteria in the ﬁeld.","container-title":"Frontiers in Microbiology","DOI":"10.3389/fmicb.2012.00285","ISSN":"1664-302X","journalAbbreviation":"Front. Microbio.","language":"en","source":"DOI.org (Crossref)","title":"Prochlorococcus and Synechococcus have Evolved Different Adaptive Mechanisms to Cope with Light and UV Stress","URL":"http://journal.frontiersin.org/article/10.3389/fmicb.2012.00285/abstract","volume":"3","author":[{"family":"Mella-Flores","given":""},{"family":"Six","given":"Christophe"},{"family":"Ratin","given":"Morgane"},{"family":"Partensky","given":"Frédéric"},{"family":"Boutte","given":"Christophe"},{"family":"Le Corguillé","given":"Gildas"},{"family":"Marie","given":"Dominique"},{"family":"Blot","given":"Nicolas"},{"family":"Gourvil","given":"Priscillia"},{"family":"Kolowrat","given":"Christian"},{"family":"Garczarek","given":"Laurence"}],"accessed":{"date-parts":[["2019",10,24]]},"issued":{"date-parts":[["2012"]]}}},{"id":101,"uris":["http://zotero.org/users/6128296/items/SCNCT8CC"],"itemData":{"id":101,"type":"article-journal","abstract":"Phytoplankton were isolated from natural, heterogeneous populations of part~clesin Boothbay Harbor, M a ~ n eU, SA using flow cytornetry with cell sorting to measure true rates of nitrogenspecific uptake of 15Nwithout the bias due to detritus, bactena or other heterotrophs that affects tradltional filtration techniques. After incubation under light or dark conditions with I5NH4+or \"NO3-, particles were either directly filtered or were sorted to isolate phytoplankton a n d then filtered for isotopic analysis. Nitrogen-specific (pN,t i m e ' ) and absolute uptake rates (mass volume-' time-l) of ammonium were greater for small (3-10 pm) phytoplankton than for larger (10-53 pm) phytoplankton, whereas the opposite was observed for uptake of nitrate. Accounting for pronounced diel variations in uptake from both nitrogen sources, algal growth rates were calculated to be 0.38 d-' on ammonium and 0.05 d - ' on nitrate. The absolute rate of NH,+ uptake by all particles a s assayed by filtration was approximately balanced by the summed rates of the 2 sorted fractions and the small ( &lt; 3 ).]m)particles that were removed prior to sorting: phytoplankton represented only 50% of the total rate. In contrast, phytoplankton uptake of nitrate represented only about one-third of the total uptake, and the remaining fractions contributed only 10% leaving about 60% unaccounted for. Future applicat~onsof flow cytornetry with stable isotopes could be used to investigate diel variations in p~ and pc (carbon-specificuptake rates) and provide a n estimate of phytoplankton growth rates.","container-title":"Marine Ecology Progress Series","DOI":"10.3354/meps123245","ISSN":"0171-8630, 1616-1599","journalAbbreviation":"Mar. Ecol. Prog. Ser.","language":"en","page":"245-258","source":"DOI.org (Crossref)","title":"Nitrogen-specific uptake rates of marine phytoplankton isolated from natural populations of particles by flow cytometry","volume":"123","author":[{"family":"Lipschultz","given":""}],"issued":{"date-parts":[["1995"]]}}}],"schema":"https://github.com/citation-style-language/schema/raw/master/csl-citation.json"} </w:instrText>
      </w:r>
      <w:r w:rsidR="00D67270"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(Moore, </w:t>
      </w:r>
      <w:proofErr w:type="spellStart"/>
      <w:r w:rsidR="00920699">
        <w:rPr>
          <w:rFonts w:ascii="Times New Roman" w:hAnsi="Times New Roman" w:cs="Times New Roman"/>
          <w:sz w:val="24"/>
          <w:szCs w:val="24"/>
        </w:rPr>
        <w:t>Goericke</w:t>
      </w:r>
      <w:proofErr w:type="spellEnd"/>
      <w:r w:rsidR="00920699">
        <w:rPr>
          <w:rFonts w:ascii="Times New Roman" w:hAnsi="Times New Roman" w:cs="Times New Roman"/>
          <w:sz w:val="24"/>
          <w:szCs w:val="24"/>
        </w:rPr>
        <w:t xml:space="preserve">, and Chisholm 1995; Mella-Flores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2012; Lipschultz 1995)</w:t>
      </w:r>
      <w:r w:rsidR="00D67270" w:rsidRPr="003609FB">
        <w:rPr>
          <w:rFonts w:ascii="Times New Roman" w:hAnsi="Times New Roman" w:cs="Times New Roman"/>
          <w:sz w:val="24"/>
          <w:szCs w:val="24"/>
        </w:rPr>
        <w:fldChar w:fldCharType="end"/>
      </w:r>
      <w:r w:rsidR="003D1E8D" w:rsidRPr="003609FB">
        <w:rPr>
          <w:rFonts w:ascii="Times New Roman" w:hAnsi="Times New Roman" w:cs="Times New Roman"/>
          <w:sz w:val="24"/>
          <w:szCs w:val="24"/>
        </w:rPr>
        <w:t xml:space="preserve">. Light and temperature stress are both implicated in reactive oxygen species mediated cell damage </w:t>
      </w:r>
      <w:r w:rsidR="00D67270" w:rsidRPr="003609FB">
        <w:rPr>
          <w:rFonts w:ascii="Times New Roman" w:hAnsi="Times New Roman" w:cs="Times New Roman"/>
          <w:sz w:val="24"/>
          <w:szCs w:val="24"/>
        </w:rPr>
        <w:fldChar w:fldCharType="begin"/>
      </w:r>
      <w:r w:rsidR="00B019A6">
        <w:rPr>
          <w:rFonts w:ascii="Times New Roman" w:hAnsi="Times New Roman" w:cs="Times New Roman"/>
          <w:sz w:val="24"/>
          <w:szCs w:val="24"/>
        </w:rPr>
        <w:instrText xml:space="preserve"> ADDIN ZOTERO_ITEM CSL_CITATION {"citationID":"H7akadqI","properties":{"formattedCitation":"(Fu et al. 2007; Ma et al. 2018)","plainCitation":"(Fu et al. 2007; Ma et al. 2018)","noteIndex":0},"citationItems":[{"id":3214,"uris":["http://zotero.org/users/6128296/items/MUB7D4HK"],"itemData":{"id":3214,"type":"article-journal","abstract":"Little is known about the combined impacts of future CO2 and temperature increases on the growth and physiology of marine picocyanobacteria. We incubated Synechococcus and Prochlorococcus under present-day (380 ppm) or predicted year-2100 CO2 levels (750 ppm), and under normal versus elevated temperatures (+4°C) in semicontinuous cultures. Increased temperature stimulated the cell division rates of Synechococcus but not Prochlorococcus. Doubled CO2 combined with elevated temperature increased maximum chl a–normalized photosynthetic rates of Synechococcus four times relative to controls. Temperature also altered other photosynthetic parameters (a, Fmax, Ek, and DF =F 0m)inSynechococcus, but these changes were not observed for Prochlorococcus. Both increased CO2 and temperature raised the phycobilin and chl a content of Synechococcus, while only elevated temperature increased divinyl chl a in Prochlorococcus. Cellular carbon (C) and nitrogen (N) quotas, but not phosphorus (P) quotas, increased with elevated CO2 in Synechococcus, leading to  20% higher C:P and N:P ratios. In contrast, Prochlorococcus elemental composition remained unaffected by CO2, but cell volume and elemental quotas doubled with increasing temperature while maintaining constant stoichiometry. Synechococcus showed a much greater response to CO2 and temperature increases for most parameters measured, compared with Prochlorococcus. Our results suggest that global change could influence the dominance of Synechococcus and Prochlorococcus ecotypes, with likely effects on oligotrophic food-web structure. However, individual picocyanobacteria strains may respond quite differently to future CO2 and temperature increases, and caution is needed when generalizing their responses to global change in the ocean.","container-title":"Journal of Phycology","DOI":"10.1111/j.1529-8817.2007.00355.x","ISSN":"00223646, 15298817","issue":"3","language":"en","page":"485-496","source":"DOI.org (Crossref)","title":"EFFECTS OF INCREASED TEMPERATURE AND CO &lt;sub&gt;2&lt;/sub&gt; ON PHOTOSYNTHESIS, GROWTH, AND ELEMENTAL RATIOS IN MARINE &lt;i&gt;SYNECHOCOCCUS&lt;/i&gt; AND &lt;i&gt;PROCHLOROCOCCUS&lt;/i&gt; (CYANOBACTERIA)","volume":"43","author":[{"family":"Fu","given":""},{"family":"Warner","given":"Mark E."},{"family":"Zhang","given":"Yaohong"},{"family":"Feng","given":"Yuanyuan"},{"family":"Hutchins","given":"David A."}],"issued":{"date-parts":[["2007",6]]}}},{"id":2142,"uris":["http://zotero.org/users/6128296/items/V83EGSC2"],"itemData":{"id":2142,"type":"article-journal","abstract":"Prochlorococcus, the smallest and most abundant phytoplankter in the ocean, is highly sensitive to hydrogen peroxide (HOOH), and co-occurring heterotrophs such as Alteromonas facilitate the growth of Prochlorococcus by scavenging HOOH. Temperature is also a major influence on Prochlorococcus abundance and distribution in the ocean, and studies in other photosynthetic organisms have shown that HOOH and temperature extremes can act together as synergistic stressors. To address potential synergistic effects of temperature and HOOH on Prochlorococcus growth, high- and low-temperatureadapted representative strains were cultured at ecologically relevant concentrations under a range of HOOH concentrations and temperatures. Higher concentrations of HOOH severely diminished the permissive temperature range for growth of both Prochlorococcus strains. At the permissive temperatures, the growth rates of both Prochlorococcus strains decreased as a function of HOOH, and cold temperature increased susceptibility of photosystem II to HOOH-mediated damage. Serving as a proxy for the natural community, co-cultured heterotrophic bacteria increased the Prochlorococcus growth rate under these temperatures, and expanded the permissive range of temperature for growth. These studies indicate that in the ocean, the cross-protective function of the microbial community may confer a fitness increase for Prochlorococcus at its temperature extremes, especially near the ocean surface where oxidative stress is highest. This interaction may play a substantial role in defining the realized thermal niche and habitat range of Prochlorococcus with respect to latitude.","container-title":"The ISME Journal","DOI":"10.1038/ismej.2017.182","ISSN":"1751-7362, 1751-7370","issue":"2","journalAbbreviation":"ISME J","language":"en","page":"473-484","source":"DOI.org (Crossref)","title":"Degradation of hydrogen peroxide at the ocean’s surface: the influence of the microbial community on the realized thermal niche of Prochlorococcus","title-short":"Degradation of hydrogen peroxide at the ocean’s surface","volume":"12","author":[{"family":"Ma","given":""},{"family":"Calfee","given":"Benjamin C"},{"family":"Morris","given":"J Jeffrey"},{"family":"Johnson","given":"Zackary I"},{"family":"Zinser","given":"Erik R"}],"issued":{"date-parts":[["2018",2]]}}}],"schema":"https://github.com/citation-style-language/schema/raw/master/csl-citation.json"} </w:instrText>
      </w:r>
      <w:r w:rsidR="00D67270" w:rsidRPr="003609FB">
        <w:rPr>
          <w:rFonts w:ascii="Times New Roman" w:hAnsi="Times New Roman" w:cs="Times New Roman"/>
          <w:sz w:val="24"/>
          <w:szCs w:val="24"/>
        </w:rPr>
        <w:fldChar w:fldCharType="separate"/>
      </w:r>
      <w:r w:rsidR="00B019A6">
        <w:rPr>
          <w:rFonts w:ascii="Times New Roman" w:hAnsi="Times New Roman" w:cs="Times New Roman"/>
          <w:sz w:val="24"/>
          <w:szCs w:val="24"/>
        </w:rPr>
        <w:t xml:space="preserve">(Fu </w:t>
      </w:r>
      <w:r w:rsidR="00183222" w:rsidRPr="00183222">
        <w:rPr>
          <w:rFonts w:ascii="Times New Roman" w:hAnsi="Times New Roman" w:cs="Times New Roman"/>
          <w:i/>
          <w:iCs/>
          <w:sz w:val="24"/>
          <w:szCs w:val="24"/>
        </w:rPr>
        <w:t>et al</w:t>
      </w:r>
      <w:r w:rsidR="00B019A6">
        <w:rPr>
          <w:rFonts w:ascii="Times New Roman" w:hAnsi="Times New Roman" w:cs="Times New Roman"/>
          <w:sz w:val="24"/>
          <w:szCs w:val="24"/>
        </w:rPr>
        <w:t xml:space="preserve">. 2007; Ma </w:t>
      </w:r>
      <w:r w:rsidR="00183222" w:rsidRPr="00183222">
        <w:rPr>
          <w:rFonts w:ascii="Times New Roman" w:hAnsi="Times New Roman" w:cs="Times New Roman"/>
          <w:i/>
          <w:iCs/>
          <w:sz w:val="24"/>
          <w:szCs w:val="24"/>
        </w:rPr>
        <w:t>et al</w:t>
      </w:r>
      <w:r w:rsidR="00B019A6">
        <w:rPr>
          <w:rFonts w:ascii="Times New Roman" w:hAnsi="Times New Roman" w:cs="Times New Roman"/>
          <w:sz w:val="24"/>
          <w:szCs w:val="24"/>
        </w:rPr>
        <w:t>. 2018)</w:t>
      </w:r>
      <w:r w:rsidR="00D67270" w:rsidRPr="003609FB">
        <w:rPr>
          <w:rFonts w:ascii="Times New Roman" w:hAnsi="Times New Roman" w:cs="Times New Roman"/>
          <w:sz w:val="24"/>
          <w:szCs w:val="24"/>
        </w:rPr>
        <w:fldChar w:fldCharType="end"/>
      </w:r>
      <w:r w:rsidR="00D67270"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With </w:t>
      </w:r>
      <w:r w:rsidR="004E5DDF">
        <w:rPr>
          <w:rFonts w:ascii="Times New Roman" w:hAnsi="Times New Roman" w:cs="Times New Roman"/>
          <w:sz w:val="24"/>
          <w:szCs w:val="24"/>
        </w:rPr>
        <w:t xml:space="preserve">multiple </w:t>
      </w:r>
      <w:r w:rsidR="004E5DDF" w:rsidRPr="003609FB">
        <w:rPr>
          <w:rFonts w:ascii="Times New Roman" w:hAnsi="Times New Roman" w:cs="Times New Roman"/>
          <w:sz w:val="24"/>
          <w:szCs w:val="24"/>
        </w:rPr>
        <w:t>intersecting</w:t>
      </w:r>
      <w:r w:rsidR="004E5DDF">
        <w:rPr>
          <w:rFonts w:ascii="Times New Roman" w:hAnsi="Times New Roman" w:cs="Times New Roman"/>
          <w:sz w:val="24"/>
          <w:szCs w:val="24"/>
        </w:rPr>
        <w:t xml:space="preserve"> environmental </w:t>
      </w:r>
      <w:r w:rsidR="003D1E8D" w:rsidRPr="003609FB">
        <w:rPr>
          <w:rFonts w:ascii="Times New Roman" w:hAnsi="Times New Roman" w:cs="Times New Roman"/>
          <w:sz w:val="24"/>
          <w:szCs w:val="24"/>
        </w:rPr>
        <w:t xml:space="preserve">stresses </w:t>
      </w:r>
      <w:r w:rsidR="004E5DDF">
        <w:rPr>
          <w:rFonts w:ascii="Times New Roman" w:hAnsi="Times New Roman" w:cs="Times New Roman"/>
          <w:sz w:val="24"/>
          <w:szCs w:val="24"/>
        </w:rPr>
        <w:t>weighing on</w:t>
      </w:r>
      <w:r w:rsidR="003D1E8D" w:rsidRPr="003609FB">
        <w:rPr>
          <w:rFonts w:ascii="Times New Roman" w:hAnsi="Times New Roman" w:cs="Times New Roman"/>
          <w:sz w:val="24"/>
          <w:szCs w:val="24"/>
        </w:rPr>
        <w:t xml:space="preserve"> cyanobacteria,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detoxification amelioration has important environmental stress </w:t>
      </w:r>
      <w:r w:rsidR="004E5DDF">
        <w:rPr>
          <w:rFonts w:ascii="Times New Roman" w:hAnsi="Times New Roman" w:cs="Times New Roman"/>
          <w:sz w:val="24"/>
          <w:szCs w:val="24"/>
        </w:rPr>
        <w:t xml:space="preserve">relieving </w:t>
      </w:r>
      <w:r w:rsidR="003D1E8D" w:rsidRPr="003609FB">
        <w:rPr>
          <w:rFonts w:ascii="Times New Roman" w:hAnsi="Times New Roman" w:cs="Times New Roman"/>
          <w:sz w:val="24"/>
          <w:szCs w:val="24"/>
        </w:rPr>
        <w:t xml:space="preserve">effects on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growth. Ma </w:t>
      </w:r>
      <w:r w:rsidR="00F92981" w:rsidRPr="003609FB">
        <w:rPr>
          <w:rFonts w:ascii="Times New Roman" w:hAnsi="Times New Roman" w:cs="Times New Roman"/>
          <w:sz w:val="24"/>
          <w:szCs w:val="24"/>
        </w:rPr>
        <w:t>(</w:t>
      </w:r>
      <w:r w:rsidR="003D1E8D" w:rsidRPr="003609FB">
        <w:rPr>
          <w:rFonts w:ascii="Times New Roman" w:hAnsi="Times New Roman" w:cs="Times New Roman"/>
          <w:sz w:val="24"/>
          <w:szCs w:val="24"/>
        </w:rPr>
        <w:t>2018</w:t>
      </w:r>
      <w:r w:rsidR="00F92981" w:rsidRPr="003609FB">
        <w:rPr>
          <w:rFonts w:ascii="Times New Roman" w:hAnsi="Times New Roman" w:cs="Times New Roman"/>
          <w:sz w:val="24"/>
          <w:szCs w:val="24"/>
        </w:rPr>
        <w:t>)</w:t>
      </w:r>
      <w:r w:rsidR="003D1E8D" w:rsidRPr="003609FB">
        <w:rPr>
          <w:rFonts w:ascii="Times New Roman" w:hAnsi="Times New Roman" w:cs="Times New Roman"/>
          <w:sz w:val="24"/>
          <w:szCs w:val="24"/>
        </w:rPr>
        <w:t xml:space="preserve"> investigated the effect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on biogeochemistry with regard to temperature, showing that microbial helper populations were essential to recover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biogeography reflected in oceanic data </w:t>
      </w:r>
      <w:r w:rsidR="00F9298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{"citationID":"8iZZWnKR","properties":{"formattedCitation":"(Partensky, Blanchot, and Vaulot 1999; Ma et al. 2018)","plainCitation":"(Partensky, Blanchot, and Vaulot 1999; Ma et al. 2018)","noteIndex":0},"citationItems":[{"id":4251,"uris":["http://zotero.org/users/6128296/items/KSAT33BJ"],"itemData":{"id":4251,"type":"article-journal","container-title":"Bulletin-Institut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id":2142,"uris":["http://zotero.org/users/6128296/items/V83EGSC2"],"itemData":{"id":2142,"type":"article-journal","abstract":"Prochlorococcus, the smallest and most abundant phytoplankter in the ocean, is highly sensitive to hydrogen peroxide (HOOH), and co-occurring heterotrophs such as Alteromonas facilitate the growth of Prochlorococcus by scavenging HOOH. Temperature is also a major influence on Prochlorococcus abundance and distribution in the ocean, and studies in other photosynthetic organisms have shown that HOOH and temperature extremes can act together as synergistic stressors. To address potential synergistic effects of temperature and HOOH on Prochlorococcus growth, high- and low-temperatureadapted representative strains were cultured at ecologically relevant concentrations under a range of HOOH concentrations and temperatures. Higher concentrations of HOOH severely diminished the permissive temperature range for growth of both Prochlorococcus strains. At the permissive temperatures, the growth rates of both Prochlorococcus strains decreased as a function of HOOH, and cold temperature increased susceptibility of photosystem II to HOOH-mediated damage. Serving as a proxy for the natural community, co-cultured heterotrophic bacteria increased the Prochlorococcus growth rate under these temperatures, and expanded the permissive range of temperature for growth. These studies indicate that in the ocean, the cross-protective function of the microbial community may confer a fitness increase for Prochlorococcus at its temperature extremes, especially near the ocean surface where oxidative stress is highest. This interaction may play a substantial role in defining the realized thermal niche and habitat range of Prochlorococcus with respect to latitude.","container-title":"The ISME Journal","DOI":"10.1038/ismej.2017.182","ISSN":"1751-7362, 1751-7370","issue":"2","journalAbbreviation":"ISME J","language":"en","page":"473-484","source":"DOI.org (Crossref)","title":"Degradation of hydrogen peroxide at the ocean’s surface: the influence of the microbial community on the realized thermal niche of Prochlorococcus","title-short":"Degradation of hydrogen peroxide at the ocean’s surface","volume":"12","author":[{"family":"Ma","given":""},{"family":"Calfee","given":"Benjamin C"},{"family":"Morris","given":"J Jeffrey"},{"family":"Johnson","given":"Zackary I"},{"family":"Zinser","given":"Erik R"}],"issued":{"date-parts":[["2018",2]]}}}],"schema":"https://github.com/citation-style-language/schema/raw/master/csl-citation.json"} </w:instrText>
      </w:r>
      <w:r w:rsidR="00F92981"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Ma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2018)</w:t>
      </w:r>
      <w:r w:rsidR="00F92981" w:rsidRPr="003609FB">
        <w:rPr>
          <w:rFonts w:ascii="Times New Roman" w:hAnsi="Times New Roman" w:cs="Times New Roman"/>
          <w:sz w:val="24"/>
          <w:szCs w:val="24"/>
        </w:rPr>
        <w:fldChar w:fldCharType="end"/>
      </w:r>
      <w:r w:rsidR="00F92981" w:rsidRPr="003609FB">
        <w:rPr>
          <w:rFonts w:ascii="Times New Roman" w:hAnsi="Times New Roman" w:cs="Times New Roman"/>
          <w:sz w:val="24"/>
          <w:szCs w:val="24"/>
        </w:rPr>
        <w:t>.</w:t>
      </w:r>
      <w:r w:rsidR="004E5DDF">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This study expands upon </w:t>
      </w:r>
      <w:r w:rsidR="00C3414C">
        <w:rPr>
          <w:rFonts w:ascii="Times New Roman" w:hAnsi="Times New Roman" w:cs="Times New Roman"/>
          <w:sz w:val="24"/>
          <w:szCs w:val="24"/>
        </w:rPr>
        <w:t xml:space="preserve">possible </w:t>
      </w:r>
      <w:r w:rsidR="003D1E8D" w:rsidRPr="003609FB">
        <w:rPr>
          <w:rFonts w:ascii="Times New Roman" w:hAnsi="Times New Roman" w:cs="Times New Roman"/>
          <w:sz w:val="24"/>
          <w:szCs w:val="24"/>
        </w:rPr>
        <w:t>bacterial</w:t>
      </w:r>
      <w:r w:rsidR="00C3414C">
        <w:rPr>
          <w:rFonts w:ascii="Times New Roman" w:hAnsi="Times New Roman" w:cs="Times New Roman"/>
          <w:sz w:val="24"/>
          <w:szCs w:val="24"/>
        </w:rPr>
        <w:t xml:space="preserve"> cell</w:t>
      </w:r>
      <w:r w:rsidR="003D1E8D" w:rsidRPr="003609FB">
        <w:rPr>
          <w:rFonts w:ascii="Times New Roman" w:hAnsi="Times New Roman" w:cs="Times New Roman"/>
          <w:sz w:val="24"/>
          <w:szCs w:val="24"/>
        </w:rPr>
        <w:t xml:space="preserve"> effects on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3D1E8D" w:rsidRPr="003609FB">
        <w:rPr>
          <w:rFonts w:ascii="Times New Roman" w:hAnsi="Times New Roman" w:cs="Times New Roman"/>
          <w:sz w:val="24"/>
          <w:szCs w:val="24"/>
        </w:rPr>
        <w:t>though</w:t>
      </w:r>
      <w:r w:rsidR="005F6A4C" w:rsidRPr="003609FB">
        <w:rPr>
          <w:rFonts w:ascii="Times New Roman" w:hAnsi="Times New Roman" w:cs="Times New Roman"/>
          <w:sz w:val="24"/>
          <w:szCs w:val="24"/>
        </w:rPr>
        <w:t xml:space="preserve"> with</w:t>
      </w:r>
      <w:r w:rsidR="003D1E8D" w:rsidRPr="003609FB">
        <w:rPr>
          <w:rFonts w:ascii="Times New Roman" w:hAnsi="Times New Roman" w:cs="Times New Roman"/>
          <w:sz w:val="24"/>
          <w:szCs w:val="24"/>
        </w:rPr>
        <w:t xml:space="preserve"> evaluation of </w:t>
      </w:r>
      <w:r w:rsidR="00C3414C">
        <w:rPr>
          <w:rFonts w:ascii="Times New Roman" w:hAnsi="Times New Roman" w:cs="Times New Roman"/>
          <w:sz w:val="24"/>
          <w:szCs w:val="24"/>
        </w:rPr>
        <w:t xml:space="preserve">plankton </w:t>
      </w:r>
      <w:r w:rsidR="003D1E8D" w:rsidRPr="003609FB">
        <w:rPr>
          <w:rFonts w:ascii="Times New Roman" w:hAnsi="Times New Roman" w:cs="Times New Roman"/>
          <w:sz w:val="24"/>
          <w:szCs w:val="24"/>
        </w:rPr>
        <w:t>cell-specific (</w:t>
      </w:r>
      <w:r w:rsidR="00B11A01" w:rsidRPr="003609FB">
        <w:rPr>
          <w:rFonts w:ascii="Times New Roman" w:hAnsi="Times New Roman" w:cs="Times New Roman"/>
          <w:sz w:val="24"/>
          <w:szCs w:val="24"/>
        </w:rPr>
        <w:t>C</w:t>
      </w:r>
      <w:r w:rsidR="003D1E8D" w:rsidRPr="003609FB">
        <w:rPr>
          <w:rFonts w:ascii="Times New Roman" w:hAnsi="Times New Roman" w:cs="Times New Roman"/>
          <w:sz w:val="24"/>
          <w:szCs w:val="24"/>
        </w:rPr>
        <w:t xml:space="preserve">hapter 2 isolated) detoxification </w:t>
      </w:r>
      <w:r w:rsidR="00C3414C">
        <w:rPr>
          <w:rFonts w:ascii="Times New Roman" w:hAnsi="Times New Roman" w:cs="Times New Roman"/>
          <w:sz w:val="24"/>
          <w:szCs w:val="24"/>
        </w:rPr>
        <w:t>(</w:t>
      </w:r>
      <m:oMath>
        <m:sSub>
          <m:sSubPr>
            <m:ctrlPr>
              <w:rPr>
                <w:rFonts w:ascii="Cambria Math" w:hAnsi="Cambria Math"/>
              </w:rPr>
            </m:ctrlPr>
          </m:sSubPr>
          <m:e>
            <m:r>
              <w:rPr>
                <w:rFonts w:ascii="Cambria Math" w:hAnsi="Cambria Math"/>
              </w:rPr>
              <m:t>ϕ</m:t>
            </m:r>
          </m:e>
          <m:sub>
            <m:r>
              <w:rPr>
                <w:rFonts w:ascii="Cambria Math" w:hAnsi="Cambria Math"/>
              </w:rPr>
              <m:t>max,i</m:t>
            </m:r>
          </m:sub>
        </m:sSub>
      </m:oMath>
      <w:r w:rsidR="00C3414C">
        <w:rPr>
          <w:rFonts w:ascii="Times New Roman" w:hAnsi="Times New Roman" w:cs="Times New Roman"/>
          <w:sz w:val="24"/>
          <w:szCs w:val="24"/>
        </w:rPr>
        <w:t xml:space="preserve">) </w:t>
      </w:r>
      <w:r w:rsidR="003D1E8D" w:rsidRPr="003609FB">
        <w:rPr>
          <w:rFonts w:ascii="Times New Roman" w:hAnsi="Times New Roman" w:cs="Times New Roman"/>
          <w:sz w:val="24"/>
          <w:szCs w:val="24"/>
        </w:rPr>
        <w:t xml:space="preserve">of environmental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3D1E8D" w:rsidRPr="003609FB">
        <w:rPr>
          <w:rFonts w:ascii="Times New Roman" w:hAnsi="Times New Roman" w:cs="Times New Roman"/>
          <w:sz w:val="24"/>
          <w:szCs w:val="24"/>
        </w:rPr>
        <w:t xml:space="preserve">.  </w:t>
      </w:r>
    </w:p>
    <w:p w14:paraId="207151F2" w14:textId="5DD0455C" w:rsidR="003D1E8D" w:rsidRPr="003609FB" w:rsidRDefault="003D1E8D" w:rsidP="0060738C">
      <w:pPr>
        <w:spacing w:line="360" w:lineRule="auto"/>
        <w:ind w:firstLine="720"/>
        <w:rPr>
          <w:rFonts w:ascii="Times New Roman" w:hAnsi="Times New Roman" w:cs="Times New Roman"/>
          <w:sz w:val="24"/>
          <w:szCs w:val="24"/>
          <w:highlight w:val="yellow"/>
        </w:rPr>
      </w:pPr>
      <w:r w:rsidRPr="003609FB">
        <w:rPr>
          <w:rFonts w:ascii="Times New Roman" w:hAnsi="Times New Roman" w:cs="Times New Roman"/>
          <w:sz w:val="24"/>
          <w:szCs w:val="24"/>
        </w:rPr>
        <w:t xml:space="preserve">Decreasing pH of the ocean is </w:t>
      </w:r>
      <w:r w:rsidR="003B0500" w:rsidRPr="003609FB">
        <w:rPr>
          <w:rFonts w:ascii="Times New Roman" w:hAnsi="Times New Roman" w:cs="Times New Roman"/>
          <w:sz w:val="24"/>
          <w:szCs w:val="24"/>
        </w:rPr>
        <w:t>projected</w:t>
      </w:r>
      <w:r w:rsidRPr="003609FB">
        <w:rPr>
          <w:rFonts w:ascii="Times New Roman" w:hAnsi="Times New Roman" w:cs="Times New Roman"/>
          <w:sz w:val="24"/>
          <w:szCs w:val="24"/>
        </w:rPr>
        <w:t xml:space="preserve"> to increase ocean reactivity </w:t>
      </w:r>
      <w:r w:rsidR="00F92981"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{"citationID":"1XNH0wrs","properties":{"formattedCitation":"(Ahmad et al. 2015; Hopwood et al. 2018)","plainCitation":"(Ahmad et al. 2015; Hopwood et al. 2018)","noteIndex":0},"citationItems":[{"id":1688,"uris":["http://zotero.org/users/6128296/items/Y3V2RV47"],"itemData":{"id":1688,"type":"article-journal","abstract":"In this study, nanosized zero-valent iron-reduced graphene oxide (nZVI-rGO)-activated persulfate (PS) was used to investigate the generation of reactive oxygen species (ROS) for the degradation of trichloroethylene (TCE) in the aqueous solution. More than 98 % of TCE was degraded within 2 min under experimental conditions. The generation of ·OH increased when the pH was shifted toward the basic region while ·SO4− radicals’ intensity increased in the acidic pH. Different scenarios have been observed in ·O2− generation in the neutral and strong basic pH and decreased in acidic or slightly basic pH. In addition, the intensity of ·OH was increased with the addition of HCO3− (10 mM) and NO3− (100 mM) but decreased in the presence of Cl− (10and100mM),HCO3− (100 mM), and NO3− (10 mM). The degradation of anisole, probe for both ·OH and ·SO4−, was slightly enhanced by 10 mM NO3− anions but decreased in 100 mM salt solution. ·O2− intensity was increased while HCO3− (10 and 100mM)andNO3− (100 mM) anions were used. nZVI-rGO-activated PS process could remove TCE in aqueous effectively, and the ROS generation and intensity were influenced by solution pH values and anions.","container-title":"Water, Air, &amp; Soil Pollution","DOI":"10.1007/s11270-015-2635-8","ISSN":"0049-6979, 1573-2932","issue":"11","journalAbbreviation":"Water Air Soil Pollut","language":"en","page":"369","source":"DOI.org (Crossref)","title":"Effects of pH and Anions on the Generation of Reactive Oxygen Species (ROS) in nZVI-rGo-Activated Persulfate System","volume":"226","author":[{"family":"Ahmad","given":""},{"family":"Gu","given":"Xiaogang"},{"family":"Li","given":"Li"},{"family":"Lu","given":"Shuguang"},{"family":"Xu","given":"Yisheng"},{"family":"Guo","given":"Xuhong"}],"issued":{"date-parts":[["2015",11]]}}},{"id":3271,"uris":["http://zotero.org/users/6128296/items/LKR5IGG6"],"itemData":{"id":3271,"type":"article-journal","abstract":"In the surface ocean, microorganisms are both a source of extracellular H2O2 and, via the production of H2O2 destroying enzymes, also one of the main H2O2 sinks. Within microbial communities, H2O2 sources and sinks may be unevenly distributed and thus microbial community structure could inﬂuence ambient extracellular H2O2 concentrations. Yet the biogeochemical cycling of H2O2 and other reactive oxygen species (ROS) is rarely investigated at the community level. Here, we present a time series of H2O2 concentrations during a 28-day mesocosm experiment where a pCO2 gradient (400–1,450 µatm) was applied to subtropical North Atlantic waters. Pronounced changes in H2O2 concentration were observed over the duration of the experiment. Initially H2O2 concentrations in all mesocosms were strongly correlated with surface H2O2 concentrations in ambient seawaters outside the mesocosms which ranged from 20 to 92 nM over the experiment duration (Spearman Rank Coefﬁcients 0.79–0.93, p-values &lt; 0.001–0.015). After approximately 9 days of incubation however, H2O2 concentrations had increased across all mesocosms, later reaching &gt;300 nM in some mesocosms (2–6 fold higher than ambient seawaters). The correlation with ambient H2O2 was then no longer signiﬁcant (p &gt; 0.05) in all treatments. Furthermore, changes in H2O2 could not be correlated with inter-day changes in integrated irradiance. Yet H2O2 concentrations in most mesocosms were inversely correlated with bacterial abundance (negative Spearman Rank Coefﬁcients ranging 0.59–0.94, p-values &lt; 0.001–0.03). Our results therefore suggest that ambient H2O2 concentration can be inﬂuenced by microbial community structure with shifts toward high bacterial abundance correlated with low extracellular H2O2 concentrations. We also infer that the nature of mesocosm experiment design, i.e., the enclosure of water within open containers at the ocean surface, can strongly inﬂuence extracellular H2O2 concentrations. This has potential chemical and biological implications during incubation experiments due to the role of H2O2 as both a stressor to microbial functioning and a reactive component involved in the cycling of numerous chemical species including, for example, trace metals and haloalkanes.","container-title":"Frontiers in Marine Science","DOI":"10.3389/fmars.2018.00105","ISSN":"2296-7745","journalAbbreviation":"Front. Mar. Sci.","language":"en","page":"105","source":"DOI.org (Crossref)","title":"Photochemical vs. Bacterial Control of H2O2 Concentration Across a pCO2 Gradient Mesocosm Experiment in the Subtropical North Atlantic","volume":"5","author":[{"family":"Hopwood","given":""},{"family":"Riebesell","given":"Ulf"},{"family":"Arístegui","given":"Javier"},{"family":"Ludwig","given":"Andrea"},{"family":"Achterberg","given":"Eric P."},{"family":"Hernández","given":"Nauzet"}],"issued":{"date-parts":[["2018",3,27]]}}}],"schema":"https://github.com/citation-style-language/schema/raw/master/csl-citation.json"} </w:instrText>
      </w:r>
      <w:r w:rsidR="00F9298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(Ahmad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2015; Hopwood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2018)</w:t>
      </w:r>
      <w:r w:rsidR="00F9298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while increased CO</w:t>
      </w:r>
      <w:r w:rsidRPr="00F423EE">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also has been shown to increase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w:t>
      </w:r>
      <w:r w:rsidR="00F92981" w:rsidRPr="003609FB">
        <w:rPr>
          <w:rFonts w:ascii="Times New Roman" w:hAnsi="Times New Roman" w:cs="Times New Roman"/>
          <w:sz w:val="24"/>
          <w:szCs w:val="24"/>
        </w:rPr>
        <w:t xml:space="preserve"> </w:t>
      </w:r>
      <w:r w:rsidR="00F9298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{"citationID":"B4LQxNyN","properties":{"formattedCitation":"(Klanian and Preciat 2017; Hennon et al. 2018)","plainCitation":"(Klanian and Preciat 2017; Hennon et al. 2018)","noteIndex":0},"citationItems":[{"id":1792,"uris":["http://zotero.org/users/6128296/items/GTUZUZRM"],"itemData":{"id":1792,"type":"article-journal","abstract":"This study evaluated the effect ofpH on the activity ofantioxidant and immune enzymes in the sea cucumber Isostichopus badionotus exposed todifferent temperatures. The organisms (530 ±110 g)were exposed to16, 20, 24, 28, 30, 34 and 36 ̊C for 6htoevaluate thermal limits attwo water pH values (treatment =7.70; control =8.17). For the thermal tolerance experiment, the organisms were exposed tosublethal temperature of34 ̊C for 3, 6,12, 24, and 48 h. I. badionotus showed signs ofthermal stress by synthesizing heat shock protein 70 (hsp70) atthe cold (16 ̊C) and warm thermal limits (34 ̊C). The glutathione peroxidase (GPx) showed anegative correlation with superoxide dismutase (SOD) activity inmodulating the effect ofoxidative stress atdifferent temperaturelevels. Specifically, GPx activity was maximal atthe extremes ofthe cold and warm temperatures (16, 20, and 36 ̊C) tested, while contrarily, the SOD activity increased significantly inthe narrow range oftemperature between 28 and 30 ̊C, as apart ofareaction tooffset oxidative damage. The effect ofpH on the expression ofhsp70 was not significant, whereas the antioxidant enzymes activity was stimulated atpH 7.70. Mucosal immunity, evidenced by the activation ofthe phenoloxidase (PO) system, increased above the basal level atpH 7.70 and at28, 30, and 34 ̊C. Independent ofpH, the temperature of34 ̊C was identified as the 12 h-sublethal upper limit for I. badionotus.","container-title":"PLOS ONE","DOI":"10.1371/journal.pone.0175812","ISSN":"1932-6203","issue":"4","journalAbbreviation":"PLoS ONE","language":"en","page":"e0175812","source":"DOI.org (Crossref)","title":"Effect of pH on temperature controlled degradation of reactive oxygen species, heat shock protein expression, and mucosal immunity in the sea cucumber Isostichopus badionotus","volume":"12","author":[{"family":"Klanian","given":""},{"family":"Preciat","given":"Montserrat"}],"editor":[{"family":"Li Volti","given":"Giovanni"}],"issued":{"date-parts":[["2017",4,17]]}}},{"id":96,"uris":["http://zotero.org/users/6128296/items/FLR3U54M"],"itemData":{"id":96,"type":"article-journal","container-title":"The ISME Journal","DOI":"10.1038/ismej.2017.189","ISSN":"1751-7362, 1751-7370","issue":"2","journalAbbreviation":"ISME J","language":"en","page":"520-531","source":"DOI.org (Crossref)","title":"The impact of elevated CO2 on Prochlorococcus and microbial interactions with ‘helper’ bacterium Alteromonas","volume":"12","author":[{"family":"Hennon","given":""},{"family":"Morris","given":"J Jeffrey"},{"family":"Haley","given":"Sheean T"},{"family":"Zinser","given":"Erik R"},{"family":"Durrant","given":"Alexander R"},{"family":"Entwistle","given":"Elizabeth"},{"family":"Dokland","given":"Terje"},{"family":"Dyhrman","given":"Sonya T"}],"issued":{"date-parts":[["2018",2]]}}}],"schema":"https://github.com/citation-style-language/schema/raw/master/csl-citation.json"} </w:instrText>
      </w:r>
      <w:r w:rsidR="00F9298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Klanian</w:t>
      </w:r>
      <w:proofErr w:type="spellEnd"/>
      <w:r w:rsidR="00920699">
        <w:rPr>
          <w:rFonts w:ascii="Times New Roman" w:hAnsi="Times New Roman" w:cs="Times New Roman"/>
          <w:sz w:val="24"/>
          <w:szCs w:val="24"/>
        </w:rPr>
        <w:t xml:space="preserve"> and </w:t>
      </w:r>
      <w:proofErr w:type="spellStart"/>
      <w:r w:rsidR="00920699">
        <w:rPr>
          <w:rFonts w:ascii="Times New Roman" w:hAnsi="Times New Roman" w:cs="Times New Roman"/>
          <w:sz w:val="24"/>
          <w:szCs w:val="24"/>
        </w:rPr>
        <w:t>Preciat</w:t>
      </w:r>
      <w:proofErr w:type="spellEnd"/>
      <w:r w:rsidR="00920699">
        <w:rPr>
          <w:rFonts w:ascii="Times New Roman" w:hAnsi="Times New Roman" w:cs="Times New Roman"/>
          <w:sz w:val="24"/>
          <w:szCs w:val="24"/>
        </w:rPr>
        <w:t xml:space="preserve"> 2017; Hennon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2018)</w:t>
      </w:r>
      <w:r w:rsidR="00F92981" w:rsidRPr="003609FB">
        <w:rPr>
          <w:rFonts w:ascii="Times New Roman" w:hAnsi="Times New Roman" w:cs="Times New Roman"/>
          <w:sz w:val="24"/>
          <w:szCs w:val="24"/>
        </w:rPr>
        <w:fldChar w:fldCharType="end"/>
      </w:r>
      <w:r w:rsidR="00F9298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Further, warmer temperatures are predicted decrease oceanic nitrogen flux </w:t>
      </w:r>
      <w:r w:rsidR="00A50C4D"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{"citationID":"mCKbwdEj","properties":{"formattedCitation":"(Beman et al. 2011; Sall\\uc0\\u233{}e et al. 2021)","plainCitation":"(Beman et al. 2011; Sallée et al. 2021)","noteIndex":0},"citationItems":[{"id":1670,"uris":["http://zotero.org/users/6128296/items/FPQP6Z9Q"],"itemData":{"id":1670,"type":"article-journal","abstract":"Ocean acidification produced by dissolution of anthropogenic carbon dioxide (CO2) emissions in seawater has profound consequences for marine ecology and biogeochemistry. The oceans have absorbed one-third of CO2 emissions over the past two centuries, altering ocean chemistry, reducing seawater pH, and affecting marine animals and phytoplankton in multiple ways. Microbially mediated ocean biogeochemical processes will be pivotal in determining how the earth system responds to global environmental change; however, how they may be altered by ocean acidification is largely unknown. We show here that microbial nitrification rates decreased in every instance when pH was experimentally reduced (by 0.05–0.14) at multiple locations in the Atlantic and Pacific Oceans. Nitrification is a central process in the nitrogen cycle that produces both the greenhouse gas nitrous oxide and oxidized forms of nitrogen used by phytoplankton and other microorganisms in the sea; at the Bermuda Atlantic Time Series and Hawaii Ocean Time-series sites, experimental acidification decreased ammonia oxidation rates by 38% and 36%. Ammonia oxidation rates were also strongly and inversely correlated with pH along a gradient produced in the oligotrophic Sargasso Sea (r^2= 0.87, P&lt; 0.05). Across all experiments, rates declined by 8–38% in low pH treatments, and the greatest absolute decrease occurred where rates were highest off the California coast. Collectively our results suggest that ocean acidification could reduce nitrification rates by 3–44% within the next few decades, affecting oceanic nitrous oxide production, reducing supplies of oxidized nitrogen in the upper layers of the ocean, and fundamentally altering nitrogen cycling in the sea.","container-title":"Proceedings of the National Academy of Sciences","DOI":"10.1073/pnas.1011053108","ISSN":"0027-8424, 1091-6490","issue":"1","journalAbbreviation":"Proc Natl Acad Sci USA","language":"en","page":"208-213","source":"DOI.org (Crossref)","title":"Global declines in oceanic nitrification rates as a consequence of ocean acidification","volume":"108","author":[{"family":"Beman","given":""},{"family":"Chow","given":"Cheryl-Emiliane"},{"family":"King","given":"Andrew L."},{"family":"Feng","given":"Yuanyuan"},{"family":"Fuhrman","given":"Jed A."},{"family":"Andersson","given":"Andreas"},{"family":"Bates","given":"Nicholas R."},{"family":"Popp","given":"Brian N."},{"family":"Hutchins","given":"David A."}],"issued":{"date-parts":[["2011",1,4]]}}},{"id":3993,"uris":["http://zotero.org/users/6128296/items/GQYVKEZC"],"itemData":{"id":3993,"type":"article-journal","abstract":"The surface mixed layer of the world ocean regulates global climate by controlling heat and carbon exchange between the atmosphere and the oceanic interior1–3. The mixed layer also shapes marine ecosystems by hosting most of the ocean’s primary production4 and providing the conduit for oxygenation of deep oceanic layers. Despite these important climatic and life-supporting roles, possible changes in the mixed layer during an era of global climate change remain uncertain. Here we use oceanographic observations to show that from 1970 to 2018 the density contrast across the base of the mixed layer increased and that the mixed layer itself became deeper. Using a physically based definition of upper-ocean stability that follows different dynamical regimes across the global ocean, we find that the summertime density contrast increased by 8.9 ± 2.7 per cent per decade (10−5–10−4 per second squared per decade, depending on region), more than six times greater than previous estimates. Whereas prior work has suggested that a thinner mixed layer should accompany a more stratified upper ocean5–7, we find instead that the summertime mixed layer deepened by 2.9 ± 0.5 per cent per decade, or several metres per decade (typically 5–10 metres per decade, depending on region). A detailed mechanistic interpretation is challenging, but the concurrent stratification and deepening of the mixed layer are related to an increase in stability associated with surface warming and high-latitude surface freshening8,9, accompanied by a wind-driven intensification of upper-ocean turbulence10,11. Our findings are based on a complex dataset with incomplete coverage of a vast area. Although our results are robust within a wide range of sensitivity analyses, important uncertainties remain, such as those related to sparse coverage in the early years of the 1970–2018 period. Nonetheless, our work calls for reconsideration of the drivers of ongoing shifts in marine primary production, and reveals stark changes in the world’s upper ocean over the past five decades.","container-title":"Nature","DOI":"10.1038/s41586-021-03303-x","ISSN":"0028-0836, 1476-4687","issue":"7851","journalAbbreviation":"Nature","language":"en","page":"592-598","source":"DOI.org (Crossref)","title":"Summertime increases in upper-ocean stratification and mixed-layer depth","volume":"591","author":[{"family":"Sallée","given":""},{"family":"Pellichero","given":"Violaine"},{"family":"Akhoudas","given":"Camille"},{"family":"Pauthenet","given":"Etienne"},{"family":"Vignes","given":"Lucie"},{"family":"Schmidtko","given":"Sunke"},{"family":"Garabato","given":"Alberto Naveira"},{"family":"Sutherland","given":"Peter"},{"family":"Kuusela","given":"Mikael"}],"issued":{"date-parts":[["2021",3,25]]}}}],"schema":"https://github.com/citation-style-language/schema/raw/master/csl-citation.json"} </w:instrText>
      </w:r>
      <w:r w:rsidR="00A50C4D" w:rsidRPr="003609FB">
        <w:rPr>
          <w:rFonts w:ascii="Times New Roman" w:hAnsi="Times New Roman" w:cs="Times New Roman"/>
          <w:sz w:val="24"/>
          <w:szCs w:val="24"/>
        </w:rPr>
        <w:fldChar w:fldCharType="separate"/>
      </w:r>
      <w:r w:rsidR="00920699" w:rsidRPr="00920699">
        <w:rPr>
          <w:rFonts w:ascii="Times New Roman" w:hAnsi="Times New Roman" w:cs="Times New Roman"/>
          <w:sz w:val="24"/>
        </w:rPr>
        <w:t xml:space="preserve">(Beman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xml:space="preserve">. 2011; Sallée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2021)</w:t>
      </w:r>
      <w:r w:rsidR="00A50C4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and augment </w:t>
      </w:r>
      <w:r w:rsidR="003B0500" w:rsidRPr="003609FB">
        <w:rPr>
          <w:rFonts w:ascii="Times New Roman" w:hAnsi="Times New Roman" w:cs="Times New Roman"/>
          <w:sz w:val="24"/>
          <w:szCs w:val="24"/>
        </w:rPr>
        <w:t>community</w:t>
      </w:r>
      <w:r w:rsidRPr="003609FB">
        <w:rPr>
          <w:rFonts w:ascii="Times New Roman" w:hAnsi="Times New Roman" w:cs="Times New Roman"/>
          <w:sz w:val="24"/>
          <w:szCs w:val="24"/>
        </w:rPr>
        <w:t xml:space="preserve"> composition </w:t>
      </w:r>
      <w:r w:rsidR="00CF5219" w:rsidRPr="003609FB">
        <w:rPr>
          <w:rFonts w:ascii="Times New Roman" w:hAnsi="Times New Roman" w:cs="Times New Roman"/>
          <w:sz w:val="24"/>
          <w:szCs w:val="24"/>
        </w:rPr>
        <w:t xml:space="preserve">through cascading </w:t>
      </w:r>
      <w:r w:rsidR="00F92981" w:rsidRPr="003609FB">
        <w:rPr>
          <w:rFonts w:ascii="Times New Roman" w:hAnsi="Times New Roman" w:cs="Times New Roman"/>
          <w:sz w:val="24"/>
          <w:szCs w:val="24"/>
        </w:rPr>
        <w:t xml:space="preserve">changes in </w:t>
      </w:r>
      <w:r w:rsidR="00CF5219" w:rsidRPr="003609FB">
        <w:rPr>
          <w:rFonts w:ascii="Times New Roman" w:hAnsi="Times New Roman" w:cs="Times New Roman"/>
          <w:sz w:val="24"/>
          <w:szCs w:val="24"/>
        </w:rPr>
        <w:t xml:space="preserve">nutrient structure </w:t>
      </w:r>
      <w:r w:rsidR="00A50C4D"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{"citationID":"CVbEBdjb","properties":{"formattedCitation":"(Dutkiewicz et al. 2014, 201; 2015)","plainCitation":"(Dutkiewicz et al. 2014, 201; 2015)","noteIndex":0},"citationItems":[{"id":3187,"uris":["http://zotero.org/users/6128296/items/UPZJWXMY"],"itemData":{"id":3187,"type":"article-journal","abstract":"We examine the sensitivity of the biogeography of nitrogen ﬁxers to a warming climate and increased aeolian iron deposition in the context of a global earth system model. We employ concepts from the resource-ratio theory to provide a simplifying and transparent interpretation of the results. First we demonstrate that a set of clearly deﬁned, easily diagnosed provinces are consistent with the theory. Using this framework we show that the regions most vulnerable to province shifts and changes in diazotroph biogeography are the equatorial and South Paciﬁc, and central Atlantic. Warmer and dustier climates favor diazotrophs due to an increase in the ratio of supply rate of iron to ﬁxed nitrogen. We suggest that the emergent provinces could be a standard diagnostic for global change models, allowing for rapid and transparent interpretation and comparison of model predictions and the underlying mechanisms. The analysis suggests that monitoring of real world province boundaries, indicated by transitions in surface nutrient concentrations, would provide a clear and easily interpreted indicator of ongoing global change.","container-title":"Biogeosciences","DOI":"10.5194/bg-11-5445-2014","ISSN":"1726-4189","issue":"19","journalAbbreviation":"Biogeosciences","language":"en","page":"5445-5461","source":"DOI.org (Crossref)","title":"Understanding predicted shifts in diazotroph biogeography using resource competition theory","volume":"11","author":[{"family":"Dutkiewicz","given":""},{"family":"Ward","given":"B. A."},{"family":"Scott","given":"J. R."},{"family":"Follows","given":"M. J."}],"issued":{"date-parts":[["2014",10,8]]}},"locator":"201"},{"id":3188,"uris":["http://zotero.org/users/6128296/items/C5M8U2TV"],"itemData":{"id":3188,"type":"article-journal","abstract":"Phytoplankton form the foundation of the marine food web and regulate key biogeochemical processes. These organisms face multiple environmental changes1, including the decline in ocean pH (ocean acidification) caused by rising atmospheric pCO2 (ref. 2). A meta-analysis of published experimental data assessing growth rates of different phytoplankton taxa under both ambient and elevated pCO2 conditions revealed a significant range of responses. This effect of ocean acidification was incorporated into a global marine ecosystem model to explore how marine phytoplankton communities might be impacted over the course of a hypothetical twenty-first century. Results emphasized that the differing responses to elevated pCO2 caused su cient changes in competitive fitness between phytoplankton types to significantly alter community structure. At the level of ecological function of the phytoplankton community, acidification had a greater impact than warming or reduced nutrient supply. The model suggested that longer timescales of competition- and transport-mediated adjustments are essential for predicting changes to phytoplankton community structure.","container-title":"Nature Climate Change","DOI":"10.1038/nclimate2722","ISSN":"1758-678X, 1758-6798","issue":"11","journalAbbreviation":"Nature Clim Change","language":"en","page":"1002-1006","source":"DOI.org (Crossref)","title":"Impact of ocean acidification on the structure of future phytoplankton communities","volume":"5","author":[{"family":"Dutkiewicz","given":""},{"family":"Morris","given":"J. Jeffrey"},{"family":"Follows","given":"Michael J."},{"family":"Scott","given":"Jeffery"},{"family":"Levitan","given":"Orly"},{"family":"Dyhrman","given":"Sonya T."},{"family":"Berman-Frank","given":"Ilana"}],"issued":{"date-parts":[["2015",11]]}}}],"schema":"https://github.com/citation-style-language/schema/raw/master/csl-citation.json"} </w:instrText>
      </w:r>
      <w:r w:rsidR="00A50C4D"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(Dutkiewicz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2014, 201; 2015)</w:t>
      </w:r>
      <w:r w:rsidR="00A50C4D" w:rsidRPr="003609FB">
        <w:rPr>
          <w:rFonts w:ascii="Times New Roman" w:hAnsi="Times New Roman" w:cs="Times New Roman"/>
          <w:sz w:val="24"/>
          <w:szCs w:val="24"/>
        </w:rPr>
        <w:fldChar w:fldCharType="end"/>
      </w:r>
      <w:r w:rsidR="00A50C4D" w:rsidRPr="003609FB">
        <w:rPr>
          <w:rFonts w:ascii="Times New Roman" w:hAnsi="Times New Roman" w:cs="Times New Roman"/>
          <w:sz w:val="24"/>
          <w:szCs w:val="24"/>
        </w:rPr>
        <w:t xml:space="preserve">. </w:t>
      </w:r>
      <w:r w:rsidRPr="003609FB">
        <w:rPr>
          <w:rFonts w:ascii="Times New Roman" w:hAnsi="Times New Roman" w:cs="Times New Roman"/>
          <w:sz w:val="24"/>
          <w:szCs w:val="24"/>
        </w:rPr>
        <w:t>This implies that as pCO</w:t>
      </w:r>
      <w:r w:rsidRPr="00F423EE">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rises and oceans warm </w:t>
      </w:r>
      <w:r w:rsidR="00864941"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{"citationID":"Lp52o5Kj","properties":{"formattedCitation":"(Dutkiewicz, Scott, and Follows 2013; Fu et al. 2007)","plainCitation":"(Dutkiewicz, Scott, and Follows 2013; Fu et al. 2007)","noteIndex":0},"citationItems":[{"id":4149,"uris":["http://zotero.org/users/6128296/items/522R3HZR"],"itemData":{"id":4149,"type":"article-journal","abstract":"We employ a marine ecosystem model, with diverse and flexible phytoplankton communities, coupled to an Earth system model of intermediate complexity to explore mechanisms that will alter the biogeography and productivity of phytoplankton populations in a warming world. Simple theoretical frameworks and sensitivity experiments reveal that ecological and biogeochemical changes are driven by a balance between two impacts of a warming climate: higher metabolic rates (the “direct” effect), and changes in the supply of limiting nutrients and altered light environments (the “indirect” effect). On globally integrated productivity, the two effects compensate to a large degree. Regionally, the competition between effects is more complicated; patterns of productivity changes are different between high and low latitudes and are also regulated by how the supply of the limiting nutrient changes. These complex regional patterns are also found in the changes to broad phytoplankton functional groups. On the finer ecological scale of diversity within functional groups, we find that ranges of some phytoplankton types are reduced, while those of others (potentially minor players in the present ocean) expand. Combined change in areal extent of range and in regionally available nutrients leads to global “winners and losers.” The model suggests that the strongest and most robust signal of the warming ocean is likely to be the large turnover in local phytoplankton community composition.\nProductivity changes are balance of direct and indirect effects of warming\n Phytoplankton type range shifts lead to global and regional winners and losers\n Clearest signal of climate change will be shifts in community at specieslevel","container-title":"Global Biogeochemical Cycles","DOI":"10.1002/gbc.20042","ISSN":"0886-6236, 1944-9224","issue":"2","journalAbbreviation":"Global Biogeochemical Cycles","language":"en","page":"463-477","source":"DOI.org (Crossref)","title":"Winners and losers: Ecological and biogeochemical changes in a warming ocean","title-short":"Winners and losers","volume":"27","author":[{"family":"Dutkiewicz","given":""},{"family":"Scott","given":"J. R."},{"family":"Follows","given":"M. J."}],"issued":{"date-parts":[["2013",6]]}}},{"id":3214,"uris":["http://zotero.org/users/6128296/items/MUB7D4HK"],"itemData":{"id":3214,"type":"article-journal","abstract":"Little is known about the combined impacts of future CO2 and temperature increases on the growth and physiology of marine picocyanobacteria. We incubated Synechococcus and Prochlorococcus under present-day (380 ppm) or predicted year-2100 CO2 levels (750 ppm), and under normal versus elevated temperatures (+4°C) in semicontinuous cultures. Increased temperature stimulated the cell division rates of Synechococcus but not Prochlorococcus. Doubled CO2 combined with elevated temperature increased maximum chl a–normalized photosynthetic rates of Synechococcus four times relative to controls. Temperature also altered other photosynthetic parameters (a, Fmax, Ek, and DF =F 0m)inSynechococcus, but these changes were not observed for Prochlorococcus. Both increased CO2 and temperature raised the phycobilin and chl a content of Synechococcus, while only elevated temperature increased divinyl chl a in Prochlorococcus. Cellular carbon (C) and nitrogen (N) quotas, but not phosphorus (P) quotas, increased with elevated CO2 in Synechococcus, leading to  20% higher C:P and N:P ratios. In contrast, Prochlorococcus elemental composition remained unaffected by CO2, but cell volume and elemental quotas doubled with increasing temperature while maintaining constant stoichiometry. Synechococcus showed a much greater response to CO2 and temperature increases for most parameters measured, compared with Prochlorococcus. Our results suggest that global change could influence the dominance of Synechococcus and Prochlorococcus ecotypes, with likely effects on oligotrophic food-web structure. However, individual picocyanobacteria strains may respond quite differently to future CO2 and temperature increases, and caution is needed when generalizing their responses to global change in the ocean.","container-title":"Journal of Phycology","DOI":"10.1111/j.1529-8817.2007.00355.x","ISSN":"00223646, 15298817","issue":"3","language":"en","page":"485-496","source":"DOI.org (Crossref)","title":"EFFECTS OF INCREASED TEMPERATURE AND CO &lt;sub&gt;2&lt;/sub&gt; ON PHOTOSYNTHESIS, GROWTH, AND ELEMENTAL RATIOS IN MARINE &lt;i&gt;SYNECHOCOCCUS&lt;/i&gt; AND &lt;i&gt;PROCHLOROCOCCUS&lt;/i&gt; (CYANOBACTERIA)","volume":"43","author":[{"family":"Fu","given":""},{"family":"Warner","given":"Mark E."},{"family":"Zhang","given":"Yaohong"},{"family":"Feng","given":"Yuanyuan"},{"family":"Hutchins","given":"David A."}],"issued":{"date-parts":[["2007",6]]}}}],"schema":"https://github.com/citation-style-language/schema/raw/master/csl-citation.json"} </w:instrText>
      </w:r>
      <w:r w:rsidR="0086494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(Dutkiewicz, Scott, and Follows 2013; Fu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2007)</w:t>
      </w:r>
      <w:r w:rsidR="00864941" w:rsidRPr="003609FB">
        <w:rPr>
          <w:rFonts w:ascii="Times New Roman" w:hAnsi="Times New Roman" w:cs="Times New Roman"/>
          <w:sz w:val="24"/>
          <w:szCs w:val="24"/>
        </w:rPr>
        <w:fldChar w:fldCharType="end"/>
      </w:r>
      <w:r w:rsidR="00864941"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requirements of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may be </w:t>
      </w:r>
      <w:r w:rsidR="004352F4">
        <w:rPr>
          <w:rFonts w:ascii="Times New Roman" w:hAnsi="Times New Roman" w:cs="Times New Roman"/>
          <w:sz w:val="24"/>
          <w:szCs w:val="24"/>
        </w:rPr>
        <w:t xml:space="preserve">simultaneously </w:t>
      </w:r>
      <w:r w:rsidRPr="003609FB">
        <w:rPr>
          <w:rFonts w:ascii="Times New Roman" w:hAnsi="Times New Roman" w:cs="Times New Roman"/>
          <w:sz w:val="24"/>
          <w:szCs w:val="24"/>
        </w:rPr>
        <w:t>more profound</w:t>
      </w:r>
      <w:r w:rsidR="004352F4">
        <w:rPr>
          <w:rFonts w:ascii="Times New Roman" w:hAnsi="Times New Roman" w:cs="Times New Roman"/>
          <w:sz w:val="24"/>
          <w:szCs w:val="24"/>
        </w:rPr>
        <w:t xml:space="preserve"> and less addressed via the community</w:t>
      </w:r>
      <w:r w:rsidRPr="003609FB">
        <w:rPr>
          <w:rFonts w:ascii="Times New Roman" w:hAnsi="Times New Roman" w:cs="Times New Roman"/>
          <w:sz w:val="24"/>
          <w:szCs w:val="24"/>
        </w:rPr>
        <w:t xml:space="preserve">. </w:t>
      </w:r>
    </w:p>
    <w:p w14:paraId="5326CD0C" w14:textId="49323A73" w:rsidR="003D1E8D" w:rsidRPr="003609FB" w:rsidRDefault="003D1E8D" w:rsidP="004352F4">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Prior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models have shown depth and spectra resolved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quantum yields from seawater </w:t>
      </w:r>
      <w:r w:rsidR="0086494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{"citationID":"X7CycKqL","properties":{"formattedCitation":"(He and H\\uc0\\u228{}der 2002; Zhu et al. 2022; Cooper et al. 1988)","plainCitation":"(He and Häder 2002; Zhu et al. 2022; Cooper et al. 1988)","noteIndex":0},"citationItems":[{"id":1935,"uris":["http://zotero.org/users/6128296/items/C5XYE7XM"],"itemData":{"id":1935,"type":"article-journal","container-title":"Photochem. Photobiol. Sci.","DOI":"10.1039/B110365M","ISSN":"1474-905X, 1474-9092","issue":"10","journalAbbreviation":"Photochem. Photobiol. Sci.","language":"en","page":"729-736","source":"DOI.org (Crossref)","title":"Reactive oxygen species and UV-B: effect on cyanobacteria","title-short":"Reactive oxygen species and UV-B","volume":"1","author":[{"family":"He","given":""},{"family":"Häder","given":""}],"issued":{"date-parts":[["2002"]]}}},{"id":4059,"uris":["http://zotero.org/users/6128296/items/UQC3QQF2"],"itemData":{"id":4059,"type":"article-journal","abstract":"Hydrogen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C."}],"issued":{"date-parts":[["1988",10]]}}}],"schema":"https://github.com/citation-style-language/schema/raw/master/csl-citation.json"} </w:instrText>
      </w:r>
      <w:r w:rsidR="00864941" w:rsidRPr="003609FB">
        <w:rPr>
          <w:rFonts w:ascii="Times New Roman" w:hAnsi="Times New Roman" w:cs="Times New Roman"/>
          <w:sz w:val="24"/>
          <w:szCs w:val="24"/>
        </w:rPr>
        <w:fldChar w:fldCharType="separate"/>
      </w:r>
      <w:r w:rsidR="00920699" w:rsidRPr="00920699">
        <w:rPr>
          <w:rFonts w:ascii="Times New Roman" w:hAnsi="Times New Roman" w:cs="Times New Roman"/>
          <w:sz w:val="24"/>
        </w:rPr>
        <w:t xml:space="preserve">(He and </w:t>
      </w:r>
      <w:proofErr w:type="spellStart"/>
      <w:r w:rsidR="00920699" w:rsidRPr="00920699">
        <w:rPr>
          <w:rFonts w:ascii="Times New Roman" w:hAnsi="Times New Roman" w:cs="Times New Roman"/>
          <w:sz w:val="24"/>
        </w:rPr>
        <w:t>Häder</w:t>
      </w:r>
      <w:proofErr w:type="spellEnd"/>
      <w:r w:rsidR="00920699" w:rsidRPr="00920699">
        <w:rPr>
          <w:rFonts w:ascii="Times New Roman" w:hAnsi="Times New Roman" w:cs="Times New Roman"/>
          <w:sz w:val="24"/>
        </w:rPr>
        <w:t xml:space="preserve"> 2002; Zhu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xml:space="preserve">. 2022; Cooper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1988)</w:t>
      </w:r>
      <w:r w:rsidR="00864941" w:rsidRPr="003609FB">
        <w:rPr>
          <w:rFonts w:ascii="Times New Roman" w:hAnsi="Times New Roman" w:cs="Times New Roman"/>
          <w:sz w:val="24"/>
          <w:szCs w:val="24"/>
        </w:rPr>
        <w:fldChar w:fldCharType="end"/>
      </w:r>
      <w:r w:rsidR="0086494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This study omits the noted effects of UV spectra on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as</w:t>
      </w:r>
      <w:r w:rsidR="00BE0E8F">
        <w:rPr>
          <w:rFonts w:ascii="Times New Roman" w:hAnsi="Times New Roman" w:cs="Times New Roman"/>
          <w:sz w:val="24"/>
          <w:szCs w:val="24"/>
        </w:rPr>
        <w:t xml:space="preserve"> our current</w:t>
      </w:r>
      <w:r w:rsidRPr="003609FB">
        <w:rPr>
          <w:rFonts w:ascii="Times New Roman" w:hAnsi="Times New Roman" w:cs="Times New Roman"/>
          <w:sz w:val="24"/>
          <w:szCs w:val="24"/>
        </w:rPr>
        <w:t xml:space="preserve"> </w:t>
      </w:r>
      <w:r w:rsidR="00BE0E8F">
        <w:rPr>
          <w:rFonts w:ascii="Times New Roman" w:hAnsi="Times New Roman" w:cs="Times New Roman"/>
          <w:sz w:val="24"/>
          <w:szCs w:val="24"/>
        </w:rPr>
        <w:t xml:space="preserve">laboratory data made it impossible to isolate specific wavelength based </w:t>
      </w:r>
      <w:r w:rsidR="00BE0E8F" w:rsidRPr="003609FB">
        <w:rPr>
          <w:rFonts w:ascii="Times New Roman" w:hAnsi="Times New Roman" w:cs="Times New Roman"/>
          <w:sz w:val="24"/>
          <w:szCs w:val="24"/>
        </w:rPr>
        <w:t>H</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O</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 xml:space="preserve"> </w:t>
      </w:r>
      <w:r w:rsidR="00BE0E8F">
        <w:rPr>
          <w:rFonts w:ascii="Times New Roman" w:hAnsi="Times New Roman" w:cs="Times New Roman"/>
          <w:sz w:val="24"/>
          <w:szCs w:val="24"/>
        </w:rPr>
        <w:t xml:space="preserve">parameters. Instead, the study utilizes the </w:t>
      </w:r>
      <w:r w:rsidRPr="003609FB">
        <w:rPr>
          <w:rFonts w:ascii="Times New Roman" w:hAnsi="Times New Roman" w:cs="Times New Roman"/>
          <w:sz w:val="24"/>
          <w:szCs w:val="24"/>
        </w:rPr>
        <w:t xml:space="preserve">Darwin </w:t>
      </w:r>
      <w:r w:rsidR="00BE0E8F">
        <w:rPr>
          <w:rFonts w:ascii="Times New Roman" w:hAnsi="Times New Roman" w:cs="Times New Roman"/>
          <w:sz w:val="24"/>
          <w:szCs w:val="24"/>
        </w:rPr>
        <w:t>total</w:t>
      </w:r>
      <w:r w:rsidRPr="003609FB">
        <w:rPr>
          <w:rFonts w:ascii="Times New Roman" w:hAnsi="Times New Roman" w:cs="Times New Roman"/>
          <w:sz w:val="24"/>
          <w:szCs w:val="24"/>
        </w:rPr>
        <w:t xml:space="preserve"> PAR as </w:t>
      </w:r>
      <w:r w:rsidR="00BE0E8F">
        <w:rPr>
          <w:rFonts w:ascii="Times New Roman" w:hAnsi="Times New Roman" w:cs="Times New Roman"/>
          <w:sz w:val="24"/>
          <w:szCs w:val="24"/>
        </w:rPr>
        <w:t xml:space="preserve">the main light controlling </w:t>
      </w:r>
      <w:r w:rsidR="00BE0E8F" w:rsidRPr="003609FB">
        <w:rPr>
          <w:rFonts w:ascii="Times New Roman" w:hAnsi="Times New Roman" w:cs="Times New Roman"/>
          <w:sz w:val="24"/>
          <w:szCs w:val="24"/>
        </w:rPr>
        <w:t>H</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O</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 xml:space="preserve"> </w:t>
      </w:r>
      <w:r w:rsidR="00BE0E8F">
        <w:rPr>
          <w:rFonts w:ascii="Times New Roman" w:hAnsi="Times New Roman" w:cs="Times New Roman"/>
          <w:sz w:val="24"/>
          <w:szCs w:val="24"/>
        </w:rPr>
        <w:t xml:space="preserve">production in </w:t>
      </w:r>
      <w:r w:rsidRPr="003609FB">
        <w:rPr>
          <w:rFonts w:ascii="Times New Roman" w:hAnsi="Times New Roman" w:cs="Times New Roman"/>
          <w:sz w:val="24"/>
          <w:szCs w:val="24"/>
        </w:rPr>
        <w:t>the</w:t>
      </w:r>
      <w:r w:rsidR="00BE0E8F">
        <w:rPr>
          <w:rFonts w:ascii="Times New Roman" w:hAnsi="Times New Roman" w:cs="Times New Roman"/>
          <w:sz w:val="24"/>
          <w:szCs w:val="24"/>
        </w:rPr>
        <w:t xml:space="preserve"> global</w:t>
      </w:r>
      <w:r w:rsidRPr="003609FB">
        <w:rPr>
          <w:rFonts w:ascii="Times New Roman" w:hAnsi="Times New Roman" w:cs="Times New Roman"/>
          <w:sz w:val="24"/>
          <w:szCs w:val="24"/>
        </w:rPr>
        <w:t xml:space="preserve"> model</w:t>
      </w:r>
      <w:r w:rsidR="00BE0E8F">
        <w:rPr>
          <w:rFonts w:ascii="Times New Roman" w:hAnsi="Times New Roman" w:cs="Times New Roman"/>
          <w:sz w:val="24"/>
          <w:szCs w:val="24"/>
        </w:rPr>
        <w:t xml:space="preserve">. </w:t>
      </w:r>
      <w:r w:rsidRPr="003609FB">
        <w:rPr>
          <w:rFonts w:ascii="Times New Roman" w:hAnsi="Times New Roman" w:cs="Times New Roman"/>
          <w:sz w:val="24"/>
          <w:szCs w:val="24"/>
        </w:rPr>
        <w:t xml:space="preserve">Further </w:t>
      </w:r>
      <w:r w:rsidR="005252D4">
        <w:rPr>
          <w:rFonts w:ascii="Times New Roman" w:hAnsi="Times New Roman" w:cs="Times New Roman"/>
          <w:sz w:val="24"/>
          <w:szCs w:val="24"/>
        </w:rPr>
        <w:t xml:space="preserve">(dissolved organic carbon) </w:t>
      </w:r>
      <w:r w:rsidRPr="003609FB">
        <w:rPr>
          <w:rFonts w:ascii="Times New Roman" w:hAnsi="Times New Roman" w:cs="Times New Roman"/>
          <w:sz w:val="24"/>
          <w:szCs w:val="24"/>
        </w:rPr>
        <w:t xml:space="preserve">DOC and light effects on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are not constrained in monoculture (</w:t>
      </w:r>
      <w:r w:rsidR="00B11A01" w:rsidRPr="003609FB">
        <w:rPr>
          <w:rFonts w:ascii="Times New Roman" w:hAnsi="Times New Roman" w:cs="Times New Roman"/>
          <w:sz w:val="24"/>
          <w:szCs w:val="24"/>
        </w:rPr>
        <w:t>C</w:t>
      </w:r>
      <w:r w:rsidRPr="003609FB">
        <w:rPr>
          <w:rFonts w:ascii="Times New Roman" w:hAnsi="Times New Roman" w:cs="Times New Roman"/>
          <w:sz w:val="24"/>
          <w:szCs w:val="24"/>
        </w:rPr>
        <w:t>hapter 2) here before insertion (S</w:t>
      </w:r>
      <w:r w:rsidRPr="00BE0E8F">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term here originated from spike assay analyses in </w:t>
      </w:r>
      <w:r w:rsidR="00B11A01" w:rsidRPr="003609FB">
        <w:rPr>
          <w:rFonts w:ascii="Times New Roman" w:hAnsi="Times New Roman" w:cs="Times New Roman"/>
          <w:sz w:val="24"/>
          <w:szCs w:val="24"/>
        </w:rPr>
        <w:t>C</w:t>
      </w:r>
      <w:r w:rsidRPr="003609FB">
        <w:rPr>
          <w:rFonts w:ascii="Times New Roman" w:hAnsi="Times New Roman" w:cs="Times New Roman"/>
          <w:sz w:val="24"/>
          <w:szCs w:val="24"/>
        </w:rPr>
        <w:t>hapter 2)</w:t>
      </w:r>
      <w:r w:rsidR="005F6A4C" w:rsidRPr="003609FB">
        <w:rPr>
          <w:rFonts w:ascii="Times New Roman" w:hAnsi="Times New Roman" w:cs="Times New Roman"/>
          <w:sz w:val="24"/>
          <w:szCs w:val="24"/>
        </w:rPr>
        <w:t>.</w:t>
      </w:r>
      <w:r w:rsidRPr="003609FB">
        <w:rPr>
          <w:rFonts w:ascii="Times New Roman" w:hAnsi="Times New Roman" w:cs="Times New Roman"/>
          <w:sz w:val="24"/>
          <w:szCs w:val="24"/>
        </w:rPr>
        <w:t xml:space="preserve"> Use of these models on </w:t>
      </w:r>
      <w:r w:rsidR="0029559F" w:rsidRPr="003609FB">
        <w:rPr>
          <w:rFonts w:ascii="Times New Roman" w:hAnsi="Times New Roman" w:cs="Times New Roman"/>
          <w:sz w:val="24"/>
          <w:szCs w:val="24"/>
        </w:rPr>
        <w:t>H</w:t>
      </w:r>
      <w:r w:rsidR="0029559F" w:rsidRPr="00351FC4">
        <w:rPr>
          <w:rFonts w:ascii="Times New Roman" w:hAnsi="Times New Roman" w:cs="Times New Roman"/>
          <w:sz w:val="24"/>
          <w:szCs w:val="24"/>
          <w:vertAlign w:val="subscript"/>
        </w:rPr>
        <w:t>2</w:t>
      </w:r>
      <w:r w:rsidR="0029559F" w:rsidRPr="003609FB">
        <w:rPr>
          <w:rFonts w:ascii="Times New Roman" w:hAnsi="Times New Roman" w:cs="Times New Roman"/>
          <w:sz w:val="24"/>
          <w:szCs w:val="24"/>
        </w:rPr>
        <w:t>O</w:t>
      </w:r>
      <w:r w:rsidR="0029559F"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producing </w:t>
      </w:r>
      <w:r w:rsidR="005252D4">
        <w:rPr>
          <w:rFonts w:ascii="Times New Roman" w:hAnsi="Times New Roman" w:cs="Times New Roman"/>
          <w:sz w:val="24"/>
          <w:szCs w:val="24"/>
        </w:rPr>
        <w:t xml:space="preserve">or inert </w:t>
      </w:r>
      <w:r w:rsidRPr="003609FB">
        <w:rPr>
          <w:rFonts w:ascii="Times New Roman" w:hAnsi="Times New Roman" w:cs="Times New Roman"/>
          <w:sz w:val="24"/>
          <w:szCs w:val="24"/>
        </w:rPr>
        <w:t>media buffers</w:t>
      </w:r>
      <w:r w:rsidR="0029559F">
        <w:rPr>
          <w:rFonts w:ascii="Times New Roman" w:hAnsi="Times New Roman" w:cs="Times New Roman"/>
          <w:sz w:val="24"/>
          <w:szCs w:val="24"/>
        </w:rPr>
        <w:t>, like HEPES and TAPS buffers</w:t>
      </w:r>
      <w:r w:rsidR="005252D4">
        <w:rPr>
          <w:rFonts w:ascii="Times New Roman" w:hAnsi="Times New Roman" w:cs="Times New Roman"/>
          <w:sz w:val="24"/>
          <w:szCs w:val="24"/>
        </w:rPr>
        <w:t>,</w:t>
      </w:r>
      <w:r w:rsidR="0029559F">
        <w:rPr>
          <w:rFonts w:ascii="Times New Roman" w:hAnsi="Times New Roman" w:cs="Times New Roman"/>
          <w:sz w:val="24"/>
          <w:szCs w:val="24"/>
        </w:rPr>
        <w:t xml:space="preserve"> in Appendix A,</w:t>
      </w:r>
      <w:r w:rsidRPr="003609FB">
        <w:rPr>
          <w:rFonts w:ascii="Times New Roman" w:hAnsi="Times New Roman" w:cs="Times New Roman"/>
          <w:sz w:val="24"/>
          <w:szCs w:val="24"/>
        </w:rPr>
        <w:t xml:space="preserve"> </w:t>
      </w:r>
      <w:r w:rsidR="00864941"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{"citationID":"bTHrGGSn","properties":{"formattedCitation":"(Zinser 2013; Zigler et al. 1985; Lepe-Zuniga, Zigler, and Gery 1987)","plainCitation":"(Zinser 2013; Zigler et al. 1985; Lepe-Zuniga, Zigler, and Gery 1987)","noteIndex":0},"citationItems":[{"id":1614,"uris":["http://zotero.org/users/6128296/items/XUR3IYYN"],"itemData":{"id":1614,"type":"article-journal","container-title":"Journal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media","volume":"49","author":[{"family":"Zinser","given":""}],"issued":{"date-parts":[["2013",12]]}}},{"id":3685,"uris":["http://zotero.org/users/6128296/items/8RKI74JZ"],"itemData":{"id":3685,"type":"article-journal","abstract":"The addition of N-2-hydroxyethylpiperazine-N'-2-ethanesulfonic acid (HEPES) to RPMI 1640 medium markedly increases the production of cytotoxic products during exposure of the medium to visible light. The cytotoxicity has been analyzed by measuring uptake of [3H]thymidine by murine thymocytes cultured in preirradiated medium containing 25 mM HEPES. Complete inhibition of thymidine uptake was produced by exposing 50% of the culture medium to light for 3 h before addition of cells. The HEPES-mediated effect requires only that HEPES and riboflavin be exposed to light; other medium constituents are not necessary. Hydrogen peroxide is a principal cytotoxic agent produced in this system. It is demonstrated that most, but not all, of the inhibition of thymidine uptake can be attributed to hydrogen peroxide.","container-title":"In Vitro Cellular &amp; Developmental Biology","DOI":"10.1007/BF02620943","ISSN":"1054-5476, 1475-2689","issue":"5","journalAbbreviation":"In Vitro Cell Dev Biol","language":"en","page":"282-287","source":"DOI.org (Crossref)","title":"Analysis of the cytotoxic effects of light-exposed hepes-containing culture medium","volume":"21","author":[{"family":"Zigler","given":""},{"family":"Lepe-Zuniga","given":"J. L."},{"family":"Vistica","given":"B."},{"family":"Gery","given":"I."}],"issued":{"date-parts":[["1985",5]]}}},{"id":3341,"uris":["http://zotero.org/users/6128296/items/WZALH4ZI"],"itemData":{"id":3341,"type":"article-journal","container-title":"Journal of Immunological Methods","DOI":"10.1016/0022-1759(87)90253-5","ISSN":"00221759","issue":"1","journalAbbreviation":"Journal of Immunological Methods","language":"en","page":"145","source":"DOI.org (Crossref)","title":"Toxicity of light-exposed Hepes media","volume":"103","author":[{"family":"Lepe-Zuniga","given":""},{"family":"Zigler","given":"J.S."},{"family":"Gery","given":"Igal"}],"issued":{"date-parts":[["1987",10]]}}}],"schema":"https://github.com/citation-style-language/schema/raw/master/csl-citation.json"} </w:instrText>
      </w:r>
      <w:r w:rsidR="0086494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(Zinser 2013; Zigler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1985; Lepe-Zuniga, Zigler, and Gery 1987)</w:t>
      </w:r>
      <w:r w:rsidR="00864941" w:rsidRPr="003609FB">
        <w:rPr>
          <w:rFonts w:ascii="Times New Roman" w:hAnsi="Times New Roman" w:cs="Times New Roman"/>
          <w:sz w:val="24"/>
          <w:szCs w:val="24"/>
        </w:rPr>
        <w:fldChar w:fldCharType="end"/>
      </w:r>
      <w:r w:rsidR="0086494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or natural waters </w:t>
      </w:r>
      <w:r w:rsidR="00AE25C7"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{"citationID":"f5Mh25EB","properties":{"formattedCitation":"(Morris et al. 2016; Goldstone and Voelker 2000; Powers and Miller 2014)","plainCitation":"(Morris et al. 2016; Goldstone and Voelker 2000; Powers and Miller 2014)","noteIndex":0},"citationItems":[{"id":1698,"uris":["http://zotero.org/users/6128296/items/EVC4QN3I"],"itemData":{"id":1698,"type":"article-journal","container-title":"Journal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R."}],"issued":{"date-parts":[["2016",8]]}}},{"id":3232,"uris":["http://zotero.org/users/6128296/items/WATYGSLQ"],"itemData":{"id":3232,"type":"article-journal","abstract":"Colored dissolved organic matter (CDOM) and humic substances contain a nonmetallic redox-cycling component capable of catalyzing superoxide (O2-) dismutation. Firstorder rate coefficients (kpseudo) measured for this O2- sink in a number of coastal and Chesapeake Bay water samples range up to 1.4 s-1, comparable in magnitude to catalyzed dismutation by Cu species. A significant (r 2 ) 0.73) correlation is observed between kpseudo and the optical absorption and salinity of individual coastal water samples, suggesting an association with non-marine-derived CDOM. The activity of this sink is not changed by acidification or boiling of samples but is removed by photooxidation, indicating that it is an organic compound, but that it is neither enzymatic nor likely to consist of tightly bound metals. The stoichiometry of hydrogen peroxide formation from O2 decay indicates that this sink is capable of a redox cycle catalyzing the dismutation of O2-. This CDOM sink combined with the organic copper sink previously described will produce a steady-state superoxide concentration in coastal waters that is 100-1000-fold lower than that predicted from bimolecular dismutation alone. Catalyzed O2- decay was also observed in a variety of humic and fulvic acid samples, possibly occurring through quinone functionalities. Although the presence of quinone moieties in humic and fulvic acids has been demonstrated, there do not appear to be good correlations between several measures of quinone content and the O2- dismutation rates of these samples.","container-title":"Environmental Science &amp; Technology","DOI":"10.1021/es9905445","ISSN":"0013-936X, 1520-5851","issue":"6","journalAbbreviation":"Environ. Sci. Technol.","language":"en","page":"1043-1048","source":"DOI.org (Crossref)","title":"Chemistry of Superoxide Radical in Seawater: CDOM Associated Sink of Superoxide in Coastal Waters","title-short":"Chemistry of Superoxide Radical in Seawater","volume":"34","author":[{"family":"Goldstone","given":""},{"family":"Voelker","given":""}],"issued":{"date-parts":[["2000",3,1]]}}},{"id":4526,"uris":["http://zotero.org/users/6128296/items/4SN3A73G"],"itemData":{"id":4526,"type":"article-journal","abstract":"Hydrogen peroxide (H2O2) and its precursor, superoxide (O2 ), are well-studied photochemical products that are pivotal in regulating redox transformations of trace metals and organic matter in the surface ocean. In attempts to understand the magnitude of both H2O2 and O2  photoproduction on a global scale, we implemented a model to calculate photochemical fluxes of these products from remotely sensed ocean color and modeled solar irradiances. We generated monthly climatologies for open ocean H2O2 photoproduction rates using an average apparent quantum yield (AQY) spectrum determined from laboratory irradiations of oligotrophic water collected in the Gulf of Alaska. Because the formation of H2O2 depends on secondary thermal reactions involving O2 , we also implemented a temperature correction for the H2O2 AQY using remotely sensed sea surface temperature and an Arrhenius relationship for H2O2 photoproduction. Daily photoproduction rates of H2O2 ranged from &lt;1 to over 100 nM per day, amounting to  30 mM per year in highly productive regions. When production rates were calculated without the temperature correction, maximum daily rates were underestimated by 1525%, highlighting the importance of including the temperature modification for H2O2 in these models. By making assumptions about the relationship between H2O2 and O2  photoproduction rates and O2  decay kinetics, we present a method for calculating midday O2  steady-state concentrations ([O2 ]ss)in the open ocean. Estimated [O2 ]ss ranged from 0.1–5 nM assuming biomolecular dismutation was the only sink for O2 , but were reduced to 0.1–290 pM when catalytic pathways were included. While the approach presented here provides the first global scale estimates of marine [O2 ]ss from remote sensing, the potential of this model to quantify O2  photoproduction rates and [O2 ]ss will not be fully realized until the mechanisms controlling O2  photoproduction and decay are better understood.","container-title":"Environ. Sci.: Processes Impacts","DOI":"10.1039/C3EM00617D","ISSN":"2050-7887, 2050-7895","issue":"4","journalAbbreviation":"Environ. Sci.: Processes Impacts","language":"en","page":"792-806","source":"DOI.org (Crossref)","title":"Blending remote sensing data products to estimate photochemical production of hydrogen peroxide and superoxide in the surface ocean","volume":"16","author":[{"family":"Powers","given":""},{"family":"Miller","given":"William L."}],"issued":{"date-parts":[["2014"]]}}}],"schema":"https://github.com/citation-style-language/schema/raw/master/csl-citation.json"} </w:instrText>
      </w:r>
      <w:r w:rsidR="00AE25C7"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(Morris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2016; Goldstone and Voelker 2000; Powers and Miller 2014)</w:t>
      </w:r>
      <w:r w:rsidR="00AE25C7" w:rsidRPr="003609FB">
        <w:rPr>
          <w:rFonts w:ascii="Times New Roman" w:hAnsi="Times New Roman" w:cs="Times New Roman"/>
          <w:sz w:val="24"/>
          <w:szCs w:val="24"/>
        </w:rPr>
        <w:fldChar w:fldCharType="end"/>
      </w:r>
      <w:r w:rsidR="00AE25C7"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that produce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could further constrain the production terms in this model format to start accounting for this drawback. Dark production has been noted for various reactive oxygen species </w:t>
      </w:r>
      <w:r w:rsidR="00D80F2F"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{"citationID":"4Wc8O7Dj","properties":{"formattedCitation":"(Sutherland, Wankel, and Hansel 2020; Zinser 2013)","plainCitation":"(Sutherland, Wankel, and Hansel 2020; Zinser 2013)","noteIndex":0},"citationItems":[{"id":3568,"uris":["http://zotero.org/users/6128296/items/PV5KYC8H"],"itemData":{"id":3568,"type":"article-journal","abstract":"Significance\n            \n              Extracellular production of the reactive oxygen species (ROS) superoxide results from the one-electron reduction of O\n              2\n              . Nearly all major groups of marine microbes produce extracellular superoxide. In this global estimate of marine microbial superoxide production we determine that dark extracellular superoxide production is ultimately a net sink of dissolved oxygen comparable in magnitude to other major terms in the marine oxygen cycle. This abundant source of superoxide to the marine water column provides evidence that extracellular ROS play a significant role in carbon oxidation and the redox cycling of metals in marine environments. Consideration of this significant reductive flux of dissolved oxygen is essential for field, laboratory, and modeling techniques for determining productivity and oxygen utilization in marine systems.\n            \n          , \n            \n              The balance between sources and sinks of molecular oxygen in the oceans has greatly impacted the composition of Earth’s atmosphere since the evolution of oxygenic photosynthesis, thereby exerting key influence on Earth’s climate and the redox state of (sub)surface Earth. The canonical source and sink terms of the marine oxygen budget include photosynthesis, respiration, photorespiration, the Mehler reaction, and other smaller terms. However, recent advances in understanding cryptic oxygen cycling, namely the ubiquitous one-electron reduction of O\n              2\n              to superoxide by microorganisms outside the cell, remains unexplored as a potential player in global oxygen dynamics. Here we show that dark extracellular superoxide production by marine microbes represents a previously unconsidered global oxygen flux and sink comparable in magnitude to other key terms. We estimate that extracellular superoxide production represents a gross oxygen sink comprising about a third of marine gross oxygen production, and a net oxygen sink amounting to 15 to 50% of that. We further demonstrate that this total marine dark extracellular superoxide flux is consistent with concentrations of superoxide in marine environments. These findings underscore prolific marine sources of reactive oxygen species and a complex and dynamic oxygen cycle in which oxygen consumption and corresponding carbon oxidation are not necessarily confined to cell membranes or exclusively related to respiration. This revised model of the marine oxygen cycle will ultimately allow for greater reconciliation among estimates of primary production and respiration and a greater mechanistic understanding of redox cycling in the ocean.","container-title":"Proceedings of the National Academy of Sciences","DOI":"10.1073/pnas.1912313117","ISSN":"0027-8424, 1091-6490","issue":"7","journalAbbreviation":"Proc. Natl. Acad. Sci. U.S.A.","language":"en","page":"3433-3439","source":"DOI.org (Crossref)","title":"Dark biological superoxide production as a significant flux and sink of marine dissolved oxygen","volume":"117","author":[{"family":"Sutherland","given":""},{"family":"Wankel","given":"Scott D."},{"family":"Hansel","given":"Colleen M."}],"issued":{"date-parts":[["2020",2,18]]}}},{"id":1614,"uris":["http://zotero.org/users/6128296/items/XUR3IYYN"],"itemData":{"id":1614,"type":"article-journal","container-title":"Journal of Phycology","DOI":"10.1111/jpy.12123","ISSN":"00223646","issue":"6","journalAbbreviation":"J. Phycol.","language":"en","page":"1223-1228","source":"DOI.org (Crossref)","title":"Continuous hydrogen peroxide production by organic buffers in phytoplankton culture media","volume":"49","author":[{"family":"Zinser","given":""}],"issued":{"date-parts":[["2013",12]]}}}],"schema":"https://github.com/citation-style-language/schema/raw/master/csl-citation.json"} </w:instrText>
      </w:r>
      <w:r w:rsidR="00D80F2F"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(Sutherland, Wankel, and Hansel 2020; Zinser 2013)</w:t>
      </w:r>
      <w:r w:rsidR="00D80F2F" w:rsidRPr="003609FB">
        <w:rPr>
          <w:rFonts w:ascii="Times New Roman" w:hAnsi="Times New Roman" w:cs="Times New Roman"/>
          <w:sz w:val="24"/>
          <w:szCs w:val="24"/>
        </w:rPr>
        <w:fldChar w:fldCharType="end"/>
      </w:r>
      <w:r w:rsidR="00D80F2F"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but this is ignored here as </w:t>
      </w:r>
      <w:r w:rsidR="00BE0E8F">
        <w:rPr>
          <w:rFonts w:ascii="Times New Roman" w:hAnsi="Times New Roman" w:cs="Times New Roman"/>
          <w:sz w:val="24"/>
          <w:szCs w:val="24"/>
        </w:rPr>
        <w:t xml:space="preserve">the </w:t>
      </w:r>
      <w:r w:rsidRPr="003609FB">
        <w:rPr>
          <w:rFonts w:ascii="Times New Roman" w:hAnsi="Times New Roman" w:cs="Times New Roman"/>
          <w:sz w:val="24"/>
          <w:szCs w:val="24"/>
        </w:rPr>
        <w:t xml:space="preserve">diel light </w:t>
      </w:r>
      <w:r w:rsidR="00BE0E8F">
        <w:rPr>
          <w:rFonts w:ascii="Times New Roman" w:hAnsi="Times New Roman" w:cs="Times New Roman"/>
          <w:sz w:val="24"/>
          <w:szCs w:val="24"/>
        </w:rPr>
        <w:t xml:space="preserve">cycle </w:t>
      </w:r>
      <w:r w:rsidRPr="003609FB">
        <w:rPr>
          <w:rFonts w:ascii="Times New Roman" w:hAnsi="Times New Roman" w:cs="Times New Roman"/>
          <w:sz w:val="24"/>
          <w:szCs w:val="24"/>
        </w:rPr>
        <w:t>produce</w:t>
      </w:r>
      <w:r w:rsidR="00BE0E8F">
        <w:rPr>
          <w:rFonts w:ascii="Times New Roman" w:hAnsi="Times New Roman" w:cs="Times New Roman"/>
          <w:sz w:val="24"/>
          <w:szCs w:val="24"/>
        </w:rPr>
        <w:t>s significantly higher</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BE0E8F">
        <w:rPr>
          <w:rFonts w:ascii="Times New Roman" w:hAnsi="Times New Roman" w:cs="Times New Roman"/>
          <w:sz w:val="24"/>
          <w:szCs w:val="24"/>
        </w:rPr>
        <w:t xml:space="preserve">fluxes </w:t>
      </w:r>
      <w:r w:rsidR="008F3581"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{"citationID":"uDsevmzd","properties":{"formattedCitation":"(Cooper et al. 1988)","plainCitation":"(Cooper et al. 1988)","noteIndex":0},"citationItems":[{"id":2126,"uris":["http://zotero.org/users/6128296/items/GE23ETKX"],"itemData":{"id":2126,"type":"article-journal","container-title":"Environmental Science &amp; Technology","DOI":"10.1021/es00175a004","ISSN":"0013-936X, 1520-5851","issue":"10","journalAbbreviation":"Environ. Sci. Technol.","language":"en","page":"1156-1160","source":"DOI.org (Crossref)","title":"Photochemical formation of hydrogen peroxide in natural waters exposed to sunlight","volume":"22","author":[{"family":"Cooper","given":""},{"family":"Zika","given":"Rod G."},{"family":"Petasne","given":"Robert G."},{"family":"Plane","given":"John M. C."}],"issued":{"date-parts":[["1988",10]]}}}],"schema":"https://github.com/citation-style-language/schema/raw/master/csl-citation.json"} </w:instrText>
      </w:r>
      <w:r w:rsidR="008F3581"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(Cooper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1988)</w:t>
      </w:r>
      <w:r w:rsidR="008F3581" w:rsidRPr="003609FB">
        <w:rPr>
          <w:rFonts w:ascii="Times New Roman" w:hAnsi="Times New Roman" w:cs="Times New Roman"/>
          <w:sz w:val="24"/>
          <w:szCs w:val="24"/>
        </w:rPr>
        <w:fldChar w:fldCharType="end"/>
      </w:r>
      <w:r w:rsidR="008F3581"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and more </w:t>
      </w:r>
      <w:r w:rsidR="00BE0E8F">
        <w:rPr>
          <w:rFonts w:ascii="Times New Roman" w:hAnsi="Times New Roman" w:cs="Times New Roman"/>
          <w:sz w:val="24"/>
          <w:szCs w:val="24"/>
        </w:rPr>
        <w:t xml:space="preserve">readily matches laboratory methods and prior </w:t>
      </w:r>
      <w:r w:rsidR="00BE0E8F" w:rsidRPr="003609FB">
        <w:rPr>
          <w:rFonts w:ascii="Times New Roman" w:hAnsi="Times New Roman" w:cs="Times New Roman"/>
          <w:sz w:val="24"/>
          <w:szCs w:val="24"/>
        </w:rPr>
        <w:t>H</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O</w:t>
      </w:r>
      <w:r w:rsidR="00BE0E8F" w:rsidRPr="00351FC4">
        <w:rPr>
          <w:rFonts w:ascii="Times New Roman" w:hAnsi="Times New Roman" w:cs="Times New Roman"/>
          <w:sz w:val="24"/>
          <w:szCs w:val="24"/>
          <w:vertAlign w:val="subscript"/>
        </w:rPr>
        <w:t>2</w:t>
      </w:r>
      <w:r w:rsidR="00BE0E8F" w:rsidRPr="003609FB">
        <w:rPr>
          <w:rFonts w:ascii="Times New Roman" w:hAnsi="Times New Roman" w:cs="Times New Roman"/>
          <w:sz w:val="24"/>
          <w:szCs w:val="24"/>
        </w:rPr>
        <w:t xml:space="preserve"> </w:t>
      </w:r>
      <w:r w:rsidR="00BE0E8F">
        <w:rPr>
          <w:rFonts w:ascii="Times New Roman" w:hAnsi="Times New Roman" w:cs="Times New Roman"/>
          <w:sz w:val="24"/>
          <w:szCs w:val="24"/>
        </w:rPr>
        <w:t xml:space="preserve">ocean studies </w:t>
      </w:r>
      <w:r w:rsidR="008F3581"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{"citationID":"nOytvFUB","properties":{"formattedCitation":"(Morris, Rose, and Lu 2022; Zinser 2018b)","plainCitation":"(Morris, Rose, and Lu 2022; Zinser 2018b)","noteIndex":0},"citationItems":[{"id":3443,"uris":["http://zotero.org/users/6128296/items/NAWLWA5Q"],"itemData":{"id":3443,"type":"article-journal","abstract":"Reactive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L."},{"family":"Lu","given":"Zhiying"}],"issued":{"date-parts":[["2022",6]]}}},{"id":132,"uris":["http://zotero.org/users/6128296/items/KAMBLWML"],"itemData":{"id":132,"type":"article-journal","abstract":"This review surveys the current state of knowledge of the concentrations, sources and sinks of reactive oxygen species (ROS) in the ocean. Both abiotic and biotic factors contribute to ROS dynamics in seawater, and ROS can feature prominently in marine microbe–microbe interactions. The sun plays a key role in the production of ROS in the ocean, and consequently ROS concentrations are typically maximal in the sun-exposed surface. However, microbes can also contribute significantly to extracellular ROS. Production of superoxide is widespread within the microbial community, and may benefit the producers as antimicrobial agents or perhaps more generally, as a means of nutrient scavenging. Decomposition of hydrogen peroxide is a community-wide activity, though some members may play less significant roles in this process. The more reactive forms of ROS, singlet oxygen and the hydroxyl radical, may be less important as microbial stressors, as they tend to react with the chemicals in seawater before they can contact the cells. However, exceptions may exist for microbes attached to singlet oxygen-generating sinking particulate matter. Extracellular ROS thus plays an important role in the ecology of marine microbes, the full extent to which we are only beginning to appreciate.","container-title":"Environmental Microbiology Reports","DOI":"10.1111/1758-2229.12626","ISSN":"17582229","issue":"4","journalAbbreviation":"Environmental Microbiology Reports","language":"en","page":"412-427","source":"DOI.org (Crossref)","title":"The microbial contribution to reactive oxygen species dynamics in marine ecosystems: Abiotic and biotic sources and sinks of ROS","title-short":"The microbial contribution to reactive oxygen species dynamics in marine ecosystems","volume":"10","author":[{"family":"Zinser","given":""}],"issued":{"date-parts":[["2018",8]]}}}],"schema":"https://github.com/citation-style-language/schema/raw/master/csl-citation.json"} </w:instrText>
      </w:r>
      <w:r w:rsidR="008F3581"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(Morris, Rose, and Lu 2022; Zinser 2018b)</w:t>
      </w:r>
      <w:r w:rsidR="008F3581"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This study also ignores direct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deposition from atmospheric production and diffusion </w:t>
      </w:r>
      <w:r w:rsidR="00095FF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{"citationID":"KbcjO3Zt","properties":{"formattedCitation":"(O\\uc0\\u8217{}Sullivan et al. 1999)","plainCitation":"(O’Sullivan et al. 1999)","noteIndex":0},"citationItems":[{"id":3500,"uris":["http://zotero.org/users/6128296/items/GITHLRSB"],"itemData":{"id":3500,"type":"article-journal","abstract":"The gasphasehydrogenperoxideand methylhydroperoxidceoncentrations were measuredin the troposphereover the tropicalPacificOcean as a componentof NASA's Global TroposphericExperiment/PacificExploratoryMission-TropicsA field campaignF. lightson two aircraftcoveredthe Pacificfrom 70øSto 60øNand 110øEto 80øWand SouthAtlantic from 40øSto 15øNand 45øWto 70øE,and extendingfrom 76 to 13,000m altitude.H20 2 and CH3OOH havethe highestconcentrationsat a givenaltitude at the equatorand decreasewith increasinglatitudein both the northernand southern hemispheresA. bove 4 km the gradientis substantiallyreducedfor both H20 2 and CH3OOH with latitude, and at altitudesin excessof 8 km there is no latitudinal dependenceH. 20 2 and CH3OOH exhibitmaximummixingratiosbetween1 and 2 km at all latitudes.The mean mixingratio of H20 2 at the equatorwas 1600 + 600 partsper trillion by volume(pptv) decreasingto 500 +_250 pptv at latitudesgreaterthan 55ønorth and southbetween1 and 2 km altitude.CH3OOH at the equatorwas 1400 + 250 pptv, decreasingto 330 + 200 pptv at highlatitudesat altitudesBetween1 and 2 km. The concentrationof peroxidesat high latitudesin the northernhemispherewasgenerallya factor of 2 higherthan at correspondinglatitudesin the southernhemisphere.The ratio of H20 2 to CH3OOH wasbetween1 and 2 from 45øSto 35øNat altitudesbelow4 km. Between5øto 15øNthe ratio is lessthan 1, due to preferentialremovalof H20 2 in the IntertropicalConvergenceZone.","container-title":"Journal of Geophysical Research: Atmospheres","DOI":"10.1029/98JD01250","ISSN":"01480227","issue":"D5","journalAbbreviation":"J. Geophys. Res.","language":"en","page":"5635-5646","source":"DOI.org (Crossref)","title":"Distribution of hydrogen peroxide and methylhydroperoxide over the Pacific and South Atlantic Oceans","volume":"104","author":[{"family":"O'Sullivan","given":""},{"family":"Heikes","given":"B. G."},{"family":"Lee","given":"M."},{"family":"Chang","given":"W."},{"family":"Gregory","given":"G. L."},{"family":"Blake","given":"D. R."},{"family":"Sachse","given":"G. W."}],"issued":{"date-parts":[["1999",3,20]]}}}],"schema":"https://github.com/citation-style-language/schema/raw/master/csl-citation.json"} </w:instrText>
      </w:r>
      <w:r w:rsidR="00095FF6" w:rsidRPr="003609FB">
        <w:rPr>
          <w:rFonts w:ascii="Times New Roman" w:hAnsi="Times New Roman" w:cs="Times New Roman"/>
          <w:sz w:val="24"/>
          <w:szCs w:val="24"/>
        </w:rPr>
        <w:fldChar w:fldCharType="separate"/>
      </w:r>
      <w:r w:rsidR="00920699" w:rsidRPr="00920699">
        <w:rPr>
          <w:rFonts w:ascii="Times New Roman" w:hAnsi="Times New Roman" w:cs="Times New Roman"/>
          <w:sz w:val="24"/>
        </w:rPr>
        <w:t xml:space="preserve">(O’Sullivan </w:t>
      </w:r>
      <w:r w:rsidR="00183222" w:rsidRPr="00183222">
        <w:rPr>
          <w:rFonts w:ascii="Times New Roman" w:hAnsi="Times New Roman" w:cs="Times New Roman"/>
          <w:i/>
          <w:iCs/>
          <w:sz w:val="24"/>
          <w:szCs w:val="24"/>
        </w:rPr>
        <w:t>et al</w:t>
      </w:r>
      <w:r w:rsidR="00920699" w:rsidRPr="00920699">
        <w:rPr>
          <w:rFonts w:ascii="Times New Roman" w:hAnsi="Times New Roman" w:cs="Times New Roman"/>
          <w:sz w:val="24"/>
        </w:rPr>
        <w:t>. 1999)</w:t>
      </w:r>
      <w:r w:rsidR="00095FF6" w:rsidRPr="003609FB">
        <w:rPr>
          <w:rFonts w:ascii="Times New Roman" w:hAnsi="Times New Roman" w:cs="Times New Roman"/>
          <w:sz w:val="24"/>
          <w:szCs w:val="24"/>
        </w:rPr>
        <w:fldChar w:fldCharType="end"/>
      </w:r>
      <w:r w:rsidR="00095FF6" w:rsidRPr="003609FB">
        <w:rPr>
          <w:rFonts w:ascii="Times New Roman" w:hAnsi="Times New Roman" w:cs="Times New Roman"/>
          <w:sz w:val="24"/>
          <w:szCs w:val="24"/>
        </w:rPr>
        <w:t xml:space="preserve">, </w:t>
      </w:r>
      <w:r w:rsidRPr="003609FB">
        <w:rPr>
          <w:rFonts w:ascii="Times New Roman" w:hAnsi="Times New Roman" w:cs="Times New Roman"/>
          <w:sz w:val="24"/>
          <w:szCs w:val="24"/>
        </w:rPr>
        <w:t>rain events</w:t>
      </w:r>
      <w:r w:rsidR="00095FF6" w:rsidRPr="003609FB">
        <w:rPr>
          <w:rFonts w:ascii="Times New Roman" w:hAnsi="Times New Roman" w:cs="Times New Roman"/>
          <w:sz w:val="24"/>
          <w:szCs w:val="24"/>
        </w:rPr>
        <w:t xml:space="preserve"> </w:t>
      </w:r>
      <w:r w:rsidR="00095FF6"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{"citationID":"gOaNJkMT","properties":{"formattedCitation":"(Willey, Paerl, and Go 1999; Hopwood et al. 2018; Morris, Rose, and Lu 2022)","plainCitation":"(Willey, Paerl, and Go 1999; Hopwood et al. 2018; Morris, Rose, and Lu 2022)","noteIndex":0},"citationItems":[{"id":3370,"uris":["http://zotero.org/users/6128296/items/9UYF82ME"],"itemData":{"id":3370,"type":"article-journal","abstract":"Bioassays indicate addition of hydrogen peroxide in concentrations similar to rain sometimes decreases chlorophyll a (chl a) production in surface Gulf Stream seawater. Bioassays were conducted on shipboard in the spring and autumn of 1993, 1994, and 1995. using surface Gulf Stream seawater collected off the coast of North Carolina. Chl a increases were observed after addition of FeC13 (in 1 of 5 bioassays), iron (111) EDTA (6 of 6 bioassays), or EDTA alone (4 of 4 bioassays). The chl a increases were suppressed significantly in 7 of 11 of these bioassays when the bioassay seawater was initially diluted by 1% with a 30 or 40 p M solution of hydrogen peroxide (a concentration similar to rainwater).Hydrogen peroxide induced inhibition of chl a production was not observed in bioassays in w h ~ c hchl a increased in response to addltion of nitrate or ammonium, hence the growth inhibition was associated with added metal or complexing agent. Rainwater therefore plays a complex role in primary productivity in surface seawater, with the specific effect dependent upon rainwater concentrations of nitrate, ammonium, trace metals and hydrogen peroxide, as well as on the extent of nitrogen limitation and the oxidant concentration in the surface seawater.","container-title":"Marine Ecology Progress Series","DOI":"10.3354/meps178145","ISSN":"0171-8630, 1616-1599","journalAbbreviation":"Mar. Ecol. Prog. Ser.","language":"en","page":"145-150","source":"DOI.org (Crossref)","title":"Impact of rainwater hydrogen peroxide on chlorophyll a content of surface Gulf Stream seawater off North Carolina, USA","volume":"178","author":[{"family":"Willey","given":""},{"family":"Paerl","given":"Hw"},{"family":"Go","given":"M"}],"issued":{"date-parts":[["1999"]]}}},{"id":3271,"uris":["http://zotero.org/users/6128296/items/LKR5IGG6"],"itemData":{"id":3271,"type":"article-journal","abstract":"In the surface ocean, microorganisms are both a source of extracellular H2O2 and, via the production of H2O2 destroying enzymes, also one of the main H2O2 sinks. Within microbial communities, H2O2 sources and sinks may be unevenly distributed and thus microbial community structure could inﬂuence ambient extracellular H2O2 concentrations. Yet the biogeochemical cycling of H2O2 and other reactive oxygen species (ROS) is rarely investigated at the community level. Here, we present a time series of H2O2 concentrations during a 28-day mesocosm experiment where a pCO2 gradient (400–1,450 µatm) was applied to subtropical North Atlantic waters. Pronounced changes in H2O2 concentration were observed over the duration of the experiment. Initially H2O2 concentrations in all mesocosms were strongly correlated with surface H2O2 concentrations in ambient seawaters outside the mesocosms which ranged from 20 to 92 nM over the experiment duration (Spearman Rank Coefﬁcients 0.79–0.93, p-values &lt; 0.001–0.015). After approximately 9 days of incubation however, H2O2 concentrations had increased across all mesocosms, later reaching &gt;300 nM in some mesocosms (2–6 fold higher than ambient seawaters). The correlation with ambient H2O2 was then no longer signiﬁcant (p &gt; 0.05) in all treatments. Furthermore, changes in H2O2 could not be correlated with inter-day changes in integrated irradiance. Yet H2O2 concentrations in most mesocosms were inversely correlated with bacterial abundance (negative Spearman Rank Coefﬁcients ranging 0.59–0.94, p-values &lt; 0.001–0.03). Our results therefore suggest that ambient H2O2 concentration can be inﬂuenced by microbial community structure with shifts toward high bacterial abundance correlated with low extracellular H2O2 concentrations. We also infer that the nature of mesocosm experiment design, i.e., the enclosure of water within open containers at the ocean surface, can strongly inﬂuence extracellular H2O2 concentrations. This has potential chemical and biological implications during incubation experiments due to the role of H2O2 as both a stressor to microbial functioning and a reactive component involved in the cycling of numerous chemical species including, for example, trace metals and haloalkanes.","container-title":"Frontiers in Marine Science","DOI":"10.3389/fmars.2018.00105","ISSN":"2296-7745","journalAbbreviation":"Front. Mar. Sci.","language":"en","page":"105","source":"DOI.org (Crossref)","title":"Photochemical vs. Bacterial Control of H2O2 Concentration Across a pCO2 Gradient Mesocosm Experiment in the Subtropical North Atlantic","volume":"5","author":[{"family":"Hopwood","given":""},{"family":"Riebesell","given":"Ulf"},{"family":"Arístegui","given":"Javier"},{"family":"Ludwig","given":"Andrea"},{"family":"Achterberg","given":"Eric P."},{"family":"Hernández","given":"Nauzet"}],"issued":{"date-parts":[["2018",3,27]]}}},{"id":3443,"uris":["http://zotero.org/users/6128296/items/NAWLWA5Q"],"itemData":{"id":3443,"type":"article-journal","abstract":"Reactive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L."},{"family":"Lu","given":"Zhiying"}],"issued":{"date-parts":[["2022",6]]}}}],"schema":"https://github.com/citation-style-language/schema/raw/master/csl-citation.json"} </w:instrText>
      </w:r>
      <w:r w:rsidR="00095FF6"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(Willey, </w:t>
      </w:r>
      <w:proofErr w:type="spellStart"/>
      <w:r w:rsidR="00920699">
        <w:rPr>
          <w:rFonts w:ascii="Times New Roman" w:hAnsi="Times New Roman" w:cs="Times New Roman"/>
          <w:sz w:val="24"/>
          <w:szCs w:val="24"/>
        </w:rPr>
        <w:t>Paerl</w:t>
      </w:r>
      <w:proofErr w:type="spellEnd"/>
      <w:r w:rsidR="00920699">
        <w:rPr>
          <w:rFonts w:ascii="Times New Roman" w:hAnsi="Times New Roman" w:cs="Times New Roman"/>
          <w:sz w:val="24"/>
          <w:szCs w:val="24"/>
        </w:rPr>
        <w:t xml:space="preserve">, and Go 1999; Hopwood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2018; Morris, Rose, and Lu 2022)</w:t>
      </w:r>
      <w:r w:rsidR="00095FF6" w:rsidRPr="003609FB">
        <w:rPr>
          <w:rFonts w:ascii="Times New Roman" w:hAnsi="Times New Roman" w:cs="Times New Roman"/>
          <w:sz w:val="24"/>
          <w:szCs w:val="24"/>
        </w:rPr>
        <w:fldChar w:fldCharType="end"/>
      </w:r>
      <w:r w:rsidR="00095FF6" w:rsidRPr="003609FB">
        <w:rPr>
          <w:rFonts w:ascii="Times New Roman" w:hAnsi="Times New Roman" w:cs="Times New Roman"/>
          <w:sz w:val="24"/>
          <w:szCs w:val="24"/>
        </w:rPr>
        <w:t xml:space="preserve">, </w:t>
      </w:r>
      <w:r w:rsidRPr="003609FB">
        <w:rPr>
          <w:rFonts w:ascii="Times New Roman" w:hAnsi="Times New Roman" w:cs="Times New Roman"/>
          <w:sz w:val="24"/>
          <w:szCs w:val="24"/>
        </w:rPr>
        <w:t>and terrestrial runoff effects</w:t>
      </w:r>
      <w:r w:rsidR="002F743D" w:rsidRPr="003609FB">
        <w:rPr>
          <w:rFonts w:ascii="Times New Roman" w:hAnsi="Times New Roman" w:cs="Times New Roman"/>
          <w:sz w:val="24"/>
          <w:szCs w:val="24"/>
        </w:rPr>
        <w:t xml:space="preserve"> </w:t>
      </w:r>
      <w:r w:rsidR="002F743D"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{"citationID":"lnNuDlbT","properties":{"formattedCitation":"(Zhang, Del Vecchio, and Blough 2012)","plainCitation":"(Zhang, Del Vecchio, and Blough 2012)","noteIndex":0},"citationItems":[{"id":3681,"uris":["http://zotero.org/users/6128296/items/KPXTBR8E"],"itemData":{"id":3681,"type":"article-journal","abstract":"The mechanism(s) by which hydrogen peroxide (H2O2) is photoproduced by humic substances and chromophoric dissolved organic matter was probed by examining the dependence of the initial H2O2 photoproduction rate (RH2O2) and apparent H2O2 quantum yields on dioxygen concentration for both untreated and borohydride-reduced samples. Although borohydride reduction substantially reduced light absorption, the RH2O2 values were largely unaﬀected. Apparent monochromatic and polychromatic quantum yields thus increased following reduction. The results indicate that light absorption by chargetransfer states or by (aromatic) ketone/aldehydes does not lead to signiﬁcant H2O2 photoproduction. High concentrations of triplet quenchers relative to that of dioxygen produced only small decreases (sorbic acid) or small increases (Cl− and Br−) in RH2O2, indicating that neither 1O2 nor excited triplet states of quinones contribute signiﬁcantly to H2O2 photoproduction. The dependence of RH2O2 on O2 concentration provides evidence that the intermediate(s) reacting with O2 to produce superoxide are relatively long-lived (approximately tens of microseconds or more). Evidence of the photochemical formation of O2-reducing intermediates under anaerobic conditions was also obtained; these reducing intermediates appeared to be relatively stable in the absence of O2. Our data suggest that these O2-reducing intermediates are generated by intramolecular electron transfer from short-lived excited states of electron donors to ground-state acceptors.","container-title":"Environmental Science &amp; Technology","DOI":"10.1021/es3029582","ISSN":"0013-936X, 1520-5851","issue":"21","journalAbbreviation":"Environ. Sci. Technol.","language":"en","page":"11836-11843","source":"DOI.org (Crossref)","title":"Investigating the Mechanism of Hydrogen Peroxide Photoproduction by Humic Substances","volume":"46","author":[{"family":"Zhang","given":""},{"family":"Del Vecchio","given":"Rossana"},{"family":"Blough","given":"Neil V."}],"issued":{"date-parts":[["2012",11,6]]}}}],"schema":"https://github.com/citation-style-language/schema/raw/master/csl-citation.json"} </w:instrText>
      </w:r>
      <w:r w:rsidR="002F743D"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(Zhang, Del Vecchio, and Blough 2012)</w:t>
      </w:r>
      <w:r w:rsidR="002F743D" w:rsidRPr="003609FB">
        <w:rPr>
          <w:rFonts w:ascii="Times New Roman" w:hAnsi="Times New Roman" w:cs="Times New Roman"/>
          <w:sz w:val="24"/>
          <w:szCs w:val="24"/>
        </w:rPr>
        <w:fldChar w:fldCharType="end"/>
      </w:r>
      <w:r w:rsidR="004352F4">
        <w:rPr>
          <w:rFonts w:ascii="Times New Roman" w:hAnsi="Times New Roman" w:cs="Times New Roman"/>
          <w:sz w:val="24"/>
          <w:szCs w:val="24"/>
        </w:rPr>
        <w:t xml:space="preserve"> which have all been noted as significant sources of surface water </w:t>
      </w:r>
      <w:r w:rsidR="004352F4" w:rsidRPr="003609FB">
        <w:rPr>
          <w:rFonts w:ascii="Times New Roman" w:hAnsi="Times New Roman" w:cs="Times New Roman"/>
          <w:sz w:val="24"/>
          <w:szCs w:val="24"/>
        </w:rPr>
        <w:t>H</w:t>
      </w:r>
      <w:r w:rsidR="004352F4" w:rsidRPr="00351FC4">
        <w:rPr>
          <w:rFonts w:ascii="Times New Roman" w:hAnsi="Times New Roman" w:cs="Times New Roman"/>
          <w:sz w:val="24"/>
          <w:szCs w:val="24"/>
          <w:vertAlign w:val="subscript"/>
        </w:rPr>
        <w:t>2</w:t>
      </w:r>
      <w:r w:rsidR="004352F4" w:rsidRPr="003609FB">
        <w:rPr>
          <w:rFonts w:ascii="Times New Roman" w:hAnsi="Times New Roman" w:cs="Times New Roman"/>
          <w:sz w:val="24"/>
          <w:szCs w:val="24"/>
        </w:rPr>
        <w:t>O</w:t>
      </w:r>
      <w:r w:rsidR="004352F4"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4352F4">
        <w:rPr>
          <w:rFonts w:ascii="Times New Roman" w:hAnsi="Times New Roman" w:cs="Times New Roman"/>
          <w:sz w:val="24"/>
          <w:szCs w:val="24"/>
        </w:rPr>
        <w:t xml:space="preserve"> This model uses binary inclusion of model parameters in case</w:t>
      </w:r>
      <w:r w:rsidR="008A745C">
        <w:rPr>
          <w:rFonts w:ascii="Times New Roman" w:hAnsi="Times New Roman" w:cs="Times New Roman"/>
          <w:sz w:val="24"/>
          <w:szCs w:val="24"/>
        </w:rPr>
        <w:t>s</w:t>
      </w:r>
      <w:r w:rsidR="004352F4">
        <w:rPr>
          <w:rFonts w:ascii="Times New Roman" w:hAnsi="Times New Roman" w:cs="Times New Roman"/>
          <w:sz w:val="24"/>
          <w:szCs w:val="24"/>
        </w:rPr>
        <w:t xml:space="preserve"> 1-</w:t>
      </w:r>
      <w:r w:rsidR="008A745C">
        <w:rPr>
          <w:rFonts w:ascii="Times New Roman" w:hAnsi="Times New Roman" w:cs="Times New Roman"/>
          <w:sz w:val="24"/>
          <w:szCs w:val="24"/>
        </w:rPr>
        <w:t xml:space="preserve"> </w:t>
      </w:r>
      <w:r w:rsidR="004352F4">
        <w:rPr>
          <w:rFonts w:ascii="Times New Roman" w:hAnsi="Times New Roman" w:cs="Times New Roman"/>
          <w:sz w:val="24"/>
          <w:szCs w:val="24"/>
        </w:rPr>
        <w:t xml:space="preserve">4 but there are an array of </w:t>
      </w:r>
      <w:r w:rsidR="004352F4" w:rsidRPr="003609FB">
        <w:rPr>
          <w:rFonts w:ascii="Times New Roman" w:hAnsi="Times New Roman" w:cs="Times New Roman"/>
          <w:sz w:val="24"/>
          <w:szCs w:val="24"/>
        </w:rPr>
        <w:t>H</w:t>
      </w:r>
      <w:r w:rsidR="004352F4" w:rsidRPr="00351FC4">
        <w:rPr>
          <w:rFonts w:ascii="Times New Roman" w:hAnsi="Times New Roman" w:cs="Times New Roman"/>
          <w:sz w:val="24"/>
          <w:szCs w:val="24"/>
          <w:vertAlign w:val="subscript"/>
        </w:rPr>
        <w:t>2</w:t>
      </w:r>
      <w:r w:rsidR="004352F4" w:rsidRPr="003609FB">
        <w:rPr>
          <w:rFonts w:ascii="Times New Roman" w:hAnsi="Times New Roman" w:cs="Times New Roman"/>
          <w:sz w:val="24"/>
          <w:szCs w:val="24"/>
        </w:rPr>
        <w:t>O</w:t>
      </w:r>
      <w:r w:rsidR="004352F4" w:rsidRPr="00351FC4">
        <w:rPr>
          <w:rFonts w:ascii="Times New Roman" w:hAnsi="Times New Roman" w:cs="Times New Roman"/>
          <w:sz w:val="24"/>
          <w:szCs w:val="24"/>
          <w:vertAlign w:val="subscript"/>
        </w:rPr>
        <w:t>2</w:t>
      </w:r>
      <w:r w:rsidR="004352F4">
        <w:rPr>
          <w:rFonts w:ascii="Times New Roman" w:hAnsi="Times New Roman" w:cs="Times New Roman"/>
          <w:sz w:val="24"/>
          <w:szCs w:val="24"/>
          <w:vertAlign w:val="subscript"/>
        </w:rPr>
        <w:t xml:space="preserve"> </w:t>
      </w:r>
      <w:r w:rsidR="004352F4">
        <w:rPr>
          <w:rFonts w:ascii="Times New Roman" w:hAnsi="Times New Roman" w:cs="Times New Roman"/>
          <w:sz w:val="24"/>
          <w:szCs w:val="24"/>
        </w:rPr>
        <w:t xml:space="preserve">detoxification mechanisms and an even larger array of ways in which </w:t>
      </w:r>
      <w:r w:rsidR="008A745C">
        <w:rPr>
          <w:rFonts w:ascii="Times New Roman" w:hAnsi="Times New Roman" w:cs="Times New Roman"/>
          <w:sz w:val="24"/>
          <w:szCs w:val="24"/>
        </w:rPr>
        <w:t>cells</w:t>
      </w:r>
      <w:r w:rsidR="004352F4">
        <w:rPr>
          <w:rFonts w:ascii="Times New Roman" w:hAnsi="Times New Roman" w:cs="Times New Roman"/>
          <w:sz w:val="24"/>
          <w:szCs w:val="24"/>
        </w:rPr>
        <w:t xml:space="preserve"> have been shown to augment the number</w:t>
      </w:r>
      <w:r w:rsidR="008A745C">
        <w:rPr>
          <w:rFonts w:ascii="Times New Roman" w:hAnsi="Times New Roman" w:cs="Times New Roman"/>
          <w:sz w:val="24"/>
          <w:szCs w:val="24"/>
        </w:rPr>
        <w:t xml:space="preserve">, </w:t>
      </w:r>
      <w:r w:rsidR="00EB4BB7">
        <w:rPr>
          <w:rFonts w:ascii="Times New Roman" w:hAnsi="Times New Roman" w:cs="Times New Roman"/>
          <w:sz w:val="24"/>
          <w:szCs w:val="24"/>
        </w:rPr>
        <w:t>regulation</w:t>
      </w:r>
      <w:r w:rsidR="00C56271">
        <w:rPr>
          <w:rFonts w:ascii="Times New Roman" w:hAnsi="Times New Roman" w:cs="Times New Roman"/>
          <w:sz w:val="24"/>
          <w:szCs w:val="24"/>
        </w:rPr>
        <w:t>,</w:t>
      </w:r>
      <w:r w:rsidR="004352F4">
        <w:rPr>
          <w:rFonts w:ascii="Times New Roman" w:hAnsi="Times New Roman" w:cs="Times New Roman"/>
          <w:sz w:val="24"/>
          <w:szCs w:val="24"/>
        </w:rPr>
        <w:t xml:space="preserve"> or combination of these detoxification mechanisms throughout their lifecycle</w:t>
      </w:r>
      <w:r w:rsidR="00C56271">
        <w:rPr>
          <w:rFonts w:ascii="Times New Roman" w:hAnsi="Times New Roman" w:cs="Times New Roman"/>
          <w:sz w:val="24"/>
          <w:szCs w:val="24"/>
        </w:rPr>
        <w:t>s</w:t>
      </w:r>
      <w:r w:rsidR="004352F4">
        <w:rPr>
          <w:rFonts w:ascii="Times New Roman" w:hAnsi="Times New Roman" w:cs="Times New Roman"/>
          <w:sz w:val="24"/>
          <w:szCs w:val="24"/>
        </w:rPr>
        <w:t xml:space="preserve"> </w:t>
      </w:r>
      <w:r w:rsidR="008A745C">
        <w:rPr>
          <w:rFonts w:ascii="Times New Roman" w:hAnsi="Times New Roman" w:cs="Times New Roman"/>
          <w:sz w:val="24"/>
          <w:szCs w:val="24"/>
        </w:rPr>
        <w:fldChar w:fldCharType="begin"/>
      </w:r>
      <w:r w:rsidR="008A745C">
        <w:rPr>
          <w:rFonts w:ascii="Times New Roman" w:hAnsi="Times New Roman" w:cs="Times New Roman"/>
          <w:sz w:val="24"/>
          <w:szCs w:val="24"/>
        </w:rPr>
        <w:instrText xml:space="preserve"> ADDIN ZOTERO_ITEM CSL_CITATION {"citationID":"vDty6lht","properties":{"formattedCitation":"(G\\uc0\\u243{}mez-Baena et al. 2001; Kawasaki et al. 1997; Morris et al. 2016, 20; Rai et al. 2021; Sato et al. 1992; Venkatesan et al. 2007; Schellhorn 1995)","plainCitation":"(Gómez-Baena et al. 2001; Kawasaki et al. 1997; Morris et al. 2016, 20; Rai et al. 2021; Sato et al. 1992; Venkatesan et al. 2007; Schellhorn 1995)","noteIndex":0},"citationItems":[{"id":4174,"uris":["http://zotero.org/users/6128296/items/DHMQQJMT"],"itemData":{"id":4174,"type":"article-journal","abstract":"The inactivation of glutamine synthetase (GS; EC 6.3.1.2) by metal-catalyzed oxidation (MCO) systems was studied in several Prochlorococcus strains, including the axenic PCC 9511. GS was inactivated in the presence of various oxidative systems, either enzymatic (as NAD(P)H+NAD(P)H-oxidase+Fe3á+O2) or non-enzymatic (as ascorbate+Fe3á+O2). This process required the presence of oxygen and a metal cation, and is prevented under anaerobic conditions. Catalase and peroxidase, but not superoxide dismutase, effectively protected the enzyme against inactivation, suggesting that hydrogen peroxide mediates this mechanism, although it is not directly responsible for the reaction. Addition of azide (an inhibitor of both catalase and peroxidase) to the MCO systems enhanced the inactivation. Different thiols induced the inactivation of the enzyme, even in the absence of added metals. However, this inactivation could not be reverted by addition of strong oxidants, as hydrogen peroxide or oxidized glutathione. After studying the effect of addition of the physiological substrates and products of GS on the inactivation mechanism, we could detect a protective effect in the case of inorganic phosphate and glutamine. Immunochemical determinations showed that the concentration of GS protein significantly decreased by effect of the MCO systems, indicating that inactivation precedes the degradation of the enzyme.","container-title":"Biochimica et Biophysica Acta (BBA) - General Subjects","DOI":"10.1016/S0304-4165(01)00226-4","ISSN":"03044165","issue":"3","journalAbbreviation":"Biochimica et Biophysica Acta (BBA) - General Subjects","language":"en","page":"237-244","source":"DOI.org (Crossref)","title":"Regulation of glutamine synthetase by metal-catalyzed oxidative modification in the marine oxyphotobacterium Prochlorococcus","volume":"1568","author":[{"family":"Gómez-Baena","given":""},{"family":"Diez","given":"Jesús"},{"family":"Garcı́a-Fernández","given":"José Manuel"},{"family":"El Alaoui","given":"Sabah"},{"family":"Humanes","given":"Lourdes"}],"issued":{"date-parts":[["2001",12]]}}},{"id":1964,"uris":["http://zotero.org/users/6128296/items/9YZCQCV2"],"itemData":{"id":1964,"type":"article-journal","container-title":"Journal of bacteriology","DOI":"10.1128/JB.179.10.3284-3292.1997","ISSN":"0021-9193","issue":"10","language":"en","page":"3284-3292","source":"DOI.org (Crossref)","title":"Two divergent catalase genes are differentially regulated during Aspergillus nidulans development and oxidative stress.","volume":"179","author":[{"family":"Kawasaki","given":""},{"family":"Wysong","given":"D"},{"family":"Diamond","given":"R"},{"family":"Aguirre","given":"J"}],"issued":{"date-parts":[["1997"]]}}},{"id":1698,"uris":["http://zotero.org/users/6128296/items/EVC4QN3I"],"itemData":{"id":1698,"type":"article-journal","container-title":"Journal of Plankton Research","DOI":"10.1093/plankt/fbw016","ISSN":"0142-7873, 1464-3774","issue":"4","journalAbbreviation":"J. Plankton Res.","language":"en","page":"1103-1114","source":"DOI.org (Crossref)","title":"Diel regulation of hydrogen peroxide defenses by open ocean microbial communities","volume":"38","author":[{"family":"Morris","given":""},{"family":"Johnson","given":"Zackary I."},{"family":"Wilhelm","given":"Steven W."},{"family":"Zinser","given":"Erik R."}],"issued":{"date-parts":[["2016",8]]}},"locator":"20"},{"id":3505,"uris":["http://zotero.org/users/6128296/items/VGAQUSRZ"],"itemData":{"id":3505,"type":"article-journal","abstract":"Oxidative stress is common consequence of abiotic stress in plants as well as cyanobacteria caused by generation of reactive oxygen species (ROS), an inevitable product of respiration and photosynthetic electron transport. ROS act as signalling molecule at low concentration however, when its production exceeds the endurance capacity of antioxidative defence system, the organisms suffer oxidative stress. A highly toxic metabolite, methylglyoxal (MG) is also produced in cyanobacteria in response to various abiotic stresses which consequently augment the ensuing oxidative damage. Taking recourse to the common lineage of eukaryotic plants and cyanobacteria, it would be worthwhile to explore the regulatory role of glyoxalase system and antioxidative defense mechanism in combating abiotic stress in cyanobacteria. This review provides comprehensive information on the complete glyoxalase system (GlyI, GlyII and GlyIII) in cyanobacteria. Furthermore, it elucidates the recent understanding regarding the production of ROS and MG, noteworthy link between intracellular MG and ROS and its detoxifi­ cation via synchronization of antioxidants (enzymatic and non-enzymatic) and glyoxalase systems using gluta­ thione (GSH) as common co-factor.","container-title":"Plant Physiology and Biochemistry","DOI":"10.1016/j.plaphy.2021.09.037","ISSN":"09819428","journalAbbreviation":"Plant Physiology and Biochemistry","language":"en","page":"353-372","source":"DOI.org (Crossref)","title":"Regulation of antioxidant defense and glyoxalase systems in cyanobacteria","volume":"168","author":[{"family":"Rai","given":""},{"family":"Singh","given":"Shilpi"},{"family":"Rai","given":"Krishna Kumar"},{"family":"Raj","given":"Alka"},{"family":"Sriwastaw","given":"Sonam"},{"family":"Rai","given":"L.C."}],"issued":{"date-parts":[["2021",11]]}}},{"id":2236,"uris":["http://zotero.org/users/6128296/items/5DFU6HDQ"],"itemData":{"id":2236,"type":"article-journal","abstract":"For an understanding of the molecular basis of the marked decrease in catalase activity of various tumor cells, expression of the catalase gene was studied in rat and human hepatoma cell lines and in rat liver, which was used as a control with high activity. RNA blot hybridization profiles and run-on assays indicated that the decrease in catalase activity was due to depression of catalase gene transcription. Chloramphenicol acetyltransferase (CAT) assays for the fragments with various lengths of the 5'-flanking region (up to -4.5 kb from the ATG codon) of the catalase gene revealed the presence of several cis-acting elements involved in the negative regulation of transcription. The most-upstream element with the strongest activity (-3504 to -3364 bp), when linked to the catalase promoter region (-126 bp) of the CAT construct and subjected to an in vitro transcription assay, did not yield transcripts in experiments with the hepatoma nuclear extract, whereas the unlinked template did yield transcripts. A gel shift competition assay using hepatoma nuclear extract showed the core sequence of the silencer element to be 5'-TGGGGGGAG-3'. A homology search found that the same core sequence was also present in 5'-flanking regions of the albumin gene and of some other liver enzyme genes, the expression of which has been reported to be down regulated in some hepatoma cells. Southwestern (DNA-protein) analysis demonstrated that an approximately 35-kDa nuclear protein bound to the silencer element was present in hepatoma cells but not in rat liver cells.","container-title":"Molecular and Cellular Biology","DOI":"10.1128/MCB.12.6.2525","ISSN":"0270-7306, 1098-5549","issue":"6","journalAbbreviation":"Mol. Cell. Biol.","language":"en","page":"2525-2533","source":"DOI.org (Crossref)","title":"Negative regulation of catalase gene expression in hepatoma cells.","volume":"12","author":[{"family":"Sato","given":""},{"family":"Ito","given":"K"},{"family":"Kohara","given":"H"},{"family":"Yamaguchi","given":"Y"},{"family":"Adachi","given":"K"},{"family":"Endo","given":"H"}],"issued":{"date-parts":[["1992",6]]}}},{"id":3623,"uris":["http://zotero.org/users/6128296/items/F73RVSKD"],"itemData":{"id":3623,"type":"article-journal","container-title":"Journal of Cellular Physiology","DOI":"10.1002/jcp.20953","ISSN":"00219541, 10974652","issue":"2","journalAbbreviation":"J. Cell. Physiol.","language":"en","page":"457-467","source":"DOI.org (Crossref)","title":"Downregulation of catalase by reactive oxygen species via PI 3 kinase/Akt signaling in mesangial cells","volume":"211","author":[{"family":"Venkatesan","given":""},{"family":"Mahimainathan","given":"Lenin"},{"family":"Das","given":"Falguni"},{"family":"Ghosh-Choudhury","given":"Nandini"},{"family":"Ghosh Choudhury","given":"Goutam"}],"issued":{"date-parts":[["2007",5]]}}},{"id":2235,"uris":["http://zotero.org/users/6128296/items/H3ZUN9JP"],"itemData":{"id":2235,"type":"article-journal","abstract":"As part of its adaptive response to oxidative stress, Escherichia coli produces two inducible hydroperoxidases called HPI and I-MI. Upon exposure to sublethal levels of hydrogen peroxide, HP1 expression is induced at the transcriptional level by OxyR, a member of the LysR family of autoregulators. OxyR, functioning as both a sensor and transducer, contains a critical redox-sensitive Cys residue that is oxidized by hydrogen peroxide. This is thought to induce a conformational change in the tertiary structure of the OxyR tetramer altering its DNA-binding specificity and resulting in an increase in the transcription of katc and several other OxyR-dependent genes. In contrast, synthesis of the HP11 enzyme is not induced by hydrogen peroxide. Expression of both HP1 and HP11 is growth phase-dependent levels of HP1 and HP11 are lo-fold higher in stationary phase than exponential phase cultures. These growth phase-dependent increases are largely dependent on RpoS, a stationary phase specific sigma factor that is itself subject to complex transcriptional and post-transcriptional controls. Several metabolic signals have been proposed to activate the RpoS regulon including hyperosmolarity, weak acids, homoserine la&amp;one and UDP-glucose. Since both HP1 and HP11 are members of the RpoS regulon, elucidation of the mechanism of regulation of RpoS should contribute to our general understanding of hydroperoxidase regulation.","container-title":"FEMS Microbiology Letters","DOI":"10.1111/j.1574-6968.1995.tb07764.x","ISSN":"03781097, 15746968","issue":"2","language":"en","page":"113-119","source":"DOI.org (Crossref)","title":"Regulation of hydroperoxidase (catalase) expression in &lt;i&gt;Escherichia coli&lt;/i&gt;","volume":"131","author":[{"family":"Schellhorn","given":""}],"issued":{"date-parts":[["1995",9]]}}}],"schema":"https://github.com/citation-style-language/schema/raw/master/csl-citation.json"} </w:instrText>
      </w:r>
      <w:r w:rsidR="008A745C">
        <w:rPr>
          <w:rFonts w:ascii="Times New Roman" w:hAnsi="Times New Roman" w:cs="Times New Roman"/>
          <w:sz w:val="24"/>
          <w:szCs w:val="24"/>
        </w:rPr>
        <w:fldChar w:fldCharType="separate"/>
      </w:r>
      <w:r w:rsidR="008A745C" w:rsidRPr="008A745C">
        <w:rPr>
          <w:rFonts w:ascii="Times New Roman" w:hAnsi="Times New Roman" w:cs="Times New Roman"/>
          <w:sz w:val="24"/>
        </w:rPr>
        <w:t xml:space="preserve">(Gómez-Baena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xml:space="preserve">. 2001; Kawasaki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xml:space="preserve">. 1997; Morris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xml:space="preserve">. 2016, 20; Rai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xml:space="preserve">. 2021; Sato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xml:space="preserve">. 1992; Venkatesan </w:t>
      </w:r>
      <w:r w:rsidR="00183222" w:rsidRPr="00183222">
        <w:rPr>
          <w:rFonts w:ascii="Times New Roman" w:hAnsi="Times New Roman" w:cs="Times New Roman"/>
          <w:i/>
          <w:iCs/>
          <w:sz w:val="24"/>
          <w:szCs w:val="24"/>
        </w:rPr>
        <w:t>et al</w:t>
      </w:r>
      <w:r w:rsidR="008A745C" w:rsidRPr="008A745C">
        <w:rPr>
          <w:rFonts w:ascii="Times New Roman" w:hAnsi="Times New Roman" w:cs="Times New Roman"/>
          <w:sz w:val="24"/>
        </w:rPr>
        <w:t>. 2007; Schellhorn 1995)</w:t>
      </w:r>
      <w:r w:rsidR="008A745C">
        <w:rPr>
          <w:rFonts w:ascii="Times New Roman" w:hAnsi="Times New Roman" w:cs="Times New Roman"/>
          <w:sz w:val="24"/>
          <w:szCs w:val="24"/>
        </w:rPr>
        <w:fldChar w:fldCharType="end"/>
      </w:r>
      <w:r w:rsidR="004352F4">
        <w:rPr>
          <w:rFonts w:ascii="Times New Roman" w:hAnsi="Times New Roman" w:cs="Times New Roman"/>
          <w:sz w:val="24"/>
          <w:szCs w:val="24"/>
        </w:rPr>
        <w:t xml:space="preserve">. This range of control on possible </w:t>
      </w:r>
      <w:r w:rsidR="004352F4" w:rsidRPr="003609FB">
        <w:rPr>
          <w:rFonts w:ascii="Times New Roman" w:hAnsi="Times New Roman" w:cs="Times New Roman"/>
          <w:sz w:val="24"/>
          <w:szCs w:val="24"/>
        </w:rPr>
        <w:t>H</w:t>
      </w:r>
      <w:r w:rsidR="004352F4" w:rsidRPr="00351FC4">
        <w:rPr>
          <w:rFonts w:ascii="Times New Roman" w:hAnsi="Times New Roman" w:cs="Times New Roman"/>
          <w:sz w:val="24"/>
          <w:szCs w:val="24"/>
          <w:vertAlign w:val="subscript"/>
        </w:rPr>
        <w:t>2</w:t>
      </w:r>
      <w:r w:rsidR="004352F4" w:rsidRPr="003609FB">
        <w:rPr>
          <w:rFonts w:ascii="Times New Roman" w:hAnsi="Times New Roman" w:cs="Times New Roman"/>
          <w:sz w:val="24"/>
          <w:szCs w:val="24"/>
        </w:rPr>
        <w:t>O</w:t>
      </w:r>
      <w:r w:rsidR="004352F4" w:rsidRPr="00351FC4">
        <w:rPr>
          <w:rFonts w:ascii="Times New Roman" w:hAnsi="Times New Roman" w:cs="Times New Roman"/>
          <w:sz w:val="24"/>
          <w:szCs w:val="24"/>
          <w:vertAlign w:val="subscript"/>
        </w:rPr>
        <w:t>2</w:t>
      </w:r>
      <w:r w:rsidR="004352F4">
        <w:rPr>
          <w:rFonts w:ascii="Times New Roman" w:hAnsi="Times New Roman" w:cs="Times New Roman"/>
          <w:sz w:val="24"/>
          <w:szCs w:val="24"/>
        </w:rPr>
        <w:t xml:space="preserve"> parameter values at the microbial cell level </w:t>
      </w:r>
      <w:proofErr w:type="gramStart"/>
      <w:r w:rsidR="004352F4">
        <w:rPr>
          <w:rFonts w:ascii="Times New Roman" w:hAnsi="Times New Roman" w:cs="Times New Roman"/>
          <w:sz w:val="24"/>
          <w:szCs w:val="24"/>
        </w:rPr>
        <w:t>are</w:t>
      </w:r>
      <w:proofErr w:type="gramEnd"/>
      <w:r w:rsidR="004352F4">
        <w:rPr>
          <w:rFonts w:ascii="Times New Roman" w:hAnsi="Times New Roman" w:cs="Times New Roman"/>
          <w:sz w:val="24"/>
          <w:szCs w:val="24"/>
        </w:rPr>
        <w:t xml:space="preserve"> ignored here for simplicity. </w:t>
      </w:r>
      <w:r w:rsidRPr="003609FB">
        <w:rPr>
          <w:rFonts w:ascii="Times New Roman" w:hAnsi="Times New Roman" w:cs="Times New Roman"/>
          <w:sz w:val="24"/>
          <w:szCs w:val="24"/>
        </w:rPr>
        <w:t xml:space="preserve">Further, another iteration of Darwin, using intercellular fluxes has been published, but as exact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mechanisms have not been mechanistically traced within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cells as extensively they have been in </w:t>
      </w:r>
      <w:r w:rsidRPr="0029559F">
        <w:rPr>
          <w:rFonts w:ascii="Times New Roman" w:hAnsi="Times New Roman" w:cs="Times New Roman"/>
          <w:i/>
          <w:iCs/>
          <w:sz w:val="24"/>
          <w:szCs w:val="24"/>
        </w:rPr>
        <w:t xml:space="preserve">E.coli </w:t>
      </w:r>
      <w:r w:rsidR="002F743D"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{"citationID":"P4vZ2Yay","properties":{"formattedCitation":"(Seaver and Imlay 2001)","plainCitation":"(Seaver and Imlay 2001)","noteIndex":0},"citationItems":[{"id":6669,"uris":["http://zotero.org/users/6128296/items/NUFBRLS3"],"itemData":{"id":6669,"type":"article-journal","abstract":"ABSTRACT\n            \n              Escherichia coli\n              generates about 14 μM hydrogen peroxide (H\n              2\n              O\n              2\n              ) per s when it grows exponentially in glucose medium. The steady-state intracellular concentration of H\n              2\n              O\n              2\n              depends on the rates at which this H\n              2\n              O\n              2\n              is dissipated by scavenging enzymes and by efflux from the cell. The rates of H\n              2\n              O\n              2\n              degradation by the two major scavenging enzymes, alkyl hydroperoxide reductase and catalase, were quantified. In order to estimate the rate of efflux, the permeability coefficient of membranes for H\n              2\n              O\n              2\n              was determined. The coefficient is 1.6 × 10\n              −3\n              cm/s, indicating that permeability is substantial but not unlimited. These data allowed internal H\n              2\n              O\n              2\n              fluxes and concentrations to be calculated. Under these growth conditions, Ahp scavenges the majority of the endogenous H\n              2\n              O\n              2\n              , with a small fraction degraded by catalase and virtually none persisting long enough to penetrate the membrane and exit the cell. The robust scavenging activity maintains the H\n              2\n              O\n              2\n              concentration inside glucose-grown cells at &lt;10\n              −7\n              M, substantially below the level (10\n              −6\n              M) at which toxicity is evident. When extracellular H\n              2\n              O\n              2\n              is present, its flux into the cell can be rapid, but the internal concentration may still be an order of magnitude lower than that outside. The presence of such gradients was confirmed in experiments that revealed different degrees of oxidative stress in cocultured scavenger-deficient mutants. The limited permeability of membranes to H\n              2\n              O\n              2\n              rationalizes the compartmentalization of scavenging systems and predicts that bacteria that excrete redox-cycling drugs do not experience the same H\n              2\n              O\n              2\n              dose that they impose on their competitors.","container-title":"Journal of Bacteriology","DOI":"10.1128/JB.183.24.7182-7189.2001","ISSN":"0021-9193, 1098-5530","issue":"24","journalAbbreviation":"J Bacteriol","language":"en","page":"7182-7189","source":"DOI.org (Crossref)","title":"Hydrogen Peroxide Fluxes and Compartmentalization inside Growing &lt;i&gt;Escherichia coli&lt;/i&gt;","volume":"183","author":[{"family":"Seaver","given":""},{"family":"Imlay","given":"James A."}],"issued":{"date-parts":[["2001",12,15]]}}}],"schema":"https://github.com/citation-style-language/schema/raw/master/csl-citation.json"} </w:instrText>
      </w:r>
      <w:r w:rsidR="002F743D"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(Seaver and Imlay 2001)</w:t>
      </w:r>
      <w:r w:rsidR="002F743D"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or neutrophils </w:t>
      </w:r>
      <w:r w:rsidR="002F743D"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{"citationID":"BwaHHO0s","properties":{"formattedCitation":"(Ohno and Gallin 1985)","plainCitation":"(Ohno and Gallin 1985)","noteIndex":0},"citationItems":[{"id":4051,"uris":["http://zotero.org/users/6128296/items/TY52KWLW"],"itemData":{"id":4051,"type":"article-journal","abstract":"It is well known that catalaseis transformed tonitric oxide-Fez*-catalaseby hydrogen peroxide (Hz02)plus azide. In this report,we show that myeloperoxidase is also inactivated by HzOzplus azide. Utilizing this system, we studied the presenceand source of intracellular Hz02 generated by activated neutrophils. Stimulation of neutrophilswith phorbol myristateacetate (PMA,100 ng/ml) plus azide (5 mM) for 30 min completely inactivated intragranular myeloperoxidaseand reduced cytosolic catalase to35% of resting cells. This intracellular inactivationof heme enzymes did not occur in normal neutrophils incubated with either PMA or azide alone or in neutrophils from patients with chronicgranulomatous disease (CDG) which cannot produce HzOzin response to PMA.Incubation of neutrophils with azide and a Ha02 generating system (glucose-glucose oxidase) inactivated 41% of neutrophil myeloperoxidase. Glutathione-glutathione peroxidase (GSH-GSH peroxidase), an extracellular H2O2 scavenger,totallyprotectedneutrophil myeloperoxidase from inactivation by azide plus glucose-glucose oxidase. In addition, when a mixture of normal andCGD cells was stimulated with PMA in thepresence of azide, 90% of the myeloperoxidase in CGD neutrophils was inactivated. Therefore, H2O2 released extracellularly from activated neutrophils can diffuse into cells. In contrast, myeloperoxidase in normal polymorphonuclear leukocytes stimulated withPMA in thepresence of azide and GSH-GSH peroxidase was 75% inactivated. Thus, the results indicate that a GSH-GSH peroxidase-insensitive pool of H202is also generated, presumably at theplasma membrane, and thispool of HaOz can undergo direct internal diffusion to inactivatemyeloperoxidase.","container-title":"Journal of Biological Chemistry","DOI":"10.1016/S0021-9258(17)39493-0","ISSN":"00219258","issue":"14","journalAbbreviation":"Journal of Biological Chemistry","language":"en","page":"8438-8446","source":"DOI.org (Crossref)","title":"Diffusion of extracellular hydrogen peroxide into intracellular compartments of human neutrophils. Studies utilizing the inactivation of myeloperoxidase by hydrogen peroxide and azide.","volume":"260","author":[{"family":"Ohno","given":""},{"family":"Gallin","given":"J I"}],"issued":{"date-parts":[["1985",7]]}}}],"schema":"https://github.com/citation-style-language/schema/raw/master/csl-citation.json"} </w:instrText>
      </w:r>
      <w:r w:rsidR="002F743D"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(Ohno and Gallin 1985)</w:t>
      </w:r>
      <w:r w:rsidR="002F743D" w:rsidRPr="003609FB">
        <w:rPr>
          <w:rFonts w:ascii="Times New Roman" w:hAnsi="Times New Roman" w:cs="Times New Roman"/>
          <w:sz w:val="24"/>
          <w:szCs w:val="24"/>
        </w:rPr>
        <w:fldChar w:fldCharType="end"/>
      </w:r>
      <w:r w:rsidR="004352F4">
        <w:rPr>
          <w:rFonts w:ascii="Times New Roman" w:hAnsi="Times New Roman" w:cs="Times New Roman"/>
          <w:sz w:val="24"/>
          <w:szCs w:val="24"/>
        </w:rPr>
        <w:t>,</w:t>
      </w:r>
      <w:r w:rsidRPr="003609FB">
        <w:rPr>
          <w:rFonts w:ascii="Times New Roman" w:hAnsi="Times New Roman" w:cs="Times New Roman"/>
          <w:sz w:val="24"/>
          <w:szCs w:val="24"/>
        </w:rPr>
        <w:t xml:space="preserve"> this remains out of our framework’s scope. To our knowledge, none of these reported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influences are incorporated </w:t>
      </w:r>
      <w:r w:rsidRPr="003609FB">
        <w:rPr>
          <w:rFonts w:ascii="Times New Roman" w:hAnsi="Times New Roman" w:cs="Times New Roman"/>
          <w:sz w:val="24"/>
          <w:szCs w:val="24"/>
        </w:rPr>
        <w:lastRenderedPageBreak/>
        <w:t xml:space="preserve">into large scale ecosystem or biogeochemical model. Using Darwin, we </w:t>
      </w:r>
      <w:r w:rsidR="005F6A4C" w:rsidRPr="003609FB">
        <w:rPr>
          <w:rFonts w:ascii="Times New Roman" w:hAnsi="Times New Roman" w:cs="Times New Roman"/>
          <w:sz w:val="24"/>
          <w:szCs w:val="24"/>
        </w:rPr>
        <w:t>have assessed</w:t>
      </w:r>
      <w:r w:rsidRPr="003609FB">
        <w:rPr>
          <w:rFonts w:ascii="Times New Roman" w:hAnsi="Times New Roman" w:cs="Times New Roman"/>
          <w:sz w:val="24"/>
          <w:szCs w:val="24"/>
        </w:rPr>
        <w:t xml:space="preserve"> biologically measured impacts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dominant microbes in the oligotrophic ocean. </w:t>
      </w:r>
    </w:p>
    <w:p w14:paraId="0583CA1F" w14:textId="42977C59" w:rsidR="003D1E8D" w:rsidRPr="003609FB" w:rsidRDefault="003D1E8D" w:rsidP="00777063">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This model does not account for ecotype or strain variability within any of the microbes chosen here. The Darwin framework does allow for multiple microbes within a group to scale </w:t>
      </w:r>
      <w:r w:rsidR="00C86DF8">
        <w:rPr>
          <w:rFonts w:ascii="Times New Roman" w:hAnsi="Times New Roman" w:cs="Times New Roman"/>
          <w:sz w:val="24"/>
          <w:szCs w:val="24"/>
        </w:rPr>
        <w:t>a</w:t>
      </w:r>
      <w:r w:rsidRPr="003609FB">
        <w:rPr>
          <w:rFonts w:ascii="Times New Roman" w:hAnsi="Times New Roman" w:cs="Times New Roman"/>
          <w:sz w:val="24"/>
          <w:szCs w:val="24"/>
        </w:rPr>
        <w:t xml:space="preserve"> sh</w:t>
      </w:r>
      <w:r w:rsidR="005F6A4C" w:rsidRPr="003609FB">
        <w:rPr>
          <w:rFonts w:ascii="Times New Roman" w:hAnsi="Times New Roman" w:cs="Times New Roman"/>
          <w:sz w:val="24"/>
          <w:szCs w:val="24"/>
        </w:rPr>
        <w:t>a</w:t>
      </w:r>
      <w:r w:rsidRPr="003609FB">
        <w:rPr>
          <w:rFonts w:ascii="Times New Roman" w:hAnsi="Times New Roman" w:cs="Times New Roman"/>
          <w:sz w:val="24"/>
          <w:szCs w:val="24"/>
        </w:rPr>
        <w:t xml:space="preserve">red trait allometrically so </w:t>
      </w:r>
      <w:r w:rsidR="00C86DF8">
        <w:rPr>
          <w:rFonts w:ascii="Times New Roman" w:hAnsi="Times New Roman" w:cs="Times New Roman"/>
          <w:sz w:val="24"/>
          <w:szCs w:val="24"/>
        </w:rPr>
        <w:t xml:space="preserve">later inclusion of this intricacy </w:t>
      </w:r>
      <w:r w:rsidRPr="003609FB">
        <w:rPr>
          <w:rFonts w:ascii="Times New Roman" w:hAnsi="Times New Roman" w:cs="Times New Roman"/>
          <w:sz w:val="24"/>
          <w:szCs w:val="24"/>
        </w:rPr>
        <w:t xml:space="preserve">may be feasible. However, more monoculture constraint on the connection between </w:t>
      </w:r>
      <w:r w:rsidR="00C86DF8">
        <w:rPr>
          <w:rFonts w:ascii="Times New Roman" w:hAnsi="Times New Roman" w:cs="Times New Roman"/>
          <w:sz w:val="24"/>
          <w:szCs w:val="24"/>
        </w:rPr>
        <w:t xml:space="preserve">detoxification </w:t>
      </w:r>
      <w:r w:rsidRPr="003609FB">
        <w:rPr>
          <w:rFonts w:ascii="Times New Roman" w:hAnsi="Times New Roman" w:cs="Times New Roman"/>
          <w:sz w:val="24"/>
          <w:szCs w:val="24"/>
        </w:rPr>
        <w:t>gen</w:t>
      </w:r>
      <w:r w:rsidR="00C86DF8">
        <w:rPr>
          <w:rFonts w:ascii="Times New Roman" w:hAnsi="Times New Roman" w:cs="Times New Roman"/>
          <w:sz w:val="24"/>
          <w:szCs w:val="24"/>
        </w:rPr>
        <w:t>e</w:t>
      </w:r>
      <w:r w:rsidRPr="003609FB">
        <w:rPr>
          <w:rFonts w:ascii="Times New Roman" w:hAnsi="Times New Roman" w:cs="Times New Roman"/>
          <w:sz w:val="24"/>
          <w:szCs w:val="24"/>
        </w:rPr>
        <w:t xml:space="preserve"> </w:t>
      </w:r>
      <w:r w:rsidR="00C86DF8">
        <w:rPr>
          <w:rFonts w:ascii="Times New Roman" w:hAnsi="Times New Roman" w:cs="Times New Roman"/>
          <w:sz w:val="24"/>
          <w:szCs w:val="24"/>
        </w:rPr>
        <w:t xml:space="preserve">presence within a cell </w:t>
      </w:r>
      <w:r w:rsidRPr="003609FB">
        <w:rPr>
          <w:rFonts w:ascii="Times New Roman" w:hAnsi="Times New Roman" w:cs="Times New Roman"/>
          <w:sz w:val="24"/>
          <w:szCs w:val="24"/>
        </w:rPr>
        <w:t xml:space="preserve">and </w:t>
      </w:r>
      <w:r w:rsidR="00C86DF8">
        <w:rPr>
          <w:rFonts w:ascii="Times New Roman" w:hAnsi="Times New Roman" w:cs="Times New Roman"/>
          <w:sz w:val="24"/>
          <w:szCs w:val="24"/>
        </w:rPr>
        <w:t xml:space="preserve">the cell’s </w:t>
      </w:r>
      <w:r w:rsidRPr="003609FB">
        <w:rPr>
          <w:rFonts w:ascii="Times New Roman" w:hAnsi="Times New Roman" w:cs="Times New Roman"/>
          <w:sz w:val="24"/>
          <w:szCs w:val="24"/>
        </w:rPr>
        <w:t xml:space="preserve">detoxification ability is needed for clarity here. Furthermore, we chose microbes of importance for </w:t>
      </w:r>
      <w:r w:rsidR="001C3964"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basal modeling. However, </w:t>
      </w:r>
      <w:r w:rsidR="00777063">
        <w:rPr>
          <w:rFonts w:ascii="Times New Roman" w:hAnsi="Times New Roman" w:cs="Times New Roman"/>
          <w:sz w:val="24"/>
          <w:szCs w:val="24"/>
        </w:rPr>
        <w:t xml:space="preserve">the </w:t>
      </w:r>
      <w:r w:rsidRPr="003609FB">
        <w:rPr>
          <w:rFonts w:ascii="Times New Roman" w:hAnsi="Times New Roman" w:cs="Times New Roman"/>
          <w:sz w:val="24"/>
          <w:szCs w:val="24"/>
        </w:rPr>
        <w:t xml:space="preserve">Darwin </w:t>
      </w:r>
      <w:r w:rsidR="00777063">
        <w:rPr>
          <w:rFonts w:ascii="Times New Roman" w:hAnsi="Times New Roman" w:cs="Times New Roman"/>
          <w:sz w:val="24"/>
          <w:szCs w:val="24"/>
        </w:rPr>
        <w:t xml:space="preserve">model framework we utilized only includes 10 plankton (6 phytoplankton, 4 zooplankton) total, meaning it fails to capture a variety of ocean </w:t>
      </w:r>
      <w:r w:rsidR="0062606E">
        <w:rPr>
          <w:rFonts w:ascii="Times New Roman" w:hAnsi="Times New Roman" w:cs="Times New Roman"/>
          <w:sz w:val="24"/>
          <w:szCs w:val="24"/>
        </w:rPr>
        <w:t>complexity</w:t>
      </w:r>
      <w:r w:rsidR="00777063">
        <w:rPr>
          <w:rFonts w:ascii="Times New Roman" w:hAnsi="Times New Roman" w:cs="Times New Roman"/>
          <w:sz w:val="24"/>
          <w:szCs w:val="24"/>
        </w:rPr>
        <w:t xml:space="preserve">. The </w:t>
      </w:r>
      <w:proofErr w:type="spellStart"/>
      <w:r w:rsidR="00777063">
        <w:rPr>
          <w:rFonts w:ascii="Times New Roman" w:hAnsi="Times New Roman" w:cs="Times New Roman"/>
          <w:sz w:val="24"/>
          <w:szCs w:val="24"/>
        </w:rPr>
        <w:t>picoeukaryotic</w:t>
      </w:r>
      <w:proofErr w:type="spellEnd"/>
      <w:r w:rsidR="00777063">
        <w:rPr>
          <w:rFonts w:ascii="Times New Roman" w:hAnsi="Times New Roman" w:cs="Times New Roman"/>
          <w:sz w:val="24"/>
          <w:szCs w:val="24"/>
        </w:rPr>
        <w:t xml:space="preserve"> (Appendix B) and </w:t>
      </w:r>
      <w:proofErr w:type="spellStart"/>
      <w:r w:rsidR="00777063">
        <w:rPr>
          <w:rFonts w:ascii="Times New Roman" w:hAnsi="Times New Roman" w:cs="Times New Roman"/>
          <w:sz w:val="24"/>
          <w:szCs w:val="24"/>
        </w:rPr>
        <w:t>picoheterotrophic</w:t>
      </w:r>
      <w:proofErr w:type="spellEnd"/>
      <w:r w:rsidR="00777063">
        <w:rPr>
          <w:rFonts w:ascii="Times New Roman" w:hAnsi="Times New Roman" w:cs="Times New Roman"/>
          <w:sz w:val="24"/>
          <w:szCs w:val="24"/>
        </w:rPr>
        <w:t xml:space="preserve"> (</w:t>
      </w:r>
      <w:proofErr w:type="spellStart"/>
      <w:r w:rsidR="00777063" w:rsidRPr="00777063">
        <w:rPr>
          <w:rFonts w:ascii="Times" w:hAnsi="Times" w:cs="Times New Roman"/>
          <w:i/>
          <w:iCs/>
          <w:color w:val="000000" w:themeColor="text1"/>
          <w:sz w:val="24"/>
          <w:szCs w:val="24"/>
        </w:rPr>
        <w:t>Alteromonas</w:t>
      </w:r>
      <w:proofErr w:type="spellEnd"/>
      <w:r w:rsidR="00777063">
        <w:rPr>
          <w:rFonts w:ascii="Times New Roman" w:hAnsi="Times New Roman" w:cs="Times New Roman"/>
          <w:sz w:val="24"/>
          <w:szCs w:val="24"/>
        </w:rPr>
        <w:t xml:space="preserve"> in Appendix A) bacteria that seem to detoxify most for </w:t>
      </w:r>
      <w:r w:rsidR="00777063" w:rsidRPr="00777063">
        <w:rPr>
          <w:rFonts w:ascii="Times" w:hAnsi="Times" w:cs="Times New Roman"/>
          <w:i/>
          <w:iCs/>
          <w:color w:val="000000" w:themeColor="text1"/>
          <w:sz w:val="24"/>
          <w:szCs w:val="24"/>
        </w:rPr>
        <w:t>Prochlorococcus</w:t>
      </w:r>
      <w:r w:rsidR="00777063">
        <w:rPr>
          <w:rFonts w:ascii="Times New Roman" w:hAnsi="Times New Roman" w:cs="Times New Roman"/>
          <w:sz w:val="24"/>
          <w:szCs w:val="24"/>
        </w:rPr>
        <w:t xml:space="preserve">, are among the dynamics lost with this model implementation </w:t>
      </w:r>
      <w:r w:rsidRPr="003609FB">
        <w:rPr>
          <w:rFonts w:ascii="Times New Roman" w:hAnsi="Times New Roman" w:cs="Times New Roman"/>
          <w:sz w:val="24"/>
          <w:szCs w:val="24"/>
        </w:rPr>
        <w:t xml:space="preserve">despite their various documented impacts on </w:t>
      </w:r>
      <w:r w:rsidR="00691B65"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growth</w:t>
      </w:r>
      <w:r w:rsidR="001C3964" w:rsidRPr="003609FB">
        <w:rPr>
          <w:rFonts w:ascii="Times New Roman" w:hAnsi="Times New Roman" w:cs="Times New Roman"/>
          <w:sz w:val="24"/>
          <w:szCs w:val="24"/>
        </w:rPr>
        <w:t xml:space="preserve"> </w:t>
      </w:r>
      <w:r w:rsidR="001C396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{"citationID":"mMgkBZBN","properties":{"formattedCitation":"(Biller, Coe, et al. 2018; Guillou et al. 2001, 20; Follett et al. 2022; Weissberg, Aharonovich, and Sher 2023, 20)","plainCitation":"(Biller, Coe, et al. 2018; Guillou et al. 2001, 20; Follett et al. 2022; Weissberg, Aharonovich, and Sher 2023, 20)","noteIndex":0},"citationItems":[{"id":3077,"uris":["http://zotero.org/users/6128296/items/NTN2AQ8U"],"itemData":{"id":3077,"type":"article-journal","abstract":"Microbes evolve within complex ecological communities where biotic interactions impact both individual cells and the environment as a whole. Here we examine how cellular regulation in the marine cyanobacterium Prochlorococcus is inﬂuenced by a heterotrophic bacterium, Alteromonas macleodii, under different light conditions. We monitored the transcriptome of Prochlorococcus, grown either alone or in coculture, across a diel light:dark cycle and under the stress of extended darkness—a condition that cells would experience when mixed below the ocean’s euphotic zone. More Prochlorococcus transcripts exhibited 24-h periodic oscillations in coculture than in pure culture, both over the normal diel cycle and after the shift to extended darkness. This demonstrates that biotic interactions, and not just light, can affect timing mechanisms in Prochlorococcus, which lacks a self-sustaining circadian oscillator. The transcriptomes of replicate pure cultures of Prochlorococcus lost their synchrony within 5 h of extended darkness and reﬂected changes in stress responses and metabolic functions consistent with growth cessation. In contrast, when grown with Alteromonas, replicate Prochlorococcus transcriptomes tracked each other for at least 13 h in the dark and showed signs of continued biosynthetic and metabolic activity. The transcriptome patterns suggest that the heterotroph may be providing energy or essential biosynthetic substrates to Prochlorococcus in the form of organic compounds, sustaining this autotroph when it is deprived of solar energy. Our ﬁndings reveal conditions where mixotrophic metabolism may beneﬁt marine cyanobacteria and highlight new impacts of community interactions on basic Prochlorococcus cellular processes.","container-title":"mSystems","DOI":"10.1128/mSystems.00040-18","ISSN":"2379-5077","issue":"3","journalAbbreviation":"mSystems","language":"en","page":"e00040-18","source":"DOI.org (Crossref)","title":"Heterotroph Interactions Alter &lt;i&gt;Prochlorococcus&lt;/i&gt; Transcriptome Dynamics during Extended Periods of Darkness","volume":"3","author":[{"family":"Biller","given":""},{"family":"Coe","given":"Allison"},{"family":"Roggensack","given":"Sara E."},{"family":"Chisholm","given":"Sallie W."}],"editor":[{"family":"Mason","given":"Olivia"}],"issued":{"date-parts":[["2018",6,26]]}}},{"id":4133,"uris":["http://zotero.org/users/6128296/items/RMV6DX2B"],"itemData":{"id":4133,"type":"article-journal","abstract":"In open oceanic waters, phytoplankton biomass is dominated by organisms below 2 to 3 µm in size (pico- and small nanophytoplankton). The cell concentration of these populations is very stable in time and space as a consequence of nutrient limitation and strong grazing pressure. Although the identity of the organisms that directly graze on picoplankton is largely unknown, they are thought to be very small, i.e. &lt; 3 to 5 µm. Here, we analyze the grazing impact of 2 small flagellates, Symbiomonas scintillans and Picophagus flagellatus, upon 2 oceanic cyanobacteria, Prochlorococcus and Synechococcus. S. scintillans does not feed on the 2 cyanobacteria. In contrast, P. flagellatus appears as an active predator capable of drastically reducing prey concentrations. The flagellate displays a substantial division rate of the order of 2 doublings d−1 when fed on Prochlorococcus cells, but no significant growth is recorded when Synechococcus is used as prey. As the majority (&gt; 80%) of P. flagellatus cells can pass throughout a 2 µm filter, the impact of such tiny predators should be taken into consideration during field experiments that rely on size fractionation to separate grazers from prey.","container-title":"Aquatic Microbial Ecology","DOI":"10.3354/ame026201","ISSN":"0948-3055, 1616-1564","journalAbbreviation":"Aquat. Microb. Ecol.","language":"en","page":"201-207","source":"DOI.org (Crossref)","title":"Grazing impact of two small heterotrophic flagellates on Prochlorococcus and Synechococcus","volume":"26","author":[{"family":"Guillou","given":""},{"family":"Jacquet","given":"S"},{"family":"Chrétiennot-Dinet","given":"Mj"},{"family":"Vaulot","given":"D"}],"issued":{"date-parts":[["2001"]]}},"locator":"20"},{"id":4609,"uris":["http://zotero.org/users/6128296/items/HNL5SLN9"],"itemData":{"id":4609,"type":"article-journal","abstract":"Prochlorococcus is the smallest and most abundant photosynthetic organism on Earth and is thought to be confined to low-latitude regions by its requirement for warm waters. Latitudinal transects in the North Pacific, however, demonstrate that the poleward decrease of this species occurs across a wide range of temperatures. An additional mechanism is likely required. 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structure.\nProchlorococcus is both the smallest and numerically most abundant photosynthesizing organism on the planet. While thriving in the warm oligotrophic gyres, Pro concentrations drop rapidly in higher-latitude regions. Transect data from the North Pacific show the collapse occurring at a wide range of temperatures and latitudes (temperature is often hypothesized to cause this shift), suggesting an ecological mechanism may be at play. An often used size-based theory of phytoplankton community structure that has been incorporated into computational models correctly predicts the dominance of Prochlorococcus in the gyres, and the relative dominance of larger cells at high latitudes. However, both theory and computational models fail to explain the poleward collapse. When heterotrophic bacteria and predators that prey nonspecifically on both\n              Prochlorococcus\n              and bacteria are included in the theoretical framework, the collapse of\n              Prochlorococcus\n              occurs with increasing nutrient supplies. \n\nWe use theory, computational models, and additional observational data to suggest that the poleward decrease is caused by an ecological interaction: a shared predator which consumes both Prochlorococcus and similar-sized heterotrophic bacteria. Understanding the fate of this organism requires a knowledge of the interconnected ecosystem of other organisms, where both direct and indirect interactions control community structure.\n\nThe poleward collapse of\n              Prochlorococcus\n              populations then naturally emerges when this mechanism of “shared predation” is implemented in a complex global ecosystem model. Additionally, the theory correctly predicts trends in both the abundance and mean size of the heterotrophic bacteria. These results suggest that ecological controls need to be considered to understand the biogeography of Prochlorococcus and predict its changes under future ocean conditions. Indirect interactions within a microbial network can be essential in setting community structure.","container-title":"Proceedings of the National Academy of Sciences","DOI":"10.1073/pnas.2110993118","ISSN":"0027-8424, 1091-6490","issue":"2","journalAbbreviation":"Proc. Natl. Acad. Sci. U.S.A.","language":"en","page":"e2110993118","source":"DOI.org (Crossref)","title":"Trophic interactions with heterotrophic bacteria limit the range of &lt;i&gt;Prochlorococcus&lt;/i&gt;","volume":"119","author":[{"family":"Follett","given":""},{"family":"Dutkiewicz","given":"Stephanie"},{"family":"Ribalet","given":"François"},{"family":"Zakem","given":"Emily"},{"family":"Caron","given":"David"},{"family":"Armbrust","given":"E. Virginia"},{"family":"Follows","given":"Michael J."}],"issued":{"date-parts":[["2022",1,11]]}}},{"id":4600,"uris":["http://zotero.org/users/6128296/items/3ZR4RFUP"],"itemData":{"id":4600,"type":"article-journal","abstract":"Abstract\n            Due to their potential impact on ecosystems and biogeochemistry, microbial interactions, such as those between phytoplankton and bacteria, have been studied intensively using specific model organisms. Yet, to what extent interactions differ between closely related organisms, or how these interactions change over time, or culture conditions, remains unclear. Here, we characterize the interactions between five strains each of two globally abundant marine microorganisms, Prochlorococcus (phototroph) and Alteromonas (heterotroph), from the first encounter between individual strains and over more than a year of repeated cycles of exponential growth and long-term nitrogen starvation. Prochlorococcus-Alteromonas interactions had little effect on traditional growth parameters such as Prochlorococcus growth rate, maximal fluorescence, or lag phase, affecting primarily the dynamics of culture decline, which we interpret as representing cell mortality and lysis. The shape of the Prochlorococcus decline curve and the carrying capacity of the co-cultures were determined by the phototroph and not the heterotroph strains involved. Comparing various mathematical models of culture mortality suggests that Prochlorococcus death rate increases over time in mono-cultures but decreases in co-cultures, with cells potentially becoming more resistant to stress. Our results demonstrate intra-species differences in ecologically relevant co-culture outcomes. These include the recycling efficiency of N and whether the interactions are mutually synergistic or competitive. They also highlight the information-rich growth and death curves as a useful readout of the interaction phenotype.","container-title":"The ISME Journal","DOI":"10.1038/s41396-022-01330-8","ISSN":"1751-7362, 1751-7370","issue":"2","language":"en","page":"227-237","source":"DOI.org (Crossref)","title":"Phototroph-heterotroph interactions during growth and long-term starvation across &lt;i&gt;Prochlorococcus&lt;/i&gt; and &lt;i&gt;Alteromonas&lt;/i&gt; diversity","volume":"17","author":[{"family":"Weissberg","given":""},{"family":"Aharonovich","given":"Dikla"},{"family":"Sher","given":"Daniel"}],"issued":{"date-parts":[["2023",2,1]]}},"locator":"20"}],"schema":"https://github.com/citation-style-language/schema/raw/master/csl-citation.json"} </w:instrText>
      </w:r>
      <w:r w:rsidR="001C396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(Biller, Coe,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2018; Guillou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2001, 20; Follett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2022; Weissberg, </w:t>
      </w:r>
      <w:proofErr w:type="spellStart"/>
      <w:r w:rsidR="00920699">
        <w:rPr>
          <w:rFonts w:ascii="Times New Roman" w:hAnsi="Times New Roman" w:cs="Times New Roman"/>
          <w:sz w:val="24"/>
          <w:szCs w:val="24"/>
        </w:rPr>
        <w:t>Aharonovich</w:t>
      </w:r>
      <w:proofErr w:type="spellEnd"/>
      <w:r w:rsidR="00920699">
        <w:rPr>
          <w:rFonts w:ascii="Times New Roman" w:hAnsi="Times New Roman" w:cs="Times New Roman"/>
          <w:sz w:val="24"/>
          <w:szCs w:val="24"/>
        </w:rPr>
        <w:t>, and Sher 2023, 20)</w:t>
      </w:r>
      <w:r w:rsidR="001C3964" w:rsidRPr="003609FB">
        <w:rPr>
          <w:rFonts w:ascii="Times New Roman" w:hAnsi="Times New Roman" w:cs="Times New Roman"/>
          <w:sz w:val="24"/>
          <w:szCs w:val="24"/>
        </w:rPr>
        <w:fldChar w:fldCharType="end"/>
      </w:r>
      <w:r w:rsidR="001C3964" w:rsidRPr="003609FB">
        <w:rPr>
          <w:rFonts w:ascii="Times New Roman" w:hAnsi="Times New Roman" w:cs="Times New Roman"/>
          <w:sz w:val="24"/>
          <w:szCs w:val="24"/>
        </w:rPr>
        <w:t>.</w:t>
      </w:r>
      <w:r w:rsidR="00A83408">
        <w:rPr>
          <w:rFonts w:ascii="Times New Roman" w:hAnsi="Times New Roman" w:cs="Times New Roman"/>
          <w:sz w:val="24"/>
          <w:szCs w:val="24"/>
        </w:rPr>
        <w:t xml:space="preserve"> </w:t>
      </w:r>
      <w:r w:rsidRPr="003609FB">
        <w:rPr>
          <w:rFonts w:ascii="Times New Roman" w:hAnsi="Times New Roman" w:cs="Times New Roman"/>
          <w:sz w:val="24"/>
          <w:szCs w:val="24"/>
        </w:rPr>
        <w:t xml:space="preserve">Different heterotrophs have documented differential susceptibilities to </w:t>
      </w:r>
      <w:r w:rsidR="0004397B" w:rsidRPr="003609FB">
        <w:rPr>
          <w:rFonts w:ascii="Times New Roman" w:hAnsi="Times New Roman" w:cs="Times New Roman"/>
          <w:sz w:val="24"/>
          <w:szCs w:val="24"/>
        </w:rPr>
        <w:t>H</w:t>
      </w:r>
      <w:r w:rsidR="0004397B" w:rsidRPr="00351FC4">
        <w:rPr>
          <w:rFonts w:ascii="Times New Roman" w:hAnsi="Times New Roman" w:cs="Times New Roman"/>
          <w:sz w:val="24"/>
          <w:szCs w:val="24"/>
          <w:vertAlign w:val="subscript"/>
        </w:rPr>
        <w:t>2</w:t>
      </w:r>
      <w:r w:rsidR="0004397B" w:rsidRPr="003609FB">
        <w:rPr>
          <w:rFonts w:ascii="Times New Roman" w:hAnsi="Times New Roman" w:cs="Times New Roman"/>
          <w:sz w:val="24"/>
          <w:szCs w:val="24"/>
        </w:rPr>
        <w:t>O</w:t>
      </w:r>
      <w:r w:rsidR="0004397B"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sidR="001C3964"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{"citationID":"lmZNAsdV","properties":{"formattedCitation":"(Bond, Hansel, and Voelker 2020, 202)","plainCitation":"(Bond, Hansel, and Voelker 2020, 202)","noteIndex":0},"citationItems":[{"id":3090,"uris":["http://zotero.org/users/6128296/items/ZAPTPL7G"],"itemData":{"id":3090,"type":"article-journal","abstract":"Bacteria have been implicated as both a source and sink of hydrogen peroxide (H2O2), a reactive oxygen species which can both impact microbial growth and participate in the geochemical cycling of trace metals and carbon in natural waters. In this study, simultaneous H2O2 production and decay by twelve species of heterotrophic bacteria were evaluated in both batch and ﬂow-through incubations. While wide speciesto-species variability of cell-normalized H2O2 decay rate coefﬁcients [2 × 10−8 to 5 × 10−6 hr−1 (cell mL−1)−1] was observed, these rate coefﬁcients were relatively consistent for a given bacterial species. By contrast, observed production rates (below detection limit to 3 × 102 amol cell−1 hr−1) were more variable even for the same species. Variations based on incubation conditions in some bacterial strains suggest that external conditions may impact extracellular H2O2 levels either through increased extracellular production or leakage of intracellular H2O2. Comparison of H2O2 production rates to previously determined superoxide (O2−) production rates suggests that O2− and H2O2 production are not necessarily linked. Rates measured in this study indicate that bacteria could account for a majority of H2O2 decay observed in aqueous systems but likely only make a modest contribution to dark H2O2 production.","container-title":"Frontiers in Marine Science","DOI":"10.3389/fmars.2020.00072","ISSN":"2296-7745","journalAbbreviation":"Front. Mar. Sci.","language":"en","page":"72","source":"DOI.org (Crossref)","title":"Heterotrophic Bacteria Exhibit a Wide Range of Rates of Extracellular Production and Decay of Hydrogen Peroxide","volume":"7","author":[{"family":"Bond","given":""},{"family":"Hansel","given":"Colleen M."},{"family":"Voelker","given":"Bettina M."}],"issued":{"date-parts":[["2020",2,18]]}},"locator":"202"}],"schema":"https://github.com/citation-style-language/schema/raw/master/csl-citation.json"} </w:instrText>
      </w:r>
      <w:r w:rsidR="001C396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(Bond, Hansel, and Voelker 2020, 202)</w:t>
      </w:r>
      <w:r w:rsidR="001C3964" w:rsidRPr="003609FB">
        <w:rPr>
          <w:rFonts w:ascii="Times New Roman" w:hAnsi="Times New Roman" w:cs="Times New Roman"/>
          <w:sz w:val="24"/>
          <w:szCs w:val="24"/>
        </w:rPr>
        <w:fldChar w:fldCharType="end"/>
      </w:r>
      <w:r w:rsidR="001C3964"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thus these need to be investigated along with picoeukaryotes that grow alongside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1C396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{"citationID":"8iz5guTd","properties":{"formattedCitation":"(Visintini, Martiny, and Flombaum 2021)","plainCitation":"(Visintini, Martiny, and Flombaum 2021)","noteIndex":0},"citationItems":[{"id":3999,"uris":["http://zotero.org/users/6128296/items/8G87M8S5"],"itemData":{"id":3999,"type":"article-journal","abstract":"Abstract\n            \n              Marine picophytoplankton is the most abundant photosynthetic group on Earth; however, it is still underrepresented in dynamic ecosystem models. Major constraints for understanding its role in the ecosystem at a global scale are sparse data and lack of a baseline description of its distribution. Here, we present three datasets to assess the global abundance of the principal groups of picophytoplankton,\n              Prochlorococcus\n              ,\n              Synechococcus\n              , and picoeukaryotic phytoplankton: (1) a compilation of 109,045 field observations with ancillary environmental data, (2) a global monthly climatology of 1° grids from 0 to 200 m, and (3) four climate scenarios projections, from the Coupled Model Intercomparison Project 5, spanning years 1901 to 2100. Together this set of observational and modeled data can improve our understanding of the role of picophytoplankton in the global ecosystem.","container-title":"Limnology and Oceanography Letters","DOI":"10.1002/lol2.10188","ISSN":"2378-2242, 2378-2242","issue":"4","journalAbbreviation":"Limnol Oceanogr Letters","language":"en","page":"207-215","source":"DOI.org (Crossref)","title":"&lt;i&gt;Prochlorococcus&lt;/i&gt; , &lt;i&gt;Synechococcus&lt;/i&gt; , and picoeukaryotic phytoplankton abundances in the global ocean","volume":"6","author":[{"family":"Visintini","given":""},{"family":"Martiny","given":"Adam C."},{"family":"Flombaum","given":"Pedro"}],"issued":{"date-parts":[["2021",8]]}}}],"schema":"https://github.com/citation-style-language/schema/raw/master/csl-citation.json"} </w:instrText>
      </w:r>
      <w:r w:rsidR="001C396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(Visintini, Martiny, and </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2021)</w:t>
      </w:r>
      <w:r w:rsidR="001C3964" w:rsidRPr="003609FB">
        <w:rPr>
          <w:rFonts w:ascii="Times New Roman" w:hAnsi="Times New Roman" w:cs="Times New Roman"/>
          <w:sz w:val="24"/>
          <w:szCs w:val="24"/>
        </w:rPr>
        <w:fldChar w:fldCharType="end"/>
      </w:r>
      <w:r w:rsidRPr="003609FB">
        <w:rPr>
          <w:rFonts w:ascii="Times New Roman" w:hAnsi="Times New Roman" w:cs="Times New Roman"/>
          <w:sz w:val="24"/>
          <w:szCs w:val="24"/>
        </w:rPr>
        <w:t xml:space="preserve">. </w:t>
      </w:r>
    </w:p>
    <w:p w14:paraId="57FCBA87" w14:textId="1167454E" w:rsidR="003D1E8D" w:rsidRPr="005F3E6B" w:rsidRDefault="003D1E8D" w:rsidP="00AB2160">
      <w:pPr>
        <w:pStyle w:val="Heading2"/>
        <w:spacing w:line="360" w:lineRule="auto"/>
      </w:pPr>
      <w:bookmarkStart w:id="85" w:name="_Toc173250055"/>
      <w:r w:rsidRPr="005F3E6B">
        <w:t>Conclusions:</w:t>
      </w:r>
      <w:bookmarkEnd w:id="85"/>
      <w:r w:rsidRPr="005F3E6B">
        <w:t xml:space="preserve">  </w:t>
      </w:r>
    </w:p>
    <w:p w14:paraId="158CC14C" w14:textId="32E0D9DE" w:rsidR="003D1E8D" w:rsidRPr="003609FB" w:rsidRDefault="003D1E8D"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aim of </w:t>
      </w:r>
      <w:r w:rsidR="003B0500" w:rsidRPr="003609FB">
        <w:rPr>
          <w:rFonts w:ascii="Times New Roman" w:hAnsi="Times New Roman" w:cs="Times New Roman"/>
          <w:sz w:val="24"/>
          <w:szCs w:val="24"/>
        </w:rPr>
        <w:t>Chapter 4</w:t>
      </w:r>
      <w:r w:rsidR="00CC4832" w:rsidRPr="003609FB">
        <w:rPr>
          <w:rFonts w:ascii="Times New Roman" w:hAnsi="Times New Roman" w:cs="Times New Roman"/>
          <w:sz w:val="24"/>
          <w:szCs w:val="24"/>
        </w:rPr>
        <w:t xml:space="preserve"> </w:t>
      </w:r>
      <w:r w:rsidRPr="003609FB">
        <w:rPr>
          <w:rFonts w:ascii="Times New Roman" w:hAnsi="Times New Roman" w:cs="Times New Roman"/>
          <w:sz w:val="24"/>
          <w:szCs w:val="24"/>
        </w:rPr>
        <w:t xml:space="preserve">was to insert the cell based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parameters that were isolated and estimated in </w:t>
      </w:r>
      <w:r w:rsidR="003B0500"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2 and investigate the community dynamics those parameters predict in </w:t>
      </w:r>
      <w:r w:rsidR="003B0500"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3 on a global scale via the phytoplankton trait-based model Darwin. </w:t>
      </w:r>
      <w:r w:rsidR="00AE377E" w:rsidRPr="003609FB">
        <w:rPr>
          <w:rFonts w:ascii="Times New Roman" w:hAnsi="Times New Roman" w:cs="Times New Roman"/>
          <w:sz w:val="24"/>
          <w:szCs w:val="24"/>
        </w:rPr>
        <w:t xml:space="preserve">With the exploration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AE377E" w:rsidRPr="003609FB">
        <w:rPr>
          <w:rFonts w:ascii="Times New Roman" w:hAnsi="Times New Roman" w:cs="Times New Roman"/>
          <w:sz w:val="24"/>
          <w:szCs w:val="24"/>
        </w:rPr>
        <w:t xml:space="preserve"> trait parameters, differences in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AE377E" w:rsidRPr="003609FB">
        <w:rPr>
          <w:rFonts w:ascii="Times New Roman" w:hAnsi="Times New Roman" w:cs="Times New Roman"/>
          <w:sz w:val="24"/>
          <w:szCs w:val="24"/>
        </w:rPr>
        <w:t xml:space="preserve"> susceptibilities on model organisms from laboratory to global scales are analyzed. </w:t>
      </w:r>
      <w:r w:rsidR="003B0500" w:rsidRPr="003609FB">
        <w:rPr>
          <w:rFonts w:ascii="Times New Roman" w:hAnsi="Times New Roman" w:cs="Times New Roman"/>
          <w:sz w:val="24"/>
          <w:szCs w:val="24"/>
        </w:rPr>
        <w:t>Through differential implementations of the full model framework, global</w:t>
      </w:r>
      <w:r w:rsidRPr="003609FB">
        <w:rPr>
          <w:rFonts w:ascii="Times New Roman" w:hAnsi="Times New Roman" w:cs="Times New Roman"/>
          <w:sz w:val="24"/>
          <w:szCs w:val="24"/>
        </w:rPr>
        <w:t xml:space="preserve"> </w:t>
      </w:r>
      <w:r w:rsidR="003B0500" w:rsidRPr="003609FB">
        <w:rPr>
          <w:rFonts w:ascii="Times New Roman" w:hAnsi="Times New Roman" w:cs="Times New Roman"/>
          <w:sz w:val="24"/>
          <w:szCs w:val="24"/>
        </w:rPr>
        <w:t>repercussions</w:t>
      </w:r>
      <w:r w:rsidRPr="003609FB">
        <w:rPr>
          <w:rFonts w:ascii="Times New Roman" w:hAnsi="Times New Roman" w:cs="Times New Roman"/>
          <w:sz w:val="24"/>
          <w:szCs w:val="24"/>
        </w:rPr>
        <w:t xml:space="preserve"> of </w:t>
      </w:r>
      <w:r w:rsidR="00F423EE">
        <w:rPr>
          <w:rFonts w:ascii="Times New Roman" w:hAnsi="Times New Roman" w:cs="Times New Roman"/>
          <w:sz w:val="24"/>
          <w:szCs w:val="24"/>
        </w:rPr>
        <w:t>two</w:t>
      </w:r>
      <w:r w:rsidR="00A62374" w:rsidRPr="003609FB">
        <w:rPr>
          <w:rFonts w:ascii="Times New Roman" w:hAnsi="Times New Roman" w:cs="Times New Roman"/>
          <w:sz w:val="24"/>
          <w:szCs w:val="24"/>
        </w:rPr>
        <w:t xml:space="preserve"> recovered</w:t>
      </w:r>
      <w:r w:rsidRPr="003609FB">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parameters </w:t>
      </w:r>
      <w:r w:rsidR="00F423EE">
        <w:rPr>
          <w:rFonts w:ascii="Times New Roman" w:hAnsi="Times New Roman" w:cs="Times New Roman"/>
          <w:sz w:val="24"/>
          <w:szCs w:val="24"/>
        </w:rPr>
        <w:t>(</w:t>
      </w:r>
      <m:oMath>
        <m:sSub>
          <m:sSubPr>
            <m:ctrlPr>
              <w:rPr>
                <w:rFonts w:ascii="Cambria Math" w:hAnsi="Cambria Math"/>
              </w:rPr>
            </m:ctrlPr>
          </m:sSubPr>
          <m:e>
            <m:r>
              <w:rPr>
                <w:rFonts w:ascii="Cambria Math" w:hAnsi="Cambria Math"/>
              </w:rPr>
              <m:t>ϕ</m:t>
            </m:r>
          </m:e>
          <m:sub>
            <m:r>
              <m:rPr>
                <m:sty m:val="p"/>
              </m:rPr>
              <w:rPr>
                <w:rFonts w:ascii="Cambria Math" w:hAnsi="Cambria Math"/>
              </w:rPr>
              <m:t>max,i</m:t>
            </m:r>
            <m:r>
              <w:rPr>
                <w:rFonts w:ascii="Cambria Math" w:hAnsi="Cambria Math"/>
              </w:rPr>
              <m:t xml:space="preserve"> </m:t>
            </m:r>
          </m:sub>
        </m:sSub>
        <m:r>
          <m:rPr>
            <m:sty m:val="p"/>
          </m:rPr>
          <w:rPr>
            <w:rFonts w:ascii="Cambria Math" w:hAnsi="Cambria Math"/>
          </w:rPr>
          <m:t>and</m:t>
        </m:r>
        <m:r>
          <w:rPr>
            <w:rFonts w:ascii="Cambria Math" w:hAnsi="Cambria Math"/>
          </w:rPr>
          <m:t xml:space="preserve"> </m:t>
        </m:r>
        <m:sSub>
          <m:sSubPr>
            <m:ctrlPr>
              <w:rPr>
                <w:rFonts w:ascii="Cambria Math" w:hAnsi="Cambria Math"/>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vertAlign w:val="subscript"/>
              </w:rPr>
              <m:t>dam</m:t>
            </m:r>
            <m:r>
              <m:rPr>
                <m:sty m:val="p"/>
              </m:rPr>
              <w:rPr>
                <w:rFonts w:ascii="Cambria Math" w:hAnsi="Times New Roman" w:cs="Times New Roman"/>
                <w:sz w:val="24"/>
                <w:szCs w:val="24"/>
                <w:vertAlign w:val="subscript"/>
              </w:rPr>
              <m:t>,i</m:t>
            </m:r>
            <m:r>
              <w:rPr>
                <w:rFonts w:ascii="Cambria Math" w:hAnsi="Cambria Math"/>
              </w:rPr>
              <m:t xml:space="preserve"> </m:t>
            </m:r>
          </m:sub>
        </m:sSub>
        <m:r>
          <w:rPr>
            <w:rFonts w:ascii="Cambria Math" w:hAnsi="Cambria Math"/>
          </w:rPr>
          <m:t xml:space="preserve">) </m:t>
        </m:r>
      </m:oMath>
      <w:r w:rsidR="003B0500" w:rsidRPr="003609FB">
        <w:rPr>
          <w:rFonts w:ascii="Times New Roman" w:hAnsi="Times New Roman" w:cs="Times New Roman"/>
          <w:sz w:val="24"/>
          <w:szCs w:val="24"/>
        </w:rPr>
        <w:t>on the microbiology of the ocean were further investigated</w:t>
      </w:r>
      <w:r w:rsidR="00AE377E" w:rsidRPr="003609FB">
        <w:rPr>
          <w:rFonts w:ascii="Times New Roman" w:hAnsi="Times New Roman" w:cs="Times New Roman"/>
          <w:sz w:val="24"/>
          <w:szCs w:val="24"/>
        </w:rPr>
        <w:t xml:space="preserve">. </w:t>
      </w:r>
      <w:r w:rsidR="00A62374" w:rsidRPr="003609FB">
        <w:rPr>
          <w:rFonts w:ascii="Times New Roman" w:hAnsi="Times New Roman" w:cs="Times New Roman"/>
          <w:sz w:val="24"/>
          <w:szCs w:val="24"/>
        </w:rPr>
        <w:t>Outcomes in this</w:t>
      </w:r>
      <w:r w:rsidR="00AE377E" w:rsidRPr="003609FB">
        <w:rPr>
          <w:rFonts w:ascii="Times New Roman" w:hAnsi="Times New Roman" w:cs="Times New Roman"/>
          <w:sz w:val="24"/>
          <w:szCs w:val="24"/>
        </w:rPr>
        <w:t xml:space="preserve"> chapter </w:t>
      </w:r>
      <w:r w:rsidR="00A62374" w:rsidRPr="003609FB">
        <w:rPr>
          <w:rFonts w:ascii="Times New Roman" w:hAnsi="Times New Roman" w:cs="Times New Roman"/>
          <w:sz w:val="24"/>
          <w:szCs w:val="24"/>
        </w:rPr>
        <w:t>echoed</w:t>
      </w:r>
      <w:r w:rsidR="00AE377E" w:rsidRPr="003609FB">
        <w:rPr>
          <w:rFonts w:ascii="Times New Roman" w:hAnsi="Times New Roman" w:cs="Times New Roman"/>
          <w:sz w:val="24"/>
          <w:szCs w:val="24"/>
        </w:rPr>
        <w:t xml:space="preserve"> </w:t>
      </w:r>
      <w:r w:rsidR="00A62374" w:rsidRPr="003609FB">
        <w:rPr>
          <w:rFonts w:ascii="Times New Roman" w:hAnsi="Times New Roman" w:cs="Times New Roman"/>
          <w:sz w:val="24"/>
          <w:szCs w:val="24"/>
        </w:rPr>
        <w:t xml:space="preserve">non-spatial model conclusions; that </w:t>
      </w:r>
      <w:r w:rsidRPr="003609FB">
        <w:rPr>
          <w:rFonts w:ascii="Times New Roman" w:hAnsi="Times New Roman" w:cs="Times New Roman"/>
          <w:sz w:val="24"/>
          <w:szCs w:val="24"/>
        </w:rPr>
        <w:t xml:space="preserve">the combination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leaky damage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leaky detoxification </w:t>
      </w:r>
      <w:r w:rsidR="00AE377E" w:rsidRPr="003609FB">
        <w:rPr>
          <w:rFonts w:ascii="Times New Roman" w:hAnsi="Times New Roman" w:cs="Times New Roman"/>
          <w:sz w:val="24"/>
          <w:szCs w:val="24"/>
        </w:rPr>
        <w:t xml:space="preserve">can </w:t>
      </w:r>
      <w:r w:rsidRPr="003609FB">
        <w:rPr>
          <w:rFonts w:ascii="Times New Roman" w:hAnsi="Times New Roman" w:cs="Times New Roman"/>
          <w:sz w:val="24"/>
          <w:szCs w:val="24"/>
        </w:rPr>
        <w:t>allow</w:t>
      </w:r>
      <w:r w:rsidR="00AE377E" w:rsidRPr="003609FB">
        <w:rPr>
          <w:rFonts w:ascii="Times New Roman" w:hAnsi="Times New Roman" w:cs="Times New Roman"/>
          <w:sz w:val="24"/>
          <w:szCs w:val="24"/>
        </w:rPr>
        <w:t xml:space="preserve"> </w:t>
      </w:r>
      <w:r w:rsidRPr="003609FB">
        <w:rPr>
          <w:rFonts w:ascii="Times New Roman" w:hAnsi="Times New Roman" w:cs="Times New Roman"/>
          <w:sz w:val="24"/>
          <w:szCs w:val="24"/>
        </w:rPr>
        <w:t>for coexistence rather than competitive exclusion in our model</w:t>
      </w:r>
      <w:r w:rsidR="00AE377E" w:rsidRPr="003609FB">
        <w:rPr>
          <w:rFonts w:ascii="Times New Roman" w:hAnsi="Times New Roman" w:cs="Times New Roman"/>
          <w:sz w:val="24"/>
          <w:szCs w:val="24"/>
        </w:rPr>
        <w:t>.</w:t>
      </w:r>
      <w:r w:rsidRPr="003609FB">
        <w:rPr>
          <w:rFonts w:ascii="Times New Roman" w:hAnsi="Times New Roman" w:cs="Times New Roman"/>
          <w:sz w:val="24"/>
          <w:szCs w:val="24"/>
        </w:rPr>
        <w:t xml:space="preserve">  </w:t>
      </w:r>
    </w:p>
    <w:p w14:paraId="53E04026" w14:textId="77777777" w:rsidR="003D1E8D" w:rsidRPr="003609FB" w:rsidRDefault="003D1E8D" w:rsidP="00AB2160">
      <w:pPr>
        <w:spacing w:line="360" w:lineRule="auto"/>
        <w:rPr>
          <w:rFonts w:ascii="Times New Roman" w:hAnsi="Times New Roman" w:cs="Times New Roman"/>
          <w:sz w:val="24"/>
          <w:szCs w:val="24"/>
        </w:rPr>
      </w:pPr>
    </w:p>
    <w:p w14:paraId="1CEDC836" w14:textId="6E97B5B6" w:rsidR="009175EE" w:rsidRPr="00DD5229" w:rsidRDefault="009175EE" w:rsidP="00AB2160">
      <w:pPr>
        <w:pStyle w:val="Heading1"/>
        <w:spacing w:line="360" w:lineRule="auto"/>
        <w:rPr>
          <w:b w:val="0"/>
          <w:bCs w:val="0"/>
        </w:rPr>
      </w:pPr>
      <w:bookmarkStart w:id="86" w:name="_Toc173250056"/>
      <w:r w:rsidRPr="00DD5229">
        <w:rPr>
          <w:b w:val="0"/>
          <w:bCs w:val="0"/>
        </w:rPr>
        <w:lastRenderedPageBreak/>
        <w:t>Conclusions and Future Work</w:t>
      </w:r>
      <w:bookmarkEnd w:id="86"/>
    </w:p>
    <w:p w14:paraId="2F4F210A" w14:textId="09B33F3F" w:rsidR="003963D1" w:rsidRPr="003609FB" w:rsidRDefault="003963D1" w:rsidP="00AB2160">
      <w:pPr>
        <w:spacing w:line="360" w:lineRule="auto"/>
        <w:rPr>
          <w:rFonts w:ascii="Times New Roman" w:hAnsi="Times New Roman" w:cs="Times New Roman"/>
          <w:sz w:val="24"/>
          <w:szCs w:val="24"/>
        </w:rPr>
      </w:pPr>
    </w:p>
    <w:p w14:paraId="3C8E19B8" w14:textId="327D8CC6" w:rsidR="003963D1" w:rsidRPr="003609FB" w:rsidRDefault="003963D1" w:rsidP="00AB2160">
      <w:pPr>
        <w:spacing w:line="360" w:lineRule="auto"/>
        <w:rPr>
          <w:rFonts w:ascii="Times New Roman" w:hAnsi="Times New Roman" w:cs="Times New Roman"/>
          <w:sz w:val="24"/>
          <w:szCs w:val="24"/>
        </w:rPr>
      </w:pPr>
    </w:p>
    <w:p w14:paraId="158E551C" w14:textId="77777777" w:rsidR="003963D1" w:rsidRDefault="003963D1" w:rsidP="00AB2160">
      <w:pPr>
        <w:spacing w:line="360" w:lineRule="auto"/>
        <w:rPr>
          <w:rFonts w:ascii="Times New Roman" w:hAnsi="Times New Roman" w:cs="Times New Roman"/>
          <w:sz w:val="24"/>
          <w:szCs w:val="24"/>
        </w:rPr>
      </w:pPr>
    </w:p>
    <w:p w14:paraId="28807D43" w14:textId="77777777" w:rsidR="00BE3239" w:rsidRDefault="00BE3239" w:rsidP="00AB2160">
      <w:pPr>
        <w:spacing w:line="360" w:lineRule="auto"/>
        <w:rPr>
          <w:rFonts w:ascii="Times New Roman" w:hAnsi="Times New Roman" w:cs="Times New Roman"/>
          <w:sz w:val="24"/>
          <w:szCs w:val="24"/>
        </w:rPr>
      </w:pPr>
    </w:p>
    <w:p w14:paraId="3FDE63A1" w14:textId="77777777" w:rsidR="00BE3239" w:rsidRDefault="00BE3239" w:rsidP="00AB2160">
      <w:pPr>
        <w:spacing w:line="360" w:lineRule="auto"/>
        <w:rPr>
          <w:rFonts w:ascii="Times New Roman" w:hAnsi="Times New Roman" w:cs="Times New Roman"/>
          <w:sz w:val="24"/>
          <w:szCs w:val="24"/>
        </w:rPr>
      </w:pPr>
    </w:p>
    <w:p w14:paraId="28901B95" w14:textId="77777777" w:rsidR="00BE3239" w:rsidRDefault="00BE3239" w:rsidP="00AB2160">
      <w:pPr>
        <w:spacing w:line="360" w:lineRule="auto"/>
        <w:rPr>
          <w:rFonts w:ascii="Times New Roman" w:hAnsi="Times New Roman" w:cs="Times New Roman"/>
          <w:sz w:val="24"/>
          <w:szCs w:val="24"/>
        </w:rPr>
      </w:pPr>
    </w:p>
    <w:p w14:paraId="101D9A64" w14:textId="77777777" w:rsidR="00BE3239" w:rsidRDefault="00BE3239" w:rsidP="00AB2160">
      <w:pPr>
        <w:spacing w:line="360" w:lineRule="auto"/>
        <w:rPr>
          <w:rFonts w:ascii="Times New Roman" w:hAnsi="Times New Roman" w:cs="Times New Roman"/>
          <w:sz w:val="24"/>
          <w:szCs w:val="24"/>
        </w:rPr>
      </w:pPr>
    </w:p>
    <w:p w14:paraId="7AC4CF3E" w14:textId="77777777" w:rsidR="00BE3239" w:rsidRDefault="00BE3239" w:rsidP="00AB2160">
      <w:pPr>
        <w:spacing w:line="360" w:lineRule="auto"/>
        <w:rPr>
          <w:rFonts w:ascii="Times New Roman" w:hAnsi="Times New Roman" w:cs="Times New Roman"/>
          <w:sz w:val="24"/>
          <w:szCs w:val="24"/>
        </w:rPr>
      </w:pPr>
    </w:p>
    <w:p w14:paraId="62BCA425" w14:textId="77777777" w:rsidR="00BE3239" w:rsidRDefault="00BE3239" w:rsidP="00AB2160">
      <w:pPr>
        <w:spacing w:line="360" w:lineRule="auto"/>
        <w:rPr>
          <w:rFonts w:ascii="Times New Roman" w:hAnsi="Times New Roman" w:cs="Times New Roman"/>
          <w:sz w:val="24"/>
          <w:szCs w:val="24"/>
        </w:rPr>
      </w:pPr>
    </w:p>
    <w:p w14:paraId="54E37A95" w14:textId="77777777" w:rsidR="00BE3239" w:rsidRDefault="00BE3239" w:rsidP="00AB2160">
      <w:pPr>
        <w:spacing w:line="360" w:lineRule="auto"/>
        <w:rPr>
          <w:rFonts w:ascii="Times New Roman" w:hAnsi="Times New Roman" w:cs="Times New Roman"/>
          <w:sz w:val="24"/>
          <w:szCs w:val="24"/>
        </w:rPr>
      </w:pPr>
    </w:p>
    <w:p w14:paraId="504AFC9F" w14:textId="77777777" w:rsidR="00BE3239" w:rsidRDefault="00BE3239" w:rsidP="00AB2160">
      <w:pPr>
        <w:spacing w:line="360" w:lineRule="auto"/>
        <w:rPr>
          <w:rFonts w:ascii="Times New Roman" w:hAnsi="Times New Roman" w:cs="Times New Roman"/>
          <w:sz w:val="24"/>
          <w:szCs w:val="24"/>
        </w:rPr>
      </w:pPr>
    </w:p>
    <w:p w14:paraId="57AE30F9" w14:textId="77777777" w:rsidR="00BE3239" w:rsidRDefault="00BE3239" w:rsidP="00AB2160">
      <w:pPr>
        <w:spacing w:line="360" w:lineRule="auto"/>
        <w:rPr>
          <w:rFonts w:ascii="Times New Roman" w:hAnsi="Times New Roman" w:cs="Times New Roman"/>
          <w:sz w:val="24"/>
          <w:szCs w:val="24"/>
        </w:rPr>
      </w:pPr>
    </w:p>
    <w:p w14:paraId="320B8CE6" w14:textId="77777777" w:rsidR="00BE3239" w:rsidRDefault="00BE3239" w:rsidP="00AB2160">
      <w:pPr>
        <w:spacing w:line="360" w:lineRule="auto"/>
        <w:rPr>
          <w:rFonts w:ascii="Times New Roman" w:hAnsi="Times New Roman" w:cs="Times New Roman"/>
          <w:sz w:val="24"/>
          <w:szCs w:val="24"/>
        </w:rPr>
      </w:pPr>
    </w:p>
    <w:p w14:paraId="472C8873" w14:textId="77777777" w:rsidR="00BE3239" w:rsidRDefault="00BE3239" w:rsidP="00AB2160">
      <w:pPr>
        <w:spacing w:line="360" w:lineRule="auto"/>
        <w:rPr>
          <w:rFonts w:ascii="Times New Roman" w:hAnsi="Times New Roman" w:cs="Times New Roman"/>
          <w:sz w:val="24"/>
          <w:szCs w:val="24"/>
        </w:rPr>
      </w:pPr>
    </w:p>
    <w:p w14:paraId="2604FCAB" w14:textId="77777777" w:rsidR="00BE3239" w:rsidRDefault="00BE3239" w:rsidP="00AB2160">
      <w:pPr>
        <w:spacing w:line="360" w:lineRule="auto"/>
        <w:rPr>
          <w:rFonts w:ascii="Times New Roman" w:hAnsi="Times New Roman" w:cs="Times New Roman"/>
          <w:sz w:val="24"/>
          <w:szCs w:val="24"/>
        </w:rPr>
      </w:pPr>
    </w:p>
    <w:p w14:paraId="347480F6" w14:textId="77777777" w:rsidR="00BE3239" w:rsidRDefault="00BE3239" w:rsidP="00AB2160">
      <w:pPr>
        <w:spacing w:line="360" w:lineRule="auto"/>
        <w:rPr>
          <w:rFonts w:ascii="Times New Roman" w:hAnsi="Times New Roman" w:cs="Times New Roman"/>
          <w:sz w:val="24"/>
          <w:szCs w:val="24"/>
        </w:rPr>
      </w:pPr>
    </w:p>
    <w:p w14:paraId="0EC8439F" w14:textId="77777777" w:rsidR="00BE3239" w:rsidRDefault="00BE3239" w:rsidP="00AB2160">
      <w:pPr>
        <w:spacing w:line="360" w:lineRule="auto"/>
        <w:rPr>
          <w:rFonts w:ascii="Times New Roman" w:hAnsi="Times New Roman" w:cs="Times New Roman"/>
          <w:sz w:val="24"/>
          <w:szCs w:val="24"/>
        </w:rPr>
      </w:pPr>
    </w:p>
    <w:p w14:paraId="537AAE74" w14:textId="77777777" w:rsidR="00BE3239" w:rsidRDefault="00BE3239" w:rsidP="00AB2160">
      <w:pPr>
        <w:spacing w:line="360" w:lineRule="auto"/>
        <w:rPr>
          <w:rFonts w:ascii="Times New Roman" w:hAnsi="Times New Roman" w:cs="Times New Roman"/>
          <w:sz w:val="24"/>
          <w:szCs w:val="24"/>
        </w:rPr>
      </w:pPr>
    </w:p>
    <w:p w14:paraId="64591D97" w14:textId="77777777" w:rsidR="00BE3239" w:rsidRDefault="00BE3239" w:rsidP="00AB2160">
      <w:pPr>
        <w:spacing w:line="360" w:lineRule="auto"/>
        <w:rPr>
          <w:rFonts w:ascii="Times New Roman" w:hAnsi="Times New Roman" w:cs="Times New Roman"/>
          <w:sz w:val="24"/>
          <w:szCs w:val="24"/>
        </w:rPr>
      </w:pPr>
    </w:p>
    <w:p w14:paraId="776CDCF2" w14:textId="77777777" w:rsidR="00BE3239" w:rsidRPr="003609FB" w:rsidRDefault="00BE3239" w:rsidP="00AB2160">
      <w:pPr>
        <w:spacing w:line="360" w:lineRule="auto"/>
        <w:rPr>
          <w:rFonts w:ascii="Times New Roman" w:hAnsi="Times New Roman" w:cs="Times New Roman"/>
          <w:sz w:val="24"/>
          <w:szCs w:val="24"/>
        </w:rPr>
      </w:pPr>
    </w:p>
    <w:p w14:paraId="69267D0E" w14:textId="77777777" w:rsidR="009175EE" w:rsidRPr="003609FB" w:rsidRDefault="009175E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Author(s): D.K.M., D.T.</w:t>
      </w:r>
    </w:p>
    <w:p w14:paraId="04988032" w14:textId="158F5145" w:rsidR="009175EE" w:rsidRPr="003609FB" w:rsidRDefault="009175EE"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Author contribution statements: Written and edited by D</w:t>
      </w:r>
      <w:r w:rsidR="0062606E">
        <w:rPr>
          <w:rFonts w:ascii="Times New Roman" w:hAnsi="Times New Roman" w:cs="Times New Roman"/>
          <w:sz w:val="24"/>
          <w:szCs w:val="24"/>
        </w:rPr>
        <w:t>.</w:t>
      </w:r>
      <w:r w:rsidRPr="003609FB">
        <w:rPr>
          <w:rFonts w:ascii="Times New Roman" w:hAnsi="Times New Roman" w:cs="Times New Roman"/>
          <w:sz w:val="24"/>
          <w:szCs w:val="24"/>
        </w:rPr>
        <w:t>K</w:t>
      </w:r>
      <w:r w:rsidR="0062606E">
        <w:rPr>
          <w:rFonts w:ascii="Times New Roman" w:hAnsi="Times New Roman" w:cs="Times New Roman"/>
          <w:sz w:val="24"/>
          <w:szCs w:val="24"/>
        </w:rPr>
        <w:t>.</w:t>
      </w:r>
      <w:r w:rsidRPr="003609FB">
        <w:rPr>
          <w:rFonts w:ascii="Times New Roman" w:hAnsi="Times New Roman" w:cs="Times New Roman"/>
          <w:sz w:val="24"/>
          <w:szCs w:val="24"/>
        </w:rPr>
        <w:t>M</w:t>
      </w:r>
      <w:r w:rsidR="0062606E">
        <w:rPr>
          <w:rFonts w:ascii="Times New Roman" w:hAnsi="Times New Roman" w:cs="Times New Roman"/>
          <w:sz w:val="24"/>
          <w:szCs w:val="24"/>
        </w:rPr>
        <w:t>.</w:t>
      </w:r>
      <w:r w:rsidRPr="003609FB">
        <w:rPr>
          <w:rFonts w:ascii="Times New Roman" w:hAnsi="Times New Roman" w:cs="Times New Roman"/>
          <w:sz w:val="24"/>
          <w:szCs w:val="24"/>
        </w:rPr>
        <w:t xml:space="preserve"> with feedback from D</w:t>
      </w:r>
      <w:r w:rsidR="0062606E">
        <w:rPr>
          <w:rFonts w:ascii="Times New Roman" w:hAnsi="Times New Roman" w:cs="Times New Roman"/>
          <w:sz w:val="24"/>
          <w:szCs w:val="24"/>
        </w:rPr>
        <w:t>.</w:t>
      </w:r>
      <w:r w:rsidRPr="003609FB">
        <w:rPr>
          <w:rFonts w:ascii="Times New Roman" w:hAnsi="Times New Roman" w:cs="Times New Roman"/>
          <w:sz w:val="24"/>
          <w:szCs w:val="24"/>
        </w:rPr>
        <w:t>T</w:t>
      </w:r>
      <w:r w:rsidR="0062606E">
        <w:rPr>
          <w:rFonts w:ascii="Times New Roman" w:hAnsi="Times New Roman" w:cs="Times New Roman"/>
          <w:sz w:val="24"/>
          <w:szCs w:val="24"/>
        </w:rPr>
        <w:t>.</w:t>
      </w:r>
    </w:p>
    <w:p w14:paraId="697AA62C" w14:textId="77777777" w:rsidR="009175EE" w:rsidRPr="003609FB" w:rsidRDefault="009175EE" w:rsidP="00AB2160">
      <w:pPr>
        <w:spacing w:line="360" w:lineRule="auto"/>
        <w:rPr>
          <w:rFonts w:ascii="Times New Roman" w:hAnsi="Times New Roman" w:cs="Times New Roman"/>
          <w:sz w:val="24"/>
          <w:szCs w:val="24"/>
        </w:rPr>
      </w:pPr>
    </w:p>
    <w:p w14:paraId="2145E60A" w14:textId="1063CA19" w:rsidR="009175EE" w:rsidRPr="003609FB" w:rsidRDefault="009175EE" w:rsidP="00AB2160">
      <w:pPr>
        <w:spacing w:line="360" w:lineRule="auto"/>
        <w:rPr>
          <w:rFonts w:ascii="Times New Roman" w:hAnsi="Times New Roman" w:cs="Times New Roman"/>
          <w:sz w:val="24"/>
          <w:szCs w:val="24"/>
        </w:rPr>
      </w:pPr>
    </w:p>
    <w:p w14:paraId="5F4CDA07" w14:textId="22551A2F" w:rsidR="003963D1" w:rsidRPr="003609FB" w:rsidRDefault="003963D1" w:rsidP="00AB2160">
      <w:pPr>
        <w:spacing w:line="360" w:lineRule="auto"/>
        <w:rPr>
          <w:rFonts w:ascii="Times New Roman" w:hAnsi="Times New Roman" w:cs="Times New Roman"/>
          <w:sz w:val="24"/>
          <w:szCs w:val="24"/>
        </w:rPr>
      </w:pPr>
    </w:p>
    <w:p w14:paraId="35DA362C" w14:textId="0F5CF933" w:rsidR="003963D1" w:rsidRPr="003609FB" w:rsidRDefault="003963D1" w:rsidP="00AB2160">
      <w:pPr>
        <w:spacing w:line="360" w:lineRule="auto"/>
        <w:rPr>
          <w:rFonts w:ascii="Times New Roman" w:hAnsi="Times New Roman" w:cs="Times New Roman"/>
          <w:sz w:val="24"/>
          <w:szCs w:val="24"/>
        </w:rPr>
      </w:pPr>
    </w:p>
    <w:p w14:paraId="7CD0CA61" w14:textId="70F0D58F" w:rsidR="003963D1" w:rsidRPr="003609FB" w:rsidRDefault="003963D1" w:rsidP="00AB2160">
      <w:pPr>
        <w:spacing w:line="360" w:lineRule="auto"/>
        <w:rPr>
          <w:rFonts w:ascii="Times New Roman" w:hAnsi="Times New Roman" w:cs="Times New Roman"/>
          <w:sz w:val="24"/>
          <w:szCs w:val="24"/>
        </w:rPr>
      </w:pPr>
    </w:p>
    <w:p w14:paraId="623DC58F" w14:textId="76D0ED77" w:rsidR="003963D1" w:rsidRPr="003609FB" w:rsidRDefault="003963D1" w:rsidP="00AB2160">
      <w:pPr>
        <w:spacing w:line="360" w:lineRule="auto"/>
        <w:rPr>
          <w:rFonts w:ascii="Times New Roman" w:hAnsi="Times New Roman" w:cs="Times New Roman"/>
          <w:sz w:val="24"/>
          <w:szCs w:val="24"/>
        </w:rPr>
      </w:pPr>
    </w:p>
    <w:p w14:paraId="4832EB5C" w14:textId="647C0F72" w:rsidR="003963D1" w:rsidRPr="003609FB" w:rsidRDefault="003963D1" w:rsidP="00AB2160">
      <w:pPr>
        <w:spacing w:line="360" w:lineRule="auto"/>
        <w:rPr>
          <w:rFonts w:ascii="Times New Roman" w:hAnsi="Times New Roman" w:cs="Times New Roman"/>
          <w:sz w:val="24"/>
          <w:szCs w:val="24"/>
        </w:rPr>
      </w:pPr>
    </w:p>
    <w:p w14:paraId="06697F41" w14:textId="1843973D" w:rsidR="003963D1" w:rsidRPr="003609FB" w:rsidRDefault="003963D1" w:rsidP="00AB2160">
      <w:pPr>
        <w:spacing w:line="360" w:lineRule="auto"/>
        <w:rPr>
          <w:rFonts w:ascii="Times New Roman" w:hAnsi="Times New Roman" w:cs="Times New Roman"/>
          <w:sz w:val="24"/>
          <w:szCs w:val="24"/>
        </w:rPr>
      </w:pPr>
    </w:p>
    <w:p w14:paraId="740DC298" w14:textId="4EEF2D57" w:rsidR="003963D1" w:rsidRPr="003609FB" w:rsidRDefault="003963D1" w:rsidP="00AB2160">
      <w:pPr>
        <w:spacing w:line="360" w:lineRule="auto"/>
        <w:rPr>
          <w:rFonts w:ascii="Times New Roman" w:hAnsi="Times New Roman" w:cs="Times New Roman"/>
          <w:sz w:val="24"/>
          <w:szCs w:val="24"/>
        </w:rPr>
      </w:pPr>
    </w:p>
    <w:p w14:paraId="48AB40A4" w14:textId="6CDBABD7" w:rsidR="003963D1" w:rsidRPr="003609FB" w:rsidRDefault="003963D1" w:rsidP="00AB2160">
      <w:pPr>
        <w:spacing w:line="360" w:lineRule="auto"/>
        <w:rPr>
          <w:rFonts w:ascii="Times New Roman" w:hAnsi="Times New Roman" w:cs="Times New Roman"/>
          <w:sz w:val="24"/>
          <w:szCs w:val="24"/>
        </w:rPr>
      </w:pPr>
    </w:p>
    <w:p w14:paraId="425C5642" w14:textId="6B660541" w:rsidR="003963D1" w:rsidRPr="003609FB" w:rsidRDefault="003963D1" w:rsidP="00AB2160">
      <w:pPr>
        <w:spacing w:line="360" w:lineRule="auto"/>
        <w:rPr>
          <w:rFonts w:ascii="Times New Roman" w:hAnsi="Times New Roman" w:cs="Times New Roman"/>
          <w:sz w:val="24"/>
          <w:szCs w:val="24"/>
        </w:rPr>
      </w:pPr>
    </w:p>
    <w:p w14:paraId="43E4824D" w14:textId="3067AF32" w:rsidR="003963D1" w:rsidRPr="003609FB" w:rsidRDefault="003963D1" w:rsidP="00AB2160">
      <w:pPr>
        <w:spacing w:line="360" w:lineRule="auto"/>
        <w:rPr>
          <w:rFonts w:ascii="Times New Roman" w:hAnsi="Times New Roman" w:cs="Times New Roman"/>
          <w:sz w:val="24"/>
          <w:szCs w:val="24"/>
        </w:rPr>
      </w:pPr>
    </w:p>
    <w:p w14:paraId="14B8E83C" w14:textId="53C7CF87" w:rsidR="003963D1" w:rsidRDefault="003963D1" w:rsidP="00AB2160">
      <w:pPr>
        <w:spacing w:line="360" w:lineRule="auto"/>
        <w:rPr>
          <w:rFonts w:ascii="Times New Roman" w:hAnsi="Times New Roman" w:cs="Times New Roman"/>
          <w:sz w:val="24"/>
          <w:szCs w:val="24"/>
        </w:rPr>
      </w:pPr>
    </w:p>
    <w:p w14:paraId="3371566B" w14:textId="1E0D21B0" w:rsidR="006E0AF0" w:rsidRDefault="006E0AF0" w:rsidP="00AB2160">
      <w:pPr>
        <w:spacing w:line="360" w:lineRule="auto"/>
        <w:rPr>
          <w:rFonts w:ascii="Times New Roman" w:hAnsi="Times New Roman" w:cs="Times New Roman"/>
          <w:sz w:val="24"/>
          <w:szCs w:val="24"/>
        </w:rPr>
      </w:pPr>
    </w:p>
    <w:p w14:paraId="78D2161B" w14:textId="2EA6FA5A" w:rsidR="006E0AF0" w:rsidRDefault="006E0AF0" w:rsidP="00AB2160">
      <w:pPr>
        <w:spacing w:line="360" w:lineRule="auto"/>
        <w:rPr>
          <w:rFonts w:ascii="Times New Roman" w:hAnsi="Times New Roman" w:cs="Times New Roman"/>
          <w:sz w:val="24"/>
          <w:szCs w:val="24"/>
        </w:rPr>
      </w:pPr>
    </w:p>
    <w:p w14:paraId="56DF21F1" w14:textId="4925ECD2" w:rsidR="006E0AF0" w:rsidRDefault="006E0AF0" w:rsidP="00AB2160">
      <w:pPr>
        <w:spacing w:line="360" w:lineRule="auto"/>
        <w:rPr>
          <w:rFonts w:ascii="Times New Roman" w:hAnsi="Times New Roman" w:cs="Times New Roman"/>
          <w:sz w:val="24"/>
          <w:szCs w:val="24"/>
        </w:rPr>
      </w:pPr>
    </w:p>
    <w:p w14:paraId="4EFB1F10" w14:textId="12E37C70" w:rsidR="006E0AF0" w:rsidRDefault="006E0AF0" w:rsidP="00AB2160">
      <w:pPr>
        <w:spacing w:line="360" w:lineRule="auto"/>
        <w:rPr>
          <w:rFonts w:ascii="Times New Roman" w:hAnsi="Times New Roman" w:cs="Times New Roman"/>
          <w:sz w:val="24"/>
          <w:szCs w:val="24"/>
        </w:rPr>
      </w:pPr>
    </w:p>
    <w:p w14:paraId="3C297D13" w14:textId="77777777" w:rsidR="006E0AF0" w:rsidRPr="003609FB" w:rsidRDefault="006E0AF0" w:rsidP="00AB2160">
      <w:pPr>
        <w:spacing w:line="360" w:lineRule="auto"/>
        <w:rPr>
          <w:rFonts w:ascii="Times New Roman" w:hAnsi="Times New Roman" w:cs="Times New Roman"/>
          <w:sz w:val="24"/>
          <w:szCs w:val="24"/>
        </w:rPr>
      </w:pPr>
    </w:p>
    <w:p w14:paraId="753A70DC" w14:textId="77777777" w:rsidR="003963D1" w:rsidRPr="003609FB" w:rsidRDefault="003963D1" w:rsidP="00AB2160">
      <w:pPr>
        <w:spacing w:line="360" w:lineRule="auto"/>
        <w:rPr>
          <w:rFonts w:ascii="Times New Roman" w:hAnsi="Times New Roman" w:cs="Times New Roman"/>
          <w:sz w:val="24"/>
          <w:szCs w:val="24"/>
        </w:rPr>
      </w:pPr>
    </w:p>
    <w:p w14:paraId="61EAE4C7" w14:textId="2035E182" w:rsidR="009175EE" w:rsidRPr="0004397B" w:rsidRDefault="00691B65" w:rsidP="0004397B">
      <w:pPr>
        <w:spacing w:line="360" w:lineRule="auto"/>
        <w:ind w:firstLine="720"/>
        <w:rPr>
          <w:rFonts w:ascii="Times New Roman" w:hAnsi="Times New Roman" w:cs="Times New Roman"/>
          <w:sz w:val="24"/>
          <w:szCs w:val="24"/>
        </w:rPr>
      </w:pPr>
      <w:r w:rsidRPr="00691B65">
        <w:rPr>
          <w:rFonts w:ascii="Times New Roman" w:hAnsi="Times New Roman" w:cs="Times New Roman"/>
          <w:i/>
          <w:iCs/>
          <w:sz w:val="24"/>
          <w:szCs w:val="24"/>
        </w:rPr>
        <w:lastRenderedPageBreak/>
        <w:t>Prochlorococcus</w:t>
      </w:r>
      <w:r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 is the smallest yet most numerous phytoplankton of the oligotrophic surface ocean</w:t>
      </w:r>
      <w:r w:rsidR="009F49F4" w:rsidRPr="003609FB">
        <w:rPr>
          <w:rFonts w:ascii="Times New Roman" w:hAnsi="Times New Roman" w:cs="Times New Roman"/>
          <w:sz w:val="24"/>
          <w:szCs w:val="24"/>
        </w:rPr>
        <w:t xml:space="preserve"> </w:t>
      </w:r>
      <w:r w:rsidR="009F49F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{"citationID":"mcBbj3Jq","properties":{"formattedCitation":"(Flombaum et al. 2013; Partensky, Blanchot, and Vaulot 1999, 199)","plainCitation":"(Flombaum et al. 2013; Partensky, Blanchot, and Vaulot 1999, 199)","noteIndex":0},"citationItems":[{"id":89,"uris":["http://zotero.org/users/6128296/items/MCUHQ8Y3"],"itemData":{"id":89,"type":"article-journal","container-title":"Proceedings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C."}],"issued":{"date-parts":[["2013",6,11]]}}},{"id":4251,"uris":["http://zotero.org/users/6128296/items/KSAT33BJ"],"itemData":{"id":4251,"type":"article-journal","container-title":"Bulletin-Institut Oceanographique Monaco-Numero Special-","page":"457-476","title":"Differential distribution and ecology of Prochlorococcus and Synechococcus in oceanic waters: a review.\"","author":[{"family":"Partensky","given":""},{"family":"Blanchot","given":"Jean"},{"family":"Vaulot","given":"D"}],"issued":{"date-parts":[["1999"]]}},"locator":"199"}],"schema":"https://github.com/citation-style-language/schema/raw/master/csl-citation.json"} </w:instrText>
      </w:r>
      <w:r w:rsidR="009F49F4" w:rsidRPr="003609FB">
        <w:rPr>
          <w:rFonts w:ascii="Times New Roman" w:hAnsi="Times New Roman" w:cs="Times New Roman"/>
          <w:sz w:val="24"/>
          <w:szCs w:val="24"/>
        </w:rPr>
        <w:fldChar w:fldCharType="separate"/>
      </w:r>
      <w:r w:rsidR="009D7443">
        <w:rPr>
          <w:rFonts w:ascii="Times New Roman" w:hAnsi="Times New Roman" w:cs="Times New Roman"/>
          <w:sz w:val="24"/>
        </w:rPr>
        <w:t>(</w:t>
      </w:r>
      <w:proofErr w:type="spellStart"/>
      <w:r w:rsidR="009D7443">
        <w:rPr>
          <w:rFonts w:ascii="Times New Roman" w:hAnsi="Times New Roman" w:cs="Times New Roman"/>
          <w:sz w:val="24"/>
        </w:rPr>
        <w:t>Flombaum</w:t>
      </w:r>
      <w:proofErr w:type="spellEnd"/>
      <w:r w:rsidR="009D7443">
        <w:rPr>
          <w:rFonts w:ascii="Times New Roman" w:hAnsi="Times New Roman" w:cs="Times New Roman"/>
          <w:sz w:val="24"/>
        </w:rPr>
        <w:t xml:space="preserve">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2013;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w:t>
      </w:r>
      <w:proofErr w:type="spellStart"/>
      <w:r w:rsidR="009D7443">
        <w:rPr>
          <w:rFonts w:ascii="Times New Roman" w:hAnsi="Times New Roman" w:cs="Times New Roman"/>
          <w:sz w:val="24"/>
        </w:rPr>
        <w:t>Blanchot</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Vaulot</w:t>
      </w:r>
      <w:proofErr w:type="spellEnd"/>
      <w:r w:rsidR="009D7443">
        <w:rPr>
          <w:rFonts w:ascii="Times New Roman" w:hAnsi="Times New Roman" w:cs="Times New Roman"/>
          <w:sz w:val="24"/>
        </w:rPr>
        <w:t xml:space="preserve"> 1999, 199)</w:t>
      </w:r>
      <w:r w:rsidR="009F49F4" w:rsidRPr="003609FB">
        <w:rPr>
          <w:rFonts w:ascii="Times New Roman" w:hAnsi="Times New Roman" w:cs="Times New Roman"/>
          <w:sz w:val="24"/>
          <w:szCs w:val="24"/>
        </w:rPr>
        <w:fldChar w:fldCharType="end"/>
      </w:r>
      <w:r w:rsidR="009F49F4" w:rsidRPr="003609FB">
        <w:rPr>
          <w:rFonts w:ascii="Times New Roman" w:hAnsi="Times New Roman" w:cs="Times New Roman"/>
          <w:sz w:val="24"/>
          <w:szCs w:val="24"/>
        </w:rPr>
        <w:t>.</w:t>
      </w:r>
      <w:r w:rsidR="009175EE" w:rsidRPr="003609FB">
        <w:rPr>
          <w:rFonts w:ascii="Times New Roman" w:hAnsi="Times New Roman" w:cs="Times New Roman"/>
          <w:sz w:val="24"/>
          <w:szCs w:val="24"/>
        </w:rPr>
        <w:t xml:space="preserve"> Its dominance of marine microbial communities is primarily attributed to its superior nutrient affinities </w:t>
      </w:r>
      <w:r w:rsidR="009F49F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{"citationID":"iwJt2Y2s","properties":{"formattedCitation":"(Masuda et al. 2023; Partensky and Garczarek 2010)","plainCitation":"(Masuda et al. 2023; Partensky and Garczarek 2010)","noteIndex":0},"citationItems":[{"id":3707,"uris":["http://zotero.org/users/6128296/items/LYVJQAKR"],"itemData":{"id":3707,"type":"article-journal","abstract":"Prochlorococcus and Synechococcus are the two dominant picocyanobacteria in the low-nutrient surface waters of the subtropical ocean, but the basis for their coexistence has not been quantitatively demonstrated. Here, we combine in situ microcosm experiments and an ecological model to show that this coexistence can be sustained by specialization in the uptake of distinct nitrogen (N) substrates at low-level concentrations that prevail in subtropical environments. In ﬁeld incubations, the response of both Prochlorococcus and Synechococcus to nanomolar N amendments demonstrates N limitation of growth in both populations. However, Prochlorococcus showed a higher afﬁnity to ammonium, whereas Synechococcus was more adapted to nitrate uptake. A simple ecological model demonstrates that the differential nutrient preference inferred from ﬁeld experiments with these genera may sustain their coexistence. It also predicts that as the supply of NO32 decreases, as expected under climate warming, the dominant genera should undergo a nonlinear shift from Synechococcus to Prochlorococcus, a pattern that is supported by subtropical ﬁeld observations. Our study suggests that the evolution of differential nutrient afﬁnities is an important mechanism for sustaining the coexistence of genera and that climate change is likely to shift the relative abundance of the dominant plankton genera in the largest biomes in the ocean.","container-title":"Microbiology Spectrum","DOI":"10.1128/spectrum.04000-22","ISSN":"2165-0497","issue":"4","journalAbbreviation":"Microbiol Spectr","language":"en","page":"e04000-22","source":"DOI.org (Crossref)","title":"Coexistence of Dominant Marine Phytoplankton Sustained by Nutrient Specialization","volume":"11","author":[{"family":"Masuda","given":""},{"family":"Inomura","given":"Keisuke"},{"family":"Mareš","given":"Jan"},{"family":"Kodama","given":"Taketoshi"},{"family":"Shiozaki","given":"Takuhei"},{"family":"Matsui","given":"Takato"},{"family":"Suzuki","given":"Koji"},{"family":"Takeda","given":"Shigenobu"},{"family":"Deutsch","given":"Curtis"},{"family":"Prášil","given":"Ondřej"},{"family":"Furuya","given":"Ken"}],"editor":[{"family":"Santos","given":"Adriana Lopes Dos"}],"contributor":[{"family":"Ong","given":"Denise Rui Ying"}],"issued":{"date-parts":[["2023",8,17]]}}},{"id":2095,"uris":["http://zotero.org/users/6128296/items/MGSFTWLC"],"itemData":{"id":2095,"type":"article-journal","abstract":"Prochlorococcus is the key phytoplanktonic organism of tropical gyres, large ocean regions that are depleted of the essential macronutrients needed for photosynthesis and cell growth. This cyanobacterium has adapted itself to oligotrophy by minimizing the resources necessary for life through a drastic reduction of cell and genome sizes. This rarely observed strategy in freeliving organisms has conferred on Prochlorococcus a considerable advantage over other phototrophs, including its closest relative Synechococcus, for life in this vast yet little variable ecosystem. However, this strategy seems to reach its limits in the upper layer of the S Paciﬁc gyre, the most oligotrophic region of the world ocean. By losing some important genes and/or functions during evolution, Prochlorococcus has seemingly become dependent on co-occurring microorganisms. In this review, we present some of the recent advances in the ecology, biology, and evolution of Prochlorococcus, which because of its ecological importance and tiny genome is rapidly imposing itself as a model organism in environmental microbiology.","container-title":"Annual Review of Marine Science","DOI":"10.1146/annurev-marine-120308-081034","ISSN":"1941-1405, 1941-0611","issue":"1","journalAbbreviation":"Annu. Rev. Mar. Sci.","language":"en","page":"305-331","source":"DOI.org (Crossref)","title":"&lt;i&gt;Prochlorococcus&lt;/i&gt; : Advantages and Limits of Minimalism","title-short":"&lt;i&gt;Prochlorococcus&lt;/i&gt;","volume":"2","author":[{"family":"Partensky","given":""},{"family":"Garczarek","given":"Laurence"}],"issued":{"date-parts":[["2010",1]]}}}],"schema":"https://github.com/citation-style-language/schema/raw/master/csl-citation.json"} </w:instrText>
      </w:r>
      <w:r w:rsidR="009F49F4" w:rsidRPr="003609FB">
        <w:rPr>
          <w:rFonts w:ascii="Times New Roman" w:hAnsi="Times New Roman" w:cs="Times New Roman"/>
          <w:sz w:val="24"/>
          <w:szCs w:val="24"/>
        </w:rPr>
        <w:fldChar w:fldCharType="separate"/>
      </w:r>
      <w:r w:rsidR="009D7443">
        <w:rPr>
          <w:rFonts w:ascii="Times New Roman" w:hAnsi="Times New Roman" w:cs="Times New Roman"/>
          <w:sz w:val="24"/>
        </w:rPr>
        <w:t xml:space="preserve">(Masuda </w:t>
      </w:r>
      <w:r w:rsidR="00183222" w:rsidRPr="00183222">
        <w:rPr>
          <w:rFonts w:ascii="Times New Roman" w:hAnsi="Times New Roman" w:cs="Times New Roman"/>
          <w:i/>
          <w:iCs/>
          <w:sz w:val="24"/>
          <w:szCs w:val="24"/>
        </w:rPr>
        <w:t>et al</w:t>
      </w:r>
      <w:r w:rsidR="009D7443">
        <w:rPr>
          <w:rFonts w:ascii="Times New Roman" w:hAnsi="Times New Roman" w:cs="Times New Roman"/>
          <w:sz w:val="24"/>
        </w:rPr>
        <w:t xml:space="preserve">. 2023; </w:t>
      </w:r>
      <w:proofErr w:type="spellStart"/>
      <w:r w:rsidR="009D7443">
        <w:rPr>
          <w:rFonts w:ascii="Times New Roman" w:hAnsi="Times New Roman" w:cs="Times New Roman"/>
          <w:sz w:val="24"/>
        </w:rPr>
        <w:t>Partensky</w:t>
      </w:r>
      <w:proofErr w:type="spellEnd"/>
      <w:r w:rsidR="009D7443">
        <w:rPr>
          <w:rFonts w:ascii="Times New Roman" w:hAnsi="Times New Roman" w:cs="Times New Roman"/>
          <w:sz w:val="24"/>
        </w:rPr>
        <w:t xml:space="preserve"> and </w:t>
      </w:r>
      <w:proofErr w:type="spellStart"/>
      <w:r w:rsidR="009D7443">
        <w:rPr>
          <w:rFonts w:ascii="Times New Roman" w:hAnsi="Times New Roman" w:cs="Times New Roman"/>
          <w:sz w:val="24"/>
        </w:rPr>
        <w:t>Garczarek</w:t>
      </w:r>
      <w:proofErr w:type="spellEnd"/>
      <w:r w:rsidR="009D7443">
        <w:rPr>
          <w:rFonts w:ascii="Times New Roman" w:hAnsi="Times New Roman" w:cs="Times New Roman"/>
          <w:sz w:val="24"/>
        </w:rPr>
        <w:t xml:space="preserve"> 2010)</w:t>
      </w:r>
      <w:r w:rsidR="009F49F4" w:rsidRPr="003609FB">
        <w:rPr>
          <w:rFonts w:ascii="Times New Roman" w:hAnsi="Times New Roman" w:cs="Times New Roman"/>
          <w:sz w:val="24"/>
          <w:szCs w:val="24"/>
        </w:rPr>
        <w:fldChar w:fldCharType="end"/>
      </w:r>
      <w:r w:rsidR="009F49F4"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induced from genetic and physical streamlining. </w:t>
      </w:r>
      <w:r w:rsidRPr="00691B65">
        <w:rPr>
          <w:rFonts w:ascii="Times New Roman" w:hAnsi="Times New Roman" w:cs="Times New Roman"/>
          <w:i/>
          <w:iCs/>
          <w:sz w:val="24"/>
          <w:szCs w:val="24"/>
        </w:rPr>
        <w:t>Prochlorococcus</w:t>
      </w:r>
      <w:r w:rsidR="009175EE" w:rsidRPr="003609FB">
        <w:rPr>
          <w:rFonts w:ascii="Times New Roman" w:hAnsi="Times New Roman" w:cs="Times New Roman"/>
          <w:sz w:val="24"/>
          <w:szCs w:val="24"/>
        </w:rPr>
        <w:t xml:space="preserve">’s closest genetic relative, </w:t>
      </w:r>
      <w:proofErr w:type="spellStart"/>
      <w:r w:rsidRPr="00691B65">
        <w:rPr>
          <w:rFonts w:ascii="Times New Roman" w:hAnsi="Times New Roman" w:cs="Times New Roman"/>
          <w:i/>
          <w:iCs/>
          <w:sz w:val="24"/>
          <w:szCs w:val="24"/>
        </w:rPr>
        <w:t>Synechococcus</w:t>
      </w:r>
      <w:proofErr w:type="spellEnd"/>
      <w:r w:rsidR="009175EE" w:rsidRPr="003609FB">
        <w:rPr>
          <w:rFonts w:ascii="Times New Roman" w:hAnsi="Times New Roman" w:cs="Times New Roman"/>
          <w:sz w:val="24"/>
          <w:szCs w:val="24"/>
        </w:rPr>
        <w:t xml:space="preserve">, dominates growth at higher latitudes and lower depths as compared to its streamlined sister </w:t>
      </w:r>
      <w:r w:rsidR="009F49F4"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{"citationID":"Dc85xu5m","properties":{"formattedCitation":"(Flombaum et al. 2013, 201)","plainCitation":"(Flombaum et al. 2013, 201)","noteIndex":0},"citationItems":[{"id":89,"uris":["http://zotero.org/users/6128296/items/MCUHQ8Y3"],"itemData":{"id":89,"type":"article-journal","container-title":"Proceedings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C."}],"issued":{"date-parts":[["2013",6,11]]}},"locator":"201"}],"schema":"https://github.com/citation-style-language/schema/raw/master/csl-citation.json"} </w:instrText>
      </w:r>
      <w:r w:rsidR="009F49F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2013, 201)</w:t>
      </w:r>
      <w:r w:rsidR="009F49F4" w:rsidRPr="003609FB">
        <w:rPr>
          <w:rFonts w:ascii="Times New Roman" w:hAnsi="Times New Roman" w:cs="Times New Roman"/>
          <w:sz w:val="24"/>
          <w:szCs w:val="24"/>
        </w:rPr>
        <w:fldChar w:fldCharType="end"/>
      </w:r>
      <w:r w:rsidR="009F49F4"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Lab experiments indicate that streamlining-induced loss of</w:t>
      </w:r>
      <w:r w:rsidR="00623B2D">
        <w:rPr>
          <w:rFonts w:ascii="Times New Roman" w:hAnsi="Times New Roman" w:cs="Times New Roman"/>
          <w:sz w:val="24"/>
          <w:szCs w:val="24"/>
        </w:rPr>
        <w:t xml:space="preserve"> </w:t>
      </w:r>
      <w:r w:rsidR="00623B2D" w:rsidRPr="003609FB">
        <w:rPr>
          <w:rFonts w:ascii="Times New Roman" w:hAnsi="Times New Roman" w:cs="Times New Roman"/>
          <w:sz w:val="24"/>
          <w:szCs w:val="24"/>
        </w:rPr>
        <w:t>fundamental</w:t>
      </w:r>
      <w:r w:rsidR="009175EE" w:rsidRPr="003609FB">
        <w:rPr>
          <w:rFonts w:ascii="Times New Roman" w:hAnsi="Times New Roman" w:cs="Times New Roman"/>
          <w:sz w:val="24"/>
          <w:szCs w:val="24"/>
        </w:rPr>
        <w:t xml:space="preserve"> hydrogen peroxide (</w:t>
      </w:r>
      <w:r w:rsidR="0004397B" w:rsidRPr="003609FB">
        <w:rPr>
          <w:rFonts w:ascii="Times New Roman" w:hAnsi="Times New Roman" w:cs="Times New Roman"/>
          <w:sz w:val="24"/>
          <w:szCs w:val="24"/>
        </w:rPr>
        <w:t>H</w:t>
      </w:r>
      <w:r w:rsidR="0004397B" w:rsidRPr="00351FC4">
        <w:rPr>
          <w:rFonts w:ascii="Times New Roman" w:hAnsi="Times New Roman" w:cs="Times New Roman"/>
          <w:sz w:val="24"/>
          <w:szCs w:val="24"/>
          <w:vertAlign w:val="subscript"/>
        </w:rPr>
        <w:t>2</w:t>
      </w:r>
      <w:r w:rsidR="0004397B" w:rsidRPr="003609FB">
        <w:rPr>
          <w:rFonts w:ascii="Times New Roman" w:hAnsi="Times New Roman" w:cs="Times New Roman"/>
          <w:sz w:val="24"/>
          <w:szCs w:val="24"/>
        </w:rPr>
        <w:t>O</w:t>
      </w:r>
      <w:r w:rsidR="0004397B" w:rsidRPr="00351FC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 xml:space="preserve">) detoxication genes, like </w:t>
      </w:r>
      <w:proofErr w:type="spellStart"/>
      <w:r w:rsidR="00784A90" w:rsidRPr="00550BAC">
        <w:rPr>
          <w:rFonts w:ascii="Times New Roman" w:hAnsi="Times New Roman" w:cs="Times New Roman"/>
          <w:i/>
          <w:iCs/>
          <w:sz w:val="24"/>
          <w:szCs w:val="24"/>
        </w:rPr>
        <w:t>katG</w:t>
      </w:r>
      <w:proofErr w:type="spellEnd"/>
      <w:r w:rsidR="00784A90"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encoded catalase-peroxidase, has led to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 requiring coexisting ‘helper’ microbes, such as </w:t>
      </w:r>
      <w:proofErr w:type="spellStart"/>
      <w:r w:rsidRPr="00691B65">
        <w:rPr>
          <w:rFonts w:ascii="Times New Roman" w:hAnsi="Times New Roman" w:cs="Times New Roman"/>
          <w:i/>
          <w:iCs/>
          <w:sz w:val="24"/>
          <w:szCs w:val="24"/>
        </w:rPr>
        <w:t>Synechococcus</w:t>
      </w:r>
      <w:proofErr w:type="spellEnd"/>
      <w:r w:rsidR="009175EE" w:rsidRPr="003609FB">
        <w:rPr>
          <w:rFonts w:ascii="Times New Roman" w:hAnsi="Times New Roman" w:cs="Times New Roman"/>
          <w:sz w:val="24"/>
          <w:szCs w:val="24"/>
        </w:rPr>
        <w:t xml:space="preserve"> </w:t>
      </w:r>
      <w:r w:rsidR="009F49F4"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{"citationID":"rTxGize1","properties":{"formattedCitation":"(Bernroitner et al. 2009; Biller, Berube, et al. 2015; Morris et al. 2011)","plainCitation":"(Bernroitner et al. 2009; Biller, Berube, et al. 2015; Morris et al. 2011)","noteIndex":0},"citationItems":[{"id":1979,"uris":["http://zotero.org/users/6128296/items/UK4V58GU"],"itemData":{"id":1979,"type":"article-journal","abstract":"Cyanobacteria have evolved ;33109 years ago from ancient phototrophic microorganisms that already lived on our planet Earth. By opening the era of an aerobic, oxygen-containing biosphere, they are the true pacemakers of geological and biological evolution. Cyanobacteria must have been among the ﬁrst organisms to elaborate mechanisms for the detoxiﬁcation of partially reduced oxygen species including (hydrogen) peroxide. Since there is still an suprising lack of knowledge on the type, role, and mechanism(s) of peroxide-degrading enzymes in these bacteria, all 44 fully or partially sequenced genomes for haem and non-haem catalases and peroxidases have been critically analysed based on well known structure–function relationships of the corresponding oxidoreductases. It is demonstrated that H2O2-dismutating enzymes are mainly represented by bifunctional (haem) catalase–peroxidases and (binuclear) manganese catalases, with the latter being almost exclusively found in diazotrophic species. Several strains even lack a gene that encodes an enzyme with catalase activity. Two groups of peroxidases are found. Genes encoding putative (primordial) haem peroxidases (with homology to corresponding mammalian enzymes) and vanadium-containing iodoperoxidases are found only in a few species, whereas genes encoding peroxiredoxins (1Cys, 2-Cys, type II, and Q-type) are ubiquitous in cyanobacteria. In addition, ;70% contain NADPHdependent glutathione peroxidase-like proteins. The occurrence and phylogeny of these enzymes is discussed, as well as the present knowledge of their physiological role(s).","container-title":"Journal of Experimental Botany","DOI":"10.1093/jxb/ern309","ISSN":"1460-2431, 0022-0957","issue":"2","language":"en","page":"423-440","source":"DOI.org (Crossref)","title":"Occurrence, phylogeny, structure, and function of catalases and peroxidases in cyanobacteria","volume":"60","author":[{"family":"Bernroitner","given":""},{"family":"Zamocky","given":"Marcel"},{"family":"Furtmüller","given":"Paul G."},{"family":"Peschek","given":"Günter A."},{"family":"Obinger","given":"Christian"}],"issued":{"date-parts":[["2009",2]]}}},{"id":195,"uris":["http://zotero.org/users/6128296/items/T8KNN5NA"],"itemData":{"id":195,"type":"article-journal","abstract":"The marine cyanobacterium Prochlorococcus is the smallest and most abundant photosynthetic organism on Earth. In this Review, we summarize our understanding of the diversity of this remarkable phototroph and describe its role in ocean ecosystems. We discuss the importance of interactions of Prochlorococcus with the physical environment, with phages and with heterotrophs in shaping the ecology and evolution of this group. In light of recent studies, we have come to view Prochlorococcus as a ‘federation’ of diverse cells that sustains its broad distribution, stability and abundance in the oceans via extensive genomic and phenotypic diversity. Thus, it is proving to be a useful model system for elucidating the forces that shape microbial populations and ecosystems.","container-title":"Nature Reviews Microbiology","DOI":"10.1038/nrmicro3378","ISSN":"1740-1526, 1740-1534","issue":"1","journalAbbreviation":"Nat Rev Microbiol","language":"en","page":"13-27","source":"DOI.org (Crossref)","title":"Prochlorococcus: the structure and function of collective diversity","title-short":"Prochlorococcus","volume":"13","author":[{"family":"Biller","given":""},{"family":"Berube","given":"Paul M."},{"family":"Lindell","given":"Debbie"},{"family":"Chisholm","given":"Sallie W."}],"issued":{"date-parts":[["2015",1]]}}},{"id":113,"uris":["http://zotero.org/users/6128296/items/PIIBXCZZ"],"itemData":{"id":113,"type":"article-journal","abstract":"The phytoplankton community in the oligotrophic open ocean is numerically dominated by the cyanobacterium Prochlorococcus, accounting for approximately half of all photosynthesis. In the illuminated euphotic zone where Prochlorococcus grows, reactive oxygen species are continuously generated via photochemical reactions with dissolved organic matter. However, Prochlorococcus genomes lack catalase and additional protective mechanisms common in other aerobes, and this genus is highly susceptible to oxidative damage from hydrogen peroxide (HOOH). In this study we showed that the extant microbial community plays a vital, previously unrecognized role in cross-protecting Prochlorococcus from oxidative damage in the surface mixed layer of the oligotrophic ocean. Microbes are the primary HOOH sink in marine systems, and in the absence of the microbial community, surface waters in the Atlantic and Pacific Ocean accumulated HOOH to concentrations that were lethal for Prochlorococcus cultures. In laboratory experiments with the marine heterotroph Alteromonas sp., serving as a proxy for the natural community of HOOH-degrading microbes, bacterial depletion of HOOH from the extracellular milieu prevented oxidative damage to the cell envelope and photosystems of cocultured Prochlorococcus, and facilitated the growth of Prochlorococcus at ecologically-relevant cell concentrations. Curiously, the more recently evolved lineages of Prochlorococcus that exploit the surface mixed layer niche were also the most sensitive to HOOH. The genomic streamlining of these evolved lineages during adaptation to the high-light exposed upper euphotic zone thus appears to be coincident with an acquired dependency on the extant HOOH-consuming community. These results underscore the importance of (indirect) biotic interactions in establishing niche boundaries, and highlight the impacts that community-level responses to stress may have in the ecological and evolutionary outcomes for co-existing species.","container-title":"PLoS ONE","DOI":"10.1371/journal.pone.0016805","ISSN":"1932-6203","issue":"2","journalAbbreviation":"PLoS ONE","language":"en","page":"e16805","source":"DOI.org (Crossref)","title":"Dependence of the Cyanobacterium Prochlorococcus on Hydrogen Peroxide Scavenging Microbes for Growth at the Ocean's Surface","volume":"6","author":[{"family":"Morris","given":""},{"family":"Johnson","given":"Zackary I."},{"family":"Szul","given":"Martin J."},{"family":"Keller","given":"Martin"},{"family":"Zinser","given":"Erik R."}],"editor":[{"family":"Rodriguez-Valera","given":"Francisco"}],"issued":{"date-parts":[["2011",2,3]]}}}],"schema":"https://github.com/citation-style-language/schema/raw/master/csl-citation.json"} </w:instrText>
      </w:r>
      <w:r w:rsidR="009F49F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Bernroitner</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2009; Biller, Berube,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xml:space="preserve">. 2015; Morris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2011)</w:t>
      </w:r>
      <w:r w:rsidR="009F49F4" w:rsidRPr="003609FB">
        <w:rPr>
          <w:rFonts w:ascii="Times New Roman" w:hAnsi="Times New Roman" w:cs="Times New Roman"/>
          <w:sz w:val="24"/>
          <w:szCs w:val="24"/>
        </w:rPr>
        <w:fldChar w:fldCharType="end"/>
      </w:r>
      <w:r w:rsidR="009175EE" w:rsidRPr="003609FB">
        <w:rPr>
          <w:rFonts w:ascii="Times New Roman" w:hAnsi="Times New Roman" w:cs="Times New Roman"/>
          <w:sz w:val="24"/>
          <w:szCs w:val="24"/>
        </w:rPr>
        <w:t>, survive the daily environmental</w:t>
      </w:r>
      <w:r w:rsidR="00D92905" w:rsidRPr="00D92905">
        <w:rPr>
          <w:rFonts w:ascii="Times New Roman" w:hAnsi="Times New Roman" w:cs="Times New Roman"/>
          <w:sz w:val="24"/>
          <w:szCs w:val="24"/>
        </w:rPr>
        <w:t xml:space="preserv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D92905">
        <w:rPr>
          <w:rFonts w:ascii="Times New Roman" w:hAnsi="Times New Roman" w:cs="Times New Roman"/>
          <w:sz w:val="24"/>
          <w:szCs w:val="24"/>
          <w:vertAlign w:val="subscript"/>
        </w:rPr>
        <w:t xml:space="preserve"> </w:t>
      </w:r>
      <w:r w:rsidR="009175EE" w:rsidRPr="003609FB">
        <w:rPr>
          <w:rFonts w:ascii="Times New Roman" w:hAnsi="Times New Roman" w:cs="Times New Roman"/>
          <w:sz w:val="24"/>
          <w:szCs w:val="24"/>
        </w:rPr>
        <w:t xml:space="preserve">produced </w:t>
      </w:r>
      <w:r w:rsidR="009F49F4"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{"citationID":"BRkD11mg","properties":{"formattedCitation":"(Morris, Rose, and Lu 2022; Zhu et al. 2022)","plainCitation":"(Morris, Rose, and Lu 2022; Zhu et al. 2022)","noteIndex":0},"citationItems":[{"id":3443,"uris":["http://zotero.org/users/6128296/items/NAWLWA5Q"],"itemData":{"id":3443,"type":"article-journal","abstract":"Reactive oxygen species (ROS) are omnipresent in the ocean, originating from both biological (e.g., unbalanced metabolism or stress) and non-biological processes (e.g. photooxidation of colored dissolved organic matter). ROS can directly affect the growth of marine organisms, and can also influence marine biogeochemistry, thus indirectly impacting the availability of nutrients and food sources. Microbial communities and evolution are shaped by marine ROS, and in turn microorganisms influence steady-state ROS concentrations by acting as the predominant sink for marine ROS. Through their interactions with trace metals and organic matter, ROS can enhance microbial growth, but ROS can also attack biological macromolecules, causing extensive modifications with deleterious results. Several biogeochemically important taxa are vulnerable to very low ROS concentrations within the ranges measured in situ, including the globally distributed marine cyanobacterium Prochlorococcus and ammonia-oxidizing archaea of the phylum Thaumarchaeota. Finally, climate change may increase the amount of ROS in the ocean, especially in the most productive surface layers. In this review, we explore the sources of ROS and their roles in the oceans, how the dynamics of ROS might change in the future, and how this change might impact the ecology and chemistry of the future ocean.","container-title":"Redox Biology","DOI":"10.1016/j.redox.2022.102285","ISSN":"22132317","journalAbbreviation":"Redox Biology","language":"en","page":"102285","source":"DOI.org (Crossref)","title":"Reactive oxygen species in the world ocean and their impacts on marine ecosystems","volume":"52","author":[{"family":"Morris","given":""},{"family":"Rose","given":"Andrew L."},{"family":"Lu","given":"Zhiying"}],"issued":{"date-parts":[["2022",6]]}}},{"id":4059,"uris":["http://zotero.org/users/6128296/items/UQC3QQF2"],"itemData":{"id":4059,"type":"article-journal","abstract":"Hydrogen peroxide (H\n              2\n              O\n              2\n              ) is an important reactive oxygen species (ROS) in natural waters, affecting water quality\n              via\n              participation in metal redox reactions and causing oxidative stress for marine ecosystems. While attempts have been made to better understand H\n              2\n              O\n              2\n              dynamics in the global ocean, the relative importance of various H\n              2\n              O\n              2\n              sources and losses remains uncertain. Our model improves previous estimates of photochemical H\n              2\n              O\n              2\n              production rates by using remotely sensed ocean color to characterize the ultraviolet (UV) radiation field in surface water along with quantitative chemical data for the photochemical efficiency of H\n              2\n              O\n              2\n              formation. Wavelength- and temperature-dependent efficiency (i.e., apparent quantum yield, AQY) spectra previously reported for a variety of seawater sources, including coastal and oligotrophic stations in Antarctica, the Pacific Ocean at Station ALOHA, the Gulf of Mexico, and several sites along the eastern coast of the United States were compiled to obtain a “marine-average” AQY spectrum. To evaluate our predictions of H\n              2\n              O\n              2\n              photoproduction in surface waters using this single AQY spectrum, we compared modeled rates to new measured rates from Gulf Stream, coastal, and nearshore river-outflow stations in the South Atlantic Bight, GA, United States; obtaining comparative differences of 33% or less. In our global model, the “marine-average” AQY spectrum was used with modeled solar irradiance, together with satellite-derived surface seawater temperature and UV optical properties, including diffuse attenuation coefficients and dissolved organic matter absorption coefficients estimated with remote sensing-based algorithms. The final product of the model, a monthly climatology of depth-resolved H\n              2\n              O\n              2\n              photoproduction rates in the surface mixed layer, is reported for the first time and provides an integrated global estimate of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21.1 Tmol yr\n              −1\n              for photochemical H\n              2\n              O\n              2\n              production. This work has important implications for photo-redox reactions in seawater and improves our understanding of the role of solar irradiation on ROS cycling and the overall oxidation state in the oceans.","container-title":"Frontiers in Remote Sensing","DOI":"10.3389/frsen.2022.1009398","ISSN":"2673-6187","journalAbbreviation":"Front. Remote Sens.","language":"en","page":"1009398","source":"DOI.org (Crossref)","title":"Depth-resolved photochemical production of hydrogen peroxide in the global ocean using remotely sensed ocean color","volume":"3","author":[{"family":"Zhu","given":""},{"family":"Powers","given":"Leanne C."},{"family":"Kieber","given":"David J."},{"family":"Miller","given":"William L."}],"issued":{"date-parts":[["2022",10,20]]}}}],"schema":"https://github.com/citation-style-language/schema/raw/master/csl-citation.json"} </w:instrText>
      </w:r>
      <w:r w:rsidR="009F49F4"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(Morris, Rose, and Lu 2022; Zhu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2022)</w:t>
      </w:r>
      <w:r w:rsidR="009F49F4" w:rsidRPr="003609FB">
        <w:rPr>
          <w:rFonts w:ascii="Times New Roman" w:hAnsi="Times New Roman" w:cs="Times New Roman"/>
          <w:sz w:val="24"/>
          <w:szCs w:val="24"/>
        </w:rPr>
        <w:fldChar w:fldCharType="end"/>
      </w:r>
      <w:r w:rsidR="009175EE" w:rsidRPr="003609FB">
        <w:rPr>
          <w:rFonts w:ascii="Times New Roman" w:hAnsi="Times New Roman" w:cs="Times New Roman"/>
          <w:sz w:val="24"/>
          <w:szCs w:val="24"/>
        </w:rPr>
        <w:t xml:space="preserve"> surface waters. Current phytoplankton global models attribute 25% of global production to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 </w:t>
      </w:r>
      <w:r w:rsidR="001B06F2"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{"citationID":"x5mY6YuN","properties":{"formattedCitation":"(Flombaum et al. 2013)","plainCitation":"(Flombaum et al. 2013)","noteIndex":0},"citationItems":[{"id":89,"uris":["http://zotero.org/users/6128296/items/MCUHQ8Y3"],"itemData":{"id":89,"type":"article-journal","container-title":"Proceedings of the National Academy of Sciences","DOI":"10.1073/pnas.1307701110","ISSN":"0027-8424, 1091-6490","issue":"24","journalAbbreviation":"Proceedings of the National Academy of Sciences","language":"en","page":"9824-9829","source":"DOI.org (Crossref)","title":"Present and future global distributions of the marine Cyanobacteria Prochlorococcus and Synechococcus","volume":"110","author":[{"family":"Flombaum","given":""},{"family":"Gallegos","given":"J. L."},{"family":"Gordillo","given":"R. A."},{"family":"Rincon","given":"J."},{"family":"Zabala","given":"L. L."},{"family":"Jiao","given":"N."},{"family":"Karl","given":"D. M."},{"family":"Li","given":"W. K. W."},{"family":"Lomas","given":"M. W."},{"family":"Veneziano","given":"D."},{"family":"Vera","given":"C. S."},{"family":"Vrugt","given":"J. A."},{"family":"Martiny","given":"A. C."}],"issued":{"date-parts":[["2013",6,11]]}}}],"schema":"https://github.com/citation-style-language/schema/raw/master/csl-citation.json"} </w:instrText>
      </w:r>
      <w:r w:rsidR="001B06F2"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w:t>
      </w:r>
      <w:proofErr w:type="spellStart"/>
      <w:r w:rsidR="00920699">
        <w:rPr>
          <w:rFonts w:ascii="Times New Roman" w:hAnsi="Times New Roman" w:cs="Times New Roman"/>
          <w:sz w:val="24"/>
          <w:szCs w:val="24"/>
        </w:rPr>
        <w:t>Flombaum</w:t>
      </w:r>
      <w:proofErr w:type="spellEnd"/>
      <w:r w:rsidR="00920699">
        <w:rPr>
          <w:rFonts w:ascii="Times New Roman" w:hAnsi="Times New Roman" w:cs="Times New Roman"/>
          <w:sz w:val="24"/>
          <w:szCs w:val="24"/>
        </w:rPr>
        <w:t xml:space="preserve"> </w:t>
      </w:r>
      <w:r w:rsidR="00183222" w:rsidRPr="00183222">
        <w:rPr>
          <w:rFonts w:ascii="Times New Roman" w:hAnsi="Times New Roman" w:cs="Times New Roman"/>
          <w:i/>
          <w:iCs/>
          <w:sz w:val="24"/>
          <w:szCs w:val="24"/>
        </w:rPr>
        <w:t>et al</w:t>
      </w:r>
      <w:r w:rsidR="00920699">
        <w:rPr>
          <w:rFonts w:ascii="Times New Roman" w:hAnsi="Times New Roman" w:cs="Times New Roman"/>
          <w:sz w:val="24"/>
          <w:szCs w:val="24"/>
        </w:rPr>
        <w:t>. 2013)</w:t>
      </w:r>
      <w:r w:rsidR="001B06F2" w:rsidRPr="003609FB">
        <w:rPr>
          <w:rFonts w:ascii="Times New Roman" w:hAnsi="Times New Roman" w:cs="Times New Roman"/>
          <w:sz w:val="24"/>
          <w:szCs w:val="24"/>
        </w:rPr>
        <w:fldChar w:fldCharType="end"/>
      </w:r>
      <w:r w:rsidR="009175EE" w:rsidRPr="003609FB">
        <w:rPr>
          <w:rFonts w:ascii="Times New Roman" w:hAnsi="Times New Roman" w:cs="Times New Roman"/>
          <w:sz w:val="24"/>
          <w:szCs w:val="24"/>
        </w:rPr>
        <w:t xml:space="preserve"> but exclude H</w:t>
      </w:r>
      <w:r w:rsidR="009175EE" w:rsidRPr="002D4DD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O</w:t>
      </w:r>
      <w:r w:rsidR="002D4DD4" w:rsidRPr="002D4DD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 xml:space="preserve"> as a source of microbial death.</w:t>
      </w:r>
    </w:p>
    <w:p w14:paraId="3AC0DD26" w14:textId="25249F10" w:rsidR="009175EE" w:rsidRPr="00097C09" w:rsidRDefault="00F52F1E" w:rsidP="00097C09">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 xml:space="preserve"> production may be directly impacted by the higher </w:t>
      </w:r>
      <w:r w:rsidR="00E12792">
        <w:rPr>
          <w:rFonts w:ascii="Times New Roman" w:hAnsi="Times New Roman" w:cs="Times New Roman"/>
          <w:sz w:val="24"/>
          <w:szCs w:val="24"/>
        </w:rPr>
        <w:t>pCO</w:t>
      </w:r>
      <w:r w:rsidR="00E12792" w:rsidRPr="00E12792">
        <w:rPr>
          <w:rFonts w:ascii="Times New Roman" w:hAnsi="Times New Roman" w:cs="Times New Roman"/>
          <w:sz w:val="24"/>
          <w:szCs w:val="24"/>
          <w:vertAlign w:val="subscript"/>
        </w:rPr>
        <w:t>2</w:t>
      </w:r>
      <w:r w:rsidR="00E12792">
        <w:rPr>
          <w:rFonts w:ascii="Times New Roman" w:hAnsi="Times New Roman" w:cs="Times New Roman"/>
          <w:sz w:val="24"/>
          <w:szCs w:val="24"/>
        </w:rPr>
        <w:t xml:space="preserve">, higher </w:t>
      </w:r>
      <w:r w:rsidR="009175EE" w:rsidRPr="003609FB">
        <w:rPr>
          <w:rFonts w:ascii="Times New Roman" w:hAnsi="Times New Roman" w:cs="Times New Roman"/>
          <w:sz w:val="24"/>
          <w:szCs w:val="24"/>
        </w:rPr>
        <w:t xml:space="preserve">temperatures, and lower pHs predicted to occur with changing climate and increasingly stratified upper ocean. Microbial nutrient structures will be </w:t>
      </w:r>
      <w:r w:rsidR="00E12792">
        <w:rPr>
          <w:rFonts w:ascii="Times New Roman" w:hAnsi="Times New Roman" w:cs="Times New Roman"/>
          <w:sz w:val="24"/>
          <w:szCs w:val="24"/>
        </w:rPr>
        <w:t xml:space="preserve">further </w:t>
      </w:r>
      <w:r w:rsidR="009175EE" w:rsidRPr="003609FB">
        <w:rPr>
          <w:rFonts w:ascii="Times New Roman" w:hAnsi="Times New Roman" w:cs="Times New Roman"/>
          <w:sz w:val="24"/>
          <w:szCs w:val="24"/>
        </w:rPr>
        <w:t xml:space="preserve">impacted by the decreased atmospheric nitrogen deposition along with decreased upwelling rates </w:t>
      </w:r>
      <w:r w:rsidR="001B06F2" w:rsidRPr="003609FB">
        <w:rPr>
          <w:rFonts w:ascii="Times New Roman" w:hAnsi="Times New Roman" w:cs="Times New Roman"/>
          <w:sz w:val="24"/>
          <w:szCs w:val="24"/>
        </w:rPr>
        <w:fldChar w:fldCharType="begin"/>
      </w:r>
      <w:r w:rsidR="00922909">
        <w:rPr>
          <w:rFonts w:ascii="Times New Roman" w:hAnsi="Times New Roman" w:cs="Times New Roman"/>
          <w:sz w:val="24"/>
          <w:szCs w:val="24"/>
        </w:rPr>
        <w:instrText xml:space="preserve"> ADDIN ZOTERO_ITEM CSL_CITATION {"citationID":"nTd0KbKf","properties":{"formattedCitation":"(Gruber and Galloway 2008; Altabet, Robinson, and Walstad 1986, 19)","plainCitation":"(Gruber and Galloway 2008; Altabet, Robinson, and Walstad 1986, 19)","noteIndex":0},"citationItems":[{"id":1222,"uris":["http://zotero.org/users/6128296/items/TJV3QBQQ"],"itemData":{"id":1222,"type":"article-journal","container-title":"Nature","DOI":"10.1038/nature06592","ISSN":"0028-0836, 1476-4687","issue":"7176","journalAbbreviation":"Nature","language":"en","page":"293-296","source":"DOI.org (Crossref)","title":"An Earth-system perspective of the global nitrogen cycle","volume":"451","author":[{"family":"Gruber","given":""},{"family":"Galloway","given":""}],"issued":{"date-parts":[["2008",1]]}}},{"id":1551,"uris":["http://zotero.org/users/6128296/items/R39526T9"],"itemData":{"id":1551,"type":"article-journal","abstract":"An idealized, one-dimensional, constant diffusivity mathematical model for the study of the vertical flux of nitrogen in the upper-ocean is presented. We attempt to simulate observed patterns in vertical profiles for the natural abundance of 15N in particulate organic nitrogen (PON) and the concentrations of PON and NO) -. The concentration of phytoplankton nitrogen (ll) increased as a result of either increasing the upward flux of NO) -(N) or by increasing the residence time of n. A minimum in the 015N of phytoplankton nitrogen (02) appeared near a maximum in n at the inflection point of the N profile. Increasing the residence time or the vertical eddy diffusivity, reduced the amplitude of the 02 profile. The model was able to produce reasonably good simulations of observed profiles from two warm-core rings, Rings 82-E and 82-H, using the most appropriate values for the light extinction coefficient and the residence time of PON. These results lend general support to current views regarding the nature and significance of the vertical fluxes of nitrogen in the upper-ocean and hypotheses presented previously concerning the factors which affect the 015N of PON.","container-title":"Journal of Marine Research","DOI":"10.1357/002224086788460111","ISSN":"00222402, 15439542","issue":"1","journalAbbreviation":"J Mar Res","language":"en","page":"203-225","source":"DOI.org (Crossref)","title":"A model for the vertical flux of nitrogen in the upper ocean: Simulating the alteration of isotopic ratios","title-short":"A model for the vertical flux of nitrogen in the upper ocean","volume":"44","author":[{"family":"Altabet","given":""},{"family":"Robinson","given":"Allan R."},{"family":"Walstad","given":"Leonard J."}],"issued":{"date-parts":[["1986",2,1]]}},"locator":"19"}],"schema":"https://github.com/citation-style-language/schema/raw/master/csl-citation.json"} </w:instrText>
      </w:r>
      <w:r w:rsidR="001B06F2" w:rsidRPr="003609FB">
        <w:rPr>
          <w:rFonts w:ascii="Times New Roman" w:hAnsi="Times New Roman" w:cs="Times New Roman"/>
          <w:sz w:val="24"/>
          <w:szCs w:val="24"/>
        </w:rPr>
        <w:fldChar w:fldCharType="separate"/>
      </w:r>
      <w:r w:rsidR="00920699">
        <w:rPr>
          <w:rFonts w:ascii="Times New Roman" w:hAnsi="Times New Roman" w:cs="Times New Roman"/>
          <w:sz w:val="24"/>
          <w:szCs w:val="24"/>
        </w:rPr>
        <w:t xml:space="preserve">(Gruber and Galloway 2008; </w:t>
      </w:r>
      <w:proofErr w:type="spellStart"/>
      <w:r w:rsidR="00920699">
        <w:rPr>
          <w:rFonts w:ascii="Times New Roman" w:hAnsi="Times New Roman" w:cs="Times New Roman"/>
          <w:sz w:val="24"/>
          <w:szCs w:val="24"/>
        </w:rPr>
        <w:t>Altabet</w:t>
      </w:r>
      <w:proofErr w:type="spellEnd"/>
      <w:r w:rsidR="00920699">
        <w:rPr>
          <w:rFonts w:ascii="Times New Roman" w:hAnsi="Times New Roman" w:cs="Times New Roman"/>
          <w:sz w:val="24"/>
          <w:szCs w:val="24"/>
        </w:rPr>
        <w:t>, Robinson, and Walstad 1986, 19)</w:t>
      </w:r>
      <w:r w:rsidR="001B06F2" w:rsidRPr="003609FB">
        <w:rPr>
          <w:rFonts w:ascii="Times New Roman" w:hAnsi="Times New Roman" w:cs="Times New Roman"/>
          <w:sz w:val="24"/>
          <w:szCs w:val="24"/>
        </w:rPr>
        <w:fldChar w:fldCharType="end"/>
      </w:r>
      <w:r w:rsidR="009175EE" w:rsidRPr="003609FB">
        <w:rPr>
          <w:rFonts w:ascii="Times New Roman" w:hAnsi="Times New Roman" w:cs="Times New Roman"/>
          <w:sz w:val="24"/>
          <w:szCs w:val="24"/>
        </w:rPr>
        <w:t xml:space="preserve">. Nutrient pressures alone would indicate the future ocean selecting for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-like microbes</w:t>
      </w:r>
      <w:r w:rsidR="001B06F2" w:rsidRPr="003609FB">
        <w:rPr>
          <w:rFonts w:ascii="Times New Roman" w:hAnsi="Times New Roman" w:cs="Times New Roman"/>
          <w:sz w:val="24"/>
          <w:szCs w:val="24"/>
        </w:rPr>
        <w:t xml:space="preserve"> </w:t>
      </w:r>
      <w:r w:rsidR="001B06F2"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{"citationID":"wvBzhb7k","properties":{"formattedCitation":"(Martiny et al. 2022; Voss et al. 2013)","plainCitation":"(Martiny et al. 2022; Voss et al. 2013)","noteIndex":0},"citationItems":[{"id":4373,"uris":["http://zotero.org/users/6128296/items/LCB2X4XB"],"itemData":{"id":4373,"type":"article-journal","abstract":"Abstract\n            \n              Are the oceans turning into deserts? Rising temperature, increasing surface stratification, and decreasing vertical inputs of nutrients are expected to cause an expansion of warm, nutrient deplete ecosystems. Such an expansion is predicted to negatively affect a trio of key ocean biogeochemical features: phytoplankton biomass, primary productivity, and carbon export. However, phytoplankton communities are complex adaptive systems with immense diversity that could render them at least partially resilient to global changes. This can be illustrated by the biology of the\n              Prochlorococcus\n              “collective</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 xml:space="preserve"> Adaptations to counter stress, use of alternative nutrient sources, and frugal resource allocation can allow\n              Prochlorococcus\n              to buffer climate</w:instrText>
      </w:r>
      <w:r w:rsidR="009D7443">
        <w:rPr>
          <w:rFonts w:ascii="Times New Roman" w:hAnsi="Times New Roman" w:cs="Times New Roman" w:hint="eastAsia"/>
          <w:sz w:val="24"/>
          <w:szCs w:val="24"/>
        </w:rPr>
        <w:instrText>‐</w:instrText>
      </w:r>
      <w:r w:rsidR="009D7443">
        <w:rPr>
          <w:rFonts w:ascii="Times New Roman" w:hAnsi="Times New Roman" w:cs="Times New Roman" w:hint="eastAsia"/>
          <w:sz w:val="24"/>
          <w:szCs w:val="24"/>
        </w:rPr>
        <w:instrText>driven changes in nutrient availability. In contrast, cell physiology is more s</w:instrText>
      </w:r>
      <w:r w:rsidR="009D7443">
        <w:rPr>
          <w:rFonts w:ascii="Times New Roman" w:hAnsi="Times New Roman" w:cs="Times New Roman"/>
          <w:sz w:val="24"/>
          <w:szCs w:val="24"/>
        </w:rPr>
        <w:instrText xml:space="preserve">ensitive to temperature changes. Here, we argue that biogeochemical models need to consider the adaptive potential of diverse phytoplankton communities. However, a full understanding of phytoplankton resilience to future ocean changes is hampered by a lack of global biogeographic observations to test theories. We propose that the resilience may in fact be greater in oligotrophic waters than currently considered with implications for future predictions of phytoplankton biomass, primary productivity, and carbon export.","container-title":"Limnology and Oceanography","DOI":"10.1002/lno.12029","ISSN":"0024-3590, 1939-5590","issue":"S1","journalAbbreviation":"Limnology &amp; Oceanography","language":"en","source":"DOI.org (Crossref)","title":"Marine phytoplankton resilience may moderate oligotrophic ecosystem responses and biogeochemical feedbacks to climate change","URL":"https://aslopubs.onlinelibrary.wiley.com/doi/10.1002/lno.12029","volume":"67","author":[{"family":"Martiny","given":""},{"family":"Hagstrom","given":"George I."},{"family":"DeVries","given":"Tim"},{"family":"Letscher","given":"Robert T."},{"family":"Britten","given":"Gregory L."},{"family":"Garcia","given":"Catherine A."},{"family":"Galbraith","given":"Eric"},{"family":"Karl","given":"David"},{"family":"Levin","given":"Simon A."},{"family":"Lomas","given":"Michael W."},{"family":"Moreno","given":"Allison R."},{"family":"Talmy","given":"David"},{"family":"Wang","given":"Weilei"},{"family":"Matsumoto","given":"Katsumi"}],"accessed":{"date-parts":[["2024",2,2]]},"issued":{"date-parts":[["2022",2]]}}},{"id":3629,"uris":["http://zotero.org/users/6128296/items/SVATBYP9"],"itemData":{"id":3629,"type":"article-journal","abstract":"The ocean's nitrogen cycle is driven by complex microbial transformations, including nitrogen fixation, assimilation, nitrification, anammox and denitrification. Dinitrogen is the most abundant form of nitrogen in sea water but only accessible by nitrogen-fixing microbes. Denitrification and nitrification are both regulated by oxygen concentrations and potentially produce nitrous oxide (N\n              2\n              O), a climate-relevant atmospheric trace gas. The world's oceans, including the coastal areas and upwelling areas, contribute about 30 per cent to the atmospheric N\n              2\n              O budget and are, therefore, a major source of this gas to the atmosphere. Human activities now add more nitrogen to the environment than is naturally fixed. More than half of the nitrogen reaches the coastal ocean via river input and atmospheric deposition, of which the latter affects even remote oceanic regions. A nitrogen budget for the coastal and open ocean, where inputs and outputs match rather well, is presented. Furthermore, predicted climate change will impact the expansion of the oceans' oxygen minimum zones, the productivity of surface waters and presumably other microbial processes, with unpredictable consequences for the cycling of nitrogen. Nitrogen cycling is closely intertwined with that of carbon, phosphorous and other biologically important elements via biological stoichiometric requirements. This linkage implies that human alterations of nitrogen cycling are likely to have major consequences for other biogeochemical processes and ecosystem functions and services.","container-title":"Philosophical Transactions of the Royal Society B: Biological Sciences","DOI":"10.1098/rstb.2013.0121","ISSN":"0962-8436, 1471-2970","issue":"1621","journalAbbreviation":"Phil. Trans. R. Soc. B","language":"en","page":"20130121","source":"DOI.org (Crossref)","title":"The marine nitrogen cycle: recent discoveries, uncertainties and the potential relevance of climate change","title-short":"The marine nitrogen cycle","volume":"368","author":[{"family":"Voss","given":""},{"family":"Bange","given":"Hermann W."},{"family":"Dippner","given":"Joachim W."},{"family":"Middelburg","given":"Jack J."},{"family":"Montoya","given":"Joseph P."},{"family":"Ward","given":"Bess"}],"issued":{"date-parts":[["2013",7,5]]}}}],"schema":"https://github.com/citation-style-language/schema/raw/master/csl-citation.json"} </w:instrText>
      </w:r>
      <w:r w:rsidR="001B06F2" w:rsidRPr="003609FB">
        <w:rPr>
          <w:rFonts w:ascii="Times New Roman" w:hAnsi="Times New Roman" w:cs="Times New Roman"/>
          <w:sz w:val="24"/>
          <w:szCs w:val="24"/>
        </w:rPr>
        <w:fldChar w:fldCharType="separate"/>
      </w:r>
      <w:r w:rsidR="00922909">
        <w:rPr>
          <w:rFonts w:ascii="Times New Roman" w:hAnsi="Times New Roman" w:cs="Times New Roman"/>
          <w:sz w:val="24"/>
          <w:szCs w:val="24"/>
        </w:rPr>
        <w:t xml:space="preserve">(Martiny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xml:space="preserve">. 2022; Voss </w:t>
      </w:r>
      <w:r w:rsidR="00183222" w:rsidRPr="00183222">
        <w:rPr>
          <w:rFonts w:ascii="Times New Roman" w:hAnsi="Times New Roman" w:cs="Times New Roman"/>
          <w:i/>
          <w:iCs/>
          <w:sz w:val="24"/>
          <w:szCs w:val="24"/>
        </w:rPr>
        <w:t>et al</w:t>
      </w:r>
      <w:r w:rsidR="00922909">
        <w:rPr>
          <w:rFonts w:ascii="Times New Roman" w:hAnsi="Times New Roman" w:cs="Times New Roman"/>
          <w:sz w:val="24"/>
          <w:szCs w:val="24"/>
        </w:rPr>
        <w:t>. 2013)</w:t>
      </w:r>
      <w:r w:rsidR="001B06F2" w:rsidRPr="003609FB">
        <w:rPr>
          <w:rFonts w:ascii="Times New Roman" w:hAnsi="Times New Roman" w:cs="Times New Roman"/>
          <w:sz w:val="24"/>
          <w:szCs w:val="24"/>
        </w:rPr>
        <w:fldChar w:fldCharType="end"/>
      </w:r>
      <w:r w:rsidR="009175EE" w:rsidRPr="003609FB">
        <w:rPr>
          <w:rFonts w:ascii="Times New Roman" w:hAnsi="Times New Roman" w:cs="Times New Roman"/>
          <w:sz w:val="24"/>
          <w:szCs w:val="24"/>
        </w:rPr>
        <w:t xml:space="preserve">. However, as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 xml:space="preserve"> </w:t>
      </w:r>
      <w:r w:rsidR="00E12792">
        <w:rPr>
          <w:rFonts w:ascii="Times New Roman" w:hAnsi="Times New Roman" w:cs="Times New Roman"/>
          <w:sz w:val="24"/>
          <w:szCs w:val="24"/>
        </w:rPr>
        <w:t xml:space="preserve">inputs </w:t>
      </w:r>
      <w:r w:rsidR="009175EE" w:rsidRPr="003609FB">
        <w:rPr>
          <w:rFonts w:ascii="Times New Roman" w:hAnsi="Times New Roman" w:cs="Times New Roman"/>
          <w:sz w:val="24"/>
          <w:szCs w:val="24"/>
        </w:rPr>
        <w:t>may increase</w:t>
      </w:r>
      <w:r w:rsidR="00E12792">
        <w:rPr>
          <w:rFonts w:ascii="Times New Roman" w:hAnsi="Times New Roman" w:cs="Times New Roman"/>
          <w:sz w:val="24"/>
          <w:szCs w:val="24"/>
        </w:rPr>
        <w:t>,</w:t>
      </w:r>
      <w:r w:rsidR="009175EE" w:rsidRPr="003609FB">
        <w:rPr>
          <w:rFonts w:ascii="Times New Roman" w:hAnsi="Times New Roman" w:cs="Times New Roman"/>
          <w:sz w:val="24"/>
          <w:szCs w:val="24"/>
        </w:rPr>
        <w:t xml:space="preserve"> while nutrient depletion could simultaneously decrease community ‘</w:t>
      </w:r>
      <w:proofErr w:type="gramStart"/>
      <w:r w:rsidR="009175EE" w:rsidRPr="003609FB">
        <w:rPr>
          <w:rFonts w:ascii="Times New Roman" w:hAnsi="Times New Roman" w:cs="Times New Roman"/>
          <w:sz w:val="24"/>
          <w:szCs w:val="24"/>
        </w:rPr>
        <w:t>helper‘</w:t>
      </w:r>
      <w:r w:rsidR="00E512BD">
        <w:rPr>
          <w:rFonts w:ascii="Times New Roman" w:hAnsi="Times New Roman" w:cs="Times New Roman"/>
          <w:sz w:val="24"/>
          <w:szCs w:val="24"/>
        </w:rPr>
        <w:t xml:space="preserve"> </w:t>
      </w:r>
      <w:r w:rsidR="009175EE" w:rsidRPr="003609FB">
        <w:rPr>
          <w:rFonts w:ascii="Times New Roman" w:hAnsi="Times New Roman" w:cs="Times New Roman"/>
          <w:sz w:val="24"/>
          <w:szCs w:val="24"/>
        </w:rPr>
        <w:t>populations</w:t>
      </w:r>
      <w:proofErr w:type="gramEnd"/>
      <w:r w:rsidR="009175EE" w:rsidRPr="003609FB">
        <w:rPr>
          <w:rFonts w:ascii="Times New Roman" w:hAnsi="Times New Roman" w:cs="Times New Roman"/>
          <w:sz w:val="24"/>
          <w:szCs w:val="24"/>
        </w:rPr>
        <w:t xml:space="preserve">, </w:t>
      </w:r>
      <w:r w:rsidR="00E12792" w:rsidRPr="003609FB">
        <w:rPr>
          <w:rFonts w:ascii="Times New Roman" w:hAnsi="Times New Roman" w:cs="Times New Roman"/>
          <w:sz w:val="24"/>
          <w:szCs w:val="24"/>
        </w:rPr>
        <w:t>additional</w:t>
      </w:r>
      <w:r w:rsidR="009175EE" w:rsidRPr="003609FB">
        <w:rPr>
          <w:rFonts w:ascii="Times New Roman" w:hAnsi="Times New Roman" w:cs="Times New Roman"/>
          <w:sz w:val="24"/>
          <w:szCs w:val="24"/>
        </w:rPr>
        <w:t xml:space="preserve"> </w:t>
      </w:r>
      <w:r w:rsidR="00E12792">
        <w:rPr>
          <w:rFonts w:ascii="Times New Roman" w:hAnsi="Times New Roman" w:cs="Times New Roman"/>
          <w:sz w:val="24"/>
          <w:szCs w:val="24"/>
        </w:rPr>
        <w:t xml:space="preserve">investigation is required to further the </w:t>
      </w:r>
      <w:r w:rsidR="009175EE" w:rsidRPr="003609FB">
        <w:rPr>
          <w:rFonts w:ascii="Times New Roman" w:hAnsi="Times New Roman" w:cs="Times New Roman"/>
          <w:sz w:val="24"/>
          <w:szCs w:val="24"/>
        </w:rPr>
        <w:t>understanding of this system</w:t>
      </w:r>
      <w:r w:rsidR="00E12792">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Current biochemically resolved circulation models of Earth’s oceans </w:t>
      </w:r>
      <w:sdt>
        <w:sdtPr>
          <w:rPr>
            <w:rFonts w:ascii="Times New Roman" w:hAnsi="Times New Roman" w:cs="Times New Roman"/>
            <w:sz w:val="24"/>
            <w:szCs w:val="24"/>
          </w:rPr>
          <w:tag w:val="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"/>
          <w:id w:val="-677121944"/>
          <w:placeholder>
            <w:docPart w:val="1C35CD502F34F149A0C76A2F8E2D40B3"/>
          </w:placeholder>
        </w:sdtPr>
        <w:sdtContent>
          <w:r w:rsidR="009175EE" w:rsidRPr="003609FB">
            <w:rPr>
              <w:rFonts w:ascii="Times New Roman" w:hAnsi="Times New Roman" w:cs="Times New Roman"/>
              <w:sz w:val="24"/>
              <w:szCs w:val="24"/>
            </w:rPr>
            <w:t xml:space="preserve">(Carroll </w:t>
          </w:r>
          <w:r w:rsidR="00183222" w:rsidRPr="00183222">
            <w:rPr>
              <w:rFonts w:ascii="Times New Roman" w:hAnsi="Times New Roman" w:cs="Times New Roman"/>
              <w:i/>
              <w:iCs/>
              <w:sz w:val="24"/>
              <w:szCs w:val="24"/>
            </w:rPr>
            <w:t>et al</w:t>
          </w:r>
          <w:r w:rsidR="009175EE" w:rsidRPr="003609FB">
            <w:rPr>
              <w:rFonts w:ascii="Times New Roman" w:hAnsi="Times New Roman" w:cs="Times New Roman"/>
              <w:sz w:val="24"/>
              <w:szCs w:val="24"/>
            </w:rPr>
            <w:t xml:space="preserve">., 2020; Ward </w:t>
          </w:r>
          <w:r w:rsidR="00183222" w:rsidRPr="00183222">
            <w:rPr>
              <w:rFonts w:ascii="Times New Roman" w:hAnsi="Times New Roman" w:cs="Times New Roman"/>
              <w:i/>
              <w:iCs/>
              <w:sz w:val="24"/>
              <w:szCs w:val="24"/>
            </w:rPr>
            <w:t>et al</w:t>
          </w:r>
          <w:r w:rsidR="009175EE" w:rsidRPr="003609FB">
            <w:rPr>
              <w:rFonts w:ascii="Times New Roman" w:hAnsi="Times New Roman" w:cs="Times New Roman"/>
              <w:sz w:val="24"/>
              <w:szCs w:val="24"/>
            </w:rPr>
            <w:t>., 2012)</w:t>
          </w:r>
        </w:sdtContent>
      </w:sdt>
      <w:r w:rsidR="009175EE" w:rsidRPr="003609FB">
        <w:rPr>
          <w:rFonts w:ascii="Times New Roman" w:hAnsi="Times New Roman" w:cs="Times New Roman"/>
          <w:sz w:val="24"/>
          <w:szCs w:val="24"/>
        </w:rPr>
        <w:t xml:space="preserve"> agree with thermal niche and nutrient models that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dominates in the most oligotrophic marine surface regions</w:t>
      </w:r>
      <w:r w:rsidR="001B06F2" w:rsidRPr="003609FB">
        <w:rPr>
          <w:rFonts w:ascii="Times New Roman" w:hAnsi="Times New Roman" w:cs="Times New Roman"/>
          <w:sz w:val="24"/>
          <w:szCs w:val="24"/>
        </w:rPr>
        <w:t xml:space="preserve"> </w:t>
      </w:r>
      <w:r w:rsidR="001B06F2" w:rsidRPr="003609FB">
        <w:rPr>
          <w:rFonts w:ascii="Times New Roman" w:hAnsi="Times New Roman" w:cs="Times New Roman"/>
          <w:sz w:val="24"/>
          <w:szCs w:val="24"/>
        </w:rPr>
        <w:fldChar w:fldCharType="begin"/>
      </w:r>
      <w:r w:rsidR="009D7443">
        <w:rPr>
          <w:rFonts w:ascii="Times New Roman" w:hAnsi="Times New Roman" w:cs="Times New Roman"/>
          <w:sz w:val="24"/>
          <w:szCs w:val="24"/>
        </w:rPr>
        <w:instrText xml:space="preserve"> ADDIN ZOTERO_ITEM CSL_CITATION {"citationID":"r5oC1guS","properties":{"formattedCitation":"(Dutkiewicz, Follows, and Bragg 2009; Follows and Dutkiewicz 2011; Ward et al. 2017)","plainCitation":"(Dutkiewicz, Follows, and Bragg 2009; Follows and Dutkiewicz 2011; Ward et al. 2017)","noteIndex":0},"citationItems":[{"id":88,"uris":["http://zotero.org/users/6128296/items/GNGVK9JM"],"itemData":{"id":88,"type":"article-journal","abstract":"We examine the interplay between ecology and biogeochemical cycles in the context of a global three-dimensional ocean model where self-assembling phytoplankton communities emerge from a wide set of potentially viable cell types. We consider the complex model solutions in the light of resource competition theory. The emergent community structures and ecological regimes vary across different physical environments in the model ocean: Strongly seasonal, high-nutrient regions are dominated by fast growing bloom specialists, while stable, low-seasonality regions are dominated by organisms that can grow at low nutrient concentrations and are suited to oligotrophic conditions. In the latter regions, the framework of resource competition theory provides a useful qualitative and quantitative diagnostic tool with which to interpret the outcome of competition between model organisms, their regulation of the resource environment, and the sensitivity of the system to changes in key physiological characteristics of the cells.","container-title":"Global Biogeochemical Cycles","DOI":"10.1029/2008GB003405","ISSN":"08866236","issue":"4","journalAbbreviation":"Global Biogeochem. Cycles","language":"en","page":"n/a-n/a","source":"DOI.org (Crossref)","title":"Modeling the coupling of ocean ecology and biogeochemistry: COUPLING OF ECOLOGY AND BIOGEOCHEMISTRY","title-short":"Modeling the coupling of ocean ecology and biogeochemistry","volume":"23","author":[{"family":"Dutkiewicz","given":""},{"family":"Follows","given":"M. J."},{"family":"Bragg","given":"J. G."}],"issued":{"date-parts":[["2009",12]]}}},{"id":199,"uris":["http://zotero.org/users/6128296/items/E4NTIY5C"],"itemData":{"id":199,"type":"article-journal","abstract":"Biogeochemical cycles in the ocean are mediated by complex and diverse microbial communities. Over the past decade, marine ecosystem and biogeochemistry models have begun to address some of this diversity by resolving several groups of (mostly autotrophic) plankton, differentiated by biogeochemical function. Here, we review recent model approaches that are rooted in the notion that an even richer diversity is fundamental to the organization of marine microbial communities. These models begin to resolve, and address the signiﬁcance of, diversity within functional groups. Seeded with diverse populations spanning prescribed regions of trait space, these simulations self-select community structure according to relative ﬁtness in the virtual environment. Such models are suited to considering ecological questions, such as the regulation of patterns of biodiversity, and to simulating the response to changing environments. A key issue for all such models is the constraint of viable trait space and trade-offs. Size-structuring and mechanistic descriptions of energy and resource allocation at the individual level can rationalize these constraints.","container-title":"Annual Review of Marine Science","DOI":"10.1146/annurev-marine-120709-142848","ISSN":"1941-1405, 1941-0611","issue":"1","journalAbbreviation":"Annu. Rev. Mar. Sci.","language":"en","page":"427-451","source":"DOI.org (Crossref)","title":"Modeling Diverse Communities of Marine Microbes","volume":"3","author":[{"family":"Follows","given":""},{"family":"Dutkiewicz","given":"Stephanie"}],"issued":{"date-parts":[["2011",1,15]]}}},{"id":1379,"uris":["http://zotero.org/users/6128296/items/9ZUCAS55"],"itemData":{"id":1379,"type":"article-journal","abstract":"Rates of metabolism and population growth are often assumed to decrease universally with increasing organism size. Recent observations have shown, however, that maximum population growth rates among phytoplankton smaller than </w:instrText>
      </w:r>
      <w:r w:rsidR="009D7443">
        <w:rPr>
          <w:rFonts w:ascii="Cambria Math" w:hAnsi="Cambria Math" w:cs="Cambria Math"/>
          <w:sz w:val="24"/>
          <w:szCs w:val="24"/>
        </w:rPr>
        <w:instrText>∼</w:instrText>
      </w:r>
      <w:r w:rsidR="009D7443">
        <w:rPr>
          <w:rFonts w:ascii="Times New Roman" w:hAnsi="Times New Roman" w:cs="Times New Roman"/>
          <w:sz w:val="24"/>
          <w:szCs w:val="24"/>
        </w:rPr>
        <w:instrText xml:space="preserve">6 mm in diameter tend to increase with organism size. Here we bring together observations and theory to demonstrate that the observed change in slope is attributable to a trade-off between nutrient uptake and the potential rate of internal metabolism. Speciﬁcally, we apply an established model of phytoplankton growth to explore a trade-off between the ability of cells to replenish their internal quota (which increases with size) and their ability to synthesize new biomass (which decreases with size). Contrary to the metabolic theory of ecology, these results demonstrate that rates of resource acquisition (rather than metabolism) provide the primary physiological constraint on the growth rates of some of the smallest and most numerically abundant photosynthetic organisms on Earth.","container-title":"The American Naturalist","DOI":"10.1086/689992","ISSN":"0003-0147, 1537-5323","issue":"2","journalAbbreviation":"The American Naturalist","language":"en","page":"170-177","source":"DOI.org (Crossref)","title":"The Size Dependence of Phytoplankton Growth Rates: A Trade-Off between Nutrient Uptake and Metabolism","title-short":"The Size Dependence of Phytoplankton Growth Rates","volume":"189","author":[{"family":"Ward","given":""},{"family":"Marañón","given":"Emilio"},{"family":"Sauterey","given":"Boris"},{"family":"Rault","given":"Jonathan"},{"family":"Claessen","given":"David"}],"issued":{"date-parts":[["2017",2]]}}}],"schema":"https://github.com/citation-style-language/schema/raw/master/csl-citation.json"} </w:instrText>
      </w:r>
      <w:r w:rsidR="001B06F2" w:rsidRPr="003609FB">
        <w:rPr>
          <w:rFonts w:ascii="Times New Roman" w:hAnsi="Times New Roman" w:cs="Times New Roman"/>
          <w:sz w:val="24"/>
          <w:szCs w:val="24"/>
        </w:rPr>
        <w:fldChar w:fldCharType="separate"/>
      </w:r>
      <w:r w:rsidR="009D7443">
        <w:rPr>
          <w:rFonts w:ascii="Times New Roman" w:hAnsi="Times New Roman" w:cs="Times New Roman"/>
          <w:sz w:val="24"/>
          <w:szCs w:val="24"/>
        </w:rPr>
        <w:t xml:space="preserve">(Dutkiewicz, Follows, and Bragg 2009; Follows and Dutkiewicz 2011; Ward </w:t>
      </w:r>
      <w:r w:rsidR="00183222" w:rsidRPr="00183222">
        <w:rPr>
          <w:rFonts w:ascii="Times New Roman" w:hAnsi="Times New Roman" w:cs="Times New Roman"/>
          <w:i/>
          <w:iCs/>
          <w:sz w:val="24"/>
          <w:szCs w:val="24"/>
        </w:rPr>
        <w:t>et al</w:t>
      </w:r>
      <w:r w:rsidR="009D7443">
        <w:rPr>
          <w:rFonts w:ascii="Times New Roman" w:hAnsi="Times New Roman" w:cs="Times New Roman"/>
          <w:sz w:val="24"/>
          <w:szCs w:val="24"/>
        </w:rPr>
        <w:t>. 2017)</w:t>
      </w:r>
      <w:r w:rsidR="001B06F2" w:rsidRPr="003609FB">
        <w:rPr>
          <w:rFonts w:ascii="Times New Roman" w:hAnsi="Times New Roman" w:cs="Times New Roman"/>
          <w:sz w:val="24"/>
          <w:szCs w:val="24"/>
        </w:rPr>
        <w:fldChar w:fldCharType="end"/>
      </w:r>
      <w:r w:rsidR="001B06F2" w:rsidRPr="003609FB">
        <w:rPr>
          <w:rFonts w:ascii="Times New Roman" w:hAnsi="Times New Roman" w:cs="Times New Roman"/>
          <w:sz w:val="24"/>
          <w:szCs w:val="24"/>
        </w:rPr>
        <w:t xml:space="preserve">. </w:t>
      </w:r>
      <w:r w:rsidR="009175EE" w:rsidRPr="003609FB">
        <w:rPr>
          <w:rFonts w:ascii="Times New Roman" w:hAnsi="Times New Roman" w:cs="Times New Roman"/>
          <w:sz w:val="24"/>
          <w:szCs w:val="24"/>
        </w:rPr>
        <w:t xml:space="preserve">However explicit representations of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009175EE" w:rsidRPr="003609FB">
        <w:rPr>
          <w:rFonts w:ascii="Times New Roman" w:hAnsi="Times New Roman" w:cs="Times New Roman"/>
          <w:sz w:val="24"/>
          <w:szCs w:val="24"/>
        </w:rPr>
        <w:t>, impacts on these cyanobacteria have been ignored. This thesis aims to serve as a basal step in filling this need.</w:t>
      </w:r>
    </w:p>
    <w:p w14:paraId="13F0C9A2" w14:textId="42E5AD59" w:rsidR="009175EE" w:rsidRPr="003609FB" w:rsidRDefault="009175EE" w:rsidP="00AB2160">
      <w:pPr>
        <w:spacing w:line="360" w:lineRule="auto"/>
        <w:ind w:firstLine="720"/>
        <w:rPr>
          <w:rFonts w:ascii="Times New Roman" w:hAnsi="Times New Roman" w:cs="Times New Roman"/>
          <w:sz w:val="24"/>
          <w:szCs w:val="24"/>
          <w:highlight w:val="magenta"/>
        </w:rPr>
      </w:pPr>
      <w:r w:rsidRPr="003609FB">
        <w:rPr>
          <w:rFonts w:ascii="Times New Roman" w:hAnsi="Times New Roman" w:cs="Times New Roman"/>
          <w:sz w:val="24"/>
          <w:szCs w:val="24"/>
        </w:rPr>
        <w:t xml:space="preserve">This thesis presents a stepwise methodology for the construction of a microbial model framework. Laboratory data was used to constrain monoculture parameters that we then manipulate across modeled nutrient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landscapes </w:t>
      </w:r>
      <w:proofErr w:type="gramStart"/>
      <w:r w:rsidRPr="003609FB">
        <w:rPr>
          <w:rFonts w:ascii="Times New Roman" w:hAnsi="Times New Roman" w:cs="Times New Roman"/>
          <w:sz w:val="24"/>
          <w:szCs w:val="24"/>
        </w:rPr>
        <w:t>in order to</w:t>
      </w:r>
      <w:proofErr w:type="gramEnd"/>
      <w:r w:rsidRPr="003609FB">
        <w:rPr>
          <w:rFonts w:ascii="Times New Roman" w:hAnsi="Times New Roman" w:cs="Times New Roman"/>
          <w:sz w:val="24"/>
          <w:szCs w:val="24"/>
        </w:rPr>
        <w:t xml:space="preserve"> investigate these as drivers </w:t>
      </w:r>
      <w:r w:rsidRPr="003609FB">
        <w:rPr>
          <w:rFonts w:ascii="Times New Roman" w:hAnsi="Times New Roman" w:cs="Times New Roman"/>
          <w:sz w:val="24"/>
          <w:szCs w:val="24"/>
        </w:rPr>
        <w:lastRenderedPageBreak/>
        <w:t xml:space="preserve">of microbial community composition. Divergent phenotypes of different picoplankton are quantifiable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using this model. This is the first iteration of quantifying the biogeographical impact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on various plankton found in the surface ocean. The tradeoffs between growth advantage (</w:t>
      </w:r>
      <w:r w:rsidR="00691B65" w:rsidRPr="00691B65">
        <w:rPr>
          <w:rFonts w:ascii="Times New Roman" w:hAnsi="Times New Roman" w:cs="Times New Roman"/>
          <w:i/>
          <w:iCs/>
          <w:sz w:val="24"/>
          <w:szCs w:val="24"/>
        </w:rPr>
        <w:t>Prochlorococcus</w:t>
      </w:r>
      <w:r w:rsidR="00691B65" w:rsidRPr="003609FB">
        <w:rPr>
          <w:rFonts w:ascii="Times New Roman" w:hAnsi="Times New Roman" w:cs="Times New Roman"/>
          <w:sz w:val="24"/>
          <w:szCs w:val="24"/>
        </w:rPr>
        <w:t xml:space="preserve"> </w:t>
      </w:r>
      <w:r w:rsidR="001B06F2" w:rsidRPr="003609FB">
        <w:rPr>
          <w:rFonts w:ascii="Times New Roman" w:hAnsi="Times New Roman" w:cs="Times New Roman"/>
          <w:sz w:val="24"/>
          <w:szCs w:val="24"/>
        </w:rPr>
        <w:t>and other streamlined competitors</w:t>
      </w:r>
      <w:r w:rsidRPr="003609FB">
        <w:rPr>
          <w:rFonts w:ascii="Times New Roman" w:hAnsi="Times New Roman" w:cs="Times New Roman"/>
          <w:sz w:val="24"/>
          <w:szCs w:val="24"/>
        </w:rPr>
        <w:t xml:space="preserve">) and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or </w:t>
      </w:r>
      <w:r w:rsidR="001B06F2" w:rsidRPr="003609FB">
        <w:rPr>
          <w:rFonts w:ascii="Times New Roman" w:hAnsi="Times New Roman" w:cs="Times New Roman"/>
          <w:sz w:val="24"/>
          <w:szCs w:val="24"/>
        </w:rPr>
        <w:t xml:space="preserve">heterotrophic </w:t>
      </w:r>
      <w:r w:rsidRPr="003609FB">
        <w:rPr>
          <w:rFonts w:ascii="Times New Roman" w:hAnsi="Times New Roman" w:cs="Times New Roman"/>
          <w:sz w:val="24"/>
          <w:szCs w:val="24"/>
        </w:rPr>
        <w:t xml:space="preserve">bacteria) were found to control the toggle between competitive and coexistent behavior in this model framework. The leakiness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was found to be a key driver of coexistence both in both the dimensionless </w:t>
      </w:r>
      <w:r w:rsidR="001B06F2"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3 and the spatially and temporally resolved </w:t>
      </w:r>
      <w:r w:rsidR="001B06F2" w:rsidRPr="003609FB">
        <w:rPr>
          <w:rFonts w:ascii="Times New Roman" w:hAnsi="Times New Roman" w:cs="Times New Roman"/>
          <w:sz w:val="24"/>
          <w:szCs w:val="24"/>
        </w:rPr>
        <w:t>C</w:t>
      </w:r>
      <w:r w:rsidRPr="003609FB">
        <w:rPr>
          <w:rFonts w:ascii="Times New Roman" w:hAnsi="Times New Roman" w:cs="Times New Roman"/>
          <w:sz w:val="24"/>
          <w:szCs w:val="24"/>
        </w:rPr>
        <w:t xml:space="preserve">hapter 4. </w:t>
      </w:r>
      <w:r w:rsidR="007A2937" w:rsidRPr="003609FB">
        <w:rPr>
          <w:rFonts w:ascii="Times New Roman" w:hAnsi="Times New Roman" w:cs="Times New Roman"/>
          <w:sz w:val="24"/>
          <w:szCs w:val="24"/>
        </w:rPr>
        <w:t>Thus,</w:t>
      </w:r>
      <w:r w:rsidRPr="003609FB">
        <w:rPr>
          <w:rFonts w:ascii="Times New Roman" w:hAnsi="Times New Roman" w:cs="Times New Roman"/>
          <w:sz w:val="24"/>
          <w:szCs w:val="24"/>
        </w:rPr>
        <w:t xml:space="preserve"> quantitative ecological evaluation of microbes impacted by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can be performed at the community level using this model framework.</w:t>
      </w:r>
    </w:p>
    <w:p w14:paraId="2E883BCF" w14:textId="16F0C3EA" w:rsidR="00CC4832" w:rsidRPr="003609FB" w:rsidRDefault="00CC4832" w:rsidP="00AB2160">
      <w:pPr>
        <w:spacing w:line="360" w:lineRule="auto"/>
        <w:rPr>
          <w:rFonts w:ascii="Times New Roman" w:hAnsi="Times New Roman" w:cs="Times New Roman"/>
          <w:sz w:val="24"/>
          <w:szCs w:val="24"/>
        </w:rPr>
      </w:pPr>
    </w:p>
    <w:p w14:paraId="2D98B75C" w14:textId="56BF059C" w:rsidR="009175EE" w:rsidRPr="003609FB" w:rsidRDefault="009175EE" w:rsidP="00AB2160">
      <w:pPr>
        <w:spacing w:line="360" w:lineRule="auto"/>
        <w:rPr>
          <w:rFonts w:ascii="Times New Roman" w:hAnsi="Times New Roman" w:cs="Times New Roman"/>
          <w:sz w:val="24"/>
          <w:szCs w:val="24"/>
        </w:rPr>
      </w:pPr>
    </w:p>
    <w:p w14:paraId="79470C8F" w14:textId="35B9B074" w:rsidR="009175EE" w:rsidRPr="003609FB" w:rsidRDefault="009175EE" w:rsidP="00AB2160">
      <w:pPr>
        <w:spacing w:line="360" w:lineRule="auto"/>
        <w:rPr>
          <w:rFonts w:ascii="Times New Roman" w:hAnsi="Times New Roman" w:cs="Times New Roman"/>
          <w:sz w:val="24"/>
          <w:szCs w:val="24"/>
        </w:rPr>
      </w:pPr>
    </w:p>
    <w:p w14:paraId="2FB31833" w14:textId="04B43000" w:rsidR="009175EE" w:rsidRPr="003609FB" w:rsidRDefault="009175EE" w:rsidP="00AB2160">
      <w:pPr>
        <w:spacing w:line="360" w:lineRule="auto"/>
        <w:rPr>
          <w:rFonts w:ascii="Times New Roman" w:hAnsi="Times New Roman" w:cs="Times New Roman"/>
          <w:sz w:val="24"/>
          <w:szCs w:val="24"/>
        </w:rPr>
      </w:pPr>
    </w:p>
    <w:p w14:paraId="0FA230D1" w14:textId="5C3779F9" w:rsidR="009175EE" w:rsidRPr="003609FB" w:rsidRDefault="009175EE" w:rsidP="00AB2160">
      <w:pPr>
        <w:spacing w:line="360" w:lineRule="auto"/>
        <w:rPr>
          <w:rFonts w:ascii="Times New Roman" w:hAnsi="Times New Roman" w:cs="Times New Roman"/>
          <w:sz w:val="24"/>
          <w:szCs w:val="24"/>
        </w:rPr>
      </w:pPr>
    </w:p>
    <w:p w14:paraId="574F1A33" w14:textId="10AD0114" w:rsidR="009175EE" w:rsidRPr="003609FB" w:rsidRDefault="009175EE" w:rsidP="00AB2160">
      <w:pPr>
        <w:spacing w:line="360" w:lineRule="auto"/>
        <w:rPr>
          <w:rFonts w:ascii="Times New Roman" w:hAnsi="Times New Roman" w:cs="Times New Roman"/>
          <w:sz w:val="24"/>
          <w:szCs w:val="24"/>
        </w:rPr>
      </w:pPr>
    </w:p>
    <w:p w14:paraId="580F1AFB" w14:textId="568AEA4C" w:rsidR="009175EE" w:rsidRPr="003609FB" w:rsidRDefault="009175EE" w:rsidP="00AB2160">
      <w:pPr>
        <w:spacing w:line="360" w:lineRule="auto"/>
        <w:rPr>
          <w:rFonts w:ascii="Times New Roman" w:hAnsi="Times New Roman" w:cs="Times New Roman"/>
          <w:sz w:val="24"/>
          <w:szCs w:val="24"/>
        </w:rPr>
      </w:pPr>
    </w:p>
    <w:p w14:paraId="2A4B3AA8" w14:textId="2315F8BA" w:rsidR="009175EE" w:rsidRPr="003609FB" w:rsidRDefault="009175EE" w:rsidP="00AB2160">
      <w:pPr>
        <w:spacing w:line="360" w:lineRule="auto"/>
        <w:rPr>
          <w:rFonts w:ascii="Times New Roman" w:hAnsi="Times New Roman" w:cs="Times New Roman"/>
          <w:sz w:val="24"/>
          <w:szCs w:val="24"/>
        </w:rPr>
      </w:pPr>
    </w:p>
    <w:p w14:paraId="1CF3CC2B" w14:textId="4FEC43DE" w:rsidR="009175EE" w:rsidRPr="003609FB" w:rsidRDefault="009175EE" w:rsidP="00AB2160">
      <w:pPr>
        <w:spacing w:line="360" w:lineRule="auto"/>
        <w:rPr>
          <w:rFonts w:ascii="Times New Roman" w:hAnsi="Times New Roman" w:cs="Times New Roman"/>
          <w:sz w:val="24"/>
          <w:szCs w:val="24"/>
        </w:rPr>
      </w:pPr>
    </w:p>
    <w:p w14:paraId="35F488F8" w14:textId="01376C76" w:rsidR="009175EE" w:rsidRPr="003609FB" w:rsidRDefault="009175EE" w:rsidP="00AB2160">
      <w:pPr>
        <w:spacing w:line="360" w:lineRule="auto"/>
        <w:rPr>
          <w:rFonts w:ascii="Times New Roman" w:hAnsi="Times New Roman" w:cs="Times New Roman"/>
          <w:sz w:val="24"/>
          <w:szCs w:val="24"/>
        </w:rPr>
      </w:pPr>
    </w:p>
    <w:p w14:paraId="4648A097" w14:textId="6B45A3C2" w:rsidR="009175EE" w:rsidRPr="003609FB" w:rsidRDefault="009175EE" w:rsidP="00AB2160">
      <w:pPr>
        <w:spacing w:line="360" w:lineRule="auto"/>
        <w:rPr>
          <w:rFonts w:ascii="Times New Roman" w:hAnsi="Times New Roman" w:cs="Times New Roman"/>
          <w:sz w:val="24"/>
          <w:szCs w:val="24"/>
        </w:rPr>
      </w:pPr>
    </w:p>
    <w:p w14:paraId="371F1978" w14:textId="77777777" w:rsidR="006E0AF0" w:rsidRPr="003609FB" w:rsidRDefault="006E0AF0" w:rsidP="00AB2160">
      <w:pPr>
        <w:spacing w:line="360" w:lineRule="auto"/>
        <w:rPr>
          <w:rFonts w:ascii="Times New Roman" w:hAnsi="Times New Roman" w:cs="Times New Roman"/>
          <w:sz w:val="24"/>
          <w:szCs w:val="24"/>
        </w:rPr>
      </w:pPr>
    </w:p>
    <w:p w14:paraId="6D7AFBB0" w14:textId="77777777" w:rsidR="00D15565" w:rsidRDefault="00D15565" w:rsidP="00AB2160">
      <w:pPr>
        <w:pStyle w:val="Heading1"/>
        <w:numPr>
          <w:ilvl w:val="0"/>
          <w:numId w:val="0"/>
        </w:numPr>
        <w:spacing w:line="360" w:lineRule="auto"/>
        <w:jc w:val="center"/>
      </w:pPr>
    </w:p>
    <w:p w14:paraId="5547B7CB" w14:textId="77777777" w:rsidR="00D15565" w:rsidRDefault="00D15565" w:rsidP="00AB2160">
      <w:pPr>
        <w:pStyle w:val="Heading1"/>
        <w:numPr>
          <w:ilvl w:val="0"/>
          <w:numId w:val="0"/>
        </w:numPr>
        <w:spacing w:line="360" w:lineRule="auto"/>
        <w:jc w:val="center"/>
      </w:pPr>
    </w:p>
    <w:p w14:paraId="5B6F089E" w14:textId="2BEECE7E" w:rsidR="00D35086" w:rsidRDefault="00DD5229" w:rsidP="00AB2160">
      <w:pPr>
        <w:pStyle w:val="Heading1"/>
        <w:numPr>
          <w:ilvl w:val="0"/>
          <w:numId w:val="0"/>
        </w:numPr>
        <w:spacing w:line="360" w:lineRule="auto"/>
        <w:jc w:val="center"/>
      </w:pPr>
      <w:bookmarkStart w:id="87" w:name="_Toc173250057"/>
      <w:r>
        <w:lastRenderedPageBreak/>
        <w:t>R</w:t>
      </w:r>
      <w:r w:rsidRPr="006E0AF0">
        <w:t>eferences</w:t>
      </w:r>
      <w:bookmarkEnd w:id="87"/>
    </w:p>
    <w:p w14:paraId="43D0E7BE" w14:textId="7FAC759C"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Adkins-Jablonsky, Colleen M. Clark, Spiridon E. Papoulis, Matthew D. Kuhl, and J. Jeffrey Morris. 2021. “Market Forces Determine the Distribution of a Leaky Function in a Simple Microbial Community.”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118 (39): e2109813118. https://doi.org/10.1073/pnas.2109813118.</w:t>
      </w:r>
    </w:p>
    <w:p w14:paraId="40574D5F"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Aharonovich</w:t>
      </w:r>
      <w:proofErr w:type="spellEnd"/>
      <w:r w:rsidRPr="0014413A">
        <w:rPr>
          <w:rFonts w:asciiTheme="majorBidi" w:hAnsiTheme="majorBidi"/>
          <w:sz w:val="24"/>
          <w:szCs w:val="24"/>
        </w:rPr>
        <w:t xml:space="preserve">, and Daniel Sher. 2016. “Transcriptional Response of Prochlorococcus to Co-Culture with a Marine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Differences between Strains and the Involvement of Putative </w:t>
      </w:r>
      <w:proofErr w:type="spellStart"/>
      <w:r w:rsidRPr="0014413A">
        <w:rPr>
          <w:rFonts w:asciiTheme="majorBidi" w:hAnsiTheme="majorBidi"/>
          <w:sz w:val="24"/>
          <w:szCs w:val="24"/>
        </w:rPr>
        <w:t>Infochemicals</w:t>
      </w:r>
      <w:proofErr w:type="spellEnd"/>
      <w:r w:rsidRPr="0014413A">
        <w:rPr>
          <w:rFonts w:asciiTheme="majorBidi" w:hAnsiTheme="majorBidi"/>
          <w:sz w:val="24"/>
          <w:szCs w:val="24"/>
        </w:rPr>
        <w:t xml:space="preserve">.” </w:t>
      </w:r>
      <w:r w:rsidRPr="0014413A">
        <w:rPr>
          <w:rFonts w:asciiTheme="majorBidi" w:hAnsiTheme="majorBidi"/>
          <w:i/>
          <w:iCs/>
          <w:sz w:val="24"/>
          <w:szCs w:val="24"/>
        </w:rPr>
        <w:t>The ISME Journal</w:t>
      </w:r>
      <w:r w:rsidRPr="0014413A">
        <w:rPr>
          <w:rFonts w:asciiTheme="majorBidi" w:hAnsiTheme="majorBidi"/>
          <w:sz w:val="24"/>
          <w:szCs w:val="24"/>
        </w:rPr>
        <w:t xml:space="preserve"> 10 (12): 2892–2906. https://doi.org/10.1038/ismej.2016.70.</w:t>
      </w:r>
    </w:p>
    <w:p w14:paraId="70401E2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Ahlgren, and Gabrielle Rocap. 2012. “Diversity and Distribution of Marine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Multiple Gene Phylogenies for Consensus Classification and Development of qPCR Assays for Sensitive Measurement of Clades in the Ocean.” </w:t>
      </w:r>
      <w:r w:rsidRPr="0014413A">
        <w:rPr>
          <w:rFonts w:asciiTheme="majorBidi" w:hAnsiTheme="majorBidi"/>
          <w:i/>
          <w:iCs/>
          <w:sz w:val="24"/>
          <w:szCs w:val="24"/>
        </w:rPr>
        <w:t>Frontiers in Microbiology</w:t>
      </w:r>
      <w:r w:rsidRPr="0014413A">
        <w:rPr>
          <w:rFonts w:asciiTheme="majorBidi" w:hAnsiTheme="majorBidi"/>
          <w:sz w:val="24"/>
          <w:szCs w:val="24"/>
        </w:rPr>
        <w:t xml:space="preserve"> 3. https://doi.org/10.3389/fmicb.2012.00213.</w:t>
      </w:r>
    </w:p>
    <w:p w14:paraId="66D2E7C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Ahmad, Xiaogang Gu, Li </w:t>
      </w:r>
      <w:proofErr w:type="spellStart"/>
      <w:r w:rsidRPr="0014413A">
        <w:rPr>
          <w:rFonts w:asciiTheme="majorBidi" w:hAnsiTheme="majorBidi"/>
          <w:sz w:val="24"/>
          <w:szCs w:val="24"/>
        </w:rPr>
        <w:t>Li</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Shuguang</w:t>
      </w:r>
      <w:proofErr w:type="spellEnd"/>
      <w:r w:rsidRPr="0014413A">
        <w:rPr>
          <w:rFonts w:asciiTheme="majorBidi" w:hAnsiTheme="majorBidi"/>
          <w:sz w:val="24"/>
          <w:szCs w:val="24"/>
        </w:rPr>
        <w:t xml:space="preserve"> Lu, </w:t>
      </w:r>
      <w:proofErr w:type="spellStart"/>
      <w:r w:rsidRPr="0014413A">
        <w:rPr>
          <w:rFonts w:asciiTheme="majorBidi" w:hAnsiTheme="majorBidi"/>
          <w:sz w:val="24"/>
          <w:szCs w:val="24"/>
        </w:rPr>
        <w:t>Yisheng</w:t>
      </w:r>
      <w:proofErr w:type="spellEnd"/>
      <w:r w:rsidRPr="0014413A">
        <w:rPr>
          <w:rFonts w:asciiTheme="majorBidi" w:hAnsiTheme="majorBidi"/>
          <w:sz w:val="24"/>
          <w:szCs w:val="24"/>
        </w:rPr>
        <w:t xml:space="preserve"> Xu, and </w:t>
      </w:r>
      <w:proofErr w:type="spellStart"/>
      <w:r w:rsidRPr="0014413A">
        <w:rPr>
          <w:rFonts w:asciiTheme="majorBidi" w:hAnsiTheme="majorBidi"/>
          <w:sz w:val="24"/>
          <w:szCs w:val="24"/>
        </w:rPr>
        <w:t>Xuhong</w:t>
      </w:r>
      <w:proofErr w:type="spellEnd"/>
      <w:r w:rsidRPr="0014413A">
        <w:rPr>
          <w:rFonts w:asciiTheme="majorBidi" w:hAnsiTheme="majorBidi"/>
          <w:sz w:val="24"/>
          <w:szCs w:val="24"/>
        </w:rPr>
        <w:t xml:space="preserve"> Guo. 2015. “Effects of pH and Anions on the Generation of Reactive Oxygen Species (ROS) in </w:t>
      </w:r>
      <w:proofErr w:type="spellStart"/>
      <w:r w:rsidRPr="0014413A">
        <w:rPr>
          <w:rFonts w:asciiTheme="majorBidi" w:hAnsiTheme="majorBidi"/>
          <w:sz w:val="24"/>
          <w:szCs w:val="24"/>
        </w:rPr>
        <w:t>nZVI</w:t>
      </w:r>
      <w:proofErr w:type="spellEnd"/>
      <w:r w:rsidRPr="0014413A">
        <w:rPr>
          <w:rFonts w:asciiTheme="majorBidi" w:hAnsiTheme="majorBidi"/>
          <w:sz w:val="24"/>
          <w:szCs w:val="24"/>
        </w:rPr>
        <w:t>-</w:t>
      </w:r>
      <w:proofErr w:type="spellStart"/>
      <w:r w:rsidRPr="0014413A">
        <w:rPr>
          <w:rFonts w:asciiTheme="majorBidi" w:hAnsiTheme="majorBidi"/>
          <w:sz w:val="24"/>
          <w:szCs w:val="24"/>
        </w:rPr>
        <w:t>rGo</w:t>
      </w:r>
      <w:proofErr w:type="spellEnd"/>
      <w:r w:rsidRPr="0014413A">
        <w:rPr>
          <w:rFonts w:asciiTheme="majorBidi" w:hAnsiTheme="majorBidi"/>
          <w:sz w:val="24"/>
          <w:szCs w:val="24"/>
        </w:rPr>
        <w:t xml:space="preserve">-Activated Persulfate System.” </w:t>
      </w:r>
      <w:r w:rsidRPr="0014413A">
        <w:rPr>
          <w:rFonts w:asciiTheme="majorBidi" w:hAnsiTheme="majorBidi"/>
          <w:i/>
          <w:iCs/>
          <w:sz w:val="24"/>
          <w:szCs w:val="24"/>
        </w:rPr>
        <w:t>Water, Air, &amp; Soil Pollution</w:t>
      </w:r>
      <w:r w:rsidRPr="0014413A">
        <w:rPr>
          <w:rFonts w:asciiTheme="majorBidi" w:hAnsiTheme="majorBidi"/>
          <w:sz w:val="24"/>
          <w:szCs w:val="24"/>
        </w:rPr>
        <w:t xml:space="preserve"> 226 (11): 369. https://doi.org/10.1007/s11270-015-2635-8.</w:t>
      </w:r>
    </w:p>
    <w:p w14:paraId="4411F2E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Aksnes, and </w:t>
      </w:r>
      <w:proofErr w:type="spellStart"/>
      <w:r w:rsidRPr="0014413A">
        <w:rPr>
          <w:rFonts w:asciiTheme="majorBidi" w:hAnsiTheme="majorBidi"/>
          <w:sz w:val="24"/>
          <w:szCs w:val="24"/>
        </w:rPr>
        <w:t>Jk</w:t>
      </w:r>
      <w:proofErr w:type="spellEnd"/>
      <w:r w:rsidRPr="0014413A">
        <w:rPr>
          <w:rFonts w:asciiTheme="majorBidi" w:hAnsiTheme="majorBidi"/>
          <w:sz w:val="24"/>
          <w:szCs w:val="24"/>
        </w:rPr>
        <w:t xml:space="preserve"> Egge. 1991. “A Theoretical Model for Nutrient Uptake in Phytoplankton.”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70:65–72. https://doi.org/10.3354/meps070065.</w:t>
      </w:r>
    </w:p>
    <w:p w14:paraId="7F9FE08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Alfonso-Prieto, </w:t>
      </w:r>
      <w:proofErr w:type="spellStart"/>
      <w:r w:rsidRPr="0014413A">
        <w:rPr>
          <w:rFonts w:asciiTheme="majorBidi" w:hAnsiTheme="majorBidi"/>
          <w:sz w:val="24"/>
          <w:szCs w:val="24"/>
        </w:rPr>
        <w:t>Xevi</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Biarnés</w:t>
      </w:r>
      <w:proofErr w:type="spellEnd"/>
      <w:r w:rsidRPr="0014413A">
        <w:rPr>
          <w:rFonts w:asciiTheme="majorBidi" w:hAnsiTheme="majorBidi"/>
          <w:sz w:val="24"/>
          <w:szCs w:val="24"/>
        </w:rPr>
        <w:t xml:space="preserve">, Pietro </w:t>
      </w:r>
      <w:proofErr w:type="spellStart"/>
      <w:r w:rsidRPr="0014413A">
        <w:rPr>
          <w:rFonts w:asciiTheme="majorBidi" w:hAnsiTheme="majorBidi"/>
          <w:sz w:val="24"/>
          <w:szCs w:val="24"/>
        </w:rPr>
        <w:t>Vidossich</w:t>
      </w:r>
      <w:proofErr w:type="spellEnd"/>
      <w:r w:rsidRPr="0014413A">
        <w:rPr>
          <w:rFonts w:asciiTheme="majorBidi" w:hAnsiTheme="majorBidi"/>
          <w:sz w:val="24"/>
          <w:szCs w:val="24"/>
        </w:rPr>
        <w:t xml:space="preserve">, and Carme Rovira. 2009. “The Molecular Mechanism of the Catalase Reaction.” </w:t>
      </w:r>
      <w:r w:rsidRPr="0014413A">
        <w:rPr>
          <w:rFonts w:asciiTheme="majorBidi" w:hAnsiTheme="majorBidi"/>
          <w:i/>
          <w:iCs/>
          <w:sz w:val="24"/>
          <w:szCs w:val="24"/>
        </w:rPr>
        <w:t>Journal of the American Chemical Society</w:t>
      </w:r>
      <w:r w:rsidRPr="0014413A">
        <w:rPr>
          <w:rFonts w:asciiTheme="majorBidi" w:hAnsiTheme="majorBidi"/>
          <w:sz w:val="24"/>
          <w:szCs w:val="24"/>
        </w:rPr>
        <w:t xml:space="preserve"> 131 (33): 11751–61. https://doi.org/10.1021/ja9018572.</w:t>
      </w:r>
    </w:p>
    <w:p w14:paraId="3374A03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Allison. 2005. “Cheaters, Diffusion and Nutrients Constrain Decomposition by Microbial Enzymes in Spatially Structured Environments: Constraints on Enzymatic Decomposition.” </w:t>
      </w:r>
      <w:r w:rsidRPr="0014413A">
        <w:rPr>
          <w:rFonts w:asciiTheme="majorBidi" w:hAnsiTheme="majorBidi"/>
          <w:i/>
          <w:iCs/>
          <w:sz w:val="24"/>
          <w:szCs w:val="24"/>
        </w:rPr>
        <w:t>Ecology Letters</w:t>
      </w:r>
      <w:r w:rsidRPr="0014413A">
        <w:rPr>
          <w:rFonts w:asciiTheme="majorBidi" w:hAnsiTheme="majorBidi"/>
          <w:sz w:val="24"/>
          <w:szCs w:val="24"/>
        </w:rPr>
        <w:t xml:space="preserve"> 8 (6): 626–35. https://doi.org/10.1111/j.1461-0248.2005.00756.x.</w:t>
      </w:r>
    </w:p>
    <w:p w14:paraId="1C3402E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Alonso-Sáez, Antonio S. Palacio, Ana M. Cabello, </w:t>
      </w:r>
      <w:proofErr w:type="spellStart"/>
      <w:r w:rsidRPr="0014413A">
        <w:rPr>
          <w:rFonts w:asciiTheme="majorBidi" w:hAnsiTheme="majorBidi"/>
          <w:sz w:val="24"/>
          <w:szCs w:val="24"/>
        </w:rPr>
        <w:t>Semidán</w:t>
      </w:r>
      <w:proofErr w:type="spellEnd"/>
      <w:r w:rsidRPr="0014413A">
        <w:rPr>
          <w:rFonts w:asciiTheme="majorBidi" w:hAnsiTheme="majorBidi"/>
          <w:sz w:val="24"/>
          <w:szCs w:val="24"/>
        </w:rPr>
        <w:t xml:space="preserve"> Robaina-Estévez, José M. González, Laurence </w:t>
      </w:r>
      <w:proofErr w:type="spellStart"/>
      <w:r w:rsidRPr="0014413A">
        <w:rPr>
          <w:rFonts w:asciiTheme="majorBidi" w:hAnsiTheme="majorBidi"/>
          <w:sz w:val="24"/>
          <w:szCs w:val="24"/>
        </w:rPr>
        <w:t>Garczarek</w:t>
      </w:r>
      <w:proofErr w:type="spellEnd"/>
      <w:r w:rsidRPr="0014413A">
        <w:rPr>
          <w:rFonts w:asciiTheme="majorBidi" w:hAnsiTheme="majorBidi"/>
          <w:sz w:val="24"/>
          <w:szCs w:val="24"/>
        </w:rPr>
        <w:t xml:space="preserve">, and Ángel López-Urrutia. 2023. “Transcriptional Mechanisms of Thermal Acclimation in </w:t>
      </w:r>
      <w:r w:rsidRPr="0014413A">
        <w:rPr>
          <w:rFonts w:asciiTheme="majorBidi" w:hAnsiTheme="majorBidi"/>
          <w:i/>
          <w:iCs/>
          <w:sz w:val="24"/>
          <w:szCs w:val="24"/>
        </w:rPr>
        <w:t>Prochlorococcus</w:t>
      </w:r>
      <w:r w:rsidRPr="0014413A">
        <w:rPr>
          <w:rFonts w:asciiTheme="majorBidi" w:hAnsiTheme="majorBidi"/>
          <w:sz w:val="24"/>
          <w:szCs w:val="24"/>
        </w:rPr>
        <w:t xml:space="preserve">.” Edited by Jennifer B. H. Martiny. </w:t>
      </w:r>
      <w:r w:rsidRPr="0014413A">
        <w:rPr>
          <w:rFonts w:asciiTheme="majorBidi" w:hAnsiTheme="majorBidi"/>
          <w:i/>
          <w:iCs/>
          <w:sz w:val="24"/>
          <w:szCs w:val="24"/>
        </w:rPr>
        <w:t>mBio</w:t>
      </w:r>
      <w:r w:rsidRPr="0014413A">
        <w:rPr>
          <w:rFonts w:asciiTheme="majorBidi" w:hAnsiTheme="majorBidi"/>
          <w:sz w:val="24"/>
          <w:szCs w:val="24"/>
        </w:rPr>
        <w:t xml:space="preserve"> 14 (3): e03425-22. https://doi.org/10.1128/mbio.03425-22.</w:t>
      </w:r>
    </w:p>
    <w:p w14:paraId="125F267E"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Altabet</w:t>
      </w:r>
      <w:proofErr w:type="spellEnd"/>
      <w:r w:rsidRPr="0014413A">
        <w:rPr>
          <w:rFonts w:asciiTheme="majorBidi" w:hAnsiTheme="majorBidi"/>
          <w:sz w:val="24"/>
          <w:szCs w:val="24"/>
        </w:rPr>
        <w:t xml:space="preserve">, Allan R. Robinson, and Leonard J. Walstad. 1986. “A Model for the Vertical Flux of Nitrogen in the Upper Ocean: Simulating the Alteration of Isotopic Ratios.” </w:t>
      </w:r>
      <w:r w:rsidRPr="0014413A">
        <w:rPr>
          <w:rFonts w:asciiTheme="majorBidi" w:hAnsiTheme="majorBidi"/>
          <w:i/>
          <w:iCs/>
          <w:sz w:val="24"/>
          <w:szCs w:val="24"/>
        </w:rPr>
        <w:t>Journal of Marine Research</w:t>
      </w:r>
      <w:r w:rsidRPr="0014413A">
        <w:rPr>
          <w:rFonts w:asciiTheme="majorBidi" w:hAnsiTheme="majorBidi"/>
          <w:sz w:val="24"/>
          <w:szCs w:val="24"/>
        </w:rPr>
        <w:t xml:space="preserve"> 44 (1): 203–25. https://doi.org/10.1357/002224086788460111.</w:t>
      </w:r>
    </w:p>
    <w:p w14:paraId="67545E7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Anderson, Quintin P. </w:t>
      </w:r>
      <w:proofErr w:type="spellStart"/>
      <w:r w:rsidRPr="0014413A">
        <w:rPr>
          <w:rFonts w:asciiTheme="majorBidi" w:hAnsiTheme="majorBidi"/>
          <w:sz w:val="24"/>
          <w:szCs w:val="24"/>
        </w:rPr>
        <w:t>Diou</w:t>
      </w:r>
      <w:proofErr w:type="spellEnd"/>
      <w:r w:rsidRPr="0014413A">
        <w:rPr>
          <w:rFonts w:asciiTheme="majorBidi" w:hAnsiTheme="majorBidi"/>
          <w:sz w:val="24"/>
          <w:szCs w:val="24"/>
        </w:rPr>
        <w:t xml:space="preserve">‐Cass, and Elizabeth L. Harvey. 2018. “Short‐term Estimates of </w:t>
      </w:r>
      <w:r w:rsidRPr="0014413A">
        <w:rPr>
          <w:rFonts w:asciiTheme="majorBidi" w:hAnsiTheme="majorBidi"/>
          <w:sz w:val="24"/>
          <w:szCs w:val="24"/>
        </w:rPr>
        <w:lastRenderedPageBreak/>
        <w:t xml:space="preserve">Phytoplankton Growth and Mortality in a Tidal Estuary.” </w:t>
      </w:r>
      <w:r w:rsidRPr="0014413A">
        <w:rPr>
          <w:rFonts w:asciiTheme="majorBidi" w:hAnsiTheme="majorBidi"/>
          <w:i/>
          <w:iCs/>
          <w:sz w:val="24"/>
          <w:szCs w:val="24"/>
        </w:rPr>
        <w:t>Limnology and Oceanography</w:t>
      </w:r>
      <w:r w:rsidRPr="0014413A">
        <w:rPr>
          <w:rFonts w:asciiTheme="majorBidi" w:hAnsiTheme="majorBidi"/>
          <w:sz w:val="24"/>
          <w:szCs w:val="24"/>
        </w:rPr>
        <w:t xml:space="preserve"> 63 (6): 2411–22. https://doi.org/10.1002/lno.10948.</w:t>
      </w:r>
    </w:p>
    <w:p w14:paraId="2AB8683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Antunes, and Enrique Cadenas. 2000. “Estimation of H </w:t>
      </w:r>
      <w:r w:rsidRPr="0014413A">
        <w:rPr>
          <w:rFonts w:asciiTheme="majorBidi" w:hAnsiTheme="majorBidi"/>
          <w:sz w:val="24"/>
          <w:szCs w:val="24"/>
          <w:vertAlign w:val="subscript"/>
        </w:rPr>
        <w:t>2</w:t>
      </w:r>
      <w:r w:rsidRPr="0014413A">
        <w:rPr>
          <w:rFonts w:asciiTheme="majorBidi" w:hAnsiTheme="majorBidi"/>
          <w:sz w:val="24"/>
          <w:szCs w:val="24"/>
        </w:rPr>
        <w:t xml:space="preserve"> O </w:t>
      </w:r>
      <w:r w:rsidRPr="0014413A">
        <w:rPr>
          <w:rFonts w:asciiTheme="majorBidi" w:hAnsiTheme="majorBidi"/>
          <w:sz w:val="24"/>
          <w:szCs w:val="24"/>
          <w:vertAlign w:val="subscript"/>
        </w:rPr>
        <w:t>2</w:t>
      </w:r>
      <w:r w:rsidRPr="0014413A">
        <w:rPr>
          <w:rFonts w:asciiTheme="majorBidi" w:hAnsiTheme="majorBidi"/>
          <w:sz w:val="24"/>
          <w:szCs w:val="24"/>
        </w:rPr>
        <w:t xml:space="preserve"> Gradients across </w:t>
      </w:r>
      <w:proofErr w:type="spellStart"/>
      <w:r w:rsidRPr="0014413A">
        <w:rPr>
          <w:rFonts w:asciiTheme="majorBidi" w:hAnsiTheme="majorBidi"/>
          <w:sz w:val="24"/>
          <w:szCs w:val="24"/>
        </w:rPr>
        <w:t>Biomembranes</w:t>
      </w:r>
      <w:proofErr w:type="spellEnd"/>
      <w:r w:rsidRPr="0014413A">
        <w:rPr>
          <w:rFonts w:asciiTheme="majorBidi" w:hAnsiTheme="majorBidi"/>
          <w:sz w:val="24"/>
          <w:szCs w:val="24"/>
        </w:rPr>
        <w:t xml:space="preserve">.” </w:t>
      </w:r>
      <w:r w:rsidRPr="0014413A">
        <w:rPr>
          <w:rFonts w:asciiTheme="majorBidi" w:hAnsiTheme="majorBidi"/>
          <w:i/>
          <w:iCs/>
          <w:sz w:val="24"/>
          <w:szCs w:val="24"/>
        </w:rPr>
        <w:t>FEBS Letters</w:t>
      </w:r>
      <w:r w:rsidRPr="0014413A">
        <w:rPr>
          <w:rFonts w:asciiTheme="majorBidi" w:hAnsiTheme="majorBidi"/>
          <w:sz w:val="24"/>
          <w:szCs w:val="24"/>
        </w:rPr>
        <w:t xml:space="preserve"> 475 (2): 121–26. https://doi.org/10.1016/S0014-5793(00)01638-0.</w:t>
      </w:r>
    </w:p>
    <w:p w14:paraId="7F82411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Archibald, Stephanie Dutkiewicz, Charlotte </w:t>
      </w:r>
      <w:proofErr w:type="spellStart"/>
      <w:r w:rsidRPr="0014413A">
        <w:rPr>
          <w:rFonts w:asciiTheme="majorBidi" w:hAnsiTheme="majorBidi"/>
          <w:sz w:val="24"/>
          <w:szCs w:val="24"/>
        </w:rPr>
        <w:t>Laufkötter</w:t>
      </w:r>
      <w:proofErr w:type="spellEnd"/>
      <w:r w:rsidRPr="0014413A">
        <w:rPr>
          <w:rFonts w:asciiTheme="majorBidi" w:hAnsiTheme="majorBidi"/>
          <w:sz w:val="24"/>
          <w:szCs w:val="24"/>
        </w:rPr>
        <w:t xml:space="preserve">, and Holly V. Moeller. 2022. “Thermal Responses in Global Marine Planktonic Food Webs Are Mediated by Temperature Effects on Metabolism.” </w:t>
      </w:r>
      <w:r w:rsidRPr="0014413A">
        <w:rPr>
          <w:rFonts w:asciiTheme="majorBidi" w:hAnsiTheme="majorBidi"/>
          <w:i/>
          <w:iCs/>
          <w:sz w:val="24"/>
          <w:szCs w:val="24"/>
        </w:rPr>
        <w:t>Journal of Geophysical Research: Oceans</w:t>
      </w:r>
      <w:r w:rsidRPr="0014413A">
        <w:rPr>
          <w:rFonts w:asciiTheme="majorBidi" w:hAnsiTheme="majorBidi"/>
          <w:sz w:val="24"/>
          <w:szCs w:val="24"/>
        </w:rPr>
        <w:t xml:space="preserve"> 127 (12): e2022JC018932. https://doi.org/10.1029/2022JC018932.</w:t>
      </w:r>
    </w:p>
    <w:p w14:paraId="43091EE0"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Arístegui</w:t>
      </w:r>
      <w:proofErr w:type="spellEnd"/>
      <w:r w:rsidRPr="0014413A">
        <w:rPr>
          <w:rFonts w:asciiTheme="majorBidi" w:hAnsiTheme="majorBidi"/>
          <w:sz w:val="24"/>
          <w:szCs w:val="24"/>
        </w:rPr>
        <w:t xml:space="preserve">. 2005. “Active Mesopelagic Prokaryotes Support High Respiration in the Subtropical Northeast Atlantic Ocean.” </w:t>
      </w:r>
      <w:r w:rsidRPr="0014413A">
        <w:rPr>
          <w:rFonts w:asciiTheme="majorBidi" w:hAnsiTheme="majorBidi"/>
          <w:i/>
          <w:iCs/>
          <w:sz w:val="24"/>
          <w:szCs w:val="24"/>
        </w:rPr>
        <w:t>Geophysical Research Letters</w:t>
      </w:r>
      <w:r w:rsidRPr="0014413A">
        <w:rPr>
          <w:rFonts w:asciiTheme="majorBidi" w:hAnsiTheme="majorBidi"/>
          <w:sz w:val="24"/>
          <w:szCs w:val="24"/>
        </w:rPr>
        <w:t xml:space="preserve"> 32 (3): L03608. https://doi.org/10.1029/2004GL021863.</w:t>
      </w:r>
    </w:p>
    <w:p w14:paraId="4FF23E5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Armstrong, and Richard McGehee. 1980. “Competitive Exclusion.” </w:t>
      </w:r>
      <w:r w:rsidRPr="0014413A">
        <w:rPr>
          <w:rFonts w:asciiTheme="majorBidi" w:hAnsiTheme="majorBidi"/>
          <w:i/>
          <w:iCs/>
          <w:sz w:val="24"/>
          <w:szCs w:val="24"/>
        </w:rPr>
        <w:t>Am. Nat. 1980.</w:t>
      </w:r>
      <w:r w:rsidRPr="0014413A">
        <w:rPr>
          <w:rFonts w:asciiTheme="majorBidi" w:hAnsiTheme="majorBidi"/>
          <w:sz w:val="24"/>
          <w:szCs w:val="24"/>
        </w:rPr>
        <w:t xml:space="preserve"> Vol. </w:t>
      </w:r>
      <w:proofErr w:type="gramStart"/>
      <w:r w:rsidRPr="0014413A">
        <w:rPr>
          <w:rFonts w:asciiTheme="majorBidi" w:hAnsiTheme="majorBidi"/>
          <w:sz w:val="24"/>
          <w:szCs w:val="24"/>
        </w:rPr>
        <w:t>115,:</w:t>
      </w:r>
      <w:proofErr w:type="gramEnd"/>
      <w:r w:rsidRPr="0014413A">
        <w:rPr>
          <w:rFonts w:asciiTheme="majorBidi" w:hAnsiTheme="majorBidi"/>
          <w:sz w:val="24"/>
          <w:szCs w:val="24"/>
        </w:rPr>
        <w:t>151–70.</w:t>
      </w:r>
    </w:p>
    <w:p w14:paraId="1B4E1D3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Avery, William J. Cooper, Robert J. Kieber, and Joan D. Willey. 2005. “Hydrogen Peroxide at the Bermuda Atlantic Time Series Station: Temporal Variability of Seawater Hydrogen Peroxide.” </w:t>
      </w:r>
      <w:r w:rsidRPr="0014413A">
        <w:rPr>
          <w:rFonts w:asciiTheme="majorBidi" w:hAnsiTheme="majorBidi"/>
          <w:i/>
          <w:iCs/>
          <w:sz w:val="24"/>
          <w:szCs w:val="24"/>
        </w:rPr>
        <w:t>Marine Chemistry</w:t>
      </w:r>
      <w:r w:rsidRPr="0014413A">
        <w:rPr>
          <w:rFonts w:asciiTheme="majorBidi" w:hAnsiTheme="majorBidi"/>
          <w:sz w:val="24"/>
          <w:szCs w:val="24"/>
        </w:rPr>
        <w:t xml:space="preserve"> 97 (3–4): 236–44. https://doi.org/10.1016/j.marchem.2005.03.006.</w:t>
      </w:r>
    </w:p>
    <w:p w14:paraId="1EC4AF9D"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Avrani</w:t>
      </w:r>
      <w:proofErr w:type="spellEnd"/>
      <w:r w:rsidRPr="0014413A">
        <w:rPr>
          <w:rFonts w:asciiTheme="majorBidi" w:hAnsiTheme="majorBidi"/>
          <w:sz w:val="24"/>
          <w:szCs w:val="24"/>
        </w:rPr>
        <w:t xml:space="preserve">, and Debbie Lindell. 2015. “Convergent Evolution toward an Improved Growth Rate and a Reduced Resistance Range in </w:t>
      </w:r>
      <w:r w:rsidRPr="0014413A">
        <w:rPr>
          <w:rFonts w:asciiTheme="majorBidi" w:hAnsiTheme="majorBidi"/>
          <w:i/>
          <w:iCs/>
          <w:sz w:val="24"/>
          <w:szCs w:val="24"/>
        </w:rPr>
        <w:t>Prochlorococcus</w:t>
      </w:r>
      <w:r w:rsidRPr="0014413A">
        <w:rPr>
          <w:rFonts w:asciiTheme="majorBidi" w:hAnsiTheme="majorBidi"/>
          <w:sz w:val="24"/>
          <w:szCs w:val="24"/>
        </w:rPr>
        <w:t xml:space="preserve"> Strains Resistant to Phage.”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112 (17). https://doi.org/10.1073/pnas.1420347112.</w:t>
      </w:r>
    </w:p>
    <w:p w14:paraId="7A91D69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Azam, T Fenchel, </w:t>
      </w:r>
      <w:proofErr w:type="spellStart"/>
      <w:r w:rsidRPr="0014413A">
        <w:rPr>
          <w:rFonts w:asciiTheme="majorBidi" w:hAnsiTheme="majorBidi"/>
          <w:sz w:val="24"/>
          <w:szCs w:val="24"/>
        </w:rPr>
        <w:t>Jg</w:t>
      </w:r>
      <w:proofErr w:type="spellEnd"/>
      <w:r w:rsidRPr="0014413A">
        <w:rPr>
          <w:rFonts w:asciiTheme="majorBidi" w:hAnsiTheme="majorBidi"/>
          <w:sz w:val="24"/>
          <w:szCs w:val="24"/>
        </w:rPr>
        <w:t xml:space="preserve"> Field, </w:t>
      </w:r>
      <w:proofErr w:type="spellStart"/>
      <w:r w:rsidRPr="0014413A">
        <w:rPr>
          <w:rFonts w:asciiTheme="majorBidi" w:hAnsiTheme="majorBidi"/>
          <w:sz w:val="24"/>
          <w:szCs w:val="24"/>
        </w:rPr>
        <w:t>Js</w:t>
      </w:r>
      <w:proofErr w:type="spellEnd"/>
      <w:r w:rsidRPr="0014413A">
        <w:rPr>
          <w:rFonts w:asciiTheme="majorBidi" w:hAnsiTheme="majorBidi"/>
          <w:sz w:val="24"/>
          <w:szCs w:val="24"/>
        </w:rPr>
        <w:t xml:space="preserve"> Gray, La Meyer-Reil, and F Thingstad. 1983. “The Ecological Role of Water-Column Microbes in the Sea.”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10:257–63. https://doi.org/10.3354/meps010257.</w:t>
      </w:r>
    </w:p>
    <w:p w14:paraId="47E1BC9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Babić, Ines Petrić, Sunčica Bosak, Hrvoje </w:t>
      </w:r>
      <w:proofErr w:type="spellStart"/>
      <w:r w:rsidRPr="0014413A">
        <w:rPr>
          <w:rFonts w:asciiTheme="majorBidi" w:hAnsiTheme="majorBidi"/>
          <w:sz w:val="24"/>
          <w:szCs w:val="24"/>
        </w:rPr>
        <w:t>Mihanović</w:t>
      </w:r>
      <w:proofErr w:type="spellEnd"/>
      <w:r w:rsidRPr="0014413A">
        <w:rPr>
          <w:rFonts w:asciiTheme="majorBidi" w:hAnsiTheme="majorBidi"/>
          <w:sz w:val="24"/>
          <w:szCs w:val="24"/>
        </w:rPr>
        <w:t xml:space="preserve">, Iris </w:t>
      </w:r>
      <w:proofErr w:type="spellStart"/>
      <w:r w:rsidRPr="0014413A">
        <w:rPr>
          <w:rFonts w:asciiTheme="majorBidi" w:hAnsiTheme="majorBidi"/>
          <w:sz w:val="24"/>
          <w:szCs w:val="24"/>
        </w:rPr>
        <w:t>Dupčić</w:t>
      </w:r>
      <w:proofErr w:type="spellEnd"/>
      <w:r w:rsidRPr="0014413A">
        <w:rPr>
          <w:rFonts w:asciiTheme="majorBidi" w:hAnsiTheme="majorBidi"/>
          <w:sz w:val="24"/>
          <w:szCs w:val="24"/>
        </w:rPr>
        <w:t xml:space="preserve"> Radić, and Zrinka </w:t>
      </w:r>
      <w:proofErr w:type="spellStart"/>
      <w:r w:rsidRPr="0014413A">
        <w:rPr>
          <w:rFonts w:asciiTheme="majorBidi" w:hAnsiTheme="majorBidi"/>
          <w:sz w:val="24"/>
          <w:szCs w:val="24"/>
        </w:rPr>
        <w:t>Ljubešić</w:t>
      </w:r>
      <w:proofErr w:type="spellEnd"/>
      <w:r w:rsidRPr="0014413A">
        <w:rPr>
          <w:rFonts w:asciiTheme="majorBidi" w:hAnsiTheme="majorBidi"/>
          <w:sz w:val="24"/>
          <w:szCs w:val="24"/>
        </w:rPr>
        <w:t xml:space="preserve">. 2017. “Distribution and Diversity of Marine </w:t>
      </w:r>
      <w:proofErr w:type="spellStart"/>
      <w:r w:rsidRPr="0014413A">
        <w:rPr>
          <w:rFonts w:asciiTheme="majorBidi" w:hAnsiTheme="majorBidi"/>
          <w:sz w:val="24"/>
          <w:szCs w:val="24"/>
        </w:rPr>
        <w:t>Picocyanobacteria</w:t>
      </w:r>
      <w:proofErr w:type="spellEnd"/>
      <w:r w:rsidRPr="0014413A">
        <w:rPr>
          <w:rFonts w:asciiTheme="majorBidi" w:hAnsiTheme="majorBidi"/>
          <w:sz w:val="24"/>
          <w:szCs w:val="24"/>
        </w:rPr>
        <w:t xml:space="preserve"> Community: Targeting of Prochlorococcus Ecotypes in Winter Conditions (Southern Adriatic Sea).” </w:t>
      </w:r>
      <w:r w:rsidRPr="0014413A">
        <w:rPr>
          <w:rFonts w:asciiTheme="majorBidi" w:hAnsiTheme="majorBidi"/>
          <w:i/>
          <w:iCs/>
          <w:sz w:val="24"/>
          <w:szCs w:val="24"/>
        </w:rPr>
        <w:t>Marine Genomics</w:t>
      </w:r>
      <w:r w:rsidRPr="0014413A">
        <w:rPr>
          <w:rFonts w:asciiTheme="majorBidi" w:hAnsiTheme="majorBidi"/>
          <w:sz w:val="24"/>
          <w:szCs w:val="24"/>
        </w:rPr>
        <w:t xml:space="preserve"> 36 (December):3–11. https://doi.org/10.1016/j.margen.2017.05.014.</w:t>
      </w:r>
    </w:p>
    <w:p w14:paraId="3A0DAC9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Baer, Michael W. Lomas, Kristina X. </w:t>
      </w:r>
      <w:proofErr w:type="spellStart"/>
      <w:r w:rsidRPr="0014413A">
        <w:rPr>
          <w:rFonts w:asciiTheme="majorBidi" w:hAnsiTheme="majorBidi"/>
          <w:sz w:val="24"/>
          <w:szCs w:val="24"/>
        </w:rPr>
        <w:t>Terpis</w:t>
      </w:r>
      <w:proofErr w:type="spellEnd"/>
      <w:r w:rsidRPr="0014413A">
        <w:rPr>
          <w:rFonts w:asciiTheme="majorBidi" w:hAnsiTheme="majorBidi"/>
          <w:sz w:val="24"/>
          <w:szCs w:val="24"/>
        </w:rPr>
        <w:t xml:space="preserve">, Céline </w:t>
      </w:r>
      <w:proofErr w:type="spellStart"/>
      <w:r w:rsidRPr="0014413A">
        <w:rPr>
          <w:rFonts w:asciiTheme="majorBidi" w:hAnsiTheme="majorBidi"/>
          <w:sz w:val="24"/>
          <w:szCs w:val="24"/>
        </w:rPr>
        <w:t>Mouginot</w:t>
      </w:r>
      <w:proofErr w:type="spellEnd"/>
      <w:r w:rsidRPr="0014413A">
        <w:rPr>
          <w:rFonts w:asciiTheme="majorBidi" w:hAnsiTheme="majorBidi"/>
          <w:sz w:val="24"/>
          <w:szCs w:val="24"/>
        </w:rPr>
        <w:t xml:space="preserve">, and Adam C. Martiny. 2017. “Stoichiometry of </w:t>
      </w:r>
      <w:r w:rsidRPr="0014413A">
        <w:rPr>
          <w:rFonts w:asciiTheme="majorBidi" w:hAnsiTheme="majorBidi"/>
          <w:i/>
          <w:iCs/>
          <w:sz w:val="24"/>
          <w:szCs w:val="24"/>
        </w:rPr>
        <w:t xml:space="preserve">Prochlorococcus, </w:t>
      </w:r>
      <w:proofErr w:type="spellStart"/>
      <w:proofErr w:type="gram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w:t>
      </w:r>
      <w:proofErr w:type="gramEnd"/>
      <w:r w:rsidRPr="0014413A">
        <w:rPr>
          <w:rFonts w:asciiTheme="majorBidi" w:hAnsiTheme="majorBidi"/>
          <w:sz w:val="24"/>
          <w:szCs w:val="24"/>
        </w:rPr>
        <w:t xml:space="preserve"> and Small Eukaryotic Populations in the Western North Atlantic Ocean: Taxon-Specific Stoichiometry of Phytoplankton.” </w:t>
      </w:r>
      <w:r w:rsidRPr="0014413A">
        <w:rPr>
          <w:rFonts w:asciiTheme="majorBidi" w:hAnsiTheme="majorBidi"/>
          <w:i/>
          <w:iCs/>
          <w:sz w:val="24"/>
          <w:szCs w:val="24"/>
        </w:rPr>
        <w:t>Environmental Microbiology</w:t>
      </w:r>
      <w:r w:rsidRPr="0014413A">
        <w:rPr>
          <w:rFonts w:asciiTheme="majorBidi" w:hAnsiTheme="majorBidi"/>
          <w:sz w:val="24"/>
          <w:szCs w:val="24"/>
        </w:rPr>
        <w:t xml:space="preserve"> 19 (4): 1568–83. https://doi.org/10.1111/1462-2920.13672.</w:t>
      </w:r>
    </w:p>
    <w:p w14:paraId="39A25F9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Bailey, and Arthur Grossman. 2008. “Photoprotection in Cyanobacteria: Regulation of Light Harvesting </w:t>
      </w:r>
      <w:r w:rsidRPr="0014413A">
        <w:rPr>
          <w:rFonts w:asciiTheme="majorBidi" w:hAnsiTheme="majorBidi"/>
          <w:sz w:val="24"/>
          <w:szCs w:val="24"/>
          <w:vertAlign w:val="superscript"/>
        </w:rPr>
        <w:t>†</w:t>
      </w:r>
      <w:r w:rsidRPr="0014413A">
        <w:rPr>
          <w:rFonts w:asciiTheme="majorBidi" w:hAnsiTheme="majorBidi"/>
          <w:sz w:val="24"/>
          <w:szCs w:val="24"/>
        </w:rPr>
        <w:t xml:space="preserve">.” </w:t>
      </w:r>
      <w:r w:rsidRPr="0014413A">
        <w:rPr>
          <w:rFonts w:asciiTheme="majorBidi" w:hAnsiTheme="majorBidi"/>
          <w:i/>
          <w:iCs/>
          <w:sz w:val="24"/>
          <w:szCs w:val="24"/>
        </w:rPr>
        <w:t>Photochemistry and Photobiology</w:t>
      </w:r>
      <w:r w:rsidRPr="0014413A">
        <w:rPr>
          <w:rFonts w:asciiTheme="majorBidi" w:hAnsiTheme="majorBidi"/>
          <w:sz w:val="24"/>
          <w:szCs w:val="24"/>
        </w:rPr>
        <w:t xml:space="preserve"> 84 (6): 1410–20. https://doi.org/10.1111/j.1751-1097.2008.00453.x.</w:t>
      </w:r>
    </w:p>
    <w:p w14:paraId="2539013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Banerjee, Prashanth S. Raghavan, Anand Ballal, Hema Rajaram, and S. K. Apte. 2013. “Oxidative Stress Management in the Filamentous, </w:t>
      </w:r>
      <w:proofErr w:type="spellStart"/>
      <w:r w:rsidRPr="0014413A">
        <w:rPr>
          <w:rFonts w:asciiTheme="majorBidi" w:hAnsiTheme="majorBidi"/>
          <w:sz w:val="24"/>
          <w:szCs w:val="24"/>
        </w:rPr>
        <w:t>Heterocystous</w:t>
      </w:r>
      <w:proofErr w:type="spellEnd"/>
      <w:r w:rsidRPr="0014413A">
        <w:rPr>
          <w:rFonts w:asciiTheme="majorBidi" w:hAnsiTheme="majorBidi"/>
          <w:sz w:val="24"/>
          <w:szCs w:val="24"/>
        </w:rPr>
        <w:t xml:space="preserve">, Diazotrophic Cyanobacterium, Anabaena PCC7120.” </w:t>
      </w:r>
      <w:r w:rsidRPr="0014413A">
        <w:rPr>
          <w:rFonts w:asciiTheme="majorBidi" w:hAnsiTheme="majorBidi"/>
          <w:i/>
          <w:iCs/>
          <w:sz w:val="24"/>
          <w:szCs w:val="24"/>
        </w:rPr>
        <w:t>Photosynthesis Research</w:t>
      </w:r>
      <w:r w:rsidRPr="0014413A">
        <w:rPr>
          <w:rFonts w:asciiTheme="majorBidi" w:hAnsiTheme="majorBidi"/>
          <w:sz w:val="24"/>
          <w:szCs w:val="24"/>
        </w:rPr>
        <w:t xml:space="preserve"> 118 (1–2): 59–70. https://doi.org/10.1007/s11120-013-9929-8.</w:t>
      </w:r>
    </w:p>
    <w:p w14:paraId="16EF5B2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Banse. 1995. “Zooplankton: Pivotal Role in the Control of Ocean Production.” </w:t>
      </w:r>
      <w:r w:rsidRPr="0014413A">
        <w:rPr>
          <w:rFonts w:asciiTheme="majorBidi" w:hAnsiTheme="majorBidi"/>
          <w:i/>
          <w:iCs/>
          <w:sz w:val="24"/>
          <w:szCs w:val="24"/>
        </w:rPr>
        <w:t>ICES Journal of Marine Science</w:t>
      </w:r>
      <w:r w:rsidRPr="0014413A">
        <w:rPr>
          <w:rFonts w:asciiTheme="majorBidi" w:hAnsiTheme="majorBidi"/>
          <w:sz w:val="24"/>
          <w:szCs w:val="24"/>
        </w:rPr>
        <w:t xml:space="preserve"> 52 (3–4): 265–77. https://doi.org/10.1016/1054-3139(95)80043-3.</w:t>
      </w:r>
    </w:p>
    <w:p w14:paraId="7789341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Bar, Tewfik Sari</w:t>
      </w:r>
      <w:proofErr w:type="gramStart"/>
      <w:r w:rsidRPr="0014413A">
        <w:rPr>
          <w:rFonts w:asciiTheme="majorBidi" w:hAnsiTheme="majorBidi"/>
          <w:sz w:val="24"/>
          <w:szCs w:val="24"/>
        </w:rPr>
        <w:t>, ,Université</w:t>
      </w:r>
      <w:proofErr w:type="gramEnd"/>
      <w:r w:rsidRPr="0014413A">
        <w:rPr>
          <w:rFonts w:asciiTheme="majorBidi" w:hAnsiTheme="majorBidi"/>
          <w:sz w:val="24"/>
          <w:szCs w:val="24"/>
        </w:rPr>
        <w:t xml:space="preserve"> </w:t>
      </w:r>
      <w:proofErr w:type="spellStart"/>
      <w:r w:rsidRPr="0014413A">
        <w:rPr>
          <w:rFonts w:asciiTheme="majorBidi" w:hAnsiTheme="majorBidi"/>
          <w:sz w:val="24"/>
          <w:szCs w:val="24"/>
        </w:rPr>
        <w:t>AbouBakr</w:t>
      </w:r>
      <w:proofErr w:type="spellEnd"/>
      <w:r w:rsidRPr="0014413A">
        <w:rPr>
          <w:rFonts w:asciiTheme="majorBidi" w:hAnsiTheme="majorBidi"/>
          <w:sz w:val="24"/>
          <w:szCs w:val="24"/>
        </w:rPr>
        <w:t xml:space="preserve"> Belkaid, LSDA, </w:t>
      </w:r>
      <w:proofErr w:type="spellStart"/>
      <w:r w:rsidRPr="0014413A">
        <w:rPr>
          <w:rFonts w:asciiTheme="majorBidi" w:hAnsiTheme="majorBidi"/>
          <w:sz w:val="24"/>
          <w:szCs w:val="24"/>
        </w:rPr>
        <w:t>Tlemcen</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Algérie</w:t>
      </w:r>
      <w:proofErr w:type="spellEnd"/>
      <w:r w:rsidRPr="0014413A">
        <w:rPr>
          <w:rFonts w:asciiTheme="majorBidi" w:hAnsiTheme="majorBidi"/>
          <w:sz w:val="24"/>
          <w:szCs w:val="24"/>
        </w:rPr>
        <w:t xml:space="preserve">, and ,ITAP, Univ Montpellier, </w:t>
      </w:r>
      <w:proofErr w:type="spellStart"/>
      <w:r w:rsidRPr="0014413A">
        <w:rPr>
          <w:rFonts w:asciiTheme="majorBidi" w:hAnsiTheme="majorBidi"/>
          <w:sz w:val="24"/>
          <w:szCs w:val="24"/>
        </w:rPr>
        <w:t>Irstea</w:t>
      </w:r>
      <w:proofErr w:type="spellEnd"/>
      <w:r w:rsidRPr="0014413A">
        <w:rPr>
          <w:rFonts w:asciiTheme="majorBidi" w:hAnsiTheme="majorBidi"/>
          <w:sz w:val="24"/>
          <w:szCs w:val="24"/>
        </w:rPr>
        <w:t xml:space="preserve">, Montpellier </w:t>
      </w:r>
      <w:proofErr w:type="spellStart"/>
      <w:r w:rsidRPr="0014413A">
        <w:rPr>
          <w:rFonts w:asciiTheme="majorBidi" w:hAnsiTheme="majorBidi"/>
          <w:sz w:val="24"/>
          <w:szCs w:val="24"/>
        </w:rPr>
        <w:t>SupAgro</w:t>
      </w:r>
      <w:proofErr w:type="spellEnd"/>
      <w:r w:rsidRPr="0014413A">
        <w:rPr>
          <w:rFonts w:asciiTheme="majorBidi" w:hAnsiTheme="majorBidi"/>
          <w:sz w:val="24"/>
          <w:szCs w:val="24"/>
        </w:rPr>
        <w:t xml:space="preserve">, Montpellier, France. 2020. “The Operating Diagram for a Model of Competition in a Chemostat with an External Lethal Inhibitor.” </w:t>
      </w:r>
      <w:r w:rsidRPr="0014413A">
        <w:rPr>
          <w:rFonts w:asciiTheme="majorBidi" w:hAnsiTheme="majorBidi"/>
          <w:i/>
          <w:iCs/>
          <w:sz w:val="24"/>
          <w:szCs w:val="24"/>
        </w:rPr>
        <w:t>Discrete &amp; Continuous Dynamical Systems - B</w:t>
      </w:r>
      <w:r w:rsidRPr="0014413A">
        <w:rPr>
          <w:rFonts w:asciiTheme="majorBidi" w:hAnsiTheme="majorBidi"/>
          <w:sz w:val="24"/>
          <w:szCs w:val="24"/>
        </w:rPr>
        <w:t xml:space="preserve"> 25 (6): 2093–2120. https://doi.org/10.3934/dcdsb.2019203.</w:t>
      </w:r>
    </w:p>
    <w:p w14:paraId="65A074C0"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Barberán</w:t>
      </w:r>
      <w:proofErr w:type="spellEnd"/>
      <w:r w:rsidRPr="0014413A">
        <w:rPr>
          <w:rFonts w:asciiTheme="majorBidi" w:hAnsiTheme="majorBidi"/>
          <w:sz w:val="24"/>
          <w:szCs w:val="24"/>
        </w:rPr>
        <w:t xml:space="preserve">, and </w:t>
      </w:r>
      <w:proofErr w:type="spellStart"/>
      <w:r w:rsidRPr="0014413A">
        <w:rPr>
          <w:rFonts w:asciiTheme="majorBidi" w:hAnsiTheme="majorBidi"/>
          <w:sz w:val="24"/>
          <w:szCs w:val="24"/>
        </w:rPr>
        <w:t>Eo</w:t>
      </w:r>
      <w:proofErr w:type="spellEnd"/>
      <w:r w:rsidRPr="0014413A">
        <w:rPr>
          <w:rFonts w:asciiTheme="majorBidi" w:hAnsiTheme="majorBidi"/>
          <w:sz w:val="24"/>
          <w:szCs w:val="24"/>
        </w:rPr>
        <w:t xml:space="preserve"> Casamayor. 2010. “Global Phylogenetic Community Structure and β-Diversity Patterns in Surface Bacterioplankton Metacommunities.” </w:t>
      </w:r>
      <w:r w:rsidRPr="0014413A">
        <w:rPr>
          <w:rFonts w:asciiTheme="majorBidi" w:hAnsiTheme="majorBidi"/>
          <w:i/>
          <w:iCs/>
          <w:sz w:val="24"/>
          <w:szCs w:val="24"/>
        </w:rPr>
        <w:t>Aquatic Microbial Ecology</w:t>
      </w:r>
      <w:r w:rsidRPr="0014413A">
        <w:rPr>
          <w:rFonts w:asciiTheme="majorBidi" w:hAnsiTheme="majorBidi"/>
          <w:sz w:val="24"/>
          <w:szCs w:val="24"/>
        </w:rPr>
        <w:t xml:space="preserve"> 59 (March):1–10. https://doi.org/10.3354/ame01389.</w:t>
      </w:r>
    </w:p>
    <w:p w14:paraId="57ABE9A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Barreto Filho, </w:t>
      </w:r>
      <w:proofErr w:type="spellStart"/>
      <w:r w:rsidRPr="0014413A">
        <w:rPr>
          <w:rFonts w:asciiTheme="majorBidi" w:hAnsiTheme="majorBidi"/>
          <w:sz w:val="24"/>
          <w:szCs w:val="24"/>
        </w:rPr>
        <w:t>Zhiying</w:t>
      </w:r>
      <w:proofErr w:type="spellEnd"/>
      <w:r w:rsidRPr="0014413A">
        <w:rPr>
          <w:rFonts w:asciiTheme="majorBidi" w:hAnsiTheme="majorBidi"/>
          <w:sz w:val="24"/>
          <w:szCs w:val="24"/>
        </w:rPr>
        <w:t xml:space="preserve"> Lu, Melissa Walker, and J Jeffrey Morris. 2022. “Community Context and pCO2 Impact the Transcriptome of the ‘Helper’ Bacterium </w:t>
      </w:r>
      <w:proofErr w:type="spellStart"/>
      <w:r w:rsidRPr="0014413A">
        <w:rPr>
          <w:rFonts w:asciiTheme="majorBidi" w:hAnsiTheme="majorBidi"/>
          <w:i/>
          <w:iCs/>
          <w:sz w:val="24"/>
          <w:szCs w:val="24"/>
        </w:rPr>
        <w:t>Alteromonas</w:t>
      </w:r>
      <w:proofErr w:type="spellEnd"/>
      <w:r w:rsidRPr="0014413A">
        <w:rPr>
          <w:rFonts w:asciiTheme="majorBidi" w:hAnsiTheme="majorBidi"/>
          <w:sz w:val="24"/>
          <w:szCs w:val="24"/>
        </w:rPr>
        <w:t xml:space="preserve"> in Co-Culture with </w:t>
      </w:r>
      <w:proofErr w:type="spellStart"/>
      <w:r w:rsidRPr="0014413A">
        <w:rPr>
          <w:rFonts w:asciiTheme="majorBidi" w:hAnsiTheme="majorBidi"/>
          <w:sz w:val="24"/>
          <w:szCs w:val="24"/>
        </w:rPr>
        <w:t>Picocyanobacteria</w:t>
      </w:r>
      <w:proofErr w:type="spellEnd"/>
      <w:r w:rsidRPr="0014413A">
        <w:rPr>
          <w:rFonts w:asciiTheme="majorBidi" w:hAnsiTheme="majorBidi"/>
          <w:sz w:val="24"/>
          <w:szCs w:val="24"/>
        </w:rPr>
        <w:t xml:space="preserve">.” </w:t>
      </w:r>
      <w:r w:rsidRPr="0014413A">
        <w:rPr>
          <w:rFonts w:asciiTheme="majorBidi" w:hAnsiTheme="majorBidi"/>
          <w:i/>
          <w:iCs/>
          <w:sz w:val="24"/>
          <w:szCs w:val="24"/>
        </w:rPr>
        <w:t>ISME Communications</w:t>
      </w:r>
      <w:r w:rsidRPr="0014413A">
        <w:rPr>
          <w:rFonts w:asciiTheme="majorBidi" w:hAnsiTheme="majorBidi"/>
          <w:sz w:val="24"/>
          <w:szCs w:val="24"/>
        </w:rPr>
        <w:t xml:space="preserve"> 2 (1): 113. https://doi.org/10.1038/s43705-022-00197-2.</w:t>
      </w:r>
    </w:p>
    <w:p w14:paraId="792F87D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Barton, S. Dutkiewicz, G. Flierl, J. Bragg, and M. J. Follows. 2010. “Patterns of Diversity in Marine Phytoplankton.” </w:t>
      </w:r>
      <w:r w:rsidRPr="0014413A">
        <w:rPr>
          <w:rFonts w:asciiTheme="majorBidi" w:hAnsiTheme="majorBidi"/>
          <w:i/>
          <w:iCs/>
          <w:sz w:val="24"/>
          <w:szCs w:val="24"/>
        </w:rPr>
        <w:t>Science</w:t>
      </w:r>
      <w:r w:rsidRPr="0014413A">
        <w:rPr>
          <w:rFonts w:asciiTheme="majorBidi" w:hAnsiTheme="majorBidi"/>
          <w:sz w:val="24"/>
          <w:szCs w:val="24"/>
        </w:rPr>
        <w:t xml:space="preserve"> 327 (5972): 1509–11. https://doi.org/10.1126/science.1184961.</w:t>
      </w:r>
    </w:p>
    <w:p w14:paraId="2F7AB9E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Barynin, Mei M Whittaker, Svetlana V Antonyuk, Victor S </w:t>
      </w:r>
      <w:proofErr w:type="spellStart"/>
      <w:r w:rsidRPr="0014413A">
        <w:rPr>
          <w:rFonts w:asciiTheme="majorBidi" w:hAnsiTheme="majorBidi"/>
          <w:sz w:val="24"/>
          <w:szCs w:val="24"/>
        </w:rPr>
        <w:t>Lamzin</w:t>
      </w:r>
      <w:proofErr w:type="spellEnd"/>
      <w:r w:rsidRPr="0014413A">
        <w:rPr>
          <w:rFonts w:asciiTheme="majorBidi" w:hAnsiTheme="majorBidi"/>
          <w:sz w:val="24"/>
          <w:szCs w:val="24"/>
        </w:rPr>
        <w:t xml:space="preserve">, Pauline M Harrison, Peter J </w:t>
      </w:r>
      <w:proofErr w:type="spellStart"/>
      <w:r w:rsidRPr="0014413A">
        <w:rPr>
          <w:rFonts w:asciiTheme="majorBidi" w:hAnsiTheme="majorBidi"/>
          <w:sz w:val="24"/>
          <w:szCs w:val="24"/>
        </w:rPr>
        <w:t>Artymiuk</w:t>
      </w:r>
      <w:proofErr w:type="spellEnd"/>
      <w:r w:rsidRPr="0014413A">
        <w:rPr>
          <w:rFonts w:asciiTheme="majorBidi" w:hAnsiTheme="majorBidi"/>
          <w:sz w:val="24"/>
          <w:szCs w:val="24"/>
        </w:rPr>
        <w:t xml:space="preserve">, and James W Whittaker. 2001. “Crystal Structure of Manganese Catalase from Lactobacillus Plantarum.” </w:t>
      </w:r>
      <w:r w:rsidRPr="0014413A">
        <w:rPr>
          <w:rFonts w:asciiTheme="majorBidi" w:hAnsiTheme="majorBidi"/>
          <w:i/>
          <w:iCs/>
          <w:sz w:val="24"/>
          <w:szCs w:val="24"/>
        </w:rPr>
        <w:t xml:space="preserve">Elsevier </w:t>
      </w:r>
      <w:proofErr w:type="gramStart"/>
      <w:r w:rsidRPr="0014413A">
        <w:rPr>
          <w:rFonts w:asciiTheme="majorBidi" w:hAnsiTheme="majorBidi"/>
          <w:i/>
          <w:iCs/>
          <w:sz w:val="24"/>
          <w:szCs w:val="24"/>
        </w:rPr>
        <w:t>Science :</w:t>
      </w:r>
      <w:proofErr w:type="gramEnd"/>
      <w:r w:rsidRPr="0014413A">
        <w:rPr>
          <w:rFonts w:asciiTheme="majorBidi" w:hAnsiTheme="majorBidi"/>
          <w:i/>
          <w:iCs/>
          <w:sz w:val="24"/>
          <w:szCs w:val="24"/>
        </w:rPr>
        <w:t xml:space="preserve"> Structure</w:t>
      </w:r>
      <w:r w:rsidRPr="0014413A">
        <w:rPr>
          <w:rFonts w:asciiTheme="majorBidi" w:hAnsiTheme="majorBidi"/>
          <w:sz w:val="24"/>
          <w:szCs w:val="24"/>
        </w:rPr>
        <w:t xml:space="preserve"> Vol. 9:725-738,.</w:t>
      </w:r>
    </w:p>
    <w:p w14:paraId="123A2CA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Baumann, Linda Baumann, Ron D. Bowditch, and Blaine Beaman. 1984. “Taxonomy of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A. </w:t>
      </w:r>
      <w:proofErr w:type="spellStart"/>
      <w:r w:rsidRPr="0014413A">
        <w:rPr>
          <w:rFonts w:asciiTheme="majorBidi" w:hAnsiTheme="majorBidi"/>
          <w:sz w:val="24"/>
          <w:szCs w:val="24"/>
        </w:rPr>
        <w:t>Nigrifaciens</w:t>
      </w:r>
      <w:proofErr w:type="spellEnd"/>
      <w:r w:rsidRPr="0014413A">
        <w:rPr>
          <w:rFonts w:asciiTheme="majorBidi" w:hAnsiTheme="majorBidi"/>
          <w:sz w:val="24"/>
          <w:szCs w:val="24"/>
        </w:rPr>
        <w:t xml:space="preserve"> Sp. Nov., Nom. Rev.; A. </w:t>
      </w:r>
      <w:proofErr w:type="spellStart"/>
      <w:r w:rsidRPr="0014413A">
        <w:rPr>
          <w:rFonts w:asciiTheme="majorBidi" w:hAnsiTheme="majorBidi"/>
          <w:sz w:val="24"/>
          <w:szCs w:val="24"/>
        </w:rPr>
        <w:t>Macleodii</w:t>
      </w:r>
      <w:proofErr w:type="spellEnd"/>
      <w:r w:rsidRPr="0014413A">
        <w:rPr>
          <w:rFonts w:asciiTheme="majorBidi" w:hAnsiTheme="majorBidi"/>
          <w:sz w:val="24"/>
          <w:szCs w:val="24"/>
        </w:rPr>
        <w:t xml:space="preserve">; and A. </w:t>
      </w:r>
      <w:proofErr w:type="spellStart"/>
      <w:r w:rsidRPr="0014413A">
        <w:rPr>
          <w:rFonts w:asciiTheme="majorBidi" w:hAnsiTheme="majorBidi"/>
          <w:sz w:val="24"/>
          <w:szCs w:val="24"/>
        </w:rPr>
        <w:t>Haloplanktis</w:t>
      </w:r>
      <w:proofErr w:type="spellEnd"/>
      <w:r w:rsidRPr="0014413A">
        <w:rPr>
          <w:rFonts w:asciiTheme="majorBidi" w:hAnsiTheme="majorBidi"/>
          <w:sz w:val="24"/>
          <w:szCs w:val="24"/>
        </w:rPr>
        <w:t xml:space="preserve">.” </w:t>
      </w:r>
      <w:r w:rsidRPr="0014413A">
        <w:rPr>
          <w:rFonts w:asciiTheme="majorBidi" w:hAnsiTheme="majorBidi"/>
          <w:i/>
          <w:iCs/>
          <w:sz w:val="24"/>
          <w:szCs w:val="24"/>
        </w:rPr>
        <w:t>International Journal of Systematic and Evolutionary Microbiology,</w:t>
      </w:r>
      <w:r w:rsidRPr="0014413A">
        <w:rPr>
          <w:rFonts w:asciiTheme="majorBidi" w:hAnsiTheme="majorBidi"/>
          <w:sz w:val="24"/>
          <w:szCs w:val="24"/>
        </w:rPr>
        <w:t xml:space="preserve"> 34 (2): 145–49. https://doi.org/10.1099/00207713-34-2-145.</w:t>
      </w:r>
    </w:p>
    <w:p w14:paraId="5CCEFD4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Beaulieu, Ilia J. Leitch, Sunil Patel, Arjun Pendharkar, and Charles A. Knight. 2008. “Genome Size Is a Strong Predictor of Cell Size and Stomatal Density in Angiosperms.” </w:t>
      </w:r>
      <w:r w:rsidRPr="0014413A">
        <w:rPr>
          <w:rFonts w:asciiTheme="majorBidi" w:hAnsiTheme="majorBidi"/>
          <w:i/>
          <w:iCs/>
          <w:sz w:val="24"/>
          <w:szCs w:val="24"/>
        </w:rPr>
        <w:t>New Phytologist</w:t>
      </w:r>
      <w:r w:rsidRPr="0014413A">
        <w:rPr>
          <w:rFonts w:asciiTheme="majorBidi" w:hAnsiTheme="majorBidi"/>
          <w:sz w:val="24"/>
          <w:szCs w:val="24"/>
        </w:rPr>
        <w:t xml:space="preserve"> 179 (4): 975–86. https://doi.org/10.1111/j.1469-8137.2008.02528.x.</w:t>
      </w:r>
    </w:p>
    <w:p w14:paraId="0BD81A2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Beckett, and Joshua S. Weitz. 2017. “Disentangling Niche Competition from Grazing Mortality in Phytoplankton Dilution Experiments.” Edited by Hans G. Dam. </w:t>
      </w:r>
      <w:r w:rsidRPr="0014413A">
        <w:rPr>
          <w:rFonts w:asciiTheme="majorBidi" w:hAnsiTheme="majorBidi"/>
          <w:i/>
          <w:iCs/>
          <w:sz w:val="24"/>
          <w:szCs w:val="24"/>
        </w:rPr>
        <w:t>PLOS ONE</w:t>
      </w:r>
      <w:r w:rsidRPr="0014413A">
        <w:rPr>
          <w:rFonts w:asciiTheme="majorBidi" w:hAnsiTheme="majorBidi"/>
          <w:sz w:val="24"/>
          <w:szCs w:val="24"/>
        </w:rPr>
        <w:t xml:space="preserve"> 12 (5): e0177517. https://doi.org/10.1371/journal.pone.0177517.</w:t>
      </w:r>
    </w:p>
    <w:p w14:paraId="7C7070A8"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Behrenfeld</w:t>
      </w:r>
      <w:proofErr w:type="spellEnd"/>
      <w:r w:rsidRPr="0014413A">
        <w:rPr>
          <w:rFonts w:asciiTheme="majorBidi" w:hAnsiTheme="majorBidi"/>
          <w:sz w:val="24"/>
          <w:szCs w:val="24"/>
        </w:rPr>
        <w:t xml:space="preserve">, Emmanuel Boss, David A. Siegel, and Donald M. Shea. 2005. “Carbon‐based Ocean </w:t>
      </w:r>
      <w:r w:rsidRPr="0014413A">
        <w:rPr>
          <w:rFonts w:asciiTheme="majorBidi" w:hAnsiTheme="majorBidi"/>
          <w:sz w:val="24"/>
          <w:szCs w:val="24"/>
        </w:rPr>
        <w:lastRenderedPageBreak/>
        <w:t xml:space="preserve">Productivity and Phytoplankton Physiology from Space.” </w:t>
      </w:r>
      <w:r w:rsidRPr="0014413A">
        <w:rPr>
          <w:rFonts w:asciiTheme="majorBidi" w:hAnsiTheme="majorBidi"/>
          <w:i/>
          <w:iCs/>
          <w:sz w:val="24"/>
          <w:szCs w:val="24"/>
        </w:rPr>
        <w:t>Global Biogeochemical Cycles</w:t>
      </w:r>
      <w:r w:rsidRPr="0014413A">
        <w:rPr>
          <w:rFonts w:asciiTheme="majorBidi" w:hAnsiTheme="majorBidi"/>
          <w:sz w:val="24"/>
          <w:szCs w:val="24"/>
        </w:rPr>
        <w:t xml:space="preserve"> 19 (1): 2004GB002299. https://doi.org/10.1029/2004GB002299.</w:t>
      </w:r>
    </w:p>
    <w:p w14:paraId="009ECE1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Beman, Cheryl-Emiliane Chow, Andrew L. King, Yuanyuan Feng, Jed A. Fuhrman, Andreas Andersson, Nicholas R. Bates, Brian N. Popp, and David A. Hutchins. 2011. “Global Declines in Oceanic Nitrification Rates as a Consequence of Ocean Acidification.”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108 (1): 208–13. https://doi.org/10.1073/pnas.1011053108.</w:t>
      </w:r>
    </w:p>
    <w:p w14:paraId="675572A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Bengtsson-Palme, Magnus Alm Rosenblad, Mikael Molin, and Anders Blomberg. 2014. “Metagenomics Reveals That Detoxification Systems Are Underrepresented in Marine Bacterial Communities.” </w:t>
      </w:r>
      <w:r w:rsidRPr="0014413A">
        <w:rPr>
          <w:rFonts w:asciiTheme="majorBidi" w:hAnsiTheme="majorBidi"/>
          <w:i/>
          <w:iCs/>
          <w:sz w:val="24"/>
          <w:szCs w:val="24"/>
        </w:rPr>
        <w:t>BMC Genomics</w:t>
      </w:r>
      <w:r w:rsidRPr="0014413A">
        <w:rPr>
          <w:rFonts w:asciiTheme="majorBidi" w:hAnsiTheme="majorBidi"/>
          <w:sz w:val="24"/>
          <w:szCs w:val="24"/>
        </w:rPr>
        <w:t xml:space="preserve"> 15 (1): 749. https://doi.org/10.1186/1471-2164-15-749.</w:t>
      </w:r>
    </w:p>
    <w:p w14:paraId="541CDEF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Bentkowski, Cock Van Oosterhout, and Thomas Mock. 2015. “A Model of Genome Size Evolution for Prokaryotes in Stable and Fluctuating Environments.” </w:t>
      </w:r>
      <w:r w:rsidRPr="0014413A">
        <w:rPr>
          <w:rFonts w:asciiTheme="majorBidi" w:hAnsiTheme="majorBidi"/>
          <w:i/>
          <w:iCs/>
          <w:sz w:val="24"/>
          <w:szCs w:val="24"/>
        </w:rPr>
        <w:t>Genome Biology and Evolution</w:t>
      </w:r>
      <w:r w:rsidRPr="0014413A">
        <w:rPr>
          <w:rFonts w:asciiTheme="majorBidi" w:hAnsiTheme="majorBidi"/>
          <w:sz w:val="24"/>
          <w:szCs w:val="24"/>
        </w:rPr>
        <w:t xml:space="preserve"> 7 (8): 2344–51. https://doi.org/10.1093/gbe/evv148.</w:t>
      </w:r>
    </w:p>
    <w:p w14:paraId="72A19A2A"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Bernroitner</w:t>
      </w:r>
      <w:proofErr w:type="spellEnd"/>
      <w:r w:rsidRPr="0014413A">
        <w:rPr>
          <w:rFonts w:asciiTheme="majorBidi" w:hAnsiTheme="majorBidi"/>
          <w:sz w:val="24"/>
          <w:szCs w:val="24"/>
        </w:rPr>
        <w:t xml:space="preserve">, Marcel </w:t>
      </w:r>
      <w:proofErr w:type="spellStart"/>
      <w:r w:rsidRPr="0014413A">
        <w:rPr>
          <w:rFonts w:asciiTheme="majorBidi" w:hAnsiTheme="majorBidi"/>
          <w:sz w:val="24"/>
          <w:szCs w:val="24"/>
        </w:rPr>
        <w:t>Zamocky</w:t>
      </w:r>
      <w:proofErr w:type="spellEnd"/>
      <w:r w:rsidRPr="0014413A">
        <w:rPr>
          <w:rFonts w:asciiTheme="majorBidi" w:hAnsiTheme="majorBidi"/>
          <w:sz w:val="24"/>
          <w:szCs w:val="24"/>
        </w:rPr>
        <w:t xml:space="preserve">, Paul G. </w:t>
      </w:r>
      <w:proofErr w:type="spellStart"/>
      <w:r w:rsidRPr="0014413A">
        <w:rPr>
          <w:rFonts w:asciiTheme="majorBidi" w:hAnsiTheme="majorBidi"/>
          <w:sz w:val="24"/>
          <w:szCs w:val="24"/>
        </w:rPr>
        <w:t>Furtmüller</w:t>
      </w:r>
      <w:proofErr w:type="spellEnd"/>
      <w:r w:rsidRPr="0014413A">
        <w:rPr>
          <w:rFonts w:asciiTheme="majorBidi" w:hAnsiTheme="majorBidi"/>
          <w:sz w:val="24"/>
          <w:szCs w:val="24"/>
        </w:rPr>
        <w:t xml:space="preserve">, Günter A. </w:t>
      </w:r>
      <w:proofErr w:type="spellStart"/>
      <w:r w:rsidRPr="0014413A">
        <w:rPr>
          <w:rFonts w:asciiTheme="majorBidi" w:hAnsiTheme="majorBidi"/>
          <w:sz w:val="24"/>
          <w:szCs w:val="24"/>
        </w:rPr>
        <w:t>Peschek</w:t>
      </w:r>
      <w:proofErr w:type="spellEnd"/>
      <w:r w:rsidRPr="0014413A">
        <w:rPr>
          <w:rFonts w:asciiTheme="majorBidi" w:hAnsiTheme="majorBidi"/>
          <w:sz w:val="24"/>
          <w:szCs w:val="24"/>
        </w:rPr>
        <w:t xml:space="preserve">, and Christian </w:t>
      </w:r>
      <w:proofErr w:type="spellStart"/>
      <w:r w:rsidRPr="0014413A">
        <w:rPr>
          <w:rFonts w:asciiTheme="majorBidi" w:hAnsiTheme="majorBidi"/>
          <w:sz w:val="24"/>
          <w:szCs w:val="24"/>
        </w:rPr>
        <w:t>Obinger</w:t>
      </w:r>
      <w:proofErr w:type="spellEnd"/>
      <w:r w:rsidRPr="0014413A">
        <w:rPr>
          <w:rFonts w:asciiTheme="majorBidi" w:hAnsiTheme="majorBidi"/>
          <w:sz w:val="24"/>
          <w:szCs w:val="24"/>
        </w:rPr>
        <w:t xml:space="preserve">. 2009. “Occurrence, Phylogeny, Structure, and Function of Catalases and Peroxidases in Cyanobacteria.” </w:t>
      </w:r>
      <w:r w:rsidRPr="0014413A">
        <w:rPr>
          <w:rFonts w:asciiTheme="majorBidi" w:hAnsiTheme="majorBidi"/>
          <w:i/>
          <w:iCs/>
          <w:sz w:val="24"/>
          <w:szCs w:val="24"/>
        </w:rPr>
        <w:t>Journal of Experimental Botany</w:t>
      </w:r>
      <w:r w:rsidRPr="0014413A">
        <w:rPr>
          <w:rFonts w:asciiTheme="majorBidi" w:hAnsiTheme="majorBidi"/>
          <w:sz w:val="24"/>
          <w:szCs w:val="24"/>
        </w:rPr>
        <w:t xml:space="preserve"> 60 (2): 423–40. https://doi.org/10.1093/jxb/ern309.</w:t>
      </w:r>
    </w:p>
    <w:p w14:paraId="3CA43C90" w14:textId="2E306733"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Berube, Steven J. Biller, Thomas Hackl, Shane L. Hogle, Brandon M. Satinsky, Jamie W. Becker, Rogier Braakman,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2018. “Single Cell Genomes of Prochlorococcus,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and Sympatric Microbes from Diverse Marine Environments.” </w:t>
      </w:r>
      <w:r w:rsidRPr="0014413A">
        <w:rPr>
          <w:rFonts w:asciiTheme="majorBidi" w:hAnsiTheme="majorBidi"/>
          <w:i/>
          <w:iCs/>
          <w:sz w:val="24"/>
          <w:szCs w:val="24"/>
        </w:rPr>
        <w:t>Scientific Data</w:t>
      </w:r>
      <w:r w:rsidRPr="0014413A">
        <w:rPr>
          <w:rFonts w:asciiTheme="majorBidi" w:hAnsiTheme="majorBidi"/>
          <w:sz w:val="24"/>
          <w:szCs w:val="24"/>
        </w:rPr>
        <w:t xml:space="preserve"> 5 (1): 180154. https://doi.org/10.1038/sdata.2018.154.</w:t>
      </w:r>
    </w:p>
    <w:p w14:paraId="03B42B2B" w14:textId="50EE5F21"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Berube, Steven J Biller, Alyssa G Kent, Jessie W Berta-Thompson, Sara E Roggensack, Kathryn H Roache-Johnson, Marcia Ackerman,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2015. “Physiology and Evolution of Nitrate Acquisition in Prochlorococcus.” </w:t>
      </w:r>
      <w:r w:rsidRPr="0014413A">
        <w:rPr>
          <w:rFonts w:asciiTheme="majorBidi" w:hAnsiTheme="majorBidi"/>
          <w:i/>
          <w:iCs/>
          <w:sz w:val="24"/>
          <w:szCs w:val="24"/>
        </w:rPr>
        <w:t>The ISME Journal</w:t>
      </w:r>
      <w:r w:rsidRPr="0014413A">
        <w:rPr>
          <w:rFonts w:asciiTheme="majorBidi" w:hAnsiTheme="majorBidi"/>
          <w:sz w:val="24"/>
          <w:szCs w:val="24"/>
        </w:rPr>
        <w:t xml:space="preserve"> 9 (5): 1195–1207. https://doi.org/10.1038/ismej.2014.211.</w:t>
      </w:r>
    </w:p>
    <w:p w14:paraId="31E8D5B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Berube, Tyler J. O’Keefe, Anna Rasmussen, Trent LeMaster, and Sallie W. Chisholm. 2023. “Production and Cross-Feeding of Nitrite within </w:t>
      </w:r>
      <w:r w:rsidRPr="0014413A">
        <w:rPr>
          <w:rFonts w:asciiTheme="majorBidi" w:hAnsiTheme="majorBidi"/>
          <w:i/>
          <w:iCs/>
          <w:sz w:val="24"/>
          <w:szCs w:val="24"/>
        </w:rPr>
        <w:t>Prochlorococcus</w:t>
      </w:r>
      <w:r w:rsidRPr="0014413A">
        <w:rPr>
          <w:rFonts w:asciiTheme="majorBidi" w:hAnsiTheme="majorBidi"/>
          <w:sz w:val="24"/>
          <w:szCs w:val="24"/>
        </w:rPr>
        <w:t xml:space="preserve"> Populations.” Edited by Nicole Dubilier. </w:t>
      </w:r>
      <w:r w:rsidRPr="0014413A">
        <w:rPr>
          <w:rFonts w:asciiTheme="majorBidi" w:hAnsiTheme="majorBidi"/>
          <w:i/>
          <w:iCs/>
          <w:sz w:val="24"/>
          <w:szCs w:val="24"/>
        </w:rPr>
        <w:t>mBio</w:t>
      </w:r>
      <w:r w:rsidRPr="0014413A">
        <w:rPr>
          <w:rFonts w:asciiTheme="majorBidi" w:hAnsiTheme="majorBidi"/>
          <w:sz w:val="24"/>
          <w:szCs w:val="24"/>
        </w:rPr>
        <w:t>, July, e01236-23. https://doi.org/10.1128/mbio.01236-23.</w:t>
      </w:r>
    </w:p>
    <w:p w14:paraId="4C5B465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Bienert, Anders L.B. Møller, Kim A. Kristiansen, Alexander Schulz, Ian M. Møller, Jan K. </w:t>
      </w:r>
      <w:proofErr w:type="spellStart"/>
      <w:r w:rsidRPr="0014413A">
        <w:rPr>
          <w:rFonts w:asciiTheme="majorBidi" w:hAnsiTheme="majorBidi"/>
          <w:sz w:val="24"/>
          <w:szCs w:val="24"/>
        </w:rPr>
        <w:t>Schjoerring</w:t>
      </w:r>
      <w:proofErr w:type="spellEnd"/>
      <w:r w:rsidRPr="0014413A">
        <w:rPr>
          <w:rFonts w:asciiTheme="majorBidi" w:hAnsiTheme="majorBidi"/>
          <w:sz w:val="24"/>
          <w:szCs w:val="24"/>
        </w:rPr>
        <w:t xml:space="preserve">, and Thomas P. Jahn. 2007. “Specific Aquaporins Facilitate the Diffusion of Hydrogen Peroxide across Membranes.” </w:t>
      </w:r>
      <w:r w:rsidRPr="0014413A">
        <w:rPr>
          <w:rFonts w:asciiTheme="majorBidi" w:hAnsiTheme="majorBidi"/>
          <w:i/>
          <w:iCs/>
          <w:sz w:val="24"/>
          <w:szCs w:val="24"/>
        </w:rPr>
        <w:t>Journal of Biological Chemistry</w:t>
      </w:r>
      <w:r w:rsidRPr="0014413A">
        <w:rPr>
          <w:rFonts w:asciiTheme="majorBidi" w:hAnsiTheme="majorBidi"/>
          <w:sz w:val="24"/>
          <w:szCs w:val="24"/>
        </w:rPr>
        <w:t xml:space="preserve"> 282 (2): 1183–92. https://doi.org/10.1074/jbc.M603761200.</w:t>
      </w:r>
    </w:p>
    <w:p w14:paraId="64A72DCF" w14:textId="7BC65B8E"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Bier, Emily S. Bernhardt, Claudia M. Boot, Emily B. Graham, Edward K. Hall, Jay T. Lennon, Diana R. Nemergut,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2015. “Linking Microbial Community Structure and Microbial Processes: An Empirical and Conceptual Overview.” Edited by Gerard </w:t>
      </w:r>
      <w:proofErr w:type="spellStart"/>
      <w:r w:rsidRPr="0014413A">
        <w:rPr>
          <w:rFonts w:asciiTheme="majorBidi" w:hAnsiTheme="majorBidi"/>
          <w:sz w:val="24"/>
          <w:szCs w:val="24"/>
        </w:rPr>
        <w:t>Muyzer</w:t>
      </w:r>
      <w:proofErr w:type="spellEnd"/>
      <w:r w:rsidRPr="0014413A">
        <w:rPr>
          <w:rFonts w:asciiTheme="majorBidi" w:hAnsiTheme="majorBidi"/>
          <w:sz w:val="24"/>
          <w:szCs w:val="24"/>
        </w:rPr>
        <w:t xml:space="preserve">. </w:t>
      </w:r>
      <w:r w:rsidRPr="0014413A">
        <w:rPr>
          <w:rFonts w:asciiTheme="majorBidi" w:hAnsiTheme="majorBidi"/>
          <w:i/>
          <w:iCs/>
          <w:sz w:val="24"/>
          <w:szCs w:val="24"/>
        </w:rPr>
        <w:t xml:space="preserve">FEMS </w:t>
      </w:r>
      <w:r w:rsidRPr="0014413A">
        <w:rPr>
          <w:rFonts w:asciiTheme="majorBidi" w:hAnsiTheme="majorBidi"/>
          <w:i/>
          <w:iCs/>
          <w:sz w:val="24"/>
          <w:szCs w:val="24"/>
        </w:rPr>
        <w:lastRenderedPageBreak/>
        <w:t>Microbiology Ecology</w:t>
      </w:r>
      <w:r w:rsidRPr="0014413A">
        <w:rPr>
          <w:rFonts w:asciiTheme="majorBidi" w:hAnsiTheme="majorBidi"/>
          <w:sz w:val="24"/>
          <w:szCs w:val="24"/>
        </w:rPr>
        <w:t xml:space="preserve"> 91 (10): fiv113. https://doi.org/10.1093/femsec/fiv113.</w:t>
      </w:r>
    </w:p>
    <w:p w14:paraId="7C9537BC" w14:textId="140C5E93"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Biller, Paul M. Berube, Keven Dooley, Madeline Williams, Brandon M. Satinsky, Thomas Hackl, Shane L. Hogle,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2018. “Marine Microbial Metagenomes Sampled across Space and Time.” </w:t>
      </w:r>
      <w:r w:rsidRPr="0014413A">
        <w:rPr>
          <w:rFonts w:asciiTheme="majorBidi" w:hAnsiTheme="majorBidi"/>
          <w:i/>
          <w:iCs/>
          <w:sz w:val="24"/>
          <w:szCs w:val="24"/>
        </w:rPr>
        <w:t>Scientific Data</w:t>
      </w:r>
      <w:r w:rsidRPr="0014413A">
        <w:rPr>
          <w:rFonts w:asciiTheme="majorBidi" w:hAnsiTheme="majorBidi"/>
          <w:sz w:val="24"/>
          <w:szCs w:val="24"/>
        </w:rPr>
        <w:t xml:space="preserve"> 5 (1): 180176. https://doi.org/10.1038/sdata.2018.176.</w:t>
      </w:r>
    </w:p>
    <w:p w14:paraId="038829D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Biller, Paul M. Berube, Debbie Lindell, and Sallie W. Chisholm. 2015. “Prochlorococcus: The Structure and Function of Collective Diversity.” </w:t>
      </w:r>
      <w:r w:rsidRPr="0014413A">
        <w:rPr>
          <w:rFonts w:asciiTheme="majorBidi" w:hAnsiTheme="majorBidi"/>
          <w:i/>
          <w:iCs/>
          <w:sz w:val="24"/>
          <w:szCs w:val="24"/>
        </w:rPr>
        <w:t>Nature Reviews Microbiology</w:t>
      </w:r>
      <w:r w:rsidRPr="0014413A">
        <w:rPr>
          <w:rFonts w:asciiTheme="majorBidi" w:hAnsiTheme="majorBidi"/>
          <w:sz w:val="24"/>
          <w:szCs w:val="24"/>
        </w:rPr>
        <w:t xml:space="preserve"> 13 (1): 13–27. https://doi.org/10.1038/nrmicro3378.</w:t>
      </w:r>
    </w:p>
    <w:p w14:paraId="19B9475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Biller, Allison Coe, Ana-Belen Martin-Cuadrado, and Sallie W. Chisholm. 2015. “Draft Genome Sequence of </w:t>
      </w:r>
      <w:proofErr w:type="spellStart"/>
      <w:r w:rsidRPr="0014413A">
        <w:rPr>
          <w:rFonts w:asciiTheme="majorBidi" w:hAnsiTheme="majorBidi"/>
          <w:i/>
          <w:iCs/>
          <w:sz w:val="24"/>
          <w:szCs w:val="24"/>
        </w:rPr>
        <w:t>Alteromonas</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Macleodii</w:t>
      </w:r>
      <w:proofErr w:type="spellEnd"/>
      <w:r w:rsidRPr="0014413A">
        <w:rPr>
          <w:rFonts w:asciiTheme="majorBidi" w:hAnsiTheme="majorBidi"/>
          <w:sz w:val="24"/>
          <w:szCs w:val="24"/>
        </w:rPr>
        <w:t xml:space="preserve"> Strain MIT1002, Isolated from an Enrichment Culture of the Marine Cyanobacterium </w:t>
      </w:r>
      <w:r w:rsidRPr="0014413A">
        <w:rPr>
          <w:rFonts w:asciiTheme="majorBidi" w:hAnsiTheme="majorBidi"/>
          <w:i/>
          <w:iCs/>
          <w:sz w:val="24"/>
          <w:szCs w:val="24"/>
        </w:rPr>
        <w:t>Prochlorococcus</w:t>
      </w:r>
      <w:r w:rsidRPr="0014413A">
        <w:rPr>
          <w:rFonts w:asciiTheme="majorBidi" w:hAnsiTheme="majorBidi"/>
          <w:sz w:val="24"/>
          <w:szCs w:val="24"/>
        </w:rPr>
        <w:t xml:space="preserve">.” </w:t>
      </w:r>
      <w:r w:rsidRPr="0014413A">
        <w:rPr>
          <w:rFonts w:asciiTheme="majorBidi" w:hAnsiTheme="majorBidi"/>
          <w:i/>
          <w:iCs/>
          <w:sz w:val="24"/>
          <w:szCs w:val="24"/>
        </w:rPr>
        <w:t>Genome Announcements</w:t>
      </w:r>
      <w:r w:rsidRPr="0014413A">
        <w:rPr>
          <w:rFonts w:asciiTheme="majorBidi" w:hAnsiTheme="majorBidi"/>
          <w:sz w:val="24"/>
          <w:szCs w:val="24"/>
        </w:rPr>
        <w:t xml:space="preserve"> 3 (4): e00967-15, /ga/3/4/e00967-15.atom. https://doi.org/10.1128/genomeA.00967-15.</w:t>
      </w:r>
    </w:p>
    <w:p w14:paraId="73F1A2B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Biller, Allison Coe, Sara E. Roggensack, and Sallie W. Chisholm. 2018. “Heterotroph Interactions Alter </w:t>
      </w:r>
      <w:r w:rsidRPr="0014413A">
        <w:rPr>
          <w:rFonts w:asciiTheme="majorBidi" w:hAnsiTheme="majorBidi"/>
          <w:i/>
          <w:iCs/>
          <w:sz w:val="24"/>
          <w:szCs w:val="24"/>
        </w:rPr>
        <w:t>Prochlorococcus</w:t>
      </w:r>
      <w:r w:rsidRPr="0014413A">
        <w:rPr>
          <w:rFonts w:asciiTheme="majorBidi" w:hAnsiTheme="majorBidi"/>
          <w:sz w:val="24"/>
          <w:szCs w:val="24"/>
        </w:rPr>
        <w:t xml:space="preserve"> Transcriptome Dynamics during Extended Periods of Darkness.” Edited by Olivia Mason. </w:t>
      </w:r>
      <w:proofErr w:type="spellStart"/>
      <w:r w:rsidRPr="0014413A">
        <w:rPr>
          <w:rFonts w:asciiTheme="majorBidi" w:hAnsiTheme="majorBidi"/>
          <w:i/>
          <w:iCs/>
          <w:sz w:val="24"/>
          <w:szCs w:val="24"/>
        </w:rPr>
        <w:t>mSystems</w:t>
      </w:r>
      <w:proofErr w:type="spellEnd"/>
      <w:r w:rsidRPr="0014413A">
        <w:rPr>
          <w:rFonts w:asciiTheme="majorBidi" w:hAnsiTheme="majorBidi"/>
          <w:sz w:val="24"/>
          <w:szCs w:val="24"/>
        </w:rPr>
        <w:t xml:space="preserve"> 3 (3): e00040-18. https://doi.org/10.1128/mSystems.00040-18.</w:t>
      </w:r>
    </w:p>
    <w:p w14:paraId="17FC8B2C" w14:textId="22B164D0"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Blot, Daniella Mella-Flores, Christophe Six, Gildas Le </w:t>
      </w:r>
      <w:proofErr w:type="spellStart"/>
      <w:r w:rsidRPr="0014413A">
        <w:rPr>
          <w:rFonts w:asciiTheme="majorBidi" w:hAnsiTheme="majorBidi"/>
          <w:sz w:val="24"/>
          <w:szCs w:val="24"/>
        </w:rPr>
        <w:t>Corguillé</w:t>
      </w:r>
      <w:proofErr w:type="spellEnd"/>
      <w:r w:rsidRPr="0014413A">
        <w:rPr>
          <w:rFonts w:asciiTheme="majorBidi" w:hAnsiTheme="majorBidi"/>
          <w:sz w:val="24"/>
          <w:szCs w:val="24"/>
        </w:rPr>
        <w:t xml:space="preserve">, Christophe Boutte, Anne </w:t>
      </w:r>
      <w:proofErr w:type="spellStart"/>
      <w:r w:rsidRPr="0014413A">
        <w:rPr>
          <w:rFonts w:asciiTheme="majorBidi" w:hAnsiTheme="majorBidi"/>
          <w:sz w:val="24"/>
          <w:szCs w:val="24"/>
        </w:rPr>
        <w:t>Peyrat</w:t>
      </w:r>
      <w:proofErr w:type="spellEnd"/>
      <w:r w:rsidRPr="0014413A">
        <w:rPr>
          <w:rFonts w:asciiTheme="majorBidi" w:hAnsiTheme="majorBidi"/>
          <w:sz w:val="24"/>
          <w:szCs w:val="24"/>
        </w:rPr>
        <w:t xml:space="preserve">, Annabelle Monnier,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2011. “Light History Influences the Response of the Marine Cyanobacterium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Sp. WH7803 to Oxidative Stress.” </w:t>
      </w:r>
      <w:r w:rsidRPr="0014413A">
        <w:rPr>
          <w:rFonts w:asciiTheme="majorBidi" w:hAnsiTheme="majorBidi"/>
          <w:i/>
          <w:iCs/>
          <w:sz w:val="24"/>
          <w:szCs w:val="24"/>
        </w:rPr>
        <w:t>Plant Physiology</w:t>
      </w:r>
      <w:r w:rsidRPr="0014413A">
        <w:rPr>
          <w:rFonts w:asciiTheme="majorBidi" w:hAnsiTheme="majorBidi"/>
          <w:sz w:val="24"/>
          <w:szCs w:val="24"/>
        </w:rPr>
        <w:t xml:space="preserve"> 156 (4): 1934–54. https://doi.org/10.1104/pp.111.174714.</w:t>
      </w:r>
    </w:p>
    <w:p w14:paraId="4E73C31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Blough, and R.G. Zepp. 1995. “Reactive Oxygen Species in Natural Waters.” In </w:t>
      </w:r>
      <w:r w:rsidRPr="0014413A">
        <w:rPr>
          <w:rFonts w:asciiTheme="majorBidi" w:hAnsiTheme="majorBidi"/>
          <w:i/>
          <w:iCs/>
          <w:sz w:val="24"/>
          <w:szCs w:val="24"/>
        </w:rPr>
        <w:t>Active Oxygen in Chemistry. Structure Energetics and Reactivity in Chemistry Series</w:t>
      </w:r>
      <w:r w:rsidRPr="0014413A">
        <w:rPr>
          <w:rFonts w:asciiTheme="majorBidi" w:hAnsiTheme="majorBidi"/>
          <w:sz w:val="24"/>
          <w:szCs w:val="24"/>
        </w:rPr>
        <w:t>, 1995th ed. Vol. 2. Springer, Dordrecht. https://doi.org/10.1007/978-94-007-0874-7_8.</w:t>
      </w:r>
    </w:p>
    <w:p w14:paraId="4A112F3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Boden, Kurt O. </w:t>
      </w:r>
      <w:proofErr w:type="spellStart"/>
      <w:r w:rsidRPr="0014413A">
        <w:rPr>
          <w:rFonts w:asciiTheme="majorBidi" w:hAnsiTheme="majorBidi"/>
          <w:sz w:val="24"/>
          <w:szCs w:val="24"/>
        </w:rPr>
        <w:t>Konhauser</w:t>
      </w:r>
      <w:proofErr w:type="spellEnd"/>
      <w:r w:rsidRPr="0014413A">
        <w:rPr>
          <w:rFonts w:asciiTheme="majorBidi" w:hAnsiTheme="majorBidi"/>
          <w:sz w:val="24"/>
          <w:szCs w:val="24"/>
        </w:rPr>
        <w:t xml:space="preserve">, Leslie J. Robbins, and Patricia Sánchez-Baracaldo. 2021. “Timing the Evolution of Antioxidant Enzymes in Cyanobacteria.” </w:t>
      </w:r>
      <w:r w:rsidRPr="0014413A">
        <w:rPr>
          <w:rFonts w:asciiTheme="majorBidi" w:hAnsiTheme="majorBidi"/>
          <w:i/>
          <w:iCs/>
          <w:sz w:val="24"/>
          <w:szCs w:val="24"/>
        </w:rPr>
        <w:t>Nature Communications</w:t>
      </w:r>
      <w:r w:rsidRPr="0014413A">
        <w:rPr>
          <w:rFonts w:asciiTheme="majorBidi" w:hAnsiTheme="majorBidi"/>
          <w:sz w:val="24"/>
          <w:szCs w:val="24"/>
        </w:rPr>
        <w:t xml:space="preserve"> 12 (1): 4742. https://doi.org/10.1038/s41467-021-24396-y.</w:t>
      </w:r>
    </w:p>
    <w:p w14:paraId="104D183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Bond, Colleen M. Hansel, and Bettina M. Voelker. 2020. “Heterotrophic Bacteria Exhibit a Wide Range of Rates of Extracellular Production and Decay of Hydrogen Peroxide.” </w:t>
      </w:r>
      <w:r w:rsidRPr="0014413A">
        <w:rPr>
          <w:rFonts w:asciiTheme="majorBidi" w:hAnsiTheme="majorBidi"/>
          <w:i/>
          <w:iCs/>
          <w:sz w:val="24"/>
          <w:szCs w:val="24"/>
        </w:rPr>
        <w:t>Frontiers in Marine Science</w:t>
      </w:r>
      <w:r w:rsidRPr="0014413A">
        <w:rPr>
          <w:rFonts w:asciiTheme="majorBidi" w:hAnsiTheme="majorBidi"/>
          <w:sz w:val="24"/>
          <w:szCs w:val="24"/>
        </w:rPr>
        <w:t xml:space="preserve"> 7 (February):72. https://doi.org/10.3389/fmars.2020.00072.</w:t>
      </w:r>
    </w:p>
    <w:p w14:paraId="78A7AC0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Boyd. 2015. “Toward Quantifying the Response of the Oceans’ Biological Pump to Climate Change.” </w:t>
      </w:r>
      <w:r w:rsidRPr="0014413A">
        <w:rPr>
          <w:rFonts w:asciiTheme="majorBidi" w:hAnsiTheme="majorBidi"/>
          <w:i/>
          <w:iCs/>
          <w:sz w:val="24"/>
          <w:szCs w:val="24"/>
        </w:rPr>
        <w:t>Frontiers in Marine Science</w:t>
      </w:r>
      <w:r w:rsidRPr="0014413A">
        <w:rPr>
          <w:rFonts w:asciiTheme="majorBidi" w:hAnsiTheme="majorBidi"/>
          <w:sz w:val="24"/>
          <w:szCs w:val="24"/>
        </w:rPr>
        <w:t xml:space="preserve"> 2 (October). https://doi.org/10.3389/fmars.2015.00077.</w:t>
      </w:r>
    </w:p>
    <w:p w14:paraId="537FA0D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Brill, and R. J. P. Williams. 1961. “Primary Compounds of Catalase and Peroxidase.” </w:t>
      </w:r>
      <w:r w:rsidRPr="0014413A">
        <w:rPr>
          <w:rFonts w:asciiTheme="majorBidi" w:hAnsiTheme="majorBidi"/>
          <w:i/>
          <w:iCs/>
          <w:sz w:val="24"/>
          <w:szCs w:val="24"/>
        </w:rPr>
        <w:t>Biochemical Journal</w:t>
      </w:r>
      <w:r w:rsidRPr="0014413A">
        <w:rPr>
          <w:rFonts w:asciiTheme="majorBidi" w:hAnsiTheme="majorBidi"/>
          <w:sz w:val="24"/>
          <w:szCs w:val="24"/>
        </w:rPr>
        <w:t xml:space="preserve"> 78 (2): 253–62. https://doi.org/10.1042/bj0780253.</w:t>
      </w:r>
    </w:p>
    <w:p w14:paraId="624B6F7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Bristow, Wiebke Mohr, Soeren </w:t>
      </w:r>
      <w:proofErr w:type="spellStart"/>
      <w:r w:rsidRPr="0014413A">
        <w:rPr>
          <w:rFonts w:asciiTheme="majorBidi" w:hAnsiTheme="majorBidi"/>
          <w:sz w:val="24"/>
          <w:szCs w:val="24"/>
        </w:rPr>
        <w:t>Ahmerkamp</w:t>
      </w:r>
      <w:proofErr w:type="spellEnd"/>
      <w:r w:rsidRPr="0014413A">
        <w:rPr>
          <w:rFonts w:asciiTheme="majorBidi" w:hAnsiTheme="majorBidi"/>
          <w:sz w:val="24"/>
          <w:szCs w:val="24"/>
        </w:rPr>
        <w:t xml:space="preserve">, and Marcel M.M. Kuypers. 2017. “Nutrients That </w:t>
      </w:r>
      <w:r w:rsidRPr="0014413A">
        <w:rPr>
          <w:rFonts w:asciiTheme="majorBidi" w:hAnsiTheme="majorBidi"/>
          <w:sz w:val="24"/>
          <w:szCs w:val="24"/>
        </w:rPr>
        <w:lastRenderedPageBreak/>
        <w:t xml:space="preserve">Limit Growth in the Ocean.” </w:t>
      </w:r>
      <w:r w:rsidRPr="0014413A">
        <w:rPr>
          <w:rFonts w:asciiTheme="majorBidi" w:hAnsiTheme="majorBidi"/>
          <w:i/>
          <w:iCs/>
          <w:sz w:val="24"/>
          <w:szCs w:val="24"/>
        </w:rPr>
        <w:t>Current Biology</w:t>
      </w:r>
      <w:r w:rsidRPr="0014413A">
        <w:rPr>
          <w:rFonts w:asciiTheme="majorBidi" w:hAnsiTheme="majorBidi"/>
          <w:sz w:val="24"/>
          <w:szCs w:val="24"/>
        </w:rPr>
        <w:t xml:space="preserve"> 27 (11): R474–78. https://doi.org/10.1016/j.cub.2017.03.030.</w:t>
      </w:r>
    </w:p>
    <w:p w14:paraId="0300FE8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Brown. 1995. “Reversible Binding and Inhibition of Catalase by Nitric Oxide.” </w:t>
      </w:r>
      <w:r w:rsidRPr="0014413A">
        <w:rPr>
          <w:rFonts w:asciiTheme="majorBidi" w:hAnsiTheme="majorBidi"/>
          <w:i/>
          <w:iCs/>
          <w:sz w:val="24"/>
          <w:szCs w:val="24"/>
        </w:rPr>
        <w:t>European Journal of Biochemistry</w:t>
      </w:r>
      <w:r w:rsidRPr="0014413A">
        <w:rPr>
          <w:rFonts w:asciiTheme="majorBidi" w:hAnsiTheme="majorBidi"/>
          <w:sz w:val="24"/>
          <w:szCs w:val="24"/>
        </w:rPr>
        <w:t xml:space="preserve"> 232 (1): 188–91. https://doi.org/10.1111/j.1432-1033.1995.tb20798.x.</w:t>
      </w:r>
    </w:p>
    <w:p w14:paraId="58306A8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Buchan, Alison, Gary R. LeCleir, Christopher A. </w:t>
      </w:r>
      <w:proofErr w:type="spellStart"/>
      <w:r w:rsidRPr="0014413A">
        <w:rPr>
          <w:rFonts w:asciiTheme="majorBidi" w:hAnsiTheme="majorBidi"/>
          <w:sz w:val="24"/>
          <w:szCs w:val="24"/>
        </w:rPr>
        <w:t>Gulvik</w:t>
      </w:r>
      <w:proofErr w:type="spellEnd"/>
      <w:r w:rsidRPr="0014413A">
        <w:rPr>
          <w:rFonts w:asciiTheme="majorBidi" w:hAnsiTheme="majorBidi"/>
          <w:sz w:val="24"/>
          <w:szCs w:val="24"/>
        </w:rPr>
        <w:t xml:space="preserve">, and José M. González. 2014. “Master Recyclers: Features and Functions of Bacteria Associated with Phytoplankton Blooms.” </w:t>
      </w:r>
      <w:r w:rsidRPr="0014413A">
        <w:rPr>
          <w:rFonts w:asciiTheme="majorBidi" w:hAnsiTheme="majorBidi"/>
          <w:i/>
          <w:iCs/>
          <w:sz w:val="24"/>
          <w:szCs w:val="24"/>
        </w:rPr>
        <w:t>Nature Reviews Microbiology</w:t>
      </w:r>
      <w:r w:rsidRPr="0014413A">
        <w:rPr>
          <w:rFonts w:asciiTheme="majorBidi" w:hAnsiTheme="majorBidi"/>
          <w:sz w:val="24"/>
          <w:szCs w:val="24"/>
        </w:rPr>
        <w:t xml:space="preserve"> 12 (10): 686–98. https://doi.org/10.1038/nrmicro3326.</w:t>
      </w:r>
    </w:p>
    <w:p w14:paraId="547300A7" w14:textId="50951160"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Buitenhuis, W. K. W. Li, D.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xml:space="preserve">, M. W. Lomas, M. Landry, F. </w:t>
      </w: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D. M. Karl,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2012. “Picophytoplankton Biomass Distribution in the Global Ocean.” </w:t>
      </w:r>
      <w:r w:rsidRPr="0014413A">
        <w:rPr>
          <w:rFonts w:asciiTheme="majorBidi" w:hAnsiTheme="majorBidi"/>
          <w:i/>
          <w:iCs/>
          <w:sz w:val="24"/>
          <w:szCs w:val="24"/>
        </w:rPr>
        <w:t>Earth System Science Data Discussions</w:t>
      </w:r>
      <w:r w:rsidRPr="0014413A">
        <w:rPr>
          <w:rFonts w:asciiTheme="majorBidi" w:hAnsiTheme="majorBidi"/>
          <w:sz w:val="24"/>
          <w:szCs w:val="24"/>
        </w:rPr>
        <w:t xml:space="preserve"> 5 (1): 221–42. https://doi.org/10.5194/essdd-5-221-2012.</w:t>
      </w:r>
    </w:p>
    <w:p w14:paraId="5AECE81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Butaitė</w:t>
      </w:r>
      <w:proofErr w:type="spellEnd"/>
      <w:r w:rsidRPr="0014413A">
        <w:rPr>
          <w:rFonts w:asciiTheme="majorBidi" w:hAnsiTheme="majorBidi"/>
          <w:sz w:val="24"/>
          <w:szCs w:val="24"/>
        </w:rPr>
        <w:t xml:space="preserve">, Elena, Michael Baumgartner, Stefan Wyder, and Rolf </w:t>
      </w:r>
      <w:proofErr w:type="spellStart"/>
      <w:r w:rsidRPr="0014413A">
        <w:rPr>
          <w:rFonts w:asciiTheme="majorBidi" w:hAnsiTheme="majorBidi"/>
          <w:sz w:val="24"/>
          <w:szCs w:val="24"/>
        </w:rPr>
        <w:t>Kümmerli</w:t>
      </w:r>
      <w:proofErr w:type="spellEnd"/>
      <w:r w:rsidRPr="0014413A">
        <w:rPr>
          <w:rFonts w:asciiTheme="majorBidi" w:hAnsiTheme="majorBidi"/>
          <w:sz w:val="24"/>
          <w:szCs w:val="24"/>
        </w:rPr>
        <w:t xml:space="preserve">. 2017. “Siderophore Cheating and Cheating Resistance Shape Competition for Iron in Soil and Freshwater Pseudomonas Communities.” </w:t>
      </w:r>
      <w:r w:rsidRPr="0014413A">
        <w:rPr>
          <w:rFonts w:asciiTheme="majorBidi" w:hAnsiTheme="majorBidi"/>
          <w:i/>
          <w:iCs/>
          <w:sz w:val="24"/>
          <w:szCs w:val="24"/>
        </w:rPr>
        <w:t>Nature Communications</w:t>
      </w:r>
      <w:r w:rsidRPr="0014413A">
        <w:rPr>
          <w:rFonts w:asciiTheme="majorBidi" w:hAnsiTheme="majorBidi"/>
          <w:sz w:val="24"/>
          <w:szCs w:val="24"/>
        </w:rPr>
        <w:t xml:space="preserve"> 8 (1): 414. https://doi.org/10.1038/s41467-017-00509-4.</w:t>
      </w:r>
    </w:p>
    <w:p w14:paraId="4D8FFFD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Button. 1991. “Biochemical Basis for Whole-Cell Uptake Kinetics: Specific Affinity, Oligotrophic Capacity, and the Meaning of the Michaelis Constant.” </w:t>
      </w:r>
      <w:r w:rsidRPr="0014413A">
        <w:rPr>
          <w:rFonts w:asciiTheme="majorBidi" w:hAnsiTheme="majorBidi"/>
          <w:i/>
          <w:iCs/>
          <w:sz w:val="24"/>
          <w:szCs w:val="24"/>
        </w:rPr>
        <w:t>APPL. ENVIRON. MICROBIOL.</w:t>
      </w:r>
      <w:r w:rsidRPr="0014413A">
        <w:rPr>
          <w:rFonts w:asciiTheme="majorBidi" w:hAnsiTheme="majorBidi"/>
          <w:sz w:val="24"/>
          <w:szCs w:val="24"/>
        </w:rPr>
        <w:t xml:space="preserve"> 57:6.</w:t>
      </w:r>
    </w:p>
    <w:p w14:paraId="285693E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1998. “Nutrient Uptake by Microorganisms According to Kinetic Parameters from Theory as Related to Cytoarchitecture.” </w:t>
      </w:r>
      <w:r w:rsidRPr="0014413A">
        <w:rPr>
          <w:rFonts w:asciiTheme="majorBidi" w:hAnsiTheme="majorBidi"/>
          <w:i/>
          <w:iCs/>
          <w:sz w:val="24"/>
          <w:szCs w:val="24"/>
        </w:rPr>
        <w:t>MICROBIOL. MOL. BIOL. REV.</w:t>
      </w:r>
      <w:r w:rsidRPr="0014413A">
        <w:rPr>
          <w:rFonts w:asciiTheme="majorBidi" w:hAnsiTheme="majorBidi"/>
          <w:sz w:val="24"/>
          <w:szCs w:val="24"/>
        </w:rPr>
        <w:t xml:space="preserve"> 62:10.</w:t>
      </w:r>
    </w:p>
    <w:p w14:paraId="1C74D29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Calfee. 2021. “Determining the Ecological and Physiological Factors Contributing to the Competitive Success of Prochlorococcus in the Oligotrophic Ocean.” University of Tennessee.</w:t>
      </w:r>
    </w:p>
    <w:p w14:paraId="48C0DF1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Calfee, Liz Glasgo, and E. R. Zinser. 2022. “Prochlorococcus Exudate Stimulates Heterotrophic Bacterial Competition with Rival Phytoplankton for Available Nitrogen” 13 (1): 14.</w:t>
      </w:r>
    </w:p>
    <w:p w14:paraId="2A3BAAE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Campbell, Vaughan Hurry, Adrian K. Clarke, Petter Gustafsson, and Gunnar </w:t>
      </w:r>
      <w:proofErr w:type="spellStart"/>
      <w:r w:rsidRPr="0014413A">
        <w:rPr>
          <w:rFonts w:asciiTheme="majorBidi" w:hAnsiTheme="majorBidi"/>
          <w:sz w:val="24"/>
          <w:szCs w:val="24"/>
        </w:rPr>
        <w:t>Öquist</w:t>
      </w:r>
      <w:proofErr w:type="spellEnd"/>
      <w:r w:rsidRPr="0014413A">
        <w:rPr>
          <w:rFonts w:asciiTheme="majorBidi" w:hAnsiTheme="majorBidi"/>
          <w:sz w:val="24"/>
          <w:szCs w:val="24"/>
        </w:rPr>
        <w:t xml:space="preserve">. 1998. “Chlorophyll Fluorescence Analysis of Cyanobacterial Photosynthesis and Acclimation.” </w:t>
      </w:r>
      <w:r w:rsidRPr="0014413A">
        <w:rPr>
          <w:rFonts w:asciiTheme="majorBidi" w:hAnsiTheme="majorBidi"/>
          <w:i/>
          <w:iCs/>
          <w:sz w:val="24"/>
          <w:szCs w:val="24"/>
        </w:rPr>
        <w:t>Microbiology and Molecular Biology Reviews</w:t>
      </w:r>
      <w:r w:rsidRPr="0014413A">
        <w:rPr>
          <w:rFonts w:asciiTheme="majorBidi" w:hAnsiTheme="majorBidi"/>
          <w:sz w:val="24"/>
          <w:szCs w:val="24"/>
        </w:rPr>
        <w:t xml:space="preserve"> 62 (3): 667–83. https://doi.org/10.1128/MMBR.62.3.667-683.1998.</w:t>
      </w:r>
    </w:p>
    <w:p w14:paraId="4E18648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Campbell, H. A. Nolla, and Daniel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xml:space="preserve">. 1994. “The Importance of </w:t>
      </w:r>
      <w:r w:rsidRPr="0014413A">
        <w:rPr>
          <w:rFonts w:asciiTheme="majorBidi" w:hAnsiTheme="majorBidi"/>
          <w:i/>
          <w:iCs/>
          <w:sz w:val="24"/>
          <w:szCs w:val="24"/>
        </w:rPr>
        <w:t>Prochlorococcus</w:t>
      </w:r>
      <w:r w:rsidRPr="0014413A">
        <w:rPr>
          <w:rFonts w:asciiTheme="majorBidi" w:hAnsiTheme="majorBidi"/>
          <w:sz w:val="24"/>
          <w:szCs w:val="24"/>
        </w:rPr>
        <w:t xml:space="preserve"> to Community Structure in the Central North Pacific Ocean.” </w:t>
      </w:r>
      <w:r w:rsidRPr="0014413A">
        <w:rPr>
          <w:rFonts w:asciiTheme="majorBidi" w:hAnsiTheme="majorBidi"/>
          <w:i/>
          <w:iCs/>
          <w:sz w:val="24"/>
          <w:szCs w:val="24"/>
        </w:rPr>
        <w:t>Limnology and Oceanography</w:t>
      </w:r>
      <w:r w:rsidRPr="0014413A">
        <w:rPr>
          <w:rFonts w:asciiTheme="majorBidi" w:hAnsiTheme="majorBidi"/>
          <w:sz w:val="24"/>
          <w:szCs w:val="24"/>
        </w:rPr>
        <w:t xml:space="preserve"> 39 (4): 954–61. https://doi.org/10.4319/lo.1994.39.4.0954.</w:t>
      </w:r>
    </w:p>
    <w:p w14:paraId="18D5EF4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Cao, Yumei Leng, Xuan Liu, Yanping Yi, Ping Li, and Donald </w:t>
      </w:r>
      <w:proofErr w:type="spellStart"/>
      <w:r w:rsidRPr="0014413A">
        <w:rPr>
          <w:rFonts w:asciiTheme="majorBidi" w:hAnsiTheme="majorBidi"/>
          <w:sz w:val="24"/>
          <w:szCs w:val="24"/>
        </w:rPr>
        <w:t>Kufe</w:t>
      </w:r>
      <w:proofErr w:type="spellEnd"/>
      <w:r w:rsidRPr="0014413A">
        <w:rPr>
          <w:rFonts w:asciiTheme="majorBidi" w:hAnsiTheme="majorBidi"/>
          <w:sz w:val="24"/>
          <w:szCs w:val="24"/>
        </w:rPr>
        <w:t xml:space="preserve">. 2003. “Catalase Is Regulated by Ubiquitination and </w:t>
      </w:r>
      <w:proofErr w:type="spellStart"/>
      <w:r w:rsidRPr="0014413A">
        <w:rPr>
          <w:rFonts w:asciiTheme="majorBidi" w:hAnsiTheme="majorBidi"/>
          <w:sz w:val="24"/>
          <w:szCs w:val="24"/>
        </w:rPr>
        <w:t>Proteosomal</w:t>
      </w:r>
      <w:proofErr w:type="spellEnd"/>
      <w:r w:rsidRPr="0014413A">
        <w:rPr>
          <w:rFonts w:asciiTheme="majorBidi" w:hAnsiTheme="majorBidi"/>
          <w:sz w:val="24"/>
          <w:szCs w:val="24"/>
        </w:rPr>
        <w:t xml:space="preserve"> Degradation. Role of the c-Abl and Arg Tyrosine Kinases.” </w:t>
      </w:r>
      <w:r w:rsidRPr="0014413A">
        <w:rPr>
          <w:rFonts w:asciiTheme="majorBidi" w:hAnsiTheme="majorBidi"/>
          <w:i/>
          <w:iCs/>
          <w:sz w:val="24"/>
          <w:szCs w:val="24"/>
        </w:rPr>
        <w:t>Biochemistry</w:t>
      </w:r>
      <w:r w:rsidRPr="0014413A">
        <w:rPr>
          <w:rFonts w:asciiTheme="majorBidi" w:hAnsiTheme="majorBidi"/>
          <w:sz w:val="24"/>
          <w:szCs w:val="24"/>
        </w:rPr>
        <w:t xml:space="preserve"> 42 (35): 10348–53. https://doi.org/10.1021/bi035023f.</w:t>
      </w:r>
    </w:p>
    <w:p w14:paraId="624A4FC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Carey, Bas W. </w:t>
      </w:r>
      <w:proofErr w:type="spellStart"/>
      <w:r w:rsidRPr="0014413A">
        <w:rPr>
          <w:rFonts w:asciiTheme="majorBidi" w:hAnsiTheme="majorBidi"/>
          <w:sz w:val="24"/>
          <w:szCs w:val="24"/>
        </w:rPr>
        <w:t>Ibelings</w:t>
      </w:r>
      <w:proofErr w:type="spellEnd"/>
      <w:r w:rsidRPr="0014413A">
        <w:rPr>
          <w:rFonts w:asciiTheme="majorBidi" w:hAnsiTheme="majorBidi"/>
          <w:sz w:val="24"/>
          <w:szCs w:val="24"/>
        </w:rPr>
        <w:t xml:space="preserve">, Emily P. Hoffmann, David P. Hamilton, and Justin D. Brookes. 2012. “Eco-Physiological Adaptations That </w:t>
      </w:r>
      <w:proofErr w:type="spellStart"/>
      <w:r w:rsidRPr="0014413A">
        <w:rPr>
          <w:rFonts w:asciiTheme="majorBidi" w:hAnsiTheme="majorBidi"/>
          <w:sz w:val="24"/>
          <w:szCs w:val="24"/>
        </w:rPr>
        <w:t>Favour</w:t>
      </w:r>
      <w:proofErr w:type="spellEnd"/>
      <w:r w:rsidRPr="0014413A">
        <w:rPr>
          <w:rFonts w:asciiTheme="majorBidi" w:hAnsiTheme="majorBidi"/>
          <w:sz w:val="24"/>
          <w:szCs w:val="24"/>
        </w:rPr>
        <w:t xml:space="preserve"> Freshwater Cyanobacteria in a Changing Climate.” </w:t>
      </w:r>
      <w:r w:rsidRPr="0014413A">
        <w:rPr>
          <w:rFonts w:asciiTheme="majorBidi" w:hAnsiTheme="majorBidi"/>
          <w:i/>
          <w:iCs/>
          <w:sz w:val="24"/>
          <w:szCs w:val="24"/>
        </w:rPr>
        <w:t>Water Research</w:t>
      </w:r>
      <w:r w:rsidRPr="0014413A">
        <w:rPr>
          <w:rFonts w:asciiTheme="majorBidi" w:hAnsiTheme="majorBidi"/>
          <w:sz w:val="24"/>
          <w:szCs w:val="24"/>
        </w:rPr>
        <w:t xml:space="preserve"> 46 (5): 1394–1407. https://doi.org/10.1016/j.watres.2011.12.016.</w:t>
      </w:r>
    </w:p>
    <w:p w14:paraId="57E2D02B" w14:textId="044F57D5"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Carlson, François </w:t>
      </w:r>
      <w:proofErr w:type="spellStart"/>
      <w:r w:rsidRPr="0014413A">
        <w:rPr>
          <w:rFonts w:asciiTheme="majorBidi" w:hAnsiTheme="majorBidi"/>
          <w:sz w:val="24"/>
          <w:szCs w:val="24"/>
        </w:rPr>
        <w:t>Ribalet</w:t>
      </w:r>
      <w:proofErr w:type="spellEnd"/>
      <w:r w:rsidRPr="0014413A">
        <w:rPr>
          <w:rFonts w:asciiTheme="majorBidi" w:hAnsiTheme="majorBidi"/>
          <w:sz w:val="24"/>
          <w:szCs w:val="24"/>
        </w:rPr>
        <w:t xml:space="preserve">, Ilia </w:t>
      </w:r>
      <w:proofErr w:type="spellStart"/>
      <w:r w:rsidRPr="0014413A">
        <w:rPr>
          <w:rFonts w:asciiTheme="majorBidi" w:hAnsiTheme="majorBidi"/>
          <w:sz w:val="24"/>
          <w:szCs w:val="24"/>
        </w:rPr>
        <w:t>Maidanik</w:t>
      </w:r>
      <w:proofErr w:type="spellEnd"/>
      <w:r w:rsidRPr="0014413A">
        <w:rPr>
          <w:rFonts w:asciiTheme="majorBidi" w:hAnsiTheme="majorBidi"/>
          <w:sz w:val="24"/>
          <w:szCs w:val="24"/>
        </w:rPr>
        <w:t xml:space="preserve">, Bryndan P. Durham, Yotam </w:t>
      </w:r>
      <w:proofErr w:type="spellStart"/>
      <w:r w:rsidRPr="0014413A">
        <w:rPr>
          <w:rFonts w:asciiTheme="majorBidi" w:hAnsiTheme="majorBidi"/>
          <w:sz w:val="24"/>
          <w:szCs w:val="24"/>
        </w:rPr>
        <w:t>Hulata</w:t>
      </w:r>
      <w:proofErr w:type="spellEnd"/>
      <w:r w:rsidRPr="0014413A">
        <w:rPr>
          <w:rFonts w:asciiTheme="majorBidi" w:hAnsiTheme="majorBidi"/>
          <w:sz w:val="24"/>
          <w:szCs w:val="24"/>
        </w:rPr>
        <w:t xml:space="preserve">, Sara </w:t>
      </w:r>
      <w:proofErr w:type="spellStart"/>
      <w:r w:rsidRPr="0014413A">
        <w:rPr>
          <w:rFonts w:asciiTheme="majorBidi" w:hAnsiTheme="majorBidi"/>
          <w:sz w:val="24"/>
          <w:szCs w:val="24"/>
        </w:rPr>
        <w:t>Ferrón</w:t>
      </w:r>
      <w:proofErr w:type="spellEnd"/>
      <w:r w:rsidRPr="0014413A">
        <w:rPr>
          <w:rFonts w:asciiTheme="majorBidi" w:hAnsiTheme="majorBidi"/>
          <w:sz w:val="24"/>
          <w:szCs w:val="24"/>
        </w:rPr>
        <w:t xml:space="preserve">, Julia Weissenbach,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2022. “Viruses Affect Picocyanobacterial Abundance and Biogeography in the North Pacific Ocean.” </w:t>
      </w:r>
      <w:r w:rsidRPr="0014413A">
        <w:rPr>
          <w:rFonts w:asciiTheme="majorBidi" w:hAnsiTheme="majorBidi"/>
          <w:i/>
          <w:iCs/>
          <w:sz w:val="24"/>
          <w:szCs w:val="24"/>
        </w:rPr>
        <w:t>Nature Microbiology</w:t>
      </w:r>
      <w:r w:rsidRPr="0014413A">
        <w:rPr>
          <w:rFonts w:asciiTheme="majorBidi" w:hAnsiTheme="majorBidi"/>
          <w:sz w:val="24"/>
          <w:szCs w:val="24"/>
        </w:rPr>
        <w:t xml:space="preserve"> 7 (4): 570–80. https://doi.org/10.1038/s41564-022-01088-x.</w:t>
      </w:r>
    </w:p>
    <w:p w14:paraId="3358E3C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Carroll, D </w:t>
      </w:r>
      <w:proofErr w:type="spellStart"/>
      <w:r w:rsidRPr="0014413A">
        <w:rPr>
          <w:rFonts w:asciiTheme="majorBidi" w:hAnsiTheme="majorBidi"/>
          <w:sz w:val="24"/>
          <w:szCs w:val="24"/>
        </w:rPr>
        <w:t>Menemenlis</w:t>
      </w:r>
      <w:proofErr w:type="spellEnd"/>
      <w:r w:rsidRPr="0014413A">
        <w:rPr>
          <w:rFonts w:asciiTheme="majorBidi" w:hAnsiTheme="majorBidi"/>
          <w:sz w:val="24"/>
          <w:szCs w:val="24"/>
        </w:rPr>
        <w:t xml:space="preserve">, J.F. Adkins, K.W. Bowman, H Brix, and S Dutkiewicz. 2020. “The ECCO‐Darwin Data‐assimilative Global Ocean Biogeochemistry Model: Estimates of Seasonal to Multidecadal Surface Ocean pCO2 and Air‐sea CO2 Flux.” </w:t>
      </w:r>
      <w:r w:rsidRPr="0014413A">
        <w:rPr>
          <w:rFonts w:asciiTheme="majorBidi" w:hAnsiTheme="majorBidi"/>
          <w:i/>
          <w:iCs/>
          <w:sz w:val="24"/>
          <w:szCs w:val="24"/>
        </w:rPr>
        <w:t>Journal of Advances in Modeling Earth Systems</w:t>
      </w:r>
      <w:r w:rsidRPr="0014413A">
        <w:rPr>
          <w:rFonts w:asciiTheme="majorBidi" w:hAnsiTheme="majorBidi"/>
          <w:sz w:val="24"/>
          <w:szCs w:val="24"/>
        </w:rPr>
        <w:t xml:space="preserve"> 23 (e2019MS001888). https://doi.org/10.1029/2019MS001888.</w:t>
      </w:r>
    </w:p>
    <w:p w14:paraId="7427212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Chan. 2008. “Physiological and Transcriptional Responses to Induced Oxidative Stress in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Sp. Strains CC9311, WH8102, and CC9605.” UMI Microform 1456304 Copyright 2008 by ProQuest LLC.</w:t>
      </w:r>
    </w:p>
    <w:p w14:paraId="1C30E46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Chelikani</w:t>
      </w:r>
      <w:proofErr w:type="spellEnd"/>
      <w:r w:rsidRPr="0014413A">
        <w:rPr>
          <w:rFonts w:asciiTheme="majorBidi" w:hAnsiTheme="majorBidi"/>
          <w:sz w:val="24"/>
          <w:szCs w:val="24"/>
        </w:rPr>
        <w:t xml:space="preserve">, I. Fita, and P. C. Loewen. 2004. “Diversity of Structures and Properties among Catalases.” </w:t>
      </w:r>
      <w:r w:rsidRPr="0014413A">
        <w:rPr>
          <w:rFonts w:asciiTheme="majorBidi" w:hAnsiTheme="majorBidi"/>
          <w:i/>
          <w:iCs/>
          <w:sz w:val="24"/>
          <w:szCs w:val="24"/>
        </w:rPr>
        <w:t>Cellular and Molecular Life Sciences (CMLS)</w:t>
      </w:r>
      <w:r w:rsidRPr="0014413A">
        <w:rPr>
          <w:rFonts w:asciiTheme="majorBidi" w:hAnsiTheme="majorBidi"/>
          <w:sz w:val="24"/>
          <w:szCs w:val="24"/>
        </w:rPr>
        <w:t xml:space="preserve"> 61 (2): 192–208. https://doi.org/10.1007/s00018-003-3206-5.</w:t>
      </w:r>
    </w:p>
    <w:p w14:paraId="1AB67B6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Chisholm. 2017. “Prochlorococcus.” </w:t>
      </w:r>
      <w:r w:rsidRPr="0014413A">
        <w:rPr>
          <w:rFonts w:asciiTheme="majorBidi" w:hAnsiTheme="majorBidi"/>
          <w:i/>
          <w:iCs/>
          <w:sz w:val="24"/>
          <w:szCs w:val="24"/>
        </w:rPr>
        <w:t>Current Biology</w:t>
      </w:r>
      <w:r w:rsidRPr="0014413A">
        <w:rPr>
          <w:rFonts w:asciiTheme="majorBidi" w:hAnsiTheme="majorBidi"/>
          <w:sz w:val="24"/>
          <w:szCs w:val="24"/>
        </w:rPr>
        <w:t xml:space="preserve"> 27 (11): R447–48. https://doi.org/10.1016/j.cub.2017.02.043.</w:t>
      </w:r>
    </w:p>
    <w:p w14:paraId="65A955F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Chisholm, Robert J. Olson, Erik R. Zettler, Ralf </w:t>
      </w:r>
      <w:proofErr w:type="spellStart"/>
      <w:r w:rsidRPr="0014413A">
        <w:rPr>
          <w:rFonts w:asciiTheme="majorBidi" w:hAnsiTheme="majorBidi"/>
          <w:sz w:val="24"/>
          <w:szCs w:val="24"/>
        </w:rPr>
        <w:t>Goericke</w:t>
      </w:r>
      <w:proofErr w:type="spellEnd"/>
      <w:r w:rsidRPr="0014413A">
        <w:rPr>
          <w:rFonts w:asciiTheme="majorBidi" w:hAnsiTheme="majorBidi"/>
          <w:sz w:val="24"/>
          <w:szCs w:val="24"/>
        </w:rPr>
        <w:t xml:space="preserve">, John B. Waterbury, and Nicholas A. Welschmeyer. 1988. “A Novel Free-Living Prochlorophyte Abundant in the Oceanic Euphotic Zone.” </w:t>
      </w:r>
      <w:r w:rsidRPr="0014413A">
        <w:rPr>
          <w:rFonts w:asciiTheme="majorBidi" w:hAnsiTheme="majorBidi"/>
          <w:i/>
          <w:iCs/>
          <w:sz w:val="24"/>
          <w:szCs w:val="24"/>
        </w:rPr>
        <w:t>Nature</w:t>
      </w:r>
      <w:r w:rsidRPr="0014413A">
        <w:rPr>
          <w:rFonts w:asciiTheme="majorBidi" w:hAnsiTheme="majorBidi"/>
          <w:sz w:val="24"/>
          <w:szCs w:val="24"/>
        </w:rPr>
        <w:t xml:space="preserve"> 334 (6180): 340–43. https://doi.org/10.1038/334340a0.</w:t>
      </w:r>
    </w:p>
    <w:p w14:paraId="2C54CBD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Cooper, Rod G. Zika, Robert G. </w:t>
      </w:r>
      <w:proofErr w:type="spellStart"/>
      <w:r w:rsidRPr="0014413A">
        <w:rPr>
          <w:rFonts w:asciiTheme="majorBidi" w:hAnsiTheme="majorBidi"/>
          <w:sz w:val="24"/>
          <w:szCs w:val="24"/>
        </w:rPr>
        <w:t>Petasne</w:t>
      </w:r>
      <w:proofErr w:type="spellEnd"/>
      <w:r w:rsidRPr="0014413A">
        <w:rPr>
          <w:rFonts w:asciiTheme="majorBidi" w:hAnsiTheme="majorBidi"/>
          <w:sz w:val="24"/>
          <w:szCs w:val="24"/>
        </w:rPr>
        <w:t xml:space="preserve">, and John M. C. Plane. 1988. “Photochemical Formation of Hydrogen Peroxide in Natural Waters Exposed to Sunlight.” </w:t>
      </w:r>
      <w:r w:rsidRPr="0014413A">
        <w:rPr>
          <w:rFonts w:asciiTheme="majorBidi" w:hAnsiTheme="majorBidi"/>
          <w:i/>
          <w:iCs/>
          <w:sz w:val="24"/>
          <w:szCs w:val="24"/>
        </w:rPr>
        <w:t>Environmental Science &amp; Technology</w:t>
      </w:r>
      <w:r w:rsidRPr="0014413A">
        <w:rPr>
          <w:rFonts w:asciiTheme="majorBidi" w:hAnsiTheme="majorBidi"/>
          <w:sz w:val="24"/>
          <w:szCs w:val="24"/>
        </w:rPr>
        <w:t xml:space="preserve"> 22 (10): 1156–60. https://doi.org/10.1021/es00175a004.</w:t>
      </w:r>
    </w:p>
    <w:p w14:paraId="4C1DA7E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Curtin, Maryanne Donovan, and Thomas G Cotter. 2002. “Regulation and Measurement of Oxidative Stress in Apoptosis.” </w:t>
      </w:r>
      <w:r w:rsidRPr="0014413A">
        <w:rPr>
          <w:rFonts w:asciiTheme="majorBidi" w:hAnsiTheme="majorBidi"/>
          <w:i/>
          <w:iCs/>
          <w:sz w:val="24"/>
          <w:szCs w:val="24"/>
        </w:rPr>
        <w:t>Journal of Immunological Methods</w:t>
      </w:r>
      <w:r w:rsidRPr="0014413A">
        <w:rPr>
          <w:rFonts w:asciiTheme="majorBidi" w:hAnsiTheme="majorBidi"/>
          <w:sz w:val="24"/>
          <w:szCs w:val="24"/>
        </w:rPr>
        <w:t xml:space="preserve"> 265 (1–2): 49–72. https://doi.org/10.1016/S0022-1759(02)00070-4.</w:t>
      </w:r>
    </w:p>
    <w:p w14:paraId="28BF928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Dao. 2013. “Reassessment of the Cell Surface Area Limitation to Nutrient Uptake in Phytoplankton.”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489 (August):87–92. https://doi.org/10.3354/meps10434.</w:t>
      </w:r>
    </w:p>
    <w:p w14:paraId="5865FD3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de Marsac, H M Lee, M </w:t>
      </w:r>
      <w:proofErr w:type="spellStart"/>
      <w:r w:rsidRPr="0014413A">
        <w:rPr>
          <w:rFonts w:asciiTheme="majorBidi" w:hAnsiTheme="majorBidi"/>
          <w:sz w:val="24"/>
          <w:szCs w:val="24"/>
        </w:rPr>
        <w:t>Hisbergues</w:t>
      </w:r>
      <w:proofErr w:type="spellEnd"/>
      <w:r w:rsidRPr="0014413A">
        <w:rPr>
          <w:rFonts w:asciiTheme="majorBidi" w:hAnsiTheme="majorBidi"/>
          <w:sz w:val="24"/>
          <w:szCs w:val="24"/>
        </w:rPr>
        <w:t xml:space="preserve">, A M </w:t>
      </w:r>
      <w:proofErr w:type="spellStart"/>
      <w:r w:rsidRPr="0014413A">
        <w:rPr>
          <w:rFonts w:asciiTheme="majorBidi" w:hAnsiTheme="majorBidi"/>
          <w:sz w:val="24"/>
          <w:szCs w:val="24"/>
        </w:rPr>
        <w:t>Castets</w:t>
      </w:r>
      <w:proofErr w:type="spellEnd"/>
      <w:r w:rsidRPr="0014413A">
        <w:rPr>
          <w:rFonts w:asciiTheme="majorBidi" w:hAnsiTheme="majorBidi"/>
          <w:sz w:val="24"/>
          <w:szCs w:val="24"/>
        </w:rPr>
        <w:t xml:space="preserve">, and S Bedu. 2001. “Control of Nitrogen and Carbon Metabolism in Cyanobacteria.” </w:t>
      </w:r>
      <w:r w:rsidRPr="0014413A">
        <w:rPr>
          <w:rFonts w:asciiTheme="majorBidi" w:hAnsiTheme="majorBidi"/>
          <w:i/>
          <w:iCs/>
          <w:sz w:val="24"/>
          <w:szCs w:val="24"/>
        </w:rPr>
        <w:t>Journal of Applied Phycology</w:t>
      </w:r>
      <w:r w:rsidRPr="0014413A">
        <w:rPr>
          <w:rFonts w:asciiTheme="majorBidi" w:hAnsiTheme="majorBidi"/>
          <w:sz w:val="24"/>
          <w:szCs w:val="24"/>
        </w:rPr>
        <w:t xml:space="preserve"> 13:287–92.</w:t>
      </w:r>
    </w:p>
    <w:p w14:paraId="5BAF361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de </w:t>
      </w:r>
      <w:proofErr w:type="spellStart"/>
      <w:r w:rsidRPr="0014413A">
        <w:rPr>
          <w:rFonts w:asciiTheme="majorBidi" w:hAnsiTheme="majorBidi"/>
          <w:sz w:val="24"/>
          <w:szCs w:val="24"/>
        </w:rPr>
        <w:t>Mazancourt</w:t>
      </w:r>
      <w:proofErr w:type="spellEnd"/>
      <w:r w:rsidRPr="0014413A">
        <w:rPr>
          <w:rFonts w:asciiTheme="majorBidi" w:hAnsiTheme="majorBidi"/>
          <w:sz w:val="24"/>
          <w:szCs w:val="24"/>
        </w:rPr>
        <w:t xml:space="preserve">, and Mark W. Schwartz. 2010. “A Resource Ratio Theory of Cooperation.” </w:t>
      </w:r>
      <w:r w:rsidRPr="0014413A">
        <w:rPr>
          <w:rFonts w:asciiTheme="majorBidi" w:hAnsiTheme="majorBidi"/>
          <w:i/>
          <w:iCs/>
          <w:sz w:val="24"/>
          <w:szCs w:val="24"/>
        </w:rPr>
        <w:t>Ecology Letters</w:t>
      </w:r>
      <w:r w:rsidRPr="0014413A">
        <w:rPr>
          <w:rFonts w:asciiTheme="majorBidi" w:hAnsiTheme="majorBidi"/>
          <w:sz w:val="24"/>
          <w:szCs w:val="24"/>
        </w:rPr>
        <w:t xml:space="preserve"> 13 (3): 349–59. https://doi.org/10.1111/j.1461-0248.2009.01431.x.</w:t>
      </w:r>
    </w:p>
    <w:p w14:paraId="6BB9E7E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Delmont, and A. Murat Eren. 2018. “Linking Pangenomes and Metagenomes: The </w:t>
      </w:r>
      <w:r w:rsidRPr="0014413A">
        <w:rPr>
          <w:rFonts w:asciiTheme="majorBidi" w:hAnsiTheme="majorBidi"/>
          <w:i/>
          <w:iCs/>
          <w:sz w:val="24"/>
          <w:szCs w:val="24"/>
        </w:rPr>
        <w:t>Prochlorococcus</w:t>
      </w:r>
      <w:r w:rsidRPr="0014413A">
        <w:rPr>
          <w:rFonts w:asciiTheme="majorBidi" w:hAnsiTheme="majorBidi"/>
          <w:sz w:val="24"/>
          <w:szCs w:val="24"/>
        </w:rPr>
        <w:t xml:space="preserve"> </w:t>
      </w:r>
      <w:proofErr w:type="spellStart"/>
      <w:r w:rsidRPr="0014413A">
        <w:rPr>
          <w:rFonts w:asciiTheme="majorBidi" w:hAnsiTheme="majorBidi"/>
          <w:sz w:val="24"/>
          <w:szCs w:val="24"/>
        </w:rPr>
        <w:t>Metapangenome</w:t>
      </w:r>
      <w:proofErr w:type="spellEnd"/>
      <w:r w:rsidRPr="0014413A">
        <w:rPr>
          <w:rFonts w:asciiTheme="majorBidi" w:hAnsiTheme="majorBidi"/>
          <w:sz w:val="24"/>
          <w:szCs w:val="24"/>
        </w:rPr>
        <w:t xml:space="preserve">.” </w:t>
      </w:r>
      <w:proofErr w:type="spellStart"/>
      <w:r w:rsidRPr="0014413A">
        <w:rPr>
          <w:rFonts w:asciiTheme="majorBidi" w:hAnsiTheme="majorBidi"/>
          <w:i/>
          <w:iCs/>
          <w:sz w:val="24"/>
          <w:szCs w:val="24"/>
        </w:rPr>
        <w:t>PeerJ</w:t>
      </w:r>
      <w:proofErr w:type="spellEnd"/>
      <w:r w:rsidRPr="0014413A">
        <w:rPr>
          <w:rFonts w:asciiTheme="majorBidi" w:hAnsiTheme="majorBidi"/>
          <w:sz w:val="24"/>
          <w:szCs w:val="24"/>
        </w:rPr>
        <w:t xml:space="preserve"> 6 (January</w:t>
      </w:r>
      <w:proofErr w:type="gramStart"/>
      <w:r w:rsidRPr="0014413A">
        <w:rPr>
          <w:rFonts w:asciiTheme="majorBidi" w:hAnsiTheme="majorBidi"/>
          <w:sz w:val="24"/>
          <w:szCs w:val="24"/>
        </w:rPr>
        <w:t>):e</w:t>
      </w:r>
      <w:proofErr w:type="gramEnd"/>
      <w:r w:rsidRPr="0014413A">
        <w:rPr>
          <w:rFonts w:asciiTheme="majorBidi" w:hAnsiTheme="majorBidi"/>
          <w:sz w:val="24"/>
          <w:szCs w:val="24"/>
        </w:rPr>
        <w:t>4320. https://doi.org/10.7717/peerj.4320.</w:t>
      </w:r>
    </w:p>
    <w:p w14:paraId="5602EF9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Diaz, and Sydney Plummer. 2018. “Production of Extracellular Reactive Oxygen Species by Phytoplankton: Past and Future Directions.” </w:t>
      </w:r>
      <w:r w:rsidRPr="0014413A">
        <w:rPr>
          <w:rFonts w:asciiTheme="majorBidi" w:hAnsiTheme="majorBidi"/>
          <w:i/>
          <w:iCs/>
          <w:sz w:val="24"/>
          <w:szCs w:val="24"/>
        </w:rPr>
        <w:t>Journal of Plankton Research</w:t>
      </w:r>
      <w:r w:rsidRPr="0014413A">
        <w:rPr>
          <w:rFonts w:asciiTheme="majorBidi" w:hAnsiTheme="majorBidi"/>
          <w:sz w:val="24"/>
          <w:szCs w:val="24"/>
        </w:rPr>
        <w:t>, September. https://doi.org/10.1093/plankt/fby039.</w:t>
      </w:r>
    </w:p>
    <w:p w14:paraId="49AF8B1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Dong, Xingchen Tony Wang, Adam V. Subhas, Frank J. Pavia, Jess F. Adkins, and William M. </w:t>
      </w:r>
      <w:proofErr w:type="spellStart"/>
      <w:r w:rsidRPr="0014413A">
        <w:rPr>
          <w:rFonts w:asciiTheme="majorBidi" w:hAnsiTheme="majorBidi"/>
          <w:sz w:val="24"/>
          <w:szCs w:val="24"/>
        </w:rPr>
        <w:t>Berelson</w:t>
      </w:r>
      <w:proofErr w:type="spellEnd"/>
      <w:r w:rsidRPr="0014413A">
        <w:rPr>
          <w:rFonts w:asciiTheme="majorBidi" w:hAnsiTheme="majorBidi"/>
          <w:sz w:val="24"/>
          <w:szCs w:val="24"/>
        </w:rPr>
        <w:t xml:space="preserve">. 2022. “Depth Profiles of Suspended Carbon and Nitrogen along a North Pacific Transect: Concentrations, Isotopes, and Ratios.” </w:t>
      </w:r>
      <w:r w:rsidRPr="0014413A">
        <w:rPr>
          <w:rFonts w:asciiTheme="majorBidi" w:hAnsiTheme="majorBidi"/>
          <w:i/>
          <w:iCs/>
          <w:sz w:val="24"/>
          <w:szCs w:val="24"/>
        </w:rPr>
        <w:t>Limnology and Oceanography</w:t>
      </w:r>
      <w:r w:rsidRPr="0014413A">
        <w:rPr>
          <w:rFonts w:asciiTheme="majorBidi" w:hAnsiTheme="majorBidi"/>
          <w:sz w:val="24"/>
          <w:szCs w:val="24"/>
        </w:rPr>
        <w:t xml:space="preserve"> 67 (1): 247–60. https://doi.org/10.1002/lno.11989.</w:t>
      </w:r>
    </w:p>
    <w:p w14:paraId="6E77D38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Dortch, and Theodore T. Packard. 1989. “Differences in Biomass Structure between Oligotrophic and Eutrophic Marine Ecosystems.” </w:t>
      </w:r>
      <w:r w:rsidRPr="0014413A">
        <w:rPr>
          <w:rFonts w:asciiTheme="majorBidi" w:hAnsiTheme="majorBidi"/>
          <w:i/>
          <w:iCs/>
          <w:sz w:val="24"/>
          <w:szCs w:val="24"/>
        </w:rPr>
        <w:t>Deep Sea Research Part A. Oceanographic Research Papers</w:t>
      </w:r>
      <w:r w:rsidRPr="0014413A">
        <w:rPr>
          <w:rFonts w:asciiTheme="majorBidi" w:hAnsiTheme="majorBidi"/>
          <w:sz w:val="24"/>
          <w:szCs w:val="24"/>
        </w:rPr>
        <w:t xml:space="preserve"> 36 (2): 223–40. https://doi.org/10.1016/0198-0149(89)90135-0.</w:t>
      </w:r>
    </w:p>
    <w:p w14:paraId="05FA207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Duarte, Aurore </w:t>
      </w:r>
      <w:proofErr w:type="spellStart"/>
      <w:r w:rsidRPr="0014413A">
        <w:rPr>
          <w:rFonts w:asciiTheme="majorBidi" w:hAnsiTheme="majorBidi"/>
          <w:sz w:val="24"/>
          <w:szCs w:val="24"/>
        </w:rPr>
        <w:t>Regaudie</w:t>
      </w:r>
      <w:proofErr w:type="spellEnd"/>
      <w:r w:rsidRPr="0014413A">
        <w:rPr>
          <w:rFonts w:asciiTheme="majorBidi" w:hAnsiTheme="majorBidi"/>
          <w:sz w:val="24"/>
          <w:szCs w:val="24"/>
        </w:rPr>
        <w:t>-de-</w:t>
      </w:r>
      <w:proofErr w:type="spellStart"/>
      <w:r w:rsidRPr="0014413A">
        <w:rPr>
          <w:rFonts w:asciiTheme="majorBidi" w:hAnsiTheme="majorBidi"/>
          <w:sz w:val="24"/>
          <w:szCs w:val="24"/>
        </w:rPr>
        <w:t>Gioux</w:t>
      </w:r>
      <w:proofErr w:type="spellEnd"/>
      <w:r w:rsidRPr="0014413A">
        <w:rPr>
          <w:rFonts w:asciiTheme="majorBidi" w:hAnsiTheme="majorBidi"/>
          <w:sz w:val="24"/>
          <w:szCs w:val="24"/>
        </w:rPr>
        <w:t xml:space="preserve">, Jesús M. Arrieta, Antonio Delgado-Huertas, and Susana Agustí. 2013. “The Oligotrophic Ocean Is Heterotrophic.”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5 (1): 551–69. https://doi.org/10.1146/annurev-marine-121211-172337.</w:t>
      </w:r>
    </w:p>
    <w:p w14:paraId="67BCEB1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Ducklow, Helen L. Quinby, and Craig A. Carlson. 1995. “Bacterioplankton Dynamics in the Equatorial Pacific during the 1992 El Niño.” </w:t>
      </w:r>
      <w:r w:rsidRPr="0014413A">
        <w:rPr>
          <w:rFonts w:asciiTheme="majorBidi" w:hAnsiTheme="majorBidi"/>
          <w:i/>
          <w:iCs/>
          <w:sz w:val="24"/>
          <w:szCs w:val="24"/>
        </w:rPr>
        <w:t>Deep Sea Research Part II: Topical Studies in Oceanography</w:t>
      </w:r>
      <w:r w:rsidRPr="0014413A">
        <w:rPr>
          <w:rFonts w:asciiTheme="majorBidi" w:hAnsiTheme="majorBidi"/>
          <w:sz w:val="24"/>
          <w:szCs w:val="24"/>
        </w:rPr>
        <w:t xml:space="preserve"> 42 (2): 621–38. https://doi.org/10.1016/0967-0645(95)00022-I.</w:t>
      </w:r>
    </w:p>
    <w:p w14:paraId="5592E9F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Dutkiewicz, M. J. Follows, and J. G. Bragg. 2009. “Modeling the Coupling of Ocean Ecology and Biogeochemistry: COUPLING OF ECOLOGY AND BIOGEOCHEMISTRY.” </w:t>
      </w:r>
      <w:r w:rsidRPr="0014413A">
        <w:rPr>
          <w:rFonts w:asciiTheme="majorBidi" w:hAnsiTheme="majorBidi"/>
          <w:i/>
          <w:iCs/>
          <w:sz w:val="24"/>
          <w:szCs w:val="24"/>
        </w:rPr>
        <w:t>Global Biogeochemical Cycles</w:t>
      </w:r>
      <w:r w:rsidRPr="0014413A">
        <w:rPr>
          <w:rFonts w:asciiTheme="majorBidi" w:hAnsiTheme="majorBidi"/>
          <w:sz w:val="24"/>
          <w:szCs w:val="24"/>
        </w:rPr>
        <w:t xml:space="preserve"> 23 (4): n/a-n/a. https://doi.org/10.1029/2008GB003405.</w:t>
      </w:r>
    </w:p>
    <w:p w14:paraId="00261C5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Dutkiewicz, J. Jeffrey Morris, Michael J. Follows, Jeffery Scott, Orly Levitan, Sonya T. </w:t>
      </w:r>
      <w:proofErr w:type="spellStart"/>
      <w:r w:rsidRPr="0014413A">
        <w:rPr>
          <w:rFonts w:asciiTheme="majorBidi" w:hAnsiTheme="majorBidi"/>
          <w:sz w:val="24"/>
          <w:szCs w:val="24"/>
        </w:rPr>
        <w:t>Dyhrman</w:t>
      </w:r>
      <w:proofErr w:type="spellEnd"/>
      <w:r w:rsidRPr="0014413A">
        <w:rPr>
          <w:rFonts w:asciiTheme="majorBidi" w:hAnsiTheme="majorBidi"/>
          <w:sz w:val="24"/>
          <w:szCs w:val="24"/>
        </w:rPr>
        <w:t xml:space="preserve">, and Ilana Berman-Frank. 2015. “Impact of Ocean Acidification on the Structure of Future Phytoplankton Communities.” </w:t>
      </w:r>
      <w:r w:rsidRPr="0014413A">
        <w:rPr>
          <w:rFonts w:asciiTheme="majorBidi" w:hAnsiTheme="majorBidi"/>
          <w:i/>
          <w:iCs/>
          <w:sz w:val="24"/>
          <w:szCs w:val="24"/>
        </w:rPr>
        <w:t>Nature Climate Change</w:t>
      </w:r>
      <w:r w:rsidRPr="0014413A">
        <w:rPr>
          <w:rFonts w:asciiTheme="majorBidi" w:hAnsiTheme="majorBidi"/>
          <w:sz w:val="24"/>
          <w:szCs w:val="24"/>
        </w:rPr>
        <w:t xml:space="preserve"> 5 (11): 1002–6. https://doi.org/10.1038/nclimate2722.</w:t>
      </w:r>
    </w:p>
    <w:p w14:paraId="511B1D1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Dutkiewicz, J. R. Scott, and M. J. Follows. 2013. “Winners and Losers: Ecological and Biogeochemical Changes in a Warming Ocean.” </w:t>
      </w:r>
      <w:r w:rsidRPr="0014413A">
        <w:rPr>
          <w:rFonts w:asciiTheme="majorBidi" w:hAnsiTheme="majorBidi"/>
          <w:i/>
          <w:iCs/>
          <w:sz w:val="24"/>
          <w:szCs w:val="24"/>
        </w:rPr>
        <w:t>Global Biogeochemical Cycles</w:t>
      </w:r>
      <w:r w:rsidRPr="0014413A">
        <w:rPr>
          <w:rFonts w:asciiTheme="majorBidi" w:hAnsiTheme="majorBidi"/>
          <w:sz w:val="24"/>
          <w:szCs w:val="24"/>
        </w:rPr>
        <w:t xml:space="preserve"> 27 (2): 463–77. https://doi.org/10.1002/gbc.20042.</w:t>
      </w:r>
    </w:p>
    <w:p w14:paraId="1838A8A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Dutkiewicz, B. A. Ward, J. R. Scott, and M. J. Follows. 2014. “Understanding Predicted Shifts in Diazotroph Biogeography Using Resource Competition Theory.” </w:t>
      </w:r>
      <w:proofErr w:type="spellStart"/>
      <w:r w:rsidRPr="0014413A">
        <w:rPr>
          <w:rFonts w:asciiTheme="majorBidi" w:hAnsiTheme="majorBidi"/>
          <w:i/>
          <w:iCs/>
          <w:sz w:val="24"/>
          <w:szCs w:val="24"/>
        </w:rPr>
        <w:t>Biogeosciences</w:t>
      </w:r>
      <w:proofErr w:type="spellEnd"/>
      <w:r w:rsidRPr="0014413A">
        <w:rPr>
          <w:rFonts w:asciiTheme="majorBidi" w:hAnsiTheme="majorBidi"/>
          <w:sz w:val="24"/>
          <w:szCs w:val="24"/>
        </w:rPr>
        <w:t xml:space="preserve"> 11 (19): 5445–61. https://doi.org/10.5194/bg-11-5445-2014.</w:t>
      </w:r>
    </w:p>
    <w:p w14:paraId="50AA924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Edwards, Mridul K. Thomas, Christopher A. Klausmeier, and Elena Litchman. 2012. “Allometric Scaling and Taxonomic Variation in Nutrient Utilization Traits and Maximum Growth Rate of Phytoplankton.” </w:t>
      </w:r>
      <w:r w:rsidRPr="0014413A">
        <w:rPr>
          <w:rFonts w:asciiTheme="majorBidi" w:hAnsiTheme="majorBidi"/>
          <w:i/>
          <w:iCs/>
          <w:sz w:val="24"/>
          <w:szCs w:val="24"/>
        </w:rPr>
        <w:t>Limnology and Oceanography</w:t>
      </w:r>
      <w:r w:rsidRPr="0014413A">
        <w:rPr>
          <w:rFonts w:asciiTheme="majorBidi" w:hAnsiTheme="majorBidi"/>
          <w:sz w:val="24"/>
          <w:szCs w:val="24"/>
        </w:rPr>
        <w:t xml:space="preserve"> 57 (2): 554–66. https://doi.org/10.4319/lo.2012.57.2.0554.</w:t>
      </w:r>
    </w:p>
    <w:p w14:paraId="3ABA09C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Ehrlich, Nadja J. Kath, and Ursula Gaedke. 2020. “The Shape of a Defense-Growth Trade-off Governs Seasonal Trait Dynamics in Natural Phytoplankton.” </w:t>
      </w:r>
      <w:r w:rsidRPr="0014413A">
        <w:rPr>
          <w:rFonts w:asciiTheme="majorBidi" w:hAnsiTheme="majorBidi"/>
          <w:i/>
          <w:iCs/>
          <w:sz w:val="24"/>
          <w:szCs w:val="24"/>
        </w:rPr>
        <w:t>The ISME Journal</w:t>
      </w:r>
      <w:r w:rsidRPr="0014413A">
        <w:rPr>
          <w:rFonts w:asciiTheme="majorBidi" w:hAnsiTheme="majorBidi"/>
          <w:sz w:val="24"/>
          <w:szCs w:val="24"/>
        </w:rPr>
        <w:t xml:space="preserve"> 14 (6): 1451–62. https://doi.org/10.1038/s41396-020-0619-1.</w:t>
      </w:r>
    </w:p>
    <w:p w14:paraId="0E14FCC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Estrela, J. Jeffrey Morris, and Benjamin Kerr. 2016. “Private Benefits and Metabolic Conflicts Shape the Emergence of Microbial Interdependencies: The Origins of Microbial Interdependencies.” </w:t>
      </w:r>
      <w:r w:rsidRPr="0014413A">
        <w:rPr>
          <w:rFonts w:asciiTheme="majorBidi" w:hAnsiTheme="majorBidi"/>
          <w:i/>
          <w:iCs/>
          <w:sz w:val="24"/>
          <w:szCs w:val="24"/>
        </w:rPr>
        <w:t>Environmental Microbiology</w:t>
      </w:r>
      <w:r w:rsidRPr="0014413A">
        <w:rPr>
          <w:rFonts w:asciiTheme="majorBidi" w:hAnsiTheme="majorBidi"/>
          <w:sz w:val="24"/>
          <w:szCs w:val="24"/>
        </w:rPr>
        <w:t xml:space="preserve"> 18 (5): 1415–27. https://doi.org/10.1111/1462-2920.13028.</w:t>
      </w:r>
    </w:p>
    <w:p w14:paraId="5632BCC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Falkowski. 1997. “Evolution of the Nitrogen Cycle and Its Influence on the Biological Sequestration of CO2 in the Ocean.” </w:t>
      </w:r>
      <w:r w:rsidRPr="0014413A">
        <w:rPr>
          <w:rFonts w:asciiTheme="majorBidi" w:hAnsiTheme="majorBidi"/>
          <w:i/>
          <w:iCs/>
          <w:sz w:val="24"/>
          <w:szCs w:val="24"/>
        </w:rPr>
        <w:t>Nature</w:t>
      </w:r>
      <w:r w:rsidRPr="0014413A">
        <w:rPr>
          <w:rFonts w:asciiTheme="majorBidi" w:hAnsiTheme="majorBidi"/>
          <w:sz w:val="24"/>
          <w:szCs w:val="24"/>
        </w:rPr>
        <w:t xml:space="preserve"> 387.</w:t>
      </w:r>
    </w:p>
    <w:p w14:paraId="73801D1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Falkowski, T. Fenchel, and E. F. Delong. 2008. “The Microbial Engines That Drive Earth’s Biogeochemical Cycles.” </w:t>
      </w:r>
      <w:r w:rsidRPr="0014413A">
        <w:rPr>
          <w:rFonts w:asciiTheme="majorBidi" w:hAnsiTheme="majorBidi"/>
          <w:i/>
          <w:iCs/>
          <w:sz w:val="24"/>
          <w:szCs w:val="24"/>
        </w:rPr>
        <w:t>Science</w:t>
      </w:r>
      <w:r w:rsidRPr="0014413A">
        <w:rPr>
          <w:rFonts w:asciiTheme="majorBidi" w:hAnsiTheme="majorBidi"/>
          <w:sz w:val="24"/>
          <w:szCs w:val="24"/>
        </w:rPr>
        <w:t xml:space="preserve"> 320 (5879): 1034–39. https://doi.org/10.1126/science.1153213.</w:t>
      </w:r>
    </w:p>
    <w:p w14:paraId="14E9DC0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Falkowski, Avril D. Woodhead, and Katherine Vivirito, eds. 1992. </w:t>
      </w:r>
      <w:r w:rsidRPr="0014413A">
        <w:rPr>
          <w:rFonts w:asciiTheme="majorBidi" w:hAnsiTheme="majorBidi"/>
          <w:i/>
          <w:iCs/>
          <w:sz w:val="24"/>
          <w:szCs w:val="24"/>
        </w:rPr>
        <w:t>Primary Productivity and Biogeochemical Cycles in the Sea</w:t>
      </w:r>
      <w:r w:rsidRPr="0014413A">
        <w:rPr>
          <w:rFonts w:asciiTheme="majorBidi" w:hAnsiTheme="majorBidi"/>
          <w:sz w:val="24"/>
          <w:szCs w:val="24"/>
        </w:rPr>
        <w:t>. Boston, MA: Springer US. https://doi.org/10.1007/978-1-4899-0762-2.</w:t>
      </w:r>
    </w:p>
    <w:p w14:paraId="6AAB6B3C"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Fasham</w:t>
      </w:r>
      <w:proofErr w:type="spellEnd"/>
      <w:r w:rsidRPr="0014413A">
        <w:rPr>
          <w:rFonts w:asciiTheme="majorBidi" w:hAnsiTheme="majorBidi"/>
          <w:sz w:val="24"/>
          <w:szCs w:val="24"/>
        </w:rPr>
        <w:t xml:space="preserve">, H. W. Ducklow, and S. M. McKelvie. 1990. “A Nitrogen-Based Model of Plankton Dynamics in the Oceanic Mixed Layer.” </w:t>
      </w:r>
      <w:r w:rsidRPr="0014413A">
        <w:rPr>
          <w:rFonts w:asciiTheme="majorBidi" w:hAnsiTheme="majorBidi"/>
          <w:i/>
          <w:iCs/>
          <w:sz w:val="24"/>
          <w:szCs w:val="24"/>
        </w:rPr>
        <w:t>Journal of Marine Research</w:t>
      </w:r>
      <w:r w:rsidRPr="0014413A">
        <w:rPr>
          <w:rFonts w:asciiTheme="majorBidi" w:hAnsiTheme="majorBidi"/>
          <w:sz w:val="24"/>
          <w:szCs w:val="24"/>
        </w:rPr>
        <w:t xml:space="preserve"> 48 (3): 591–639. https://doi.org/10.1357/002224090784984678.</w:t>
      </w:r>
    </w:p>
    <w:p w14:paraId="4D3DC37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Field. 1998. “Primary Production of the Biosphere: Integrating Terrestrial and Oceanic Components.” </w:t>
      </w:r>
      <w:r w:rsidRPr="0014413A">
        <w:rPr>
          <w:rFonts w:asciiTheme="majorBidi" w:hAnsiTheme="majorBidi"/>
          <w:i/>
          <w:iCs/>
          <w:sz w:val="24"/>
          <w:szCs w:val="24"/>
        </w:rPr>
        <w:t>Science</w:t>
      </w:r>
      <w:r w:rsidRPr="0014413A">
        <w:rPr>
          <w:rFonts w:asciiTheme="majorBidi" w:hAnsiTheme="majorBidi"/>
          <w:sz w:val="24"/>
          <w:szCs w:val="24"/>
        </w:rPr>
        <w:t xml:space="preserve"> 281 (5374): 237–40. https://doi.org/10.1126/science.281.5374.237.</w:t>
      </w:r>
    </w:p>
    <w:p w14:paraId="557FE6C5" w14:textId="78604F1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Flombaum</w:t>
      </w:r>
      <w:proofErr w:type="spellEnd"/>
      <w:r w:rsidRPr="0014413A">
        <w:rPr>
          <w:rFonts w:asciiTheme="majorBidi" w:hAnsiTheme="majorBidi"/>
          <w:sz w:val="24"/>
          <w:szCs w:val="24"/>
        </w:rPr>
        <w:t xml:space="preserve">, J. L. Gallegos, R. A. Gordillo, J. Rincon, L. L. Zabala, N. Jiao, D. M. Karl,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2013. “Present and Future Global Distributions of the Marine Cyanobacteria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110 (24): 9824–29. https://doi.org/10.1073/pnas.1307701110.</w:t>
      </w:r>
    </w:p>
    <w:p w14:paraId="26C5052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Follett, Stephanie Dutkiewicz, François </w:t>
      </w:r>
      <w:proofErr w:type="spellStart"/>
      <w:r w:rsidRPr="0014413A">
        <w:rPr>
          <w:rFonts w:asciiTheme="majorBidi" w:hAnsiTheme="majorBidi"/>
          <w:sz w:val="24"/>
          <w:szCs w:val="24"/>
        </w:rPr>
        <w:t>Ribalet</w:t>
      </w:r>
      <w:proofErr w:type="spellEnd"/>
      <w:r w:rsidRPr="0014413A">
        <w:rPr>
          <w:rFonts w:asciiTheme="majorBidi" w:hAnsiTheme="majorBidi"/>
          <w:sz w:val="24"/>
          <w:szCs w:val="24"/>
        </w:rPr>
        <w:t xml:space="preserve">, Emily Zakem, David Caron, E. Virginia Armbrust, and Michael J. Follows. 2022. “Trophic Interactions with Heterotrophic Bacteria Limit the Range of </w:t>
      </w:r>
      <w:r w:rsidRPr="0014413A">
        <w:rPr>
          <w:rFonts w:asciiTheme="majorBidi" w:hAnsiTheme="majorBidi"/>
          <w:i/>
          <w:iCs/>
          <w:sz w:val="24"/>
          <w:szCs w:val="24"/>
        </w:rPr>
        <w:t>Prochlorococcus</w:t>
      </w:r>
      <w:r w:rsidRPr="0014413A">
        <w:rPr>
          <w:rFonts w:asciiTheme="majorBidi" w:hAnsiTheme="majorBidi"/>
          <w:sz w:val="24"/>
          <w:szCs w:val="24"/>
        </w:rPr>
        <w:t xml:space="preserve">.”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119 (2): e2110993118. https://doi.org/10.1073/pnas.2110993118.</w:t>
      </w:r>
    </w:p>
    <w:p w14:paraId="6F63B77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Follows, Dutkiewicz, Grant, and Chisholm. 2007. “Emergent Biogeography of Microbial </w:t>
      </w:r>
      <w:r w:rsidRPr="0014413A">
        <w:rPr>
          <w:rFonts w:asciiTheme="majorBidi" w:hAnsiTheme="majorBidi"/>
          <w:sz w:val="24"/>
          <w:szCs w:val="24"/>
        </w:rPr>
        <w:lastRenderedPageBreak/>
        <w:t xml:space="preserve">Communities in a Model Ocean.” </w:t>
      </w:r>
      <w:r w:rsidRPr="0014413A">
        <w:rPr>
          <w:rFonts w:asciiTheme="majorBidi" w:hAnsiTheme="majorBidi"/>
          <w:i/>
          <w:iCs/>
          <w:sz w:val="24"/>
          <w:szCs w:val="24"/>
        </w:rPr>
        <w:t>Science</w:t>
      </w:r>
      <w:r w:rsidRPr="0014413A">
        <w:rPr>
          <w:rFonts w:asciiTheme="majorBidi" w:hAnsiTheme="majorBidi"/>
          <w:sz w:val="24"/>
          <w:szCs w:val="24"/>
        </w:rPr>
        <w:t xml:space="preserve"> 315 (5820): 1843–46. https://doi.org/10.1126/science.1138544.</w:t>
      </w:r>
    </w:p>
    <w:p w14:paraId="5F81DAD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Follows, and Stephanie Dutkiewicz. 2011. “Modeling Diverse Communities of Marine Microbes.”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3 (1): 427–51. https://doi.org/10.1146/annurev-marine-120709-142848.</w:t>
      </w:r>
    </w:p>
    <w:p w14:paraId="13B66F10" w14:textId="7168A024"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Friedlingstein</w:t>
      </w:r>
      <w:proofErr w:type="spellEnd"/>
      <w:r w:rsidRPr="0014413A">
        <w:rPr>
          <w:rFonts w:asciiTheme="majorBidi" w:hAnsiTheme="majorBidi"/>
          <w:sz w:val="24"/>
          <w:szCs w:val="24"/>
        </w:rPr>
        <w:t xml:space="preserve">, P. Cox, R. Betts, L. Bopp, W. von Bloh, V. </w:t>
      </w:r>
      <w:proofErr w:type="spellStart"/>
      <w:r w:rsidRPr="0014413A">
        <w:rPr>
          <w:rFonts w:asciiTheme="majorBidi" w:hAnsiTheme="majorBidi"/>
          <w:sz w:val="24"/>
          <w:szCs w:val="24"/>
        </w:rPr>
        <w:t>Brovkin</w:t>
      </w:r>
      <w:proofErr w:type="spellEnd"/>
      <w:r w:rsidRPr="0014413A">
        <w:rPr>
          <w:rFonts w:asciiTheme="majorBidi" w:hAnsiTheme="majorBidi"/>
          <w:sz w:val="24"/>
          <w:szCs w:val="24"/>
        </w:rPr>
        <w:t xml:space="preserve">, P. </w:t>
      </w:r>
      <w:proofErr w:type="spellStart"/>
      <w:r w:rsidRPr="0014413A">
        <w:rPr>
          <w:rFonts w:asciiTheme="majorBidi" w:hAnsiTheme="majorBidi"/>
          <w:sz w:val="24"/>
          <w:szCs w:val="24"/>
        </w:rPr>
        <w:t>Cadule</w:t>
      </w:r>
      <w:proofErr w:type="spellEnd"/>
      <w:r w:rsidRPr="0014413A">
        <w:rPr>
          <w:rFonts w:asciiTheme="majorBidi" w:hAnsiTheme="majorBidi"/>
          <w:sz w:val="24"/>
          <w:szCs w:val="24"/>
        </w:rPr>
        <w:t xml:space="preserve">,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2006. “Climate–Carbon Cycle Feedback Analysis: Results from the C </w:t>
      </w:r>
      <w:r w:rsidRPr="0014413A">
        <w:rPr>
          <w:rFonts w:asciiTheme="majorBidi" w:hAnsiTheme="majorBidi"/>
          <w:sz w:val="24"/>
          <w:szCs w:val="24"/>
          <w:vertAlign w:val="superscript"/>
        </w:rPr>
        <w:t>4</w:t>
      </w:r>
      <w:r w:rsidRPr="0014413A">
        <w:rPr>
          <w:rFonts w:asciiTheme="majorBidi" w:hAnsiTheme="majorBidi"/>
          <w:sz w:val="24"/>
          <w:szCs w:val="24"/>
        </w:rPr>
        <w:t xml:space="preserve"> MIP Model Intercomparison.” </w:t>
      </w:r>
      <w:r w:rsidRPr="0014413A">
        <w:rPr>
          <w:rFonts w:asciiTheme="majorBidi" w:hAnsiTheme="majorBidi"/>
          <w:i/>
          <w:iCs/>
          <w:sz w:val="24"/>
          <w:szCs w:val="24"/>
        </w:rPr>
        <w:t>Journal of Climate</w:t>
      </w:r>
      <w:r w:rsidRPr="0014413A">
        <w:rPr>
          <w:rFonts w:asciiTheme="majorBidi" w:hAnsiTheme="majorBidi"/>
          <w:sz w:val="24"/>
          <w:szCs w:val="24"/>
        </w:rPr>
        <w:t xml:space="preserve"> 19 (14): 3337–53. https://doi.org/10.1175/JCLI3800.1.</w:t>
      </w:r>
    </w:p>
    <w:p w14:paraId="58CF685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Fu, Mark E. Warner, </w:t>
      </w:r>
      <w:proofErr w:type="spellStart"/>
      <w:r w:rsidRPr="0014413A">
        <w:rPr>
          <w:rFonts w:asciiTheme="majorBidi" w:hAnsiTheme="majorBidi"/>
          <w:sz w:val="24"/>
          <w:szCs w:val="24"/>
        </w:rPr>
        <w:t>Yaohong</w:t>
      </w:r>
      <w:proofErr w:type="spellEnd"/>
      <w:r w:rsidRPr="0014413A">
        <w:rPr>
          <w:rFonts w:asciiTheme="majorBidi" w:hAnsiTheme="majorBidi"/>
          <w:sz w:val="24"/>
          <w:szCs w:val="24"/>
        </w:rPr>
        <w:t xml:space="preserve"> Zhang, Yuanyuan Feng, and David A. Hutchins. 2007. “EFFECTS OF INCREASED TEMPERATURE AND CO </w:t>
      </w:r>
      <w:r w:rsidRPr="0014413A">
        <w:rPr>
          <w:rFonts w:asciiTheme="majorBidi" w:hAnsiTheme="majorBidi"/>
          <w:sz w:val="24"/>
          <w:szCs w:val="24"/>
          <w:vertAlign w:val="subscript"/>
        </w:rPr>
        <w:t>2</w:t>
      </w:r>
      <w:r w:rsidRPr="0014413A">
        <w:rPr>
          <w:rFonts w:asciiTheme="majorBidi" w:hAnsiTheme="majorBidi"/>
          <w:sz w:val="24"/>
          <w:szCs w:val="24"/>
        </w:rPr>
        <w:t xml:space="preserve"> ON PHOTOSYNTHESIS, GROWTH, AND ELEMENTAL RATIOS IN MARINE </w:t>
      </w:r>
      <w:r w:rsidRPr="0014413A">
        <w:rPr>
          <w:rFonts w:asciiTheme="majorBidi" w:hAnsiTheme="majorBidi"/>
          <w:i/>
          <w:iCs/>
          <w:sz w:val="24"/>
          <w:szCs w:val="24"/>
        </w:rPr>
        <w:t>SYNECHOCOCCUS</w:t>
      </w:r>
      <w:r w:rsidRPr="0014413A">
        <w:rPr>
          <w:rFonts w:asciiTheme="majorBidi" w:hAnsiTheme="majorBidi"/>
          <w:sz w:val="24"/>
          <w:szCs w:val="24"/>
        </w:rPr>
        <w:t xml:space="preserve"> AND </w:t>
      </w:r>
      <w:r w:rsidRPr="0014413A">
        <w:rPr>
          <w:rFonts w:asciiTheme="majorBidi" w:hAnsiTheme="majorBidi"/>
          <w:i/>
          <w:iCs/>
          <w:sz w:val="24"/>
          <w:szCs w:val="24"/>
        </w:rPr>
        <w:t>PROCHLOROCOCCUS</w:t>
      </w:r>
      <w:r w:rsidRPr="0014413A">
        <w:rPr>
          <w:rFonts w:asciiTheme="majorBidi" w:hAnsiTheme="majorBidi"/>
          <w:sz w:val="24"/>
          <w:szCs w:val="24"/>
        </w:rPr>
        <w:t xml:space="preserve"> (CYANOBACTERIA).” </w:t>
      </w:r>
      <w:r w:rsidRPr="0014413A">
        <w:rPr>
          <w:rFonts w:asciiTheme="majorBidi" w:hAnsiTheme="majorBidi"/>
          <w:i/>
          <w:iCs/>
          <w:sz w:val="24"/>
          <w:szCs w:val="24"/>
        </w:rPr>
        <w:t>Journal of Phycology</w:t>
      </w:r>
      <w:r w:rsidRPr="0014413A">
        <w:rPr>
          <w:rFonts w:asciiTheme="majorBidi" w:hAnsiTheme="majorBidi"/>
          <w:sz w:val="24"/>
          <w:szCs w:val="24"/>
        </w:rPr>
        <w:t xml:space="preserve"> 43 (3): 485–96. https://doi.org/10.1111/j.1529-8817.2007.00355.x.</w:t>
      </w:r>
    </w:p>
    <w:p w14:paraId="27E1CB6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Fuhrman. 2002. “Community Structure and Function in Prokaryotic Marine Plankton.”</w:t>
      </w:r>
    </w:p>
    <w:p w14:paraId="1C4548C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2009. “Microbial Community Structure and Its Functional Implications.” </w:t>
      </w:r>
      <w:r w:rsidRPr="0014413A">
        <w:rPr>
          <w:rFonts w:asciiTheme="majorBidi" w:hAnsiTheme="majorBidi"/>
          <w:i/>
          <w:iCs/>
          <w:sz w:val="24"/>
          <w:szCs w:val="24"/>
        </w:rPr>
        <w:t>Nature</w:t>
      </w:r>
      <w:r w:rsidRPr="0014413A">
        <w:rPr>
          <w:rFonts w:asciiTheme="majorBidi" w:hAnsiTheme="majorBidi"/>
          <w:sz w:val="24"/>
          <w:szCs w:val="24"/>
        </w:rPr>
        <w:t xml:space="preserve"> 459 (7244): 193–99. https://doi.org/10.1038/nature08058.</w:t>
      </w:r>
    </w:p>
    <w:p w14:paraId="29058E4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Fuhrman, and Lisa Campbell. 1998. “Microbial </w:t>
      </w:r>
      <w:proofErr w:type="spellStart"/>
      <w:r w:rsidRPr="0014413A">
        <w:rPr>
          <w:rFonts w:asciiTheme="majorBidi" w:hAnsiTheme="majorBidi"/>
          <w:sz w:val="24"/>
          <w:szCs w:val="24"/>
        </w:rPr>
        <w:t>Microdiversity</w:t>
      </w:r>
      <w:proofErr w:type="spellEnd"/>
      <w:r w:rsidRPr="0014413A">
        <w:rPr>
          <w:rFonts w:asciiTheme="majorBidi" w:hAnsiTheme="majorBidi"/>
          <w:sz w:val="24"/>
          <w:szCs w:val="24"/>
        </w:rPr>
        <w:t xml:space="preserve">.” </w:t>
      </w:r>
      <w:r w:rsidRPr="0014413A">
        <w:rPr>
          <w:rFonts w:asciiTheme="majorBidi" w:hAnsiTheme="majorBidi"/>
          <w:i/>
          <w:iCs/>
          <w:sz w:val="24"/>
          <w:szCs w:val="24"/>
        </w:rPr>
        <w:t>Nature</w:t>
      </w:r>
      <w:r w:rsidRPr="0014413A">
        <w:rPr>
          <w:rFonts w:asciiTheme="majorBidi" w:hAnsiTheme="majorBidi"/>
          <w:sz w:val="24"/>
          <w:szCs w:val="24"/>
        </w:rPr>
        <w:t xml:space="preserve"> 393 (6684): 410–11. https://doi.org/10.1038/30839.</w:t>
      </w:r>
    </w:p>
    <w:p w14:paraId="5530E68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Garcia-Fernandez, N. T. de Marsac, and J. Diez. 2004. “Streamlined Regulation and Gene Loss as Adaptive Mechanisms in Prochlorococcus for Optimized Nitrogen Utilization in Oligotrophic Environments.” </w:t>
      </w:r>
      <w:r w:rsidRPr="0014413A">
        <w:rPr>
          <w:rFonts w:asciiTheme="majorBidi" w:hAnsiTheme="majorBidi"/>
          <w:i/>
          <w:iCs/>
          <w:sz w:val="24"/>
          <w:szCs w:val="24"/>
        </w:rPr>
        <w:t>Microbiology and Molecular Biology Reviews</w:t>
      </w:r>
      <w:r w:rsidRPr="0014413A">
        <w:rPr>
          <w:rFonts w:asciiTheme="majorBidi" w:hAnsiTheme="majorBidi"/>
          <w:sz w:val="24"/>
          <w:szCs w:val="24"/>
        </w:rPr>
        <w:t xml:space="preserve"> 68 (4): 630–38. https://doi.org/10.1128/MMBR.68.4.630-638.2004.</w:t>
      </w:r>
    </w:p>
    <w:p w14:paraId="5009B37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García‐Martínez, Silvia G. </w:t>
      </w:r>
      <w:proofErr w:type="spellStart"/>
      <w:r w:rsidRPr="0014413A">
        <w:rPr>
          <w:rFonts w:asciiTheme="majorBidi" w:hAnsiTheme="majorBidi"/>
          <w:sz w:val="24"/>
          <w:szCs w:val="24"/>
        </w:rPr>
        <w:t>Acinas</w:t>
      </w:r>
      <w:proofErr w:type="spellEnd"/>
      <w:r w:rsidRPr="0014413A">
        <w:rPr>
          <w:rFonts w:asciiTheme="majorBidi" w:hAnsiTheme="majorBidi"/>
          <w:sz w:val="24"/>
          <w:szCs w:val="24"/>
        </w:rPr>
        <w:t xml:space="preserve">, Ramon </w:t>
      </w:r>
      <w:proofErr w:type="spellStart"/>
      <w:r w:rsidRPr="0014413A">
        <w:rPr>
          <w:rFonts w:asciiTheme="majorBidi" w:hAnsiTheme="majorBidi"/>
          <w:sz w:val="24"/>
          <w:szCs w:val="24"/>
        </w:rPr>
        <w:t>Massana</w:t>
      </w:r>
      <w:proofErr w:type="spellEnd"/>
      <w:r w:rsidRPr="0014413A">
        <w:rPr>
          <w:rFonts w:asciiTheme="majorBidi" w:hAnsiTheme="majorBidi"/>
          <w:sz w:val="24"/>
          <w:szCs w:val="24"/>
        </w:rPr>
        <w:t xml:space="preserve">, and Francisco Rodríguez‐Valera. 2002. “Prevalence and </w:t>
      </w:r>
      <w:proofErr w:type="spellStart"/>
      <w:r w:rsidRPr="0014413A">
        <w:rPr>
          <w:rFonts w:asciiTheme="majorBidi" w:hAnsiTheme="majorBidi"/>
          <w:sz w:val="24"/>
          <w:szCs w:val="24"/>
        </w:rPr>
        <w:t>Microdiversity</w:t>
      </w:r>
      <w:proofErr w:type="spellEnd"/>
      <w:r w:rsidRPr="0014413A">
        <w:rPr>
          <w:rFonts w:asciiTheme="majorBidi" w:hAnsiTheme="majorBidi"/>
          <w:sz w:val="24"/>
          <w:szCs w:val="24"/>
        </w:rPr>
        <w:t xml:space="preserve"> of </w:t>
      </w:r>
      <w:proofErr w:type="spellStart"/>
      <w:r w:rsidRPr="0014413A">
        <w:rPr>
          <w:rFonts w:asciiTheme="majorBidi" w:hAnsiTheme="majorBidi"/>
          <w:i/>
          <w:iCs/>
          <w:sz w:val="24"/>
          <w:szCs w:val="24"/>
        </w:rPr>
        <w:t>Alteromonas</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Macleodii</w:t>
      </w:r>
      <w:proofErr w:type="spellEnd"/>
      <w:r w:rsidRPr="0014413A">
        <w:rPr>
          <w:rFonts w:asciiTheme="majorBidi" w:hAnsiTheme="majorBidi"/>
          <w:sz w:val="24"/>
          <w:szCs w:val="24"/>
        </w:rPr>
        <w:t xml:space="preserve"> ‐like Microorganisms in Different Oceanic Regions.” </w:t>
      </w:r>
      <w:r w:rsidRPr="0014413A">
        <w:rPr>
          <w:rFonts w:asciiTheme="majorBidi" w:hAnsiTheme="majorBidi"/>
          <w:i/>
          <w:iCs/>
          <w:sz w:val="24"/>
          <w:szCs w:val="24"/>
        </w:rPr>
        <w:t>Environmental Microbiology</w:t>
      </w:r>
      <w:r w:rsidRPr="0014413A">
        <w:rPr>
          <w:rFonts w:asciiTheme="majorBidi" w:hAnsiTheme="majorBidi"/>
          <w:sz w:val="24"/>
          <w:szCs w:val="24"/>
        </w:rPr>
        <w:t xml:space="preserve"> 4 (1): 42–50. https://doi.org/10.1046/j.1462-2920.2002.00255.x.</w:t>
      </w:r>
    </w:p>
    <w:p w14:paraId="1F36F34A" w14:textId="51B43363"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Garczarek</w:t>
      </w:r>
      <w:proofErr w:type="spellEnd"/>
      <w:r w:rsidRPr="0014413A">
        <w:rPr>
          <w:rFonts w:asciiTheme="majorBidi" w:hAnsiTheme="majorBidi"/>
          <w:sz w:val="24"/>
          <w:szCs w:val="24"/>
        </w:rPr>
        <w:t xml:space="preserve">, Alexis Dufresne, Sylvie </w:t>
      </w:r>
      <w:proofErr w:type="spellStart"/>
      <w:r w:rsidRPr="0014413A">
        <w:rPr>
          <w:rFonts w:asciiTheme="majorBidi" w:hAnsiTheme="majorBidi"/>
          <w:sz w:val="24"/>
          <w:szCs w:val="24"/>
        </w:rPr>
        <w:t>Rousvoal</w:t>
      </w:r>
      <w:proofErr w:type="spellEnd"/>
      <w:r w:rsidRPr="0014413A">
        <w:rPr>
          <w:rFonts w:asciiTheme="majorBidi" w:hAnsiTheme="majorBidi"/>
          <w:sz w:val="24"/>
          <w:szCs w:val="24"/>
        </w:rPr>
        <w:t xml:space="preserve">, Nyree J. West, Sophie Mazard, Dominique Marie, </w:t>
      </w:r>
      <w:proofErr w:type="spellStart"/>
      <w:r w:rsidRPr="0014413A">
        <w:rPr>
          <w:rFonts w:asciiTheme="majorBidi" w:hAnsiTheme="majorBidi"/>
          <w:sz w:val="24"/>
          <w:szCs w:val="24"/>
        </w:rPr>
        <w:t>HervÃ</w:t>
      </w:r>
      <w:proofErr w:type="spellEnd"/>
      <w:r w:rsidRPr="0014413A">
        <w:rPr>
          <w:rFonts w:asciiTheme="majorBidi" w:hAnsiTheme="majorBidi"/>
          <w:sz w:val="24"/>
          <w:szCs w:val="24"/>
        </w:rPr>
        <w:t xml:space="preserve">© Claustre,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2007. “High Vertical and Low Horizontal Diversity of Prochlorococcus Ecotypes in the Mediterranean Sea in Summer: Diversity of Prochlorococcus in the Mediterranean Sea.” </w:t>
      </w:r>
      <w:r w:rsidRPr="0014413A">
        <w:rPr>
          <w:rFonts w:asciiTheme="majorBidi" w:hAnsiTheme="majorBidi"/>
          <w:i/>
          <w:iCs/>
          <w:sz w:val="24"/>
          <w:szCs w:val="24"/>
        </w:rPr>
        <w:t>FEMS Microbiology Ecology</w:t>
      </w:r>
      <w:r w:rsidRPr="0014413A">
        <w:rPr>
          <w:rFonts w:asciiTheme="majorBidi" w:hAnsiTheme="majorBidi"/>
          <w:sz w:val="24"/>
          <w:szCs w:val="24"/>
        </w:rPr>
        <w:t xml:space="preserve"> 60 (2): 189–206. https://doi.org/10.1111/j.1574-6941.2007.00297.x.</w:t>
      </w:r>
    </w:p>
    <w:p w14:paraId="1A20188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Giovannoni. 2017. “SAR11 Bacteria: The Most Abundant Plankton in the Oceans.”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9 (1): 231–55. https://doi.org/10.1146/annurev-marine-010814-</w:t>
      </w:r>
      <w:r w:rsidRPr="0014413A">
        <w:rPr>
          <w:rFonts w:asciiTheme="majorBidi" w:hAnsiTheme="majorBidi"/>
          <w:sz w:val="24"/>
          <w:szCs w:val="24"/>
        </w:rPr>
        <w:lastRenderedPageBreak/>
        <w:t>015934.</w:t>
      </w:r>
    </w:p>
    <w:p w14:paraId="5C5ABBA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Giovannoni, J Cameron Thrash, and Ben Temperton. 2014. “Implications of Streamlining Theory for Microbial Ecology.” </w:t>
      </w:r>
      <w:r w:rsidRPr="0014413A">
        <w:rPr>
          <w:rFonts w:asciiTheme="majorBidi" w:hAnsiTheme="majorBidi"/>
          <w:i/>
          <w:iCs/>
          <w:sz w:val="24"/>
          <w:szCs w:val="24"/>
        </w:rPr>
        <w:t>The ISME Journal</w:t>
      </w:r>
      <w:r w:rsidRPr="0014413A">
        <w:rPr>
          <w:rFonts w:asciiTheme="majorBidi" w:hAnsiTheme="majorBidi"/>
          <w:sz w:val="24"/>
          <w:szCs w:val="24"/>
        </w:rPr>
        <w:t xml:space="preserve"> 8 (8): 1553–65. https://doi.org/10.1038/ismej.2014.60.</w:t>
      </w:r>
    </w:p>
    <w:p w14:paraId="1FDECF9D" w14:textId="4ECFDD91"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Giovannoni, H. James Tripp, Scott Givan, Mircea </w:t>
      </w:r>
      <w:proofErr w:type="spellStart"/>
      <w:r w:rsidRPr="0014413A">
        <w:rPr>
          <w:rFonts w:asciiTheme="majorBidi" w:hAnsiTheme="majorBidi"/>
          <w:sz w:val="24"/>
          <w:szCs w:val="24"/>
        </w:rPr>
        <w:t>Podar</w:t>
      </w:r>
      <w:proofErr w:type="spellEnd"/>
      <w:r w:rsidRPr="0014413A">
        <w:rPr>
          <w:rFonts w:asciiTheme="majorBidi" w:hAnsiTheme="majorBidi"/>
          <w:sz w:val="24"/>
          <w:szCs w:val="24"/>
        </w:rPr>
        <w:t xml:space="preserve">, Kevin L. Vergin, Damon Baptista, Lisa Bibbs,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2005. “Genome Streamlining in a Cosmopolitan Oceanic Bacterium.” </w:t>
      </w:r>
      <w:r w:rsidRPr="0014413A">
        <w:rPr>
          <w:rFonts w:asciiTheme="majorBidi" w:hAnsiTheme="majorBidi"/>
          <w:i/>
          <w:iCs/>
          <w:sz w:val="24"/>
          <w:szCs w:val="24"/>
        </w:rPr>
        <w:t>Science</w:t>
      </w:r>
      <w:r w:rsidRPr="0014413A">
        <w:rPr>
          <w:rFonts w:asciiTheme="majorBidi" w:hAnsiTheme="majorBidi"/>
          <w:sz w:val="24"/>
          <w:szCs w:val="24"/>
        </w:rPr>
        <w:t xml:space="preserve"> 309 (5738): 1242–45. https://doi.org/10.1126/science.1114057.</w:t>
      </w:r>
    </w:p>
    <w:p w14:paraId="41CF85D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Goldstone, and Voelker. 2000. “Chemistry of Superoxide Radical in Seawater: CDOM Associated Sink of Superoxide in Coastal Waters.” </w:t>
      </w:r>
      <w:r w:rsidRPr="0014413A">
        <w:rPr>
          <w:rFonts w:asciiTheme="majorBidi" w:hAnsiTheme="majorBidi"/>
          <w:i/>
          <w:iCs/>
          <w:sz w:val="24"/>
          <w:szCs w:val="24"/>
        </w:rPr>
        <w:t>Environmental Science &amp; Technology</w:t>
      </w:r>
      <w:r w:rsidRPr="0014413A">
        <w:rPr>
          <w:rFonts w:asciiTheme="majorBidi" w:hAnsiTheme="majorBidi"/>
          <w:sz w:val="24"/>
          <w:szCs w:val="24"/>
        </w:rPr>
        <w:t xml:space="preserve"> 34 (6): 1043–48. https://doi.org/10.1021/es9905445.</w:t>
      </w:r>
    </w:p>
    <w:p w14:paraId="514F423B"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Grossowicz</w:t>
      </w:r>
      <w:proofErr w:type="spellEnd"/>
      <w:r w:rsidRPr="0014413A">
        <w:rPr>
          <w:rFonts w:asciiTheme="majorBidi" w:hAnsiTheme="majorBidi"/>
          <w:sz w:val="24"/>
          <w:szCs w:val="24"/>
        </w:rPr>
        <w:t xml:space="preserve">, Dalit Roth‐Rosenberg, Dikla </w:t>
      </w:r>
      <w:proofErr w:type="spellStart"/>
      <w:r w:rsidRPr="0014413A">
        <w:rPr>
          <w:rFonts w:asciiTheme="majorBidi" w:hAnsiTheme="majorBidi"/>
          <w:sz w:val="24"/>
          <w:szCs w:val="24"/>
        </w:rPr>
        <w:t>Aharonovich</w:t>
      </w:r>
      <w:proofErr w:type="spellEnd"/>
      <w:r w:rsidRPr="0014413A">
        <w:rPr>
          <w:rFonts w:asciiTheme="majorBidi" w:hAnsiTheme="majorBidi"/>
          <w:sz w:val="24"/>
          <w:szCs w:val="24"/>
        </w:rPr>
        <w:t>, Jacob Silverman, Michael J. Follows, and Daniel Sher. 2017. “</w:t>
      </w:r>
      <w:r w:rsidRPr="0014413A">
        <w:rPr>
          <w:rFonts w:asciiTheme="majorBidi" w:hAnsiTheme="majorBidi"/>
          <w:i/>
          <w:iCs/>
          <w:sz w:val="24"/>
          <w:szCs w:val="24"/>
        </w:rPr>
        <w:t>Prochlorococcus</w:t>
      </w:r>
      <w:r w:rsidRPr="0014413A">
        <w:rPr>
          <w:rFonts w:asciiTheme="majorBidi" w:hAnsiTheme="majorBidi"/>
          <w:sz w:val="24"/>
          <w:szCs w:val="24"/>
        </w:rPr>
        <w:t xml:space="preserve"> in the Lab and in Silico: The Importance of Representing Exudation.” </w:t>
      </w:r>
      <w:r w:rsidRPr="0014413A">
        <w:rPr>
          <w:rFonts w:asciiTheme="majorBidi" w:hAnsiTheme="majorBidi"/>
          <w:i/>
          <w:iCs/>
          <w:sz w:val="24"/>
          <w:szCs w:val="24"/>
        </w:rPr>
        <w:t>Limnology and Oceanography</w:t>
      </w:r>
      <w:r w:rsidRPr="0014413A">
        <w:rPr>
          <w:rFonts w:asciiTheme="majorBidi" w:hAnsiTheme="majorBidi"/>
          <w:sz w:val="24"/>
          <w:szCs w:val="24"/>
        </w:rPr>
        <w:t xml:space="preserve"> 62 (2): 818–35. https://doi.org/10.1002/lno.10463.</w:t>
      </w:r>
    </w:p>
    <w:p w14:paraId="68ACAE3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Grote, J. Cameron Thrash, Megan J. Huggett, Zachary C. Landry, Paul Carini, Stephen J. Giovannoni, and Michael S. </w:t>
      </w:r>
      <w:proofErr w:type="spellStart"/>
      <w:r w:rsidRPr="0014413A">
        <w:rPr>
          <w:rFonts w:asciiTheme="majorBidi" w:hAnsiTheme="majorBidi"/>
          <w:sz w:val="24"/>
          <w:szCs w:val="24"/>
        </w:rPr>
        <w:t>Rappé</w:t>
      </w:r>
      <w:proofErr w:type="spellEnd"/>
      <w:r w:rsidRPr="0014413A">
        <w:rPr>
          <w:rFonts w:asciiTheme="majorBidi" w:hAnsiTheme="majorBidi"/>
          <w:sz w:val="24"/>
          <w:szCs w:val="24"/>
        </w:rPr>
        <w:t xml:space="preserve">. 2012. “Streamlining and Core Genome Conservation among Highly Divergent Members of the SAR11 Clade.” Edited by John W. Taylor. </w:t>
      </w:r>
      <w:r w:rsidRPr="0014413A">
        <w:rPr>
          <w:rFonts w:asciiTheme="majorBidi" w:hAnsiTheme="majorBidi"/>
          <w:i/>
          <w:iCs/>
          <w:sz w:val="24"/>
          <w:szCs w:val="24"/>
        </w:rPr>
        <w:t>mBio</w:t>
      </w:r>
      <w:r w:rsidRPr="0014413A">
        <w:rPr>
          <w:rFonts w:asciiTheme="majorBidi" w:hAnsiTheme="majorBidi"/>
          <w:sz w:val="24"/>
          <w:szCs w:val="24"/>
        </w:rPr>
        <w:t xml:space="preserve"> 3 (5): e00252-12. https://doi.org/10.1128/mBio.00252-12.</w:t>
      </w:r>
    </w:p>
    <w:p w14:paraId="43A3890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Grover. 1997. </w:t>
      </w:r>
      <w:r w:rsidRPr="0014413A">
        <w:rPr>
          <w:rFonts w:asciiTheme="majorBidi" w:hAnsiTheme="majorBidi"/>
          <w:i/>
          <w:iCs/>
          <w:sz w:val="24"/>
          <w:szCs w:val="24"/>
        </w:rPr>
        <w:t>Resource Competition</w:t>
      </w:r>
      <w:r w:rsidRPr="0014413A">
        <w:rPr>
          <w:rFonts w:asciiTheme="majorBidi" w:hAnsiTheme="majorBidi"/>
          <w:sz w:val="24"/>
          <w:szCs w:val="24"/>
        </w:rPr>
        <w:t>. Boston, MA: Springer US.</w:t>
      </w:r>
    </w:p>
    <w:p w14:paraId="73CDD69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Gruber, and Galloway. 2008. “An Earth-System Perspective of the Global Nitrogen Cycle.” </w:t>
      </w:r>
      <w:r w:rsidRPr="0014413A">
        <w:rPr>
          <w:rFonts w:asciiTheme="majorBidi" w:hAnsiTheme="majorBidi"/>
          <w:i/>
          <w:iCs/>
          <w:sz w:val="24"/>
          <w:szCs w:val="24"/>
        </w:rPr>
        <w:t>Nature</w:t>
      </w:r>
      <w:r w:rsidRPr="0014413A">
        <w:rPr>
          <w:rFonts w:asciiTheme="majorBidi" w:hAnsiTheme="majorBidi"/>
          <w:sz w:val="24"/>
          <w:szCs w:val="24"/>
        </w:rPr>
        <w:t xml:space="preserve"> 451 (7176): 293–96. https://doi.org/10.1038/nature06592.</w:t>
      </w:r>
    </w:p>
    <w:p w14:paraId="3AAD7BE0" w14:textId="528A482F"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Gruber, Manuel Gloor, Sara E. </w:t>
      </w:r>
      <w:proofErr w:type="spellStart"/>
      <w:r w:rsidRPr="0014413A">
        <w:rPr>
          <w:rFonts w:asciiTheme="majorBidi" w:hAnsiTheme="majorBidi"/>
          <w:sz w:val="24"/>
          <w:szCs w:val="24"/>
        </w:rPr>
        <w:t>Mikaloff</w:t>
      </w:r>
      <w:proofErr w:type="spellEnd"/>
      <w:r w:rsidRPr="0014413A">
        <w:rPr>
          <w:rFonts w:asciiTheme="majorBidi" w:hAnsiTheme="majorBidi"/>
          <w:sz w:val="24"/>
          <w:szCs w:val="24"/>
        </w:rPr>
        <w:t xml:space="preserve"> Fletcher, Scott C. Doney, Stephanie Dutkiewicz, Michael J. Follows, Markus Gerber,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2009. “Oceanic Sources, Sinks, and Transport of Atmospheric CO </w:t>
      </w:r>
      <w:r w:rsidRPr="0014413A">
        <w:rPr>
          <w:rFonts w:asciiTheme="majorBidi" w:hAnsiTheme="majorBidi"/>
          <w:sz w:val="24"/>
          <w:szCs w:val="24"/>
          <w:vertAlign w:val="subscript"/>
        </w:rPr>
        <w:t>2</w:t>
      </w:r>
      <w:r w:rsidRPr="0014413A">
        <w:rPr>
          <w:rFonts w:asciiTheme="majorBidi" w:hAnsiTheme="majorBidi"/>
          <w:sz w:val="24"/>
          <w:szCs w:val="24"/>
        </w:rPr>
        <w:t xml:space="preserve">: OCEANIC SOURCES, SINKS AND TRANSPORT OF CO </w:t>
      </w:r>
      <w:r w:rsidRPr="0014413A">
        <w:rPr>
          <w:rFonts w:asciiTheme="majorBidi" w:hAnsiTheme="majorBidi"/>
          <w:sz w:val="24"/>
          <w:szCs w:val="24"/>
          <w:vertAlign w:val="subscript"/>
        </w:rPr>
        <w:t>2</w:t>
      </w:r>
      <w:r w:rsidRPr="0014413A">
        <w:rPr>
          <w:rFonts w:asciiTheme="majorBidi" w:hAnsiTheme="majorBidi"/>
          <w:sz w:val="24"/>
          <w:szCs w:val="24"/>
        </w:rPr>
        <w:t xml:space="preserve">.” </w:t>
      </w:r>
      <w:r w:rsidRPr="0014413A">
        <w:rPr>
          <w:rFonts w:asciiTheme="majorBidi" w:hAnsiTheme="majorBidi"/>
          <w:i/>
          <w:iCs/>
          <w:sz w:val="24"/>
          <w:szCs w:val="24"/>
        </w:rPr>
        <w:t>Global Biogeochemical Cycles</w:t>
      </w:r>
      <w:r w:rsidRPr="0014413A">
        <w:rPr>
          <w:rFonts w:asciiTheme="majorBidi" w:hAnsiTheme="majorBidi"/>
          <w:sz w:val="24"/>
          <w:szCs w:val="24"/>
        </w:rPr>
        <w:t xml:space="preserve"> 23 (1): n/a-n/a. https://doi.org/10.1029/2008GB003349.</w:t>
      </w:r>
    </w:p>
    <w:p w14:paraId="2C761C5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Guillou, S Jacquet, </w:t>
      </w:r>
      <w:proofErr w:type="spellStart"/>
      <w:r w:rsidRPr="0014413A">
        <w:rPr>
          <w:rFonts w:asciiTheme="majorBidi" w:hAnsiTheme="majorBidi"/>
          <w:sz w:val="24"/>
          <w:szCs w:val="24"/>
        </w:rPr>
        <w:t>Mj</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Chrétiennot</w:t>
      </w:r>
      <w:proofErr w:type="spellEnd"/>
      <w:r w:rsidRPr="0014413A">
        <w:rPr>
          <w:rFonts w:asciiTheme="majorBidi" w:hAnsiTheme="majorBidi"/>
          <w:sz w:val="24"/>
          <w:szCs w:val="24"/>
        </w:rPr>
        <w:t xml:space="preserve">-Dinet, and D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xml:space="preserve">. 2001. “Grazing Impact of Two Small Heterotrophic Flagellates on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w:t>
      </w:r>
      <w:r w:rsidRPr="0014413A">
        <w:rPr>
          <w:rFonts w:asciiTheme="majorBidi" w:hAnsiTheme="majorBidi"/>
          <w:i/>
          <w:iCs/>
          <w:sz w:val="24"/>
          <w:szCs w:val="24"/>
        </w:rPr>
        <w:t>Aquatic Microbial Ecology</w:t>
      </w:r>
      <w:r w:rsidRPr="0014413A">
        <w:rPr>
          <w:rFonts w:asciiTheme="majorBidi" w:hAnsiTheme="majorBidi"/>
          <w:sz w:val="24"/>
          <w:szCs w:val="24"/>
        </w:rPr>
        <w:t xml:space="preserve"> 26:201–7. https://doi.org/10.3354/ame026201.</w:t>
      </w:r>
    </w:p>
    <w:p w14:paraId="4A28FE0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Hagström, J </w:t>
      </w:r>
      <w:proofErr w:type="spellStart"/>
      <w:r w:rsidRPr="0014413A">
        <w:rPr>
          <w:rFonts w:asciiTheme="majorBidi" w:hAnsiTheme="majorBidi"/>
          <w:sz w:val="24"/>
          <w:szCs w:val="24"/>
        </w:rPr>
        <w:t>Pinhassi</w:t>
      </w:r>
      <w:proofErr w:type="spellEnd"/>
      <w:r w:rsidRPr="0014413A">
        <w:rPr>
          <w:rFonts w:asciiTheme="majorBidi" w:hAnsiTheme="majorBidi"/>
          <w:sz w:val="24"/>
          <w:szCs w:val="24"/>
        </w:rPr>
        <w:t xml:space="preserve">, and </w:t>
      </w:r>
      <w:proofErr w:type="spellStart"/>
      <w:r w:rsidRPr="0014413A">
        <w:rPr>
          <w:rFonts w:asciiTheme="majorBidi" w:hAnsiTheme="majorBidi"/>
          <w:sz w:val="24"/>
          <w:szCs w:val="24"/>
        </w:rPr>
        <w:t>Ul</w:t>
      </w:r>
      <w:proofErr w:type="spellEnd"/>
      <w:r w:rsidRPr="0014413A">
        <w:rPr>
          <w:rFonts w:asciiTheme="majorBidi" w:hAnsiTheme="majorBidi"/>
          <w:sz w:val="24"/>
          <w:szCs w:val="24"/>
        </w:rPr>
        <w:t xml:space="preserve"> Zweifel. 2000. “Biogeographical Diversity among Marine Bacterioplankton.” </w:t>
      </w:r>
      <w:r w:rsidRPr="0014413A">
        <w:rPr>
          <w:rFonts w:asciiTheme="majorBidi" w:hAnsiTheme="majorBidi"/>
          <w:i/>
          <w:iCs/>
          <w:sz w:val="24"/>
          <w:szCs w:val="24"/>
        </w:rPr>
        <w:t>Aquatic Microbial Ecology</w:t>
      </w:r>
      <w:r w:rsidRPr="0014413A">
        <w:rPr>
          <w:rFonts w:asciiTheme="majorBidi" w:hAnsiTheme="majorBidi"/>
          <w:sz w:val="24"/>
          <w:szCs w:val="24"/>
        </w:rPr>
        <w:t xml:space="preserve"> 21:231–44. https://doi.org/10.3354/ame021231.</w:t>
      </w:r>
    </w:p>
    <w:p w14:paraId="21A6520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Hansel, and Julia M. Diaz. 2021. “Production of Extracellular Reactive Oxygen Species by Marine Biota.”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13 (1): 177–200. https://doi.org/10.1146/annurev-marine-041320-102550.</w:t>
      </w:r>
    </w:p>
    <w:p w14:paraId="04A47C5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Harada, Ayumi Akiyama, Ryutaro Furukawa, Shin-</w:t>
      </w:r>
      <w:proofErr w:type="spellStart"/>
      <w:r w:rsidRPr="0014413A">
        <w:rPr>
          <w:rFonts w:asciiTheme="majorBidi" w:hAnsiTheme="majorBidi"/>
          <w:sz w:val="24"/>
          <w:szCs w:val="24"/>
        </w:rPr>
        <w:t>ichi</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Yokobori</w:t>
      </w:r>
      <w:proofErr w:type="spellEnd"/>
      <w:r w:rsidRPr="0014413A">
        <w:rPr>
          <w:rFonts w:asciiTheme="majorBidi" w:hAnsiTheme="majorBidi"/>
          <w:sz w:val="24"/>
          <w:szCs w:val="24"/>
        </w:rPr>
        <w:t xml:space="preserve">, Eiichi </w:t>
      </w:r>
      <w:proofErr w:type="spellStart"/>
      <w:r w:rsidRPr="0014413A">
        <w:rPr>
          <w:rFonts w:asciiTheme="majorBidi" w:hAnsiTheme="majorBidi"/>
          <w:sz w:val="24"/>
          <w:szCs w:val="24"/>
        </w:rPr>
        <w:t>Tajika</w:t>
      </w:r>
      <w:proofErr w:type="spellEnd"/>
      <w:r w:rsidRPr="0014413A">
        <w:rPr>
          <w:rFonts w:asciiTheme="majorBidi" w:hAnsiTheme="majorBidi"/>
          <w:sz w:val="24"/>
          <w:szCs w:val="24"/>
        </w:rPr>
        <w:t xml:space="preserve">, and Akihiko Yamagishi. 2021. “Evolution of Superoxide </w:t>
      </w:r>
      <w:proofErr w:type="spellStart"/>
      <w:r w:rsidRPr="0014413A">
        <w:rPr>
          <w:rFonts w:asciiTheme="majorBidi" w:hAnsiTheme="majorBidi"/>
          <w:sz w:val="24"/>
          <w:szCs w:val="24"/>
        </w:rPr>
        <w:t>Dismutases</w:t>
      </w:r>
      <w:proofErr w:type="spellEnd"/>
      <w:r w:rsidRPr="0014413A">
        <w:rPr>
          <w:rFonts w:asciiTheme="majorBidi" w:hAnsiTheme="majorBidi"/>
          <w:sz w:val="24"/>
          <w:szCs w:val="24"/>
        </w:rPr>
        <w:t xml:space="preserve"> and Catalases in Cyanobacteria: Occurrence of the Antioxidant Enzyme Genes before the Rise of Atmospheric Oxygen.” </w:t>
      </w:r>
      <w:r w:rsidRPr="0014413A">
        <w:rPr>
          <w:rFonts w:asciiTheme="majorBidi" w:hAnsiTheme="majorBidi"/>
          <w:i/>
          <w:iCs/>
          <w:sz w:val="24"/>
          <w:szCs w:val="24"/>
        </w:rPr>
        <w:t>Journal of Molecular Evolution</w:t>
      </w:r>
      <w:r w:rsidRPr="0014413A">
        <w:rPr>
          <w:rFonts w:asciiTheme="majorBidi" w:hAnsiTheme="majorBidi"/>
          <w:sz w:val="24"/>
          <w:szCs w:val="24"/>
        </w:rPr>
        <w:t xml:space="preserve"> 89 (8): 527–43. https://doi.org/10.1007/s00239-021-10021-5.</w:t>
      </w:r>
    </w:p>
    <w:p w14:paraId="354364E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Hardin. 1960. “The Competitive Exclusion Principle.” </w:t>
      </w:r>
      <w:r w:rsidRPr="0014413A">
        <w:rPr>
          <w:rFonts w:asciiTheme="majorBidi" w:hAnsiTheme="majorBidi"/>
          <w:i/>
          <w:iCs/>
          <w:sz w:val="24"/>
          <w:szCs w:val="24"/>
        </w:rPr>
        <w:t>Science</w:t>
      </w:r>
      <w:r w:rsidRPr="0014413A">
        <w:rPr>
          <w:rFonts w:asciiTheme="majorBidi" w:hAnsiTheme="majorBidi"/>
          <w:sz w:val="24"/>
          <w:szCs w:val="24"/>
        </w:rPr>
        <w:t xml:space="preserve"> 131 (3409): 1292–97. https://doi.org/10.1126/science.131.3409.1292.</w:t>
      </w:r>
    </w:p>
    <w:p w14:paraId="7583EF4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Hartmann, Gomez-Pereira, Carolina Grob, Martin Ostrowski, David J Scanlan, and Mikhail V Zubkov. 2014. “Efficient CO2 Fixation by Surface Prochlorococcus in the Atlantic Ocean.” </w:t>
      </w:r>
      <w:r w:rsidRPr="0014413A">
        <w:rPr>
          <w:rFonts w:asciiTheme="majorBidi" w:hAnsiTheme="majorBidi"/>
          <w:i/>
          <w:iCs/>
          <w:sz w:val="24"/>
          <w:szCs w:val="24"/>
        </w:rPr>
        <w:t>The ISME Journal</w:t>
      </w:r>
      <w:r w:rsidRPr="0014413A">
        <w:rPr>
          <w:rFonts w:asciiTheme="majorBidi" w:hAnsiTheme="majorBidi"/>
          <w:sz w:val="24"/>
          <w:szCs w:val="24"/>
        </w:rPr>
        <w:t xml:space="preserve"> 8 (11): 2280–89. https://doi.org/10.1038/ismej.2014.56.</w:t>
      </w:r>
    </w:p>
    <w:p w14:paraId="61804BF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Harvey. 1925. “Oxidation in Sea Water.” </w:t>
      </w:r>
      <w:r w:rsidRPr="0014413A">
        <w:rPr>
          <w:rFonts w:asciiTheme="majorBidi" w:hAnsiTheme="majorBidi"/>
          <w:i/>
          <w:iCs/>
          <w:sz w:val="24"/>
          <w:szCs w:val="24"/>
        </w:rPr>
        <w:t>Journal of the Marine Biological Association of the United Kingdom</w:t>
      </w:r>
      <w:r w:rsidRPr="0014413A">
        <w:rPr>
          <w:rFonts w:asciiTheme="majorBidi" w:hAnsiTheme="majorBidi"/>
          <w:sz w:val="24"/>
          <w:szCs w:val="24"/>
        </w:rPr>
        <w:t xml:space="preserve"> 13 (4): 953–69. https://doi.org/10.1017/S002531540000936X.</w:t>
      </w:r>
    </w:p>
    <w:p w14:paraId="11EE36D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Hastings. 1970. “Monte Carlo Sampling Methods Using Markov Chains and Their Applications.” </w:t>
      </w:r>
      <w:proofErr w:type="spellStart"/>
      <w:r w:rsidRPr="0014413A">
        <w:rPr>
          <w:rFonts w:asciiTheme="majorBidi" w:hAnsiTheme="majorBidi"/>
          <w:i/>
          <w:iCs/>
          <w:sz w:val="24"/>
          <w:szCs w:val="24"/>
        </w:rPr>
        <w:t>Biometrika</w:t>
      </w:r>
      <w:proofErr w:type="spellEnd"/>
      <w:r w:rsidRPr="0014413A">
        <w:rPr>
          <w:rFonts w:asciiTheme="majorBidi" w:hAnsiTheme="majorBidi"/>
          <w:sz w:val="24"/>
          <w:szCs w:val="24"/>
        </w:rPr>
        <w:t xml:space="preserve"> 57 (1): 97–109. https://doi.org/doi.org/10.2307/2334940.</w:t>
      </w:r>
    </w:p>
    <w:p w14:paraId="7ABAAB3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Hayyan, Mohd Ali Hashim, and Inas M. </w:t>
      </w:r>
      <w:proofErr w:type="spellStart"/>
      <w:r w:rsidRPr="0014413A">
        <w:rPr>
          <w:rFonts w:asciiTheme="majorBidi" w:hAnsiTheme="majorBidi"/>
          <w:sz w:val="24"/>
          <w:szCs w:val="24"/>
        </w:rPr>
        <w:t>AlNashef</w:t>
      </w:r>
      <w:proofErr w:type="spellEnd"/>
      <w:r w:rsidRPr="0014413A">
        <w:rPr>
          <w:rFonts w:asciiTheme="majorBidi" w:hAnsiTheme="majorBidi"/>
          <w:sz w:val="24"/>
          <w:szCs w:val="24"/>
        </w:rPr>
        <w:t xml:space="preserve">. 2016. “Superoxide Ion: Generation and Chemical Implications.” </w:t>
      </w:r>
      <w:r w:rsidRPr="0014413A">
        <w:rPr>
          <w:rFonts w:asciiTheme="majorBidi" w:hAnsiTheme="majorBidi"/>
          <w:i/>
          <w:iCs/>
          <w:sz w:val="24"/>
          <w:szCs w:val="24"/>
        </w:rPr>
        <w:t>Chemical Reviews</w:t>
      </w:r>
      <w:r w:rsidRPr="0014413A">
        <w:rPr>
          <w:rFonts w:asciiTheme="majorBidi" w:hAnsiTheme="majorBidi"/>
          <w:sz w:val="24"/>
          <w:szCs w:val="24"/>
        </w:rPr>
        <w:t xml:space="preserve"> 116 (5): 3029–85. https://doi.org/10.1021/acs.chemrev.5b00407.</w:t>
      </w:r>
    </w:p>
    <w:p w14:paraId="664790B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He, and </w:t>
      </w:r>
      <w:proofErr w:type="spellStart"/>
      <w:r w:rsidRPr="0014413A">
        <w:rPr>
          <w:rFonts w:asciiTheme="majorBidi" w:hAnsiTheme="majorBidi"/>
          <w:sz w:val="24"/>
          <w:szCs w:val="24"/>
        </w:rPr>
        <w:t>Häder</w:t>
      </w:r>
      <w:proofErr w:type="spellEnd"/>
      <w:r w:rsidRPr="0014413A">
        <w:rPr>
          <w:rFonts w:asciiTheme="majorBidi" w:hAnsiTheme="majorBidi"/>
          <w:sz w:val="24"/>
          <w:szCs w:val="24"/>
        </w:rPr>
        <w:t xml:space="preserve">. 2002. “Reactive Oxygen Species and UV-B: Effect on Cyanobacteria.” </w:t>
      </w:r>
      <w:proofErr w:type="spellStart"/>
      <w:r w:rsidRPr="0014413A">
        <w:rPr>
          <w:rFonts w:asciiTheme="majorBidi" w:hAnsiTheme="majorBidi"/>
          <w:i/>
          <w:iCs/>
          <w:sz w:val="24"/>
          <w:szCs w:val="24"/>
        </w:rPr>
        <w:t>Photochem</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Photobiol</w:t>
      </w:r>
      <w:proofErr w:type="spellEnd"/>
      <w:r w:rsidRPr="0014413A">
        <w:rPr>
          <w:rFonts w:asciiTheme="majorBidi" w:hAnsiTheme="majorBidi"/>
          <w:i/>
          <w:iCs/>
          <w:sz w:val="24"/>
          <w:szCs w:val="24"/>
        </w:rPr>
        <w:t>. Sci.</w:t>
      </w:r>
      <w:r w:rsidRPr="0014413A">
        <w:rPr>
          <w:rFonts w:asciiTheme="majorBidi" w:hAnsiTheme="majorBidi"/>
          <w:sz w:val="24"/>
          <w:szCs w:val="24"/>
        </w:rPr>
        <w:t xml:space="preserve"> 1 (10): 729–36. https://doi.org/10.1039/B110365M.</w:t>
      </w:r>
    </w:p>
    <w:p w14:paraId="62884CD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Hennon, J Jeffrey Morris, Sheean T Haley, Erik R Zinser, Alexander R Durrant, Elizabeth Entwistle, Terje </w:t>
      </w:r>
      <w:proofErr w:type="spellStart"/>
      <w:r w:rsidRPr="0014413A">
        <w:rPr>
          <w:rFonts w:asciiTheme="majorBidi" w:hAnsiTheme="majorBidi"/>
          <w:sz w:val="24"/>
          <w:szCs w:val="24"/>
        </w:rPr>
        <w:t>Dokland</w:t>
      </w:r>
      <w:proofErr w:type="spellEnd"/>
      <w:r w:rsidRPr="0014413A">
        <w:rPr>
          <w:rFonts w:asciiTheme="majorBidi" w:hAnsiTheme="majorBidi"/>
          <w:sz w:val="24"/>
          <w:szCs w:val="24"/>
        </w:rPr>
        <w:t xml:space="preserve">, and Sonya T </w:t>
      </w:r>
      <w:proofErr w:type="spellStart"/>
      <w:r w:rsidRPr="0014413A">
        <w:rPr>
          <w:rFonts w:asciiTheme="majorBidi" w:hAnsiTheme="majorBidi"/>
          <w:sz w:val="24"/>
          <w:szCs w:val="24"/>
        </w:rPr>
        <w:t>Dyhrman</w:t>
      </w:r>
      <w:proofErr w:type="spellEnd"/>
      <w:r w:rsidRPr="0014413A">
        <w:rPr>
          <w:rFonts w:asciiTheme="majorBidi" w:hAnsiTheme="majorBidi"/>
          <w:sz w:val="24"/>
          <w:szCs w:val="24"/>
        </w:rPr>
        <w:t xml:space="preserve">. 2018. “The Impact of Elevated CO2 on Prochlorococcus and Microbial Interactions with ‘Helper’ Bacterium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w:t>
      </w:r>
      <w:r w:rsidRPr="0014413A">
        <w:rPr>
          <w:rFonts w:asciiTheme="majorBidi" w:hAnsiTheme="majorBidi"/>
          <w:i/>
          <w:iCs/>
          <w:sz w:val="24"/>
          <w:szCs w:val="24"/>
        </w:rPr>
        <w:t>The ISME Journal</w:t>
      </w:r>
      <w:r w:rsidRPr="0014413A">
        <w:rPr>
          <w:rFonts w:asciiTheme="majorBidi" w:hAnsiTheme="majorBidi"/>
          <w:sz w:val="24"/>
          <w:szCs w:val="24"/>
        </w:rPr>
        <w:t xml:space="preserve"> 12 (2): 520–31. https://doi.org/10.1038/ismej.2017.189.</w:t>
      </w:r>
    </w:p>
    <w:p w14:paraId="21F8DE6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Henríquez-Castillo, Alvaro M. </w:t>
      </w:r>
      <w:proofErr w:type="spellStart"/>
      <w:r w:rsidRPr="0014413A">
        <w:rPr>
          <w:rFonts w:asciiTheme="majorBidi" w:hAnsiTheme="majorBidi"/>
          <w:sz w:val="24"/>
          <w:szCs w:val="24"/>
        </w:rPr>
        <w:t>Plominsky</w:t>
      </w:r>
      <w:proofErr w:type="spellEnd"/>
      <w:r w:rsidRPr="0014413A">
        <w:rPr>
          <w:rFonts w:asciiTheme="majorBidi" w:hAnsiTheme="majorBidi"/>
          <w:sz w:val="24"/>
          <w:szCs w:val="24"/>
        </w:rPr>
        <w:t>, Salvador Ramírez-</w:t>
      </w:r>
      <w:proofErr w:type="spellStart"/>
      <w:r w:rsidRPr="0014413A">
        <w:rPr>
          <w:rFonts w:asciiTheme="majorBidi" w:hAnsiTheme="majorBidi"/>
          <w:sz w:val="24"/>
          <w:szCs w:val="24"/>
        </w:rPr>
        <w:t>Flandes</w:t>
      </w:r>
      <w:proofErr w:type="spellEnd"/>
      <w:r w:rsidRPr="0014413A">
        <w:rPr>
          <w:rFonts w:asciiTheme="majorBidi" w:hAnsiTheme="majorBidi"/>
          <w:sz w:val="24"/>
          <w:szCs w:val="24"/>
        </w:rPr>
        <w:t>, Anthony D. Bertagnolli, Frank J. Stewart, and Osvaldo Ulloa. 2022. “</w:t>
      </w:r>
      <w:proofErr w:type="spellStart"/>
      <w:r w:rsidRPr="0014413A">
        <w:rPr>
          <w:rFonts w:asciiTheme="majorBidi" w:hAnsiTheme="majorBidi"/>
          <w:sz w:val="24"/>
          <w:szCs w:val="24"/>
        </w:rPr>
        <w:t>Metaomics</w:t>
      </w:r>
      <w:proofErr w:type="spellEnd"/>
      <w:r w:rsidRPr="0014413A">
        <w:rPr>
          <w:rFonts w:asciiTheme="majorBidi" w:hAnsiTheme="majorBidi"/>
          <w:sz w:val="24"/>
          <w:szCs w:val="24"/>
        </w:rPr>
        <w:t xml:space="preserve"> Unveils the Contribution of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Bacteria to Carbon Cycling in Marine Oxygen Minimum Zones.” </w:t>
      </w:r>
      <w:r w:rsidRPr="0014413A">
        <w:rPr>
          <w:rFonts w:asciiTheme="majorBidi" w:hAnsiTheme="majorBidi"/>
          <w:i/>
          <w:iCs/>
          <w:sz w:val="24"/>
          <w:szCs w:val="24"/>
        </w:rPr>
        <w:t>Frontiers in Marine Science</w:t>
      </w:r>
      <w:r w:rsidRPr="0014413A">
        <w:rPr>
          <w:rFonts w:asciiTheme="majorBidi" w:hAnsiTheme="majorBidi"/>
          <w:sz w:val="24"/>
          <w:szCs w:val="24"/>
        </w:rPr>
        <w:t xml:space="preserve"> 9 (September):993667. https://doi.org/10.3389/fmars.2022.993667.</w:t>
      </w:r>
    </w:p>
    <w:p w14:paraId="6379BAE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Henson, B. B. Cael, Stephanie R. Allen, and Stephanie Dutkiewicz. 2021. “Future Phytoplankton Diversity in a Changing Climate.” </w:t>
      </w:r>
      <w:r w:rsidRPr="0014413A">
        <w:rPr>
          <w:rFonts w:asciiTheme="majorBidi" w:hAnsiTheme="majorBidi"/>
          <w:i/>
          <w:iCs/>
          <w:sz w:val="24"/>
          <w:szCs w:val="24"/>
        </w:rPr>
        <w:t>Nature Communications</w:t>
      </w:r>
      <w:r w:rsidRPr="0014413A">
        <w:rPr>
          <w:rFonts w:asciiTheme="majorBidi" w:hAnsiTheme="majorBidi"/>
          <w:sz w:val="24"/>
          <w:szCs w:val="24"/>
        </w:rPr>
        <w:t xml:space="preserve"> 12 (1): 5372. https://doi.org/10.1038/s41467-021-25699-w.</w:t>
      </w:r>
    </w:p>
    <w:p w14:paraId="5004692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Hinson, Spiro Papoulis, Lucas Fiet, Margaret Knight, Priscilla Cho, Brielle </w:t>
      </w:r>
      <w:proofErr w:type="spellStart"/>
      <w:r w:rsidRPr="0014413A">
        <w:rPr>
          <w:rFonts w:asciiTheme="majorBidi" w:hAnsiTheme="majorBidi"/>
          <w:sz w:val="24"/>
          <w:szCs w:val="24"/>
        </w:rPr>
        <w:t>Szeltner</w:t>
      </w:r>
      <w:proofErr w:type="spellEnd"/>
      <w:r w:rsidRPr="0014413A">
        <w:rPr>
          <w:rFonts w:asciiTheme="majorBidi" w:hAnsiTheme="majorBidi"/>
          <w:sz w:val="24"/>
          <w:szCs w:val="24"/>
        </w:rPr>
        <w:t xml:space="preserve">, Ioannis </w:t>
      </w:r>
      <w:proofErr w:type="spellStart"/>
      <w:r w:rsidRPr="0014413A">
        <w:rPr>
          <w:rFonts w:asciiTheme="majorBidi" w:hAnsiTheme="majorBidi"/>
          <w:sz w:val="24"/>
          <w:szCs w:val="24"/>
        </w:rPr>
        <w:t>Sgouralis</w:t>
      </w:r>
      <w:proofErr w:type="spellEnd"/>
      <w:r w:rsidRPr="0014413A">
        <w:rPr>
          <w:rFonts w:asciiTheme="majorBidi" w:hAnsiTheme="majorBidi"/>
          <w:sz w:val="24"/>
          <w:szCs w:val="24"/>
        </w:rPr>
        <w:t xml:space="preserve">, and David </w:t>
      </w:r>
      <w:proofErr w:type="spellStart"/>
      <w:r w:rsidRPr="0014413A">
        <w:rPr>
          <w:rFonts w:asciiTheme="majorBidi" w:hAnsiTheme="majorBidi"/>
          <w:sz w:val="24"/>
          <w:szCs w:val="24"/>
        </w:rPr>
        <w:t>Talmy</w:t>
      </w:r>
      <w:proofErr w:type="spellEnd"/>
      <w:r w:rsidRPr="0014413A">
        <w:rPr>
          <w:rFonts w:asciiTheme="majorBidi" w:hAnsiTheme="majorBidi"/>
          <w:sz w:val="24"/>
          <w:szCs w:val="24"/>
        </w:rPr>
        <w:t xml:space="preserve">. 2023. “A Model of Algal‐virus Population Dynamics Reveals Underlying Controls on Material Transfer.” </w:t>
      </w:r>
      <w:r w:rsidRPr="0014413A">
        <w:rPr>
          <w:rFonts w:asciiTheme="majorBidi" w:hAnsiTheme="majorBidi"/>
          <w:i/>
          <w:iCs/>
          <w:sz w:val="24"/>
          <w:szCs w:val="24"/>
        </w:rPr>
        <w:t>Limnology and Oceanography</w:t>
      </w:r>
      <w:r w:rsidRPr="0014413A">
        <w:rPr>
          <w:rFonts w:asciiTheme="majorBidi" w:hAnsiTheme="majorBidi"/>
          <w:sz w:val="24"/>
          <w:szCs w:val="24"/>
        </w:rPr>
        <w:t xml:space="preserve"> 68 (1): 165–80. https://doi.org/10.1002/lno.12256.</w:t>
      </w:r>
    </w:p>
    <w:p w14:paraId="5442648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Hong, Aamir Farooq, Ethan A. Barbour, David F. Davidson, and Ronald K. Hanson. 2009. “Hydrogen Peroxide Decomposition Rate: A Shock Tube Study Using Tunable Laser Absorption of H </w:t>
      </w:r>
      <w:r w:rsidRPr="0014413A">
        <w:rPr>
          <w:rFonts w:asciiTheme="majorBidi" w:hAnsiTheme="majorBidi"/>
          <w:sz w:val="24"/>
          <w:szCs w:val="24"/>
          <w:vertAlign w:val="subscript"/>
        </w:rPr>
        <w:t>2</w:t>
      </w:r>
      <w:r w:rsidRPr="0014413A">
        <w:rPr>
          <w:rFonts w:asciiTheme="majorBidi" w:hAnsiTheme="majorBidi"/>
          <w:sz w:val="24"/>
          <w:szCs w:val="24"/>
        </w:rPr>
        <w:t xml:space="preserve"> O near 2.5 </w:t>
      </w:r>
      <w:proofErr w:type="spellStart"/>
      <w:r w:rsidRPr="0014413A">
        <w:rPr>
          <w:rFonts w:asciiTheme="majorBidi" w:hAnsiTheme="majorBidi"/>
          <w:sz w:val="24"/>
          <w:szCs w:val="24"/>
        </w:rPr>
        <w:t>Μm</w:t>
      </w:r>
      <w:proofErr w:type="spellEnd"/>
      <w:r w:rsidRPr="0014413A">
        <w:rPr>
          <w:rFonts w:asciiTheme="majorBidi" w:hAnsiTheme="majorBidi"/>
          <w:sz w:val="24"/>
          <w:szCs w:val="24"/>
        </w:rPr>
        <w:t xml:space="preserve">.” </w:t>
      </w:r>
      <w:r w:rsidRPr="0014413A">
        <w:rPr>
          <w:rFonts w:asciiTheme="majorBidi" w:hAnsiTheme="majorBidi"/>
          <w:i/>
          <w:iCs/>
          <w:sz w:val="24"/>
          <w:szCs w:val="24"/>
        </w:rPr>
        <w:t>The Journal of Physical Chemistry A</w:t>
      </w:r>
      <w:r w:rsidRPr="0014413A">
        <w:rPr>
          <w:rFonts w:asciiTheme="majorBidi" w:hAnsiTheme="majorBidi"/>
          <w:sz w:val="24"/>
          <w:szCs w:val="24"/>
        </w:rPr>
        <w:t xml:space="preserve"> 113 (46): 12919–25. https://doi.org/10.1021/jp907219f.</w:t>
      </w:r>
    </w:p>
    <w:p w14:paraId="1216FF0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Hopwood, Insa Rapp, Christian Schlosser, and Eric P. Achterberg. 2017. “Hydrogen Peroxide in Deep Waters from the Mediterranean Sea, South Atlantic and South Pacific Oceans.” </w:t>
      </w:r>
      <w:r w:rsidRPr="0014413A">
        <w:rPr>
          <w:rFonts w:asciiTheme="majorBidi" w:hAnsiTheme="majorBidi"/>
          <w:i/>
          <w:iCs/>
          <w:sz w:val="24"/>
          <w:szCs w:val="24"/>
        </w:rPr>
        <w:t>Scientific Reports</w:t>
      </w:r>
      <w:r w:rsidRPr="0014413A">
        <w:rPr>
          <w:rFonts w:asciiTheme="majorBidi" w:hAnsiTheme="majorBidi"/>
          <w:sz w:val="24"/>
          <w:szCs w:val="24"/>
        </w:rPr>
        <w:t xml:space="preserve"> 7 (1): 43436. https://doi.org/10.1038/srep43436.</w:t>
      </w:r>
    </w:p>
    <w:p w14:paraId="1741CE8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Hopwood, Ulf </w:t>
      </w:r>
      <w:proofErr w:type="spellStart"/>
      <w:r w:rsidRPr="0014413A">
        <w:rPr>
          <w:rFonts w:asciiTheme="majorBidi" w:hAnsiTheme="majorBidi"/>
          <w:sz w:val="24"/>
          <w:szCs w:val="24"/>
        </w:rPr>
        <w:t>Riebesell</w:t>
      </w:r>
      <w:proofErr w:type="spellEnd"/>
      <w:r w:rsidRPr="0014413A">
        <w:rPr>
          <w:rFonts w:asciiTheme="majorBidi" w:hAnsiTheme="majorBidi"/>
          <w:sz w:val="24"/>
          <w:szCs w:val="24"/>
        </w:rPr>
        <w:t xml:space="preserve">, Javier </w:t>
      </w:r>
      <w:proofErr w:type="spellStart"/>
      <w:r w:rsidRPr="0014413A">
        <w:rPr>
          <w:rFonts w:asciiTheme="majorBidi" w:hAnsiTheme="majorBidi"/>
          <w:sz w:val="24"/>
          <w:szCs w:val="24"/>
        </w:rPr>
        <w:t>Arístegui</w:t>
      </w:r>
      <w:proofErr w:type="spellEnd"/>
      <w:r w:rsidRPr="0014413A">
        <w:rPr>
          <w:rFonts w:asciiTheme="majorBidi" w:hAnsiTheme="majorBidi"/>
          <w:sz w:val="24"/>
          <w:szCs w:val="24"/>
        </w:rPr>
        <w:t xml:space="preserve">, Andrea Ludwig, Eric P. Achterberg, and Nauzet Hernández. 2018. “Photochemical vs. Bacterial Control of H2O2 Concentration Across a pCO2 Gradient Mesocosm Experiment in the Subtropical North Atlantic.” </w:t>
      </w:r>
      <w:r w:rsidRPr="0014413A">
        <w:rPr>
          <w:rFonts w:asciiTheme="majorBidi" w:hAnsiTheme="majorBidi"/>
          <w:i/>
          <w:iCs/>
          <w:sz w:val="24"/>
          <w:szCs w:val="24"/>
        </w:rPr>
        <w:t>Frontiers in Marine Science</w:t>
      </w:r>
      <w:r w:rsidRPr="0014413A">
        <w:rPr>
          <w:rFonts w:asciiTheme="majorBidi" w:hAnsiTheme="majorBidi"/>
          <w:sz w:val="24"/>
          <w:szCs w:val="24"/>
        </w:rPr>
        <w:t xml:space="preserve"> 5 (March):105. https://doi.org/10.3389/fmars.2018.00105.</w:t>
      </w:r>
    </w:p>
    <w:p w14:paraId="529C48D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Hutchins, and Fu. 2017. “Microorganisms and Ocean Global Change.” </w:t>
      </w:r>
      <w:r w:rsidRPr="0014413A">
        <w:rPr>
          <w:rFonts w:asciiTheme="majorBidi" w:hAnsiTheme="majorBidi"/>
          <w:i/>
          <w:iCs/>
          <w:sz w:val="24"/>
          <w:szCs w:val="24"/>
        </w:rPr>
        <w:t>Nature Microbiology</w:t>
      </w:r>
      <w:r w:rsidRPr="0014413A">
        <w:rPr>
          <w:rFonts w:asciiTheme="majorBidi" w:hAnsiTheme="majorBidi"/>
          <w:sz w:val="24"/>
          <w:szCs w:val="24"/>
        </w:rPr>
        <w:t xml:space="preserve"> 2 (6): 17058. https://doi.org/10.1038/nmicrobiol.2017.58.</w:t>
      </w:r>
    </w:p>
    <w:p w14:paraId="50A2298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Hutchinson. 1967. “The Paradox of the Plankton,” 10.</w:t>
      </w:r>
    </w:p>
    <w:p w14:paraId="781F20D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Ighodaro, and </w:t>
      </w:r>
      <w:proofErr w:type="spellStart"/>
      <w:r w:rsidRPr="0014413A">
        <w:rPr>
          <w:rFonts w:asciiTheme="majorBidi" w:hAnsiTheme="majorBidi"/>
          <w:sz w:val="24"/>
          <w:szCs w:val="24"/>
        </w:rPr>
        <w:t>Akinloye</w:t>
      </w:r>
      <w:proofErr w:type="spellEnd"/>
      <w:r w:rsidRPr="0014413A">
        <w:rPr>
          <w:rFonts w:asciiTheme="majorBidi" w:hAnsiTheme="majorBidi"/>
          <w:sz w:val="24"/>
          <w:szCs w:val="24"/>
        </w:rPr>
        <w:t xml:space="preserve">. 2018. “First Line </w:t>
      </w:r>
      <w:proofErr w:type="spellStart"/>
      <w:r w:rsidRPr="0014413A">
        <w:rPr>
          <w:rFonts w:asciiTheme="majorBidi" w:hAnsiTheme="majorBidi"/>
          <w:sz w:val="24"/>
          <w:szCs w:val="24"/>
        </w:rPr>
        <w:t>Defence</w:t>
      </w:r>
      <w:proofErr w:type="spellEnd"/>
      <w:r w:rsidRPr="0014413A">
        <w:rPr>
          <w:rFonts w:asciiTheme="majorBidi" w:hAnsiTheme="majorBidi"/>
          <w:sz w:val="24"/>
          <w:szCs w:val="24"/>
        </w:rPr>
        <w:t xml:space="preserve"> Antioxidants-Superoxide Dismutase (SOD), Catalase (CAT) and Glutathione Peroxidase (GPX): Their Fundamental Role in the Entire Antioxidant </w:t>
      </w:r>
      <w:proofErr w:type="spellStart"/>
      <w:r w:rsidRPr="0014413A">
        <w:rPr>
          <w:rFonts w:asciiTheme="majorBidi" w:hAnsiTheme="majorBidi"/>
          <w:sz w:val="24"/>
          <w:szCs w:val="24"/>
        </w:rPr>
        <w:t>Defence</w:t>
      </w:r>
      <w:proofErr w:type="spellEnd"/>
      <w:r w:rsidRPr="0014413A">
        <w:rPr>
          <w:rFonts w:asciiTheme="majorBidi" w:hAnsiTheme="majorBidi"/>
          <w:sz w:val="24"/>
          <w:szCs w:val="24"/>
        </w:rPr>
        <w:t xml:space="preserve"> Grid.” </w:t>
      </w:r>
      <w:r w:rsidRPr="0014413A">
        <w:rPr>
          <w:rFonts w:asciiTheme="majorBidi" w:hAnsiTheme="majorBidi"/>
          <w:i/>
          <w:iCs/>
          <w:sz w:val="24"/>
          <w:szCs w:val="24"/>
        </w:rPr>
        <w:t>Alexandria Journal of Medicine</w:t>
      </w:r>
      <w:r w:rsidRPr="0014413A">
        <w:rPr>
          <w:rFonts w:asciiTheme="majorBidi" w:hAnsiTheme="majorBidi"/>
          <w:sz w:val="24"/>
          <w:szCs w:val="24"/>
        </w:rPr>
        <w:t xml:space="preserve"> 54 (4): 287–93. https://doi.org/10.1016/j.ajme.2017.09.001.</w:t>
      </w:r>
    </w:p>
    <w:p w14:paraId="5D3ABB6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Imlay. 2003. “Pathways of Oxidative Damage.” </w:t>
      </w:r>
      <w:r w:rsidRPr="0014413A">
        <w:rPr>
          <w:rFonts w:asciiTheme="majorBidi" w:hAnsiTheme="majorBidi"/>
          <w:i/>
          <w:iCs/>
          <w:sz w:val="24"/>
          <w:szCs w:val="24"/>
        </w:rPr>
        <w:t>Annual Review of Microbiology</w:t>
      </w:r>
      <w:r w:rsidRPr="0014413A">
        <w:rPr>
          <w:rFonts w:asciiTheme="majorBidi" w:hAnsiTheme="majorBidi"/>
          <w:sz w:val="24"/>
          <w:szCs w:val="24"/>
        </w:rPr>
        <w:t xml:space="preserve"> 57 (1): 395–418. https://doi.org/10.1146/annurev.micro.57.030502.090938.</w:t>
      </w:r>
    </w:p>
    <w:p w14:paraId="31354C2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2013. “The Molecular Mechanisms and Physiological Consequences of Oxidative Stress: Lessons from a Model Bacterium.” </w:t>
      </w:r>
      <w:r w:rsidRPr="0014413A">
        <w:rPr>
          <w:rFonts w:asciiTheme="majorBidi" w:hAnsiTheme="majorBidi"/>
          <w:i/>
          <w:iCs/>
          <w:sz w:val="24"/>
          <w:szCs w:val="24"/>
        </w:rPr>
        <w:t>Nature Reviews Microbiology</w:t>
      </w:r>
      <w:r w:rsidRPr="0014413A">
        <w:rPr>
          <w:rFonts w:asciiTheme="majorBidi" w:hAnsiTheme="majorBidi"/>
          <w:sz w:val="24"/>
          <w:szCs w:val="24"/>
        </w:rPr>
        <w:t xml:space="preserve"> 11 (7): 443–54. https://doi.org/10.1038/nrmicro3032.</w:t>
      </w:r>
    </w:p>
    <w:p w14:paraId="64B6F17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Ivanova, Mario López-Pérez, Mila </w:t>
      </w:r>
      <w:proofErr w:type="spellStart"/>
      <w:r w:rsidRPr="0014413A">
        <w:rPr>
          <w:rFonts w:asciiTheme="majorBidi" w:hAnsiTheme="majorBidi"/>
          <w:sz w:val="24"/>
          <w:szCs w:val="24"/>
        </w:rPr>
        <w:t>Zabalos</w:t>
      </w:r>
      <w:proofErr w:type="spellEnd"/>
      <w:r w:rsidRPr="0014413A">
        <w:rPr>
          <w:rFonts w:asciiTheme="majorBidi" w:hAnsiTheme="majorBidi"/>
          <w:sz w:val="24"/>
          <w:szCs w:val="24"/>
        </w:rPr>
        <w:t xml:space="preserve">, Song Ha Nguyen, Hayden K. Webb, Jason Ryan, Kiril </w:t>
      </w:r>
      <w:proofErr w:type="spellStart"/>
      <w:r w:rsidRPr="0014413A">
        <w:rPr>
          <w:rFonts w:asciiTheme="majorBidi" w:hAnsiTheme="majorBidi"/>
          <w:sz w:val="24"/>
          <w:szCs w:val="24"/>
        </w:rPr>
        <w:t>Lagutin</w:t>
      </w:r>
      <w:proofErr w:type="spellEnd"/>
      <w:r w:rsidRPr="0014413A">
        <w:rPr>
          <w:rFonts w:asciiTheme="majorBidi" w:hAnsiTheme="majorBidi"/>
          <w:sz w:val="24"/>
          <w:szCs w:val="24"/>
        </w:rPr>
        <w:t xml:space="preserve">, Mikhail </w:t>
      </w:r>
      <w:proofErr w:type="spellStart"/>
      <w:r w:rsidRPr="0014413A">
        <w:rPr>
          <w:rFonts w:asciiTheme="majorBidi" w:hAnsiTheme="majorBidi"/>
          <w:sz w:val="24"/>
          <w:szCs w:val="24"/>
        </w:rPr>
        <w:t>Vyssotski</w:t>
      </w:r>
      <w:proofErr w:type="spellEnd"/>
      <w:r w:rsidRPr="0014413A">
        <w:rPr>
          <w:rFonts w:asciiTheme="majorBidi" w:hAnsiTheme="majorBidi"/>
          <w:sz w:val="24"/>
          <w:szCs w:val="24"/>
        </w:rPr>
        <w:t>, Russell J. Crawford, and Francisco Rodriguez-Valera. 2015. “</w:t>
      </w:r>
      <w:proofErr w:type="spellStart"/>
      <w:r w:rsidRPr="0014413A">
        <w:rPr>
          <w:rFonts w:asciiTheme="majorBidi" w:hAnsiTheme="majorBidi"/>
          <w:sz w:val="24"/>
          <w:szCs w:val="24"/>
        </w:rPr>
        <w:t>Ecophysiological</w:t>
      </w:r>
      <w:proofErr w:type="spellEnd"/>
      <w:r w:rsidRPr="0014413A">
        <w:rPr>
          <w:rFonts w:asciiTheme="majorBidi" w:hAnsiTheme="majorBidi"/>
          <w:sz w:val="24"/>
          <w:szCs w:val="24"/>
        </w:rPr>
        <w:t xml:space="preserve"> Diversity of a Novel Member of the Genus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and Description of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Mediterranea</w:t>
      </w:r>
      <w:proofErr w:type="spellEnd"/>
      <w:r w:rsidRPr="0014413A">
        <w:rPr>
          <w:rFonts w:asciiTheme="majorBidi" w:hAnsiTheme="majorBidi"/>
          <w:sz w:val="24"/>
          <w:szCs w:val="24"/>
        </w:rPr>
        <w:t xml:space="preserve"> Sp. Nov.” </w:t>
      </w:r>
      <w:r w:rsidRPr="0014413A">
        <w:rPr>
          <w:rFonts w:asciiTheme="majorBidi" w:hAnsiTheme="majorBidi"/>
          <w:i/>
          <w:iCs/>
          <w:sz w:val="24"/>
          <w:szCs w:val="24"/>
        </w:rPr>
        <w:t>Antonie van Leeuwenhoek</w:t>
      </w:r>
      <w:r w:rsidRPr="0014413A">
        <w:rPr>
          <w:rFonts w:asciiTheme="majorBidi" w:hAnsiTheme="majorBidi"/>
          <w:sz w:val="24"/>
          <w:szCs w:val="24"/>
        </w:rPr>
        <w:t xml:space="preserve"> 107 (1): 119–32. https://doi.org/10.1007/s10482-014-0309-y.</w:t>
      </w:r>
    </w:p>
    <w:p w14:paraId="595A741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Ivars‐Martínez, Giuseppe D’Auria, Francisco Rodríguez‐Valera, Cristina Sánchez‐Porro, Antonio Ventosa, Ian Joint, and Martin </w:t>
      </w:r>
      <w:proofErr w:type="spellStart"/>
      <w:r w:rsidRPr="0014413A">
        <w:rPr>
          <w:rFonts w:asciiTheme="majorBidi" w:hAnsiTheme="majorBidi"/>
          <w:sz w:val="24"/>
          <w:szCs w:val="24"/>
        </w:rPr>
        <w:t>Mühling</w:t>
      </w:r>
      <w:proofErr w:type="spellEnd"/>
      <w:r w:rsidRPr="0014413A">
        <w:rPr>
          <w:rFonts w:asciiTheme="majorBidi" w:hAnsiTheme="majorBidi"/>
          <w:sz w:val="24"/>
          <w:szCs w:val="24"/>
        </w:rPr>
        <w:t xml:space="preserve">. 2008. “Biogeography of the Ubiquitous Marine Bacterium </w:t>
      </w:r>
      <w:proofErr w:type="spellStart"/>
      <w:r w:rsidRPr="0014413A">
        <w:rPr>
          <w:rFonts w:asciiTheme="majorBidi" w:hAnsiTheme="majorBidi"/>
          <w:i/>
          <w:iCs/>
          <w:sz w:val="24"/>
          <w:szCs w:val="24"/>
        </w:rPr>
        <w:t>Alteromonas</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Macleodii</w:t>
      </w:r>
      <w:proofErr w:type="spellEnd"/>
      <w:r w:rsidRPr="0014413A">
        <w:rPr>
          <w:rFonts w:asciiTheme="majorBidi" w:hAnsiTheme="majorBidi"/>
          <w:sz w:val="24"/>
          <w:szCs w:val="24"/>
        </w:rPr>
        <w:t xml:space="preserve"> Determined by </w:t>
      </w:r>
      <w:proofErr w:type="spellStart"/>
      <w:r w:rsidRPr="0014413A">
        <w:rPr>
          <w:rFonts w:asciiTheme="majorBidi" w:hAnsiTheme="majorBidi"/>
          <w:sz w:val="24"/>
          <w:szCs w:val="24"/>
        </w:rPr>
        <w:t>Multilocus</w:t>
      </w:r>
      <w:proofErr w:type="spellEnd"/>
      <w:r w:rsidRPr="0014413A">
        <w:rPr>
          <w:rFonts w:asciiTheme="majorBidi" w:hAnsiTheme="majorBidi"/>
          <w:sz w:val="24"/>
          <w:szCs w:val="24"/>
        </w:rPr>
        <w:t xml:space="preserve"> Sequence Analysis.” </w:t>
      </w:r>
      <w:r w:rsidRPr="0014413A">
        <w:rPr>
          <w:rFonts w:asciiTheme="majorBidi" w:hAnsiTheme="majorBidi"/>
          <w:i/>
          <w:iCs/>
          <w:sz w:val="24"/>
          <w:szCs w:val="24"/>
        </w:rPr>
        <w:t>Molecular Ecology</w:t>
      </w:r>
      <w:r w:rsidRPr="0014413A">
        <w:rPr>
          <w:rFonts w:asciiTheme="majorBidi" w:hAnsiTheme="majorBidi"/>
          <w:sz w:val="24"/>
          <w:szCs w:val="24"/>
        </w:rPr>
        <w:t xml:space="preserve"> 17 (18): 4092–4106. https://doi.org/10.1111/j.1365-294X.2008.03883.x.</w:t>
      </w:r>
    </w:p>
    <w:p w14:paraId="7E256F7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Johnson. 2006. “Niche Partitioning Among Prochlorococcus Ecotypes Along Ocean-Scale </w:t>
      </w:r>
      <w:r w:rsidRPr="0014413A">
        <w:rPr>
          <w:rFonts w:asciiTheme="majorBidi" w:hAnsiTheme="majorBidi"/>
          <w:sz w:val="24"/>
          <w:szCs w:val="24"/>
        </w:rPr>
        <w:lastRenderedPageBreak/>
        <w:t xml:space="preserve">Environmental Gradients.” </w:t>
      </w:r>
      <w:r w:rsidRPr="0014413A">
        <w:rPr>
          <w:rFonts w:asciiTheme="majorBidi" w:hAnsiTheme="majorBidi"/>
          <w:i/>
          <w:iCs/>
          <w:sz w:val="24"/>
          <w:szCs w:val="24"/>
        </w:rPr>
        <w:t>Science</w:t>
      </w:r>
      <w:r w:rsidRPr="0014413A">
        <w:rPr>
          <w:rFonts w:asciiTheme="majorBidi" w:hAnsiTheme="majorBidi"/>
          <w:sz w:val="24"/>
          <w:szCs w:val="24"/>
        </w:rPr>
        <w:t xml:space="preserve"> 311 (5768): 1737–40. https://doi.org/10.1126/science.1118052.</w:t>
      </w:r>
    </w:p>
    <w:p w14:paraId="7D32673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Jover, T. Chad Effler, Alison Buchan, Steven W. Wilhelm, and Joshua S. Weitz. 2014. “The Elemental Composition of Virus Particles: Implications for Marine Biogeochemical Cycles.” </w:t>
      </w:r>
      <w:r w:rsidRPr="0014413A">
        <w:rPr>
          <w:rFonts w:asciiTheme="majorBidi" w:hAnsiTheme="majorBidi"/>
          <w:i/>
          <w:iCs/>
          <w:sz w:val="24"/>
          <w:szCs w:val="24"/>
        </w:rPr>
        <w:t>Nature Reviews Microbiology</w:t>
      </w:r>
      <w:r w:rsidRPr="0014413A">
        <w:rPr>
          <w:rFonts w:asciiTheme="majorBidi" w:hAnsiTheme="majorBidi"/>
          <w:sz w:val="24"/>
          <w:szCs w:val="24"/>
        </w:rPr>
        <w:t xml:space="preserve"> 12 (7): 519–28. https://doi.org/10.1038/nrmicro3289.</w:t>
      </w:r>
    </w:p>
    <w:p w14:paraId="11AECFB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Kaeberlein</w:t>
      </w:r>
      <w:proofErr w:type="spellEnd"/>
      <w:r w:rsidRPr="0014413A">
        <w:rPr>
          <w:rFonts w:asciiTheme="majorBidi" w:hAnsiTheme="majorBidi"/>
          <w:sz w:val="24"/>
          <w:szCs w:val="24"/>
        </w:rPr>
        <w:t xml:space="preserve">, K. Lewis, and S. S. Epstein. 2002. “Isolating ‘Uncultivable’ Microorganisms in Pure Culture in a Simulated Natural Environment.” </w:t>
      </w:r>
      <w:r w:rsidRPr="0014413A">
        <w:rPr>
          <w:rFonts w:asciiTheme="majorBidi" w:hAnsiTheme="majorBidi"/>
          <w:i/>
          <w:iCs/>
          <w:sz w:val="24"/>
          <w:szCs w:val="24"/>
        </w:rPr>
        <w:t>Science</w:t>
      </w:r>
      <w:r w:rsidRPr="0014413A">
        <w:rPr>
          <w:rFonts w:asciiTheme="majorBidi" w:hAnsiTheme="majorBidi"/>
          <w:sz w:val="24"/>
          <w:szCs w:val="24"/>
        </w:rPr>
        <w:t xml:space="preserve"> 296 (5570): 1127–29. https://doi.org/10.1126/science.1070633.</w:t>
      </w:r>
    </w:p>
    <w:p w14:paraId="7A62BF5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Karl. 1999. “A Sea of Change: Biogeochemical Variability in the North Pacific Subtropical Gyre,” 34.</w:t>
      </w:r>
    </w:p>
    <w:p w14:paraId="3953917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Kawasaki, D Wysong, R Diamond, and J Aguirre. 1997. “Two Divergent Catalase Genes Are Differentially Regulated during Aspergillus </w:t>
      </w:r>
      <w:proofErr w:type="spellStart"/>
      <w:r w:rsidRPr="0014413A">
        <w:rPr>
          <w:rFonts w:asciiTheme="majorBidi" w:hAnsiTheme="majorBidi"/>
          <w:sz w:val="24"/>
          <w:szCs w:val="24"/>
        </w:rPr>
        <w:t>Nidulans</w:t>
      </w:r>
      <w:proofErr w:type="spellEnd"/>
      <w:r w:rsidRPr="0014413A">
        <w:rPr>
          <w:rFonts w:asciiTheme="majorBidi" w:hAnsiTheme="majorBidi"/>
          <w:sz w:val="24"/>
          <w:szCs w:val="24"/>
        </w:rPr>
        <w:t xml:space="preserve"> Development and Oxidative Stress.” </w:t>
      </w:r>
      <w:r w:rsidRPr="0014413A">
        <w:rPr>
          <w:rFonts w:asciiTheme="majorBidi" w:hAnsiTheme="majorBidi"/>
          <w:i/>
          <w:iCs/>
          <w:sz w:val="24"/>
          <w:szCs w:val="24"/>
        </w:rPr>
        <w:t>Journal of Bacteriology</w:t>
      </w:r>
      <w:r w:rsidRPr="0014413A">
        <w:rPr>
          <w:rFonts w:asciiTheme="majorBidi" w:hAnsiTheme="majorBidi"/>
          <w:sz w:val="24"/>
          <w:szCs w:val="24"/>
        </w:rPr>
        <w:t xml:space="preserve"> 179 (10): 3284–92. https://doi.org/10.1128/JB.179.10.3284-3292.1997.</w:t>
      </w:r>
    </w:p>
    <w:p w14:paraId="55FFB3A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Keilin, and Hartree. 1943. “Decomposition of Hydrogen Peroxide by Catalase.” </w:t>
      </w:r>
      <w:r w:rsidRPr="0014413A">
        <w:rPr>
          <w:rFonts w:asciiTheme="majorBidi" w:hAnsiTheme="majorBidi"/>
          <w:i/>
          <w:iCs/>
          <w:sz w:val="24"/>
          <w:szCs w:val="24"/>
        </w:rPr>
        <w:t>Nature</w:t>
      </w:r>
      <w:r w:rsidRPr="0014413A">
        <w:rPr>
          <w:rFonts w:asciiTheme="majorBidi" w:hAnsiTheme="majorBidi"/>
          <w:sz w:val="24"/>
          <w:szCs w:val="24"/>
        </w:rPr>
        <w:t xml:space="preserve"> 152 (3865): 626–626. https://doi.org/10.1038/152626a0.</w:t>
      </w:r>
    </w:p>
    <w:p w14:paraId="4D9B12E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Kent, Chris L Dupont, Shibu </w:t>
      </w:r>
      <w:proofErr w:type="spellStart"/>
      <w:r w:rsidRPr="0014413A">
        <w:rPr>
          <w:rFonts w:asciiTheme="majorBidi" w:hAnsiTheme="majorBidi"/>
          <w:sz w:val="24"/>
          <w:szCs w:val="24"/>
        </w:rPr>
        <w:t>Yooseph</w:t>
      </w:r>
      <w:proofErr w:type="spellEnd"/>
      <w:r w:rsidRPr="0014413A">
        <w:rPr>
          <w:rFonts w:asciiTheme="majorBidi" w:hAnsiTheme="majorBidi"/>
          <w:sz w:val="24"/>
          <w:szCs w:val="24"/>
        </w:rPr>
        <w:t xml:space="preserve">, and Adam C Martiny. 2016. “Global Biogeography of </w:t>
      </w:r>
      <w:r w:rsidRPr="0014413A">
        <w:rPr>
          <w:rFonts w:asciiTheme="majorBidi" w:hAnsiTheme="majorBidi"/>
          <w:i/>
          <w:iCs/>
          <w:sz w:val="24"/>
          <w:szCs w:val="24"/>
        </w:rPr>
        <w:t>Prochlorococcus</w:t>
      </w:r>
      <w:r w:rsidRPr="0014413A">
        <w:rPr>
          <w:rFonts w:asciiTheme="majorBidi" w:hAnsiTheme="majorBidi"/>
          <w:sz w:val="24"/>
          <w:szCs w:val="24"/>
        </w:rPr>
        <w:t xml:space="preserve"> Genome Diversity in the Surface Ocean.” </w:t>
      </w:r>
      <w:r w:rsidRPr="0014413A">
        <w:rPr>
          <w:rFonts w:asciiTheme="majorBidi" w:hAnsiTheme="majorBidi"/>
          <w:i/>
          <w:iCs/>
          <w:sz w:val="24"/>
          <w:szCs w:val="24"/>
        </w:rPr>
        <w:t>The ISME Journal</w:t>
      </w:r>
      <w:r w:rsidRPr="0014413A">
        <w:rPr>
          <w:rFonts w:asciiTheme="majorBidi" w:hAnsiTheme="majorBidi"/>
          <w:sz w:val="24"/>
          <w:szCs w:val="24"/>
        </w:rPr>
        <w:t xml:space="preserve"> 10 (8): 1856–65. https://doi.org/10.1038/ismej.2015.265.</w:t>
      </w:r>
    </w:p>
    <w:p w14:paraId="513246CC" w14:textId="067A36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Kettler, Adam C Martiny, Katherine Huang, Jeremy Zucker, Maureen L Coleman, Sebastien Rodrigue, Feng Chen,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2007. “Patterns and Implications of Gene Gain and Loss in the Evolution of Prochlorococcus.” </w:t>
      </w:r>
      <w:proofErr w:type="spellStart"/>
      <w:r w:rsidRPr="0014413A">
        <w:rPr>
          <w:rFonts w:asciiTheme="majorBidi" w:hAnsiTheme="majorBidi"/>
          <w:i/>
          <w:iCs/>
          <w:sz w:val="24"/>
          <w:szCs w:val="24"/>
        </w:rPr>
        <w:t>PLoS</w:t>
      </w:r>
      <w:proofErr w:type="spellEnd"/>
      <w:r w:rsidRPr="0014413A">
        <w:rPr>
          <w:rFonts w:asciiTheme="majorBidi" w:hAnsiTheme="majorBidi"/>
          <w:i/>
          <w:iCs/>
          <w:sz w:val="24"/>
          <w:szCs w:val="24"/>
        </w:rPr>
        <w:t xml:space="preserve"> Genetics</w:t>
      </w:r>
      <w:r w:rsidRPr="0014413A">
        <w:rPr>
          <w:rFonts w:asciiTheme="majorBidi" w:hAnsiTheme="majorBidi"/>
          <w:sz w:val="24"/>
          <w:szCs w:val="24"/>
        </w:rPr>
        <w:t xml:space="preserve"> 3 (12): 14.</w:t>
      </w:r>
    </w:p>
    <w:p w14:paraId="10D2D02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Kim, </w:t>
      </w:r>
      <w:proofErr w:type="spellStart"/>
      <w:r w:rsidRPr="0014413A">
        <w:rPr>
          <w:rFonts w:asciiTheme="majorBidi" w:hAnsiTheme="majorBidi"/>
          <w:sz w:val="24"/>
          <w:szCs w:val="24"/>
        </w:rPr>
        <w:t>Wonjae</w:t>
      </w:r>
      <w:proofErr w:type="spellEnd"/>
      <w:r w:rsidRPr="0014413A">
        <w:rPr>
          <w:rFonts w:asciiTheme="majorBidi" w:hAnsiTheme="majorBidi"/>
          <w:sz w:val="24"/>
          <w:szCs w:val="24"/>
        </w:rPr>
        <w:t xml:space="preserve"> Kim, </w:t>
      </w:r>
      <w:proofErr w:type="spellStart"/>
      <w:r w:rsidRPr="0014413A">
        <w:rPr>
          <w:rFonts w:asciiTheme="majorBidi" w:hAnsiTheme="majorBidi"/>
          <w:sz w:val="24"/>
          <w:szCs w:val="24"/>
        </w:rPr>
        <w:t>Yunho</w:t>
      </w:r>
      <w:proofErr w:type="spellEnd"/>
      <w:r w:rsidRPr="0014413A">
        <w:rPr>
          <w:rFonts w:asciiTheme="majorBidi" w:hAnsiTheme="majorBidi"/>
          <w:sz w:val="24"/>
          <w:szCs w:val="24"/>
        </w:rPr>
        <w:t xml:space="preserve"> Lee, and </w:t>
      </w:r>
      <w:proofErr w:type="spellStart"/>
      <w:r w:rsidRPr="0014413A">
        <w:rPr>
          <w:rFonts w:asciiTheme="majorBidi" w:hAnsiTheme="majorBidi"/>
          <w:sz w:val="24"/>
          <w:szCs w:val="24"/>
        </w:rPr>
        <w:t>Woojun</w:t>
      </w:r>
      <w:proofErr w:type="spellEnd"/>
      <w:r w:rsidRPr="0014413A">
        <w:rPr>
          <w:rFonts w:asciiTheme="majorBidi" w:hAnsiTheme="majorBidi"/>
          <w:sz w:val="24"/>
          <w:szCs w:val="24"/>
        </w:rPr>
        <w:t xml:space="preserve"> Park. 2021. “Linkage between Bacterial Community-Mediated Hydrogen Peroxide Detoxification and the Growth of Microcystis Aeruginosa.” </w:t>
      </w:r>
      <w:r w:rsidRPr="0014413A">
        <w:rPr>
          <w:rFonts w:asciiTheme="majorBidi" w:hAnsiTheme="majorBidi"/>
          <w:i/>
          <w:iCs/>
          <w:sz w:val="24"/>
          <w:szCs w:val="24"/>
        </w:rPr>
        <w:t>Water Research</w:t>
      </w:r>
      <w:r w:rsidRPr="0014413A">
        <w:rPr>
          <w:rFonts w:asciiTheme="majorBidi" w:hAnsiTheme="majorBidi"/>
          <w:sz w:val="24"/>
          <w:szCs w:val="24"/>
        </w:rPr>
        <w:t xml:space="preserve"> 207 (December):117784. https://doi.org/10.1016/j.watres.2021.117784.</w:t>
      </w:r>
    </w:p>
    <w:p w14:paraId="028781E5" w14:textId="14D7BB3C"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Kim, Soo-Je Park, Jaap S. </w:t>
      </w:r>
      <w:proofErr w:type="spellStart"/>
      <w:r w:rsidRPr="0014413A">
        <w:rPr>
          <w:rFonts w:asciiTheme="majorBidi" w:hAnsiTheme="majorBidi"/>
          <w:sz w:val="24"/>
          <w:szCs w:val="24"/>
        </w:rPr>
        <w:t>Sinninghe</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Damsté</w:t>
      </w:r>
      <w:proofErr w:type="spellEnd"/>
      <w:r w:rsidRPr="0014413A">
        <w:rPr>
          <w:rFonts w:asciiTheme="majorBidi" w:hAnsiTheme="majorBidi"/>
          <w:sz w:val="24"/>
          <w:szCs w:val="24"/>
        </w:rPr>
        <w:t xml:space="preserve">, Stefan Schouten, W. Irene C. </w:t>
      </w:r>
      <w:proofErr w:type="spellStart"/>
      <w:r w:rsidRPr="0014413A">
        <w:rPr>
          <w:rFonts w:asciiTheme="majorBidi" w:hAnsiTheme="majorBidi"/>
          <w:sz w:val="24"/>
          <w:szCs w:val="24"/>
        </w:rPr>
        <w:t>Rijpstra</w:t>
      </w:r>
      <w:proofErr w:type="spellEnd"/>
      <w:r w:rsidRPr="0014413A">
        <w:rPr>
          <w:rFonts w:asciiTheme="majorBidi" w:hAnsiTheme="majorBidi"/>
          <w:sz w:val="24"/>
          <w:szCs w:val="24"/>
        </w:rPr>
        <w:t xml:space="preserve">, Man-Young Jung, So-Jeong Kim,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2016. “Hydrogen Peroxide Detoxification Is a Key Mechanism for Growth of Ammonia-Oxidizing Archaea.”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113 (28): 7888–93. https://doi.org/10.1073/pnas.1605501113.</w:t>
      </w:r>
    </w:p>
    <w:p w14:paraId="238EE3F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King, William J. Cooper, Steven A. Rusak, Barrie M. Peake, James J. Kiddle, Daniel W. O’Sullivan, Megan L. Melamed, Chris R. Morgan, and Stephen M. Theberge. 2007. “Flow Injection Analysis of H </w:t>
      </w:r>
      <w:r w:rsidRPr="0014413A">
        <w:rPr>
          <w:rFonts w:asciiTheme="majorBidi" w:hAnsiTheme="majorBidi"/>
          <w:sz w:val="24"/>
          <w:szCs w:val="24"/>
          <w:vertAlign w:val="subscript"/>
        </w:rPr>
        <w:t>2</w:t>
      </w:r>
      <w:r w:rsidRPr="0014413A">
        <w:rPr>
          <w:rFonts w:asciiTheme="majorBidi" w:hAnsiTheme="majorBidi"/>
          <w:sz w:val="24"/>
          <w:szCs w:val="24"/>
        </w:rPr>
        <w:t xml:space="preserve"> O </w:t>
      </w:r>
      <w:r w:rsidRPr="0014413A">
        <w:rPr>
          <w:rFonts w:asciiTheme="majorBidi" w:hAnsiTheme="majorBidi"/>
          <w:sz w:val="24"/>
          <w:szCs w:val="24"/>
          <w:vertAlign w:val="subscript"/>
        </w:rPr>
        <w:t>2</w:t>
      </w:r>
      <w:r w:rsidRPr="0014413A">
        <w:rPr>
          <w:rFonts w:asciiTheme="majorBidi" w:hAnsiTheme="majorBidi"/>
          <w:sz w:val="24"/>
          <w:szCs w:val="24"/>
        </w:rPr>
        <w:t xml:space="preserve"> in Natural Waters Using Acridinium Ester Chemiluminescence: Method Development and Optimization Using a Kinetic Model.” </w:t>
      </w:r>
      <w:r w:rsidRPr="0014413A">
        <w:rPr>
          <w:rFonts w:asciiTheme="majorBidi" w:hAnsiTheme="majorBidi"/>
          <w:i/>
          <w:iCs/>
          <w:sz w:val="24"/>
          <w:szCs w:val="24"/>
        </w:rPr>
        <w:t>Analytical Chemistry</w:t>
      </w:r>
      <w:r w:rsidRPr="0014413A">
        <w:rPr>
          <w:rFonts w:asciiTheme="majorBidi" w:hAnsiTheme="majorBidi"/>
          <w:sz w:val="24"/>
          <w:szCs w:val="24"/>
        </w:rPr>
        <w:t xml:space="preserve"> 79 (11): </w:t>
      </w:r>
      <w:r w:rsidRPr="0014413A">
        <w:rPr>
          <w:rFonts w:asciiTheme="majorBidi" w:hAnsiTheme="majorBidi"/>
          <w:sz w:val="24"/>
          <w:szCs w:val="24"/>
        </w:rPr>
        <w:lastRenderedPageBreak/>
        <w:t>4169–76. https://doi.org/10.1021/ac062228w.</w:t>
      </w:r>
    </w:p>
    <w:p w14:paraId="3BCD4AC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Kirchman. 2016. “Growth Rates of Microbes in the Oceans.”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8 (1): 285–309. https://doi.org/10.1146/annurev-marine-122414-033938.</w:t>
      </w:r>
    </w:p>
    <w:p w14:paraId="4DBAE4C0"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Klanian</w:t>
      </w:r>
      <w:proofErr w:type="spellEnd"/>
      <w:r w:rsidRPr="0014413A">
        <w:rPr>
          <w:rFonts w:asciiTheme="majorBidi" w:hAnsiTheme="majorBidi"/>
          <w:sz w:val="24"/>
          <w:szCs w:val="24"/>
        </w:rPr>
        <w:t xml:space="preserve">, and Montserrat </w:t>
      </w:r>
      <w:proofErr w:type="spellStart"/>
      <w:r w:rsidRPr="0014413A">
        <w:rPr>
          <w:rFonts w:asciiTheme="majorBidi" w:hAnsiTheme="majorBidi"/>
          <w:sz w:val="24"/>
          <w:szCs w:val="24"/>
        </w:rPr>
        <w:t>Preciat</w:t>
      </w:r>
      <w:proofErr w:type="spellEnd"/>
      <w:r w:rsidRPr="0014413A">
        <w:rPr>
          <w:rFonts w:asciiTheme="majorBidi" w:hAnsiTheme="majorBidi"/>
          <w:sz w:val="24"/>
          <w:szCs w:val="24"/>
        </w:rPr>
        <w:t xml:space="preserve">. 2017. “Effect of pH on Temperature Controlled Degradation of Reactive Oxygen Species, Heat Shock Protein Expression, and Mucosal Immunity in the Sea Cucumber </w:t>
      </w:r>
      <w:proofErr w:type="spellStart"/>
      <w:r w:rsidRPr="0014413A">
        <w:rPr>
          <w:rFonts w:asciiTheme="majorBidi" w:hAnsiTheme="majorBidi"/>
          <w:sz w:val="24"/>
          <w:szCs w:val="24"/>
        </w:rPr>
        <w:t>Isostichopus</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Badionotus</w:t>
      </w:r>
      <w:proofErr w:type="spellEnd"/>
      <w:r w:rsidRPr="0014413A">
        <w:rPr>
          <w:rFonts w:asciiTheme="majorBidi" w:hAnsiTheme="majorBidi"/>
          <w:sz w:val="24"/>
          <w:szCs w:val="24"/>
        </w:rPr>
        <w:t xml:space="preserve">.” Edited by Giovanni Li Volti. </w:t>
      </w:r>
      <w:r w:rsidRPr="0014413A">
        <w:rPr>
          <w:rFonts w:asciiTheme="majorBidi" w:hAnsiTheme="majorBidi"/>
          <w:i/>
          <w:iCs/>
          <w:sz w:val="24"/>
          <w:szCs w:val="24"/>
        </w:rPr>
        <w:t>PLOS ONE</w:t>
      </w:r>
      <w:r w:rsidRPr="0014413A">
        <w:rPr>
          <w:rFonts w:asciiTheme="majorBidi" w:hAnsiTheme="majorBidi"/>
          <w:sz w:val="24"/>
          <w:szCs w:val="24"/>
        </w:rPr>
        <w:t xml:space="preserve"> 12 (4): e0175812. https://doi.org/10.1371/journal.pone.0175812.</w:t>
      </w:r>
    </w:p>
    <w:p w14:paraId="15E66A8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Knight, and J. Jeffrey Morris. 2018. “Competition and Synergy Between </w:t>
      </w:r>
      <w:r w:rsidRPr="0014413A">
        <w:rPr>
          <w:rFonts w:asciiTheme="majorBidi" w:hAnsiTheme="majorBidi"/>
          <w:i/>
          <w:iCs/>
          <w:sz w:val="24"/>
          <w:szCs w:val="24"/>
        </w:rPr>
        <w:t>Prochlorococcus</w:t>
      </w:r>
      <w:r w:rsidRPr="0014413A">
        <w:rPr>
          <w:rFonts w:asciiTheme="majorBidi" w:hAnsiTheme="majorBidi"/>
          <w:sz w:val="24"/>
          <w:szCs w:val="24"/>
        </w:rPr>
        <w:t xml:space="preserve"> and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Under Ocean Acidification Conditions.” Preprint. Microbiology. https://doi.org/10.1101/337378.</w:t>
      </w:r>
    </w:p>
    <w:p w14:paraId="4391692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2020. “Co‐culture with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Facilitates Growth of </w:t>
      </w:r>
      <w:r w:rsidRPr="0014413A">
        <w:rPr>
          <w:rFonts w:asciiTheme="majorBidi" w:hAnsiTheme="majorBidi"/>
          <w:i/>
          <w:iCs/>
          <w:sz w:val="24"/>
          <w:szCs w:val="24"/>
        </w:rPr>
        <w:t>Prochlorococcus</w:t>
      </w:r>
      <w:r w:rsidRPr="0014413A">
        <w:rPr>
          <w:rFonts w:asciiTheme="majorBidi" w:hAnsiTheme="majorBidi"/>
          <w:sz w:val="24"/>
          <w:szCs w:val="24"/>
        </w:rPr>
        <w:t xml:space="preserve"> under Ocean Acidification Conditions.” </w:t>
      </w:r>
      <w:r w:rsidRPr="0014413A">
        <w:rPr>
          <w:rFonts w:asciiTheme="majorBidi" w:hAnsiTheme="majorBidi"/>
          <w:i/>
          <w:iCs/>
          <w:sz w:val="24"/>
          <w:szCs w:val="24"/>
        </w:rPr>
        <w:t>Environmental Microbiology</w:t>
      </w:r>
      <w:r w:rsidRPr="0014413A">
        <w:rPr>
          <w:rFonts w:asciiTheme="majorBidi" w:hAnsiTheme="majorBidi"/>
          <w:sz w:val="24"/>
          <w:szCs w:val="24"/>
        </w:rPr>
        <w:t xml:space="preserve"> 22 (11): 4876–89. https://doi.org/10.1111/1462-2920.15277.</w:t>
      </w:r>
    </w:p>
    <w:p w14:paraId="3C7CBCA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Krumhardt, Kate Callnan, Kathryn Roache-Johnson, Tammy Swett, Daniela Robinson, Emily Nahas Reistetter, Jaclyn K. Saunders, Gabrielle Rocap, and Lisa R. Moore. 2013. “Effects of Phosphorus Starvation versus Limitation on the Marine Cyanobacterium </w:t>
      </w:r>
      <w:r w:rsidRPr="0014413A">
        <w:rPr>
          <w:rFonts w:asciiTheme="majorBidi" w:hAnsiTheme="majorBidi"/>
          <w:i/>
          <w:iCs/>
          <w:sz w:val="24"/>
          <w:szCs w:val="24"/>
        </w:rPr>
        <w:t>Prochlorococcus</w:t>
      </w:r>
      <w:r w:rsidRPr="0014413A">
        <w:rPr>
          <w:rFonts w:asciiTheme="majorBidi" w:hAnsiTheme="majorBidi"/>
          <w:sz w:val="24"/>
          <w:szCs w:val="24"/>
        </w:rPr>
        <w:t xml:space="preserve"> MED4 I: Uptake Physiology: Phosphorus Uptake of </w:t>
      </w:r>
      <w:r w:rsidRPr="0014413A">
        <w:rPr>
          <w:rFonts w:asciiTheme="majorBidi" w:hAnsiTheme="majorBidi"/>
          <w:i/>
          <w:iCs/>
          <w:sz w:val="24"/>
          <w:szCs w:val="24"/>
        </w:rPr>
        <w:t>Prochlorococcus</w:t>
      </w:r>
      <w:r w:rsidRPr="0014413A">
        <w:rPr>
          <w:rFonts w:asciiTheme="majorBidi" w:hAnsiTheme="majorBidi"/>
          <w:sz w:val="24"/>
          <w:szCs w:val="24"/>
        </w:rPr>
        <w:t xml:space="preserve">.” </w:t>
      </w:r>
      <w:r w:rsidRPr="0014413A">
        <w:rPr>
          <w:rFonts w:asciiTheme="majorBidi" w:hAnsiTheme="majorBidi"/>
          <w:i/>
          <w:iCs/>
          <w:sz w:val="24"/>
          <w:szCs w:val="24"/>
        </w:rPr>
        <w:t>Environmental Microbiology</w:t>
      </w:r>
      <w:r w:rsidRPr="0014413A">
        <w:rPr>
          <w:rFonts w:asciiTheme="majorBidi" w:hAnsiTheme="majorBidi"/>
          <w:sz w:val="24"/>
          <w:szCs w:val="24"/>
        </w:rPr>
        <w:t xml:space="preserve"> 15 (7): 2114–28. https://doi.org/10.1111/1462-2920.12079.</w:t>
      </w:r>
    </w:p>
    <w:p w14:paraId="185E8D04"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Kujawinski</w:t>
      </w:r>
      <w:proofErr w:type="spellEnd"/>
      <w:r w:rsidRPr="0014413A">
        <w:rPr>
          <w:rFonts w:asciiTheme="majorBidi" w:hAnsiTheme="majorBidi"/>
          <w:sz w:val="24"/>
          <w:szCs w:val="24"/>
        </w:rPr>
        <w:t xml:space="preserve">, Rogier Braakman, Krista Longnecker, Jamie W. Becker, Sallie W. Chisholm, Keven Dooley, Melissa C. Kido Soule, Gretchen J. Swarr, and Kathryn Halloran. 2023. “Metabolite Diversity among Representatives of Divergent </w:t>
      </w:r>
      <w:r w:rsidRPr="0014413A">
        <w:rPr>
          <w:rFonts w:asciiTheme="majorBidi" w:hAnsiTheme="majorBidi"/>
          <w:i/>
          <w:iCs/>
          <w:sz w:val="24"/>
          <w:szCs w:val="24"/>
        </w:rPr>
        <w:t>Prochlorococcus</w:t>
      </w:r>
      <w:r w:rsidRPr="0014413A">
        <w:rPr>
          <w:rFonts w:asciiTheme="majorBidi" w:hAnsiTheme="majorBidi"/>
          <w:sz w:val="24"/>
          <w:szCs w:val="24"/>
        </w:rPr>
        <w:t xml:space="preserve"> Ecotypes.” Edited by Jack A. Gilbert. </w:t>
      </w:r>
      <w:proofErr w:type="spellStart"/>
      <w:r w:rsidRPr="0014413A">
        <w:rPr>
          <w:rFonts w:asciiTheme="majorBidi" w:hAnsiTheme="majorBidi"/>
          <w:i/>
          <w:iCs/>
          <w:sz w:val="24"/>
          <w:szCs w:val="24"/>
        </w:rPr>
        <w:t>mSystems</w:t>
      </w:r>
      <w:proofErr w:type="spellEnd"/>
      <w:r w:rsidRPr="0014413A">
        <w:rPr>
          <w:rFonts w:asciiTheme="majorBidi" w:hAnsiTheme="majorBidi"/>
          <w:sz w:val="24"/>
          <w:szCs w:val="24"/>
        </w:rPr>
        <w:t xml:space="preserve"> 8 (5): e01261-22. https://doi.org/10.1128/msystems.01261-22.</w:t>
      </w:r>
    </w:p>
    <w:p w14:paraId="7E54A25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Laloi</w:t>
      </w:r>
      <w:proofErr w:type="spellEnd"/>
      <w:r w:rsidRPr="0014413A">
        <w:rPr>
          <w:rFonts w:asciiTheme="majorBidi" w:hAnsiTheme="majorBidi"/>
          <w:sz w:val="24"/>
          <w:szCs w:val="24"/>
        </w:rPr>
        <w:t xml:space="preserve">, and Michel </w:t>
      </w:r>
      <w:proofErr w:type="spellStart"/>
      <w:r w:rsidRPr="0014413A">
        <w:rPr>
          <w:rFonts w:asciiTheme="majorBidi" w:hAnsiTheme="majorBidi"/>
          <w:sz w:val="24"/>
          <w:szCs w:val="24"/>
        </w:rPr>
        <w:t>Havaux</w:t>
      </w:r>
      <w:proofErr w:type="spellEnd"/>
      <w:r w:rsidRPr="0014413A">
        <w:rPr>
          <w:rFonts w:asciiTheme="majorBidi" w:hAnsiTheme="majorBidi"/>
          <w:sz w:val="24"/>
          <w:szCs w:val="24"/>
        </w:rPr>
        <w:t xml:space="preserve">. 2015. “Key Players of Singlet Oxygen-Induced Cell Death in Plants.” </w:t>
      </w:r>
      <w:r w:rsidRPr="0014413A">
        <w:rPr>
          <w:rFonts w:asciiTheme="majorBidi" w:hAnsiTheme="majorBidi"/>
          <w:i/>
          <w:iCs/>
          <w:sz w:val="24"/>
          <w:szCs w:val="24"/>
        </w:rPr>
        <w:t>Frontiers in Plant Science</w:t>
      </w:r>
      <w:r w:rsidRPr="0014413A">
        <w:rPr>
          <w:rFonts w:asciiTheme="majorBidi" w:hAnsiTheme="majorBidi"/>
          <w:sz w:val="24"/>
          <w:szCs w:val="24"/>
        </w:rPr>
        <w:t xml:space="preserve"> 6 (February). https://doi.org/10.3389/fpls.2015.00039.</w:t>
      </w:r>
    </w:p>
    <w:p w14:paraId="0FE43C1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Larkin, George I Hagstrom, Melissa L Brock, Nathan S Garcia, and Adam C Martiny. 2023. “Basin-Scale Biogeography of </w:t>
      </w:r>
      <w:r w:rsidRPr="0014413A">
        <w:rPr>
          <w:rFonts w:asciiTheme="majorBidi" w:hAnsiTheme="majorBidi"/>
          <w:i/>
          <w:iCs/>
          <w:sz w:val="24"/>
          <w:szCs w:val="24"/>
        </w:rPr>
        <w:t>Prochlorococcus</w:t>
      </w:r>
      <w:r w:rsidRPr="0014413A">
        <w:rPr>
          <w:rFonts w:asciiTheme="majorBidi" w:hAnsiTheme="majorBidi"/>
          <w:sz w:val="24"/>
          <w:szCs w:val="24"/>
        </w:rPr>
        <w:t xml:space="preserve"> and SAR11 Ecotype Replication.” </w:t>
      </w:r>
      <w:r w:rsidRPr="0014413A">
        <w:rPr>
          <w:rFonts w:asciiTheme="majorBidi" w:hAnsiTheme="majorBidi"/>
          <w:i/>
          <w:iCs/>
          <w:sz w:val="24"/>
          <w:szCs w:val="24"/>
        </w:rPr>
        <w:t>The ISME Journal</w:t>
      </w:r>
      <w:r w:rsidRPr="0014413A">
        <w:rPr>
          <w:rFonts w:asciiTheme="majorBidi" w:hAnsiTheme="majorBidi"/>
          <w:sz w:val="24"/>
          <w:szCs w:val="24"/>
        </w:rPr>
        <w:t xml:space="preserve"> 17 (2): 185–94. https://doi.org/10.1038/s41396-022-01332-6.</w:t>
      </w:r>
    </w:p>
    <w:p w14:paraId="41E32F6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Latifi, Marion Ruiz, and Cheng-Cai Zhang. 2009. “Oxidative Stress in Cyanobacteria.” </w:t>
      </w:r>
      <w:r w:rsidRPr="0014413A">
        <w:rPr>
          <w:rFonts w:asciiTheme="majorBidi" w:hAnsiTheme="majorBidi"/>
          <w:i/>
          <w:iCs/>
          <w:sz w:val="24"/>
          <w:szCs w:val="24"/>
        </w:rPr>
        <w:t>FEMS Microbiology Reviews</w:t>
      </w:r>
      <w:r w:rsidRPr="0014413A">
        <w:rPr>
          <w:rFonts w:asciiTheme="majorBidi" w:hAnsiTheme="majorBidi"/>
          <w:sz w:val="24"/>
          <w:szCs w:val="24"/>
        </w:rPr>
        <w:t xml:space="preserve"> 33 (2): 258–78. https://doi.org/10.1111/j.1574-6976.2008.00134.x.</w:t>
      </w:r>
    </w:p>
    <w:p w14:paraId="439D65F8" w14:textId="522B098A"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Le Quéré, Michael R. Raupach, Josep G. </w:t>
      </w:r>
      <w:proofErr w:type="spellStart"/>
      <w:r w:rsidRPr="0014413A">
        <w:rPr>
          <w:rFonts w:asciiTheme="majorBidi" w:hAnsiTheme="majorBidi"/>
          <w:sz w:val="24"/>
          <w:szCs w:val="24"/>
        </w:rPr>
        <w:t>Canadell</w:t>
      </w:r>
      <w:proofErr w:type="spellEnd"/>
      <w:r w:rsidRPr="0014413A">
        <w:rPr>
          <w:rFonts w:asciiTheme="majorBidi" w:hAnsiTheme="majorBidi"/>
          <w:sz w:val="24"/>
          <w:szCs w:val="24"/>
        </w:rPr>
        <w:t xml:space="preserve">, Gregg Marland, Laurent Bopp, Philippe </w:t>
      </w:r>
      <w:proofErr w:type="spellStart"/>
      <w:r w:rsidRPr="0014413A">
        <w:rPr>
          <w:rFonts w:asciiTheme="majorBidi" w:hAnsiTheme="majorBidi"/>
          <w:sz w:val="24"/>
          <w:szCs w:val="24"/>
        </w:rPr>
        <w:t>Ciais</w:t>
      </w:r>
      <w:proofErr w:type="spellEnd"/>
      <w:r w:rsidRPr="0014413A">
        <w:rPr>
          <w:rFonts w:asciiTheme="majorBidi" w:hAnsiTheme="majorBidi"/>
          <w:sz w:val="24"/>
          <w:szCs w:val="24"/>
        </w:rPr>
        <w:t xml:space="preserve">, Thomas J. Conway,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2009. “Trends in the Sources and Sinks of Carbon Dioxide.” </w:t>
      </w:r>
      <w:r w:rsidRPr="0014413A">
        <w:rPr>
          <w:rFonts w:asciiTheme="majorBidi" w:hAnsiTheme="majorBidi"/>
          <w:i/>
          <w:iCs/>
          <w:sz w:val="24"/>
          <w:szCs w:val="24"/>
        </w:rPr>
        <w:t>Nature Geoscience</w:t>
      </w:r>
      <w:r w:rsidRPr="0014413A">
        <w:rPr>
          <w:rFonts w:asciiTheme="majorBidi" w:hAnsiTheme="majorBidi"/>
          <w:sz w:val="24"/>
          <w:szCs w:val="24"/>
        </w:rPr>
        <w:t xml:space="preserve"> 2 (12): 831–36. https://doi.org/10.1038/ngeo689.</w:t>
      </w:r>
    </w:p>
    <w:p w14:paraId="085DAAB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Lenski, and Susan E. Hattingh. 1986. “Coexistence of Two Competitors on One Resource and </w:t>
      </w:r>
      <w:r w:rsidRPr="0014413A">
        <w:rPr>
          <w:rFonts w:asciiTheme="majorBidi" w:hAnsiTheme="majorBidi"/>
          <w:sz w:val="24"/>
          <w:szCs w:val="24"/>
        </w:rPr>
        <w:lastRenderedPageBreak/>
        <w:t xml:space="preserve">One Inhibitor: A Chemostat Model Based on Bacteria and Antibiotics.” </w:t>
      </w:r>
      <w:r w:rsidRPr="0014413A">
        <w:rPr>
          <w:rFonts w:asciiTheme="majorBidi" w:hAnsiTheme="majorBidi"/>
          <w:i/>
          <w:iCs/>
          <w:sz w:val="24"/>
          <w:szCs w:val="24"/>
        </w:rPr>
        <w:t>Journal of Theoretical Biology</w:t>
      </w:r>
      <w:r w:rsidRPr="0014413A">
        <w:rPr>
          <w:rFonts w:asciiTheme="majorBidi" w:hAnsiTheme="majorBidi"/>
          <w:sz w:val="24"/>
          <w:szCs w:val="24"/>
        </w:rPr>
        <w:t xml:space="preserve"> 122 (1): 83–93. https://doi.org/10.1016/S0022-5193(86)80226-0.</w:t>
      </w:r>
    </w:p>
    <w:p w14:paraId="0C6C181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Lepe-Zuniga, J.S. Zigler, and Igal Gery. 1987. “Toxicity of Light-Exposed </w:t>
      </w:r>
      <w:proofErr w:type="spellStart"/>
      <w:r w:rsidRPr="0014413A">
        <w:rPr>
          <w:rFonts w:asciiTheme="majorBidi" w:hAnsiTheme="majorBidi"/>
          <w:sz w:val="24"/>
          <w:szCs w:val="24"/>
        </w:rPr>
        <w:t>Hepes</w:t>
      </w:r>
      <w:proofErr w:type="spellEnd"/>
      <w:r w:rsidRPr="0014413A">
        <w:rPr>
          <w:rFonts w:asciiTheme="majorBidi" w:hAnsiTheme="majorBidi"/>
          <w:sz w:val="24"/>
          <w:szCs w:val="24"/>
        </w:rPr>
        <w:t xml:space="preserve"> Media.” </w:t>
      </w:r>
      <w:r w:rsidRPr="0014413A">
        <w:rPr>
          <w:rFonts w:asciiTheme="majorBidi" w:hAnsiTheme="majorBidi"/>
          <w:i/>
          <w:iCs/>
          <w:sz w:val="24"/>
          <w:szCs w:val="24"/>
        </w:rPr>
        <w:t>Journal of Immunological Methods</w:t>
      </w:r>
      <w:r w:rsidRPr="0014413A">
        <w:rPr>
          <w:rFonts w:asciiTheme="majorBidi" w:hAnsiTheme="majorBidi"/>
          <w:sz w:val="24"/>
          <w:szCs w:val="24"/>
        </w:rPr>
        <w:t xml:space="preserve"> 103 (1): 145. https://doi.org/10.1016/0022-1759(87)90253-5.</w:t>
      </w:r>
    </w:p>
    <w:p w14:paraId="29E4CE6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Levin, and Nadine Le Bris. 2015. “The Deep Ocean under Climate Change.” </w:t>
      </w:r>
      <w:r w:rsidRPr="0014413A">
        <w:rPr>
          <w:rFonts w:asciiTheme="majorBidi" w:hAnsiTheme="majorBidi"/>
          <w:i/>
          <w:iCs/>
          <w:sz w:val="24"/>
          <w:szCs w:val="24"/>
        </w:rPr>
        <w:t>Science</w:t>
      </w:r>
      <w:r w:rsidRPr="0014413A">
        <w:rPr>
          <w:rFonts w:asciiTheme="majorBidi" w:hAnsiTheme="majorBidi"/>
          <w:sz w:val="24"/>
          <w:szCs w:val="24"/>
        </w:rPr>
        <w:t xml:space="preserve"> 350 (6262): 766–68. https://doi.org/10.1126/science.aad0126.</w:t>
      </w:r>
    </w:p>
    <w:p w14:paraId="49CEE0B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Liao, </w:t>
      </w:r>
      <w:proofErr w:type="spellStart"/>
      <w:r w:rsidRPr="0014413A">
        <w:rPr>
          <w:rFonts w:asciiTheme="majorBidi" w:hAnsiTheme="majorBidi"/>
          <w:sz w:val="24"/>
          <w:szCs w:val="24"/>
        </w:rPr>
        <w:t>Zujing</w:t>
      </w:r>
      <w:proofErr w:type="spellEnd"/>
      <w:r w:rsidRPr="0014413A">
        <w:rPr>
          <w:rFonts w:asciiTheme="majorBidi" w:hAnsiTheme="majorBidi"/>
          <w:sz w:val="24"/>
          <w:szCs w:val="24"/>
        </w:rPr>
        <w:t xml:space="preserve"> Yang, Zheng Dou, </w:t>
      </w:r>
      <w:proofErr w:type="spellStart"/>
      <w:r w:rsidRPr="0014413A">
        <w:rPr>
          <w:rFonts w:asciiTheme="majorBidi" w:hAnsiTheme="majorBidi"/>
          <w:sz w:val="24"/>
          <w:szCs w:val="24"/>
        </w:rPr>
        <w:t>Fanhua</w:t>
      </w:r>
      <w:proofErr w:type="spellEnd"/>
      <w:r w:rsidRPr="0014413A">
        <w:rPr>
          <w:rFonts w:asciiTheme="majorBidi" w:hAnsiTheme="majorBidi"/>
          <w:sz w:val="24"/>
          <w:szCs w:val="24"/>
        </w:rPr>
        <w:t xml:space="preserve"> Sun, </w:t>
      </w:r>
      <w:proofErr w:type="spellStart"/>
      <w:r w:rsidRPr="0014413A">
        <w:rPr>
          <w:rFonts w:asciiTheme="majorBidi" w:hAnsiTheme="majorBidi"/>
          <w:sz w:val="24"/>
          <w:szCs w:val="24"/>
        </w:rPr>
        <w:t>Sihua</w:t>
      </w:r>
      <w:proofErr w:type="spellEnd"/>
      <w:r w:rsidRPr="0014413A">
        <w:rPr>
          <w:rFonts w:asciiTheme="majorBidi" w:hAnsiTheme="majorBidi"/>
          <w:sz w:val="24"/>
          <w:szCs w:val="24"/>
        </w:rPr>
        <w:t xml:space="preserve"> Kou, </w:t>
      </w:r>
      <w:proofErr w:type="spellStart"/>
      <w:r w:rsidRPr="0014413A">
        <w:rPr>
          <w:rFonts w:asciiTheme="majorBidi" w:hAnsiTheme="majorBidi"/>
          <w:sz w:val="24"/>
          <w:szCs w:val="24"/>
        </w:rPr>
        <w:t>Zhengrui</w:t>
      </w:r>
      <w:proofErr w:type="spellEnd"/>
      <w:r w:rsidRPr="0014413A">
        <w:rPr>
          <w:rFonts w:asciiTheme="majorBidi" w:hAnsiTheme="majorBidi"/>
          <w:sz w:val="24"/>
          <w:szCs w:val="24"/>
        </w:rPr>
        <w:t xml:space="preserve"> Zhang, </w:t>
      </w:r>
      <w:proofErr w:type="spellStart"/>
      <w:r w:rsidRPr="0014413A">
        <w:rPr>
          <w:rFonts w:asciiTheme="majorBidi" w:hAnsiTheme="majorBidi"/>
          <w:sz w:val="24"/>
          <w:szCs w:val="24"/>
        </w:rPr>
        <w:t>Xiaoting</w:t>
      </w:r>
      <w:proofErr w:type="spellEnd"/>
      <w:r w:rsidRPr="0014413A">
        <w:rPr>
          <w:rFonts w:asciiTheme="majorBidi" w:hAnsiTheme="majorBidi"/>
          <w:sz w:val="24"/>
          <w:szCs w:val="24"/>
        </w:rPr>
        <w:t xml:space="preserve"> Huang, and Zhenmin Bao. 2019. “Impact of Ocean Acidification on the Energy Metabolism and Antioxidant Responses of the Yesso Scallop (</w:t>
      </w:r>
      <w:proofErr w:type="spellStart"/>
      <w:r w:rsidRPr="0014413A">
        <w:rPr>
          <w:rFonts w:asciiTheme="majorBidi" w:hAnsiTheme="majorBidi"/>
          <w:sz w:val="24"/>
          <w:szCs w:val="24"/>
        </w:rPr>
        <w:t>Patinopecten</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Yessoensis</w:t>
      </w:r>
      <w:proofErr w:type="spellEnd"/>
      <w:r w:rsidRPr="0014413A">
        <w:rPr>
          <w:rFonts w:asciiTheme="majorBidi" w:hAnsiTheme="majorBidi"/>
          <w:sz w:val="24"/>
          <w:szCs w:val="24"/>
        </w:rPr>
        <w:t xml:space="preserve">).” </w:t>
      </w:r>
      <w:r w:rsidRPr="0014413A">
        <w:rPr>
          <w:rFonts w:asciiTheme="majorBidi" w:hAnsiTheme="majorBidi"/>
          <w:i/>
          <w:iCs/>
          <w:sz w:val="24"/>
          <w:szCs w:val="24"/>
        </w:rPr>
        <w:t>Frontiers in Physiology</w:t>
      </w:r>
      <w:r w:rsidRPr="0014413A">
        <w:rPr>
          <w:rFonts w:asciiTheme="majorBidi" w:hAnsiTheme="majorBidi"/>
          <w:sz w:val="24"/>
          <w:szCs w:val="24"/>
        </w:rPr>
        <w:t xml:space="preserve"> 9 (January):1967. https://doi.org/10.3389/fphys.2018.01967.</w:t>
      </w:r>
    </w:p>
    <w:p w14:paraId="208EC4A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Lipschultz. 1995. “Nitrogen-Specific Uptake Rates of Marine Phytoplankton Isolated from Natural Populations of Particles by Flow Cytometry.”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123:245–58. https://doi.org/10.3354/meps123245.</w:t>
      </w:r>
    </w:p>
    <w:p w14:paraId="201A6EF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Litchman, C A Klausmeier, J R Miller, O M Schoﬁeld, and P G Falkowski. 2006. “Multi-Nutrient, Multi-Group Model of Present and Future Oceanic Phytoplankton Communities,” 22.</w:t>
      </w:r>
    </w:p>
    <w:p w14:paraId="3120CE9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Liu, and Lisa Campbell. 1995. “Growth and Mortality Rates of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Measured with a Selective Inhibitor </w:t>
      </w:r>
      <w:proofErr w:type="spellStart"/>
      <w:r w:rsidRPr="0014413A">
        <w:rPr>
          <w:rFonts w:asciiTheme="majorBidi" w:hAnsiTheme="majorBidi"/>
          <w:sz w:val="24"/>
          <w:szCs w:val="24"/>
        </w:rPr>
        <w:t>Techniaue</w:t>
      </w:r>
      <w:proofErr w:type="spellEnd"/>
      <w:r w:rsidRPr="0014413A">
        <w:rPr>
          <w:rFonts w:asciiTheme="majorBidi" w:hAnsiTheme="majorBidi"/>
          <w:sz w:val="24"/>
          <w:szCs w:val="24"/>
        </w:rPr>
        <w:t xml:space="preserve">.”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116:11.</w:t>
      </w:r>
    </w:p>
    <w:p w14:paraId="52A1E87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Lomas, and Fredric Lipschultz. 2006. “Forming the Primary Nitrite Maximum: Nitrifiers or Phytoplankton?” </w:t>
      </w:r>
      <w:r w:rsidRPr="0014413A">
        <w:rPr>
          <w:rFonts w:asciiTheme="majorBidi" w:hAnsiTheme="majorBidi"/>
          <w:i/>
          <w:iCs/>
          <w:sz w:val="24"/>
          <w:szCs w:val="24"/>
        </w:rPr>
        <w:t>Limnology and Oceanography</w:t>
      </w:r>
      <w:r w:rsidRPr="0014413A">
        <w:rPr>
          <w:rFonts w:asciiTheme="majorBidi" w:hAnsiTheme="majorBidi"/>
          <w:sz w:val="24"/>
          <w:szCs w:val="24"/>
        </w:rPr>
        <w:t xml:space="preserve"> 51 (5): 2453–67. https://doi.org/10.4319/lo.2006.51.5.2453.</w:t>
      </w:r>
    </w:p>
    <w:p w14:paraId="2860223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Luo, Mark W. Shephard, Karen E. Cady-Pereira, Daven K. Henze, Liye Zhu, Jesse O. Bash, Robert W. Pinder, Shannon L. Capps, John T. Walker, and Matthew R. Jones. 2015. “Satellite Observations of Tropospheric Ammonia and Carbon Monoxide: Global Distributions, Regional Correlations and Comparisons to Model Simulations.” </w:t>
      </w:r>
      <w:r w:rsidRPr="0014413A">
        <w:rPr>
          <w:rFonts w:asciiTheme="majorBidi" w:hAnsiTheme="majorBidi"/>
          <w:i/>
          <w:iCs/>
          <w:sz w:val="24"/>
          <w:szCs w:val="24"/>
        </w:rPr>
        <w:t>Atmospheric Environment</w:t>
      </w:r>
      <w:r w:rsidRPr="0014413A">
        <w:rPr>
          <w:rFonts w:asciiTheme="majorBidi" w:hAnsiTheme="majorBidi"/>
          <w:sz w:val="24"/>
          <w:szCs w:val="24"/>
        </w:rPr>
        <w:t xml:space="preserve"> 106 (April):262–77. https://doi.org/10.1016/j.atmosenv.2015.02.007.</w:t>
      </w:r>
    </w:p>
    <w:p w14:paraId="0B0DF4B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Lynch, and Georgi K. Marinov. 2015. “The Bioenergetic Costs of a Gene.”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November, 201514974. https://doi.org/10.1073/pnas.1514974112.</w:t>
      </w:r>
    </w:p>
    <w:p w14:paraId="3172150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Ma. 2015. “Physiological Characterization of Prochlorococcus under Abiotic Stressors Temperature and Hydrogen Peroxide.” University of Tennessee.</w:t>
      </w:r>
    </w:p>
    <w:p w14:paraId="009D93C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 Benjamin C Calfee, J Jeffrey Morris, Zackary I Johnson, and Erik R Zinser. 2018. “Degradation of Hydrogen Peroxide at the Ocean’s Surface: The Influence of the Microbial </w:t>
      </w:r>
      <w:r w:rsidRPr="0014413A">
        <w:rPr>
          <w:rFonts w:asciiTheme="majorBidi" w:hAnsiTheme="majorBidi"/>
          <w:sz w:val="24"/>
          <w:szCs w:val="24"/>
        </w:rPr>
        <w:lastRenderedPageBreak/>
        <w:t xml:space="preserve">Community on the Realized Thermal Niche of Prochlorococcus.” </w:t>
      </w:r>
      <w:r w:rsidRPr="0014413A">
        <w:rPr>
          <w:rFonts w:asciiTheme="majorBidi" w:hAnsiTheme="majorBidi"/>
          <w:i/>
          <w:iCs/>
          <w:sz w:val="24"/>
          <w:szCs w:val="24"/>
        </w:rPr>
        <w:t>The ISME Journal</w:t>
      </w:r>
      <w:r w:rsidRPr="0014413A">
        <w:rPr>
          <w:rFonts w:asciiTheme="majorBidi" w:hAnsiTheme="majorBidi"/>
          <w:sz w:val="24"/>
          <w:szCs w:val="24"/>
        </w:rPr>
        <w:t xml:space="preserve"> 12 (2): 473–84. https://doi.org/10.1038/ismej.2017.182.</w:t>
      </w:r>
    </w:p>
    <w:p w14:paraId="3839D6E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 and J W Eaton. 1992. “Multicellular Oxidant Defense in Unicellular Organisms.”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89 (17): 7924–28. https://doi.org/10.1073/pnas.89.17.7924.</w:t>
      </w:r>
    </w:p>
    <w:p w14:paraId="1DF772C8" w14:textId="72F885AF"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MacGregor-Chatwin, P. J. Jackson, M. Sener, J. W. Chidgey, A. Hitchcock, P. Qian, G. E. </w:t>
      </w:r>
      <w:proofErr w:type="spellStart"/>
      <w:r w:rsidRPr="0014413A">
        <w:rPr>
          <w:rFonts w:asciiTheme="majorBidi" w:hAnsiTheme="majorBidi"/>
          <w:sz w:val="24"/>
          <w:szCs w:val="24"/>
        </w:rPr>
        <w:t>Mayneord</w:t>
      </w:r>
      <w:proofErr w:type="spellEnd"/>
      <w:r w:rsidRPr="0014413A">
        <w:rPr>
          <w:rFonts w:asciiTheme="majorBidi" w:hAnsiTheme="majorBidi"/>
          <w:sz w:val="24"/>
          <w:szCs w:val="24"/>
        </w:rPr>
        <w:t xml:space="preserve">,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2019. “Membrane Organization of Photosystem I Complexes in the Most Abundant Phototroph on Earth.” </w:t>
      </w:r>
      <w:r w:rsidRPr="0014413A">
        <w:rPr>
          <w:rFonts w:asciiTheme="majorBidi" w:hAnsiTheme="majorBidi"/>
          <w:i/>
          <w:iCs/>
          <w:sz w:val="24"/>
          <w:szCs w:val="24"/>
        </w:rPr>
        <w:t>Nature Plants</w:t>
      </w:r>
      <w:r w:rsidRPr="0014413A">
        <w:rPr>
          <w:rFonts w:asciiTheme="majorBidi" w:hAnsiTheme="majorBidi"/>
          <w:sz w:val="24"/>
          <w:szCs w:val="24"/>
        </w:rPr>
        <w:t xml:space="preserve"> 5 (8): 879–89. https://doi.org/10.1038/s41477-019-0475-z.</w:t>
      </w:r>
    </w:p>
    <w:p w14:paraId="38FB2D6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Mackey, A. Paytan, K. Caldeira, A. R. Grossman, D. Moran, M. </w:t>
      </w:r>
      <w:proofErr w:type="spellStart"/>
      <w:r w:rsidRPr="0014413A">
        <w:rPr>
          <w:rFonts w:asciiTheme="majorBidi" w:hAnsiTheme="majorBidi"/>
          <w:sz w:val="24"/>
          <w:szCs w:val="24"/>
        </w:rPr>
        <w:t>McIlvin</w:t>
      </w:r>
      <w:proofErr w:type="spellEnd"/>
      <w:r w:rsidRPr="0014413A">
        <w:rPr>
          <w:rFonts w:asciiTheme="majorBidi" w:hAnsiTheme="majorBidi"/>
          <w:sz w:val="24"/>
          <w:szCs w:val="24"/>
        </w:rPr>
        <w:t xml:space="preserve">, and M. A. Saito. 2013. “Effect of Temperature on Photosynthesis and Growth in Marine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Spp.” </w:t>
      </w:r>
      <w:r w:rsidRPr="0014413A">
        <w:rPr>
          <w:rFonts w:asciiTheme="majorBidi" w:hAnsiTheme="majorBidi"/>
          <w:i/>
          <w:iCs/>
          <w:sz w:val="24"/>
          <w:szCs w:val="24"/>
        </w:rPr>
        <w:t>PLANT PHYSIOLOGY</w:t>
      </w:r>
      <w:r w:rsidRPr="0014413A">
        <w:rPr>
          <w:rFonts w:asciiTheme="majorBidi" w:hAnsiTheme="majorBidi"/>
          <w:sz w:val="24"/>
          <w:szCs w:val="24"/>
        </w:rPr>
        <w:t xml:space="preserve"> 163 (2): 815–29. https://doi.org/10.1104/pp.113.221937.</w:t>
      </w:r>
    </w:p>
    <w:p w14:paraId="170ADFC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Manck, </w:t>
      </w:r>
      <w:proofErr w:type="spellStart"/>
      <w:r w:rsidRPr="0014413A">
        <w:rPr>
          <w:rFonts w:asciiTheme="majorBidi" w:hAnsiTheme="majorBidi"/>
          <w:sz w:val="24"/>
          <w:szCs w:val="24"/>
        </w:rPr>
        <w:t>Jiwoon</w:t>
      </w:r>
      <w:proofErr w:type="spellEnd"/>
      <w:r w:rsidRPr="0014413A">
        <w:rPr>
          <w:rFonts w:asciiTheme="majorBidi" w:hAnsiTheme="majorBidi"/>
          <w:sz w:val="24"/>
          <w:szCs w:val="24"/>
        </w:rPr>
        <w:t xml:space="preserve"> Park, Benjamin J Tully, Alfonso M Poire, Randelle M Bundy, Christopher L Dupont, and Katherine A Barbeau. 2022. “Petrobactin, a Siderophore Produced by </w:t>
      </w:r>
      <w:proofErr w:type="spellStart"/>
      <w:proofErr w:type="gramStart"/>
      <w:r w:rsidRPr="0014413A">
        <w:rPr>
          <w:rFonts w:asciiTheme="majorBidi" w:hAnsiTheme="majorBidi"/>
          <w:i/>
          <w:iCs/>
          <w:sz w:val="24"/>
          <w:szCs w:val="24"/>
        </w:rPr>
        <w:t>Alteromonas</w:t>
      </w:r>
      <w:proofErr w:type="spellEnd"/>
      <w:r w:rsidRPr="0014413A">
        <w:rPr>
          <w:rFonts w:asciiTheme="majorBidi" w:hAnsiTheme="majorBidi"/>
          <w:sz w:val="24"/>
          <w:szCs w:val="24"/>
        </w:rPr>
        <w:t xml:space="preserve"> ,</w:t>
      </w:r>
      <w:proofErr w:type="gramEnd"/>
      <w:r w:rsidRPr="0014413A">
        <w:rPr>
          <w:rFonts w:asciiTheme="majorBidi" w:hAnsiTheme="majorBidi"/>
          <w:sz w:val="24"/>
          <w:szCs w:val="24"/>
        </w:rPr>
        <w:t xml:space="preserve"> Mediates Community Iron Acquisition in the Global Ocean.” </w:t>
      </w:r>
      <w:r w:rsidRPr="0014413A">
        <w:rPr>
          <w:rFonts w:asciiTheme="majorBidi" w:hAnsiTheme="majorBidi"/>
          <w:i/>
          <w:iCs/>
          <w:sz w:val="24"/>
          <w:szCs w:val="24"/>
        </w:rPr>
        <w:t>The ISME Journal</w:t>
      </w:r>
      <w:r w:rsidRPr="0014413A">
        <w:rPr>
          <w:rFonts w:asciiTheme="majorBidi" w:hAnsiTheme="majorBidi"/>
          <w:sz w:val="24"/>
          <w:szCs w:val="24"/>
        </w:rPr>
        <w:t xml:space="preserve"> 16 (2): 358–69. https://doi.org/10.1038/s41396-021-01065-y.</w:t>
      </w:r>
    </w:p>
    <w:p w14:paraId="1738AB9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Marie, Frederic </w:t>
      </w: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Stephan Jacquet, and Daniel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xml:space="preserve">. 1997. “Enumeration and Cell Cycle Analysis of Natural Populations of Marine Picoplankton by Flow Cytometry Using the Nucleic Acid Stain SYBR Green I.” </w:t>
      </w:r>
      <w:r w:rsidRPr="0014413A">
        <w:rPr>
          <w:rFonts w:asciiTheme="majorBidi" w:hAnsiTheme="majorBidi"/>
          <w:i/>
          <w:iCs/>
          <w:sz w:val="24"/>
          <w:szCs w:val="24"/>
        </w:rPr>
        <w:t>APPL. ENVIRON. MICROBIOL.</w:t>
      </w:r>
      <w:r w:rsidRPr="0014413A">
        <w:rPr>
          <w:rFonts w:asciiTheme="majorBidi" w:hAnsiTheme="majorBidi"/>
          <w:sz w:val="24"/>
          <w:szCs w:val="24"/>
        </w:rPr>
        <w:t xml:space="preserve"> 63:8.</w:t>
      </w:r>
    </w:p>
    <w:p w14:paraId="741AA95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Martin, George A. Knauer, David M. Karl, and William W. </w:t>
      </w:r>
      <w:proofErr w:type="spellStart"/>
      <w:r w:rsidRPr="0014413A">
        <w:rPr>
          <w:rFonts w:asciiTheme="majorBidi" w:hAnsiTheme="majorBidi"/>
          <w:sz w:val="24"/>
          <w:szCs w:val="24"/>
        </w:rPr>
        <w:t>Broenkow</w:t>
      </w:r>
      <w:proofErr w:type="spellEnd"/>
      <w:r w:rsidRPr="0014413A">
        <w:rPr>
          <w:rFonts w:asciiTheme="majorBidi" w:hAnsiTheme="majorBidi"/>
          <w:sz w:val="24"/>
          <w:szCs w:val="24"/>
        </w:rPr>
        <w:t xml:space="preserve">. 1987. “VERTEX: Carbon Cycling in the Northeast Pacific.” </w:t>
      </w:r>
      <w:r w:rsidRPr="0014413A">
        <w:rPr>
          <w:rFonts w:asciiTheme="majorBidi" w:hAnsiTheme="majorBidi"/>
          <w:i/>
          <w:iCs/>
          <w:sz w:val="24"/>
          <w:szCs w:val="24"/>
        </w:rPr>
        <w:t>Deep Sea Research Part A. Oceanographic Research Papers</w:t>
      </w:r>
      <w:r w:rsidRPr="0014413A">
        <w:rPr>
          <w:rFonts w:asciiTheme="majorBidi" w:hAnsiTheme="majorBidi"/>
          <w:sz w:val="24"/>
          <w:szCs w:val="24"/>
        </w:rPr>
        <w:t xml:space="preserve"> 34 (2): 267–85. https://doi.org/10.1016/0198-0149(87)90086-0.</w:t>
      </w:r>
    </w:p>
    <w:p w14:paraId="3DDEB237" w14:textId="4362FAF0"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Martiny, George I. Hagstrom, Tim DeVries, Robert T. Letscher, Gregory L. Britten, Catherine A. Garcia, Eric Galbraith,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2022. “Marine Phytoplankton Resilience May Moderate Oligotrophic Ecosystem Responses and Biogeochemical </w:t>
      </w:r>
      <w:proofErr w:type="gramStart"/>
      <w:r w:rsidRPr="0014413A">
        <w:rPr>
          <w:rFonts w:asciiTheme="majorBidi" w:hAnsiTheme="majorBidi"/>
          <w:sz w:val="24"/>
          <w:szCs w:val="24"/>
        </w:rPr>
        <w:t>Feedbacks</w:t>
      </w:r>
      <w:proofErr w:type="gramEnd"/>
      <w:r w:rsidRPr="0014413A">
        <w:rPr>
          <w:rFonts w:asciiTheme="majorBidi" w:hAnsiTheme="majorBidi"/>
          <w:sz w:val="24"/>
          <w:szCs w:val="24"/>
        </w:rPr>
        <w:t xml:space="preserve"> to Climate Change.” </w:t>
      </w:r>
      <w:r w:rsidRPr="0014413A">
        <w:rPr>
          <w:rFonts w:asciiTheme="majorBidi" w:hAnsiTheme="majorBidi"/>
          <w:i/>
          <w:iCs/>
          <w:sz w:val="24"/>
          <w:szCs w:val="24"/>
        </w:rPr>
        <w:t>Limnology and Oceanography</w:t>
      </w:r>
      <w:r w:rsidRPr="0014413A">
        <w:rPr>
          <w:rFonts w:asciiTheme="majorBidi" w:hAnsiTheme="majorBidi"/>
          <w:sz w:val="24"/>
          <w:szCs w:val="24"/>
        </w:rPr>
        <w:t xml:space="preserve"> 67 (S1). https://doi.org/10.1002/lno.12029.</w:t>
      </w:r>
    </w:p>
    <w:p w14:paraId="2367B28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Martiny, Amos P. K. Tai, Daniele Veneziano, François Primeau, and Sallie W. Chisholm. 2009. “Taxonomic Resolution, Ecotypes and the Biogeography of </w:t>
      </w:r>
      <w:r w:rsidRPr="0014413A">
        <w:rPr>
          <w:rFonts w:asciiTheme="majorBidi" w:hAnsiTheme="majorBidi"/>
          <w:i/>
          <w:iCs/>
          <w:sz w:val="24"/>
          <w:szCs w:val="24"/>
        </w:rPr>
        <w:t>Prochlorococcus</w:t>
      </w:r>
      <w:r w:rsidRPr="0014413A">
        <w:rPr>
          <w:rFonts w:asciiTheme="majorBidi" w:hAnsiTheme="majorBidi"/>
          <w:sz w:val="24"/>
          <w:szCs w:val="24"/>
        </w:rPr>
        <w:t xml:space="preserve">.” </w:t>
      </w:r>
      <w:r w:rsidRPr="0014413A">
        <w:rPr>
          <w:rFonts w:asciiTheme="majorBidi" w:hAnsiTheme="majorBidi"/>
          <w:i/>
          <w:iCs/>
          <w:sz w:val="24"/>
          <w:szCs w:val="24"/>
        </w:rPr>
        <w:t>Environmental Microbiology</w:t>
      </w:r>
      <w:r w:rsidRPr="0014413A">
        <w:rPr>
          <w:rFonts w:asciiTheme="majorBidi" w:hAnsiTheme="majorBidi"/>
          <w:sz w:val="24"/>
          <w:szCs w:val="24"/>
        </w:rPr>
        <w:t xml:space="preserve"> 11 (4): 823–32. https://doi.org/10.1111/j.1462-2920.2008.01803.x.</w:t>
      </w:r>
    </w:p>
    <w:p w14:paraId="5C390158" w14:textId="3A0FCCA0"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Masuda, Keisuke </w:t>
      </w:r>
      <w:proofErr w:type="spellStart"/>
      <w:r w:rsidRPr="0014413A">
        <w:rPr>
          <w:rFonts w:asciiTheme="majorBidi" w:hAnsiTheme="majorBidi"/>
          <w:sz w:val="24"/>
          <w:szCs w:val="24"/>
        </w:rPr>
        <w:t>Inomura</w:t>
      </w:r>
      <w:proofErr w:type="spellEnd"/>
      <w:r w:rsidRPr="0014413A">
        <w:rPr>
          <w:rFonts w:asciiTheme="majorBidi" w:hAnsiTheme="majorBidi"/>
          <w:sz w:val="24"/>
          <w:szCs w:val="24"/>
        </w:rPr>
        <w:t xml:space="preserve">, Jan Mareš, Taketoshi Kodama, </w:t>
      </w:r>
      <w:proofErr w:type="spellStart"/>
      <w:r w:rsidRPr="0014413A">
        <w:rPr>
          <w:rFonts w:asciiTheme="majorBidi" w:hAnsiTheme="majorBidi"/>
          <w:sz w:val="24"/>
          <w:szCs w:val="24"/>
        </w:rPr>
        <w:t>Takuhei</w:t>
      </w:r>
      <w:proofErr w:type="spellEnd"/>
      <w:r w:rsidRPr="0014413A">
        <w:rPr>
          <w:rFonts w:asciiTheme="majorBidi" w:hAnsiTheme="majorBidi"/>
          <w:sz w:val="24"/>
          <w:szCs w:val="24"/>
        </w:rPr>
        <w:t xml:space="preserve"> Shiozaki, Takato Matsui, Koji Suzuki,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2023. “Coexistence of Dominant Marine Phytoplankton Sustained by Nutrient Specialization.” Edited by Adriana Lopes Dos Santos. </w:t>
      </w:r>
      <w:r w:rsidRPr="0014413A">
        <w:rPr>
          <w:rFonts w:asciiTheme="majorBidi" w:hAnsiTheme="majorBidi"/>
          <w:i/>
          <w:iCs/>
          <w:sz w:val="24"/>
          <w:szCs w:val="24"/>
        </w:rPr>
        <w:t>Microbiology Spectrum</w:t>
      </w:r>
      <w:r w:rsidRPr="0014413A">
        <w:rPr>
          <w:rFonts w:asciiTheme="majorBidi" w:hAnsiTheme="majorBidi"/>
          <w:sz w:val="24"/>
          <w:szCs w:val="24"/>
        </w:rPr>
        <w:t xml:space="preserve"> 11 (4): e04000-22. https://doi.org/10.1128/spectrum.04000-22.</w:t>
      </w:r>
    </w:p>
    <w:p w14:paraId="11F5631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Maxwell, Falk, Norman P A Huner, and Norman P A Huner. 1994. “Growth at Low Temperature Mimics High-Light Acclimation in Chlorella Vulgaris’” 105:9.</w:t>
      </w:r>
    </w:p>
    <w:p w14:paraId="0DE62B5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Maxwell, and Giles N Johnson. 2000. “Chlorophyll Fluorescence—a Practical Guide.” </w:t>
      </w:r>
      <w:r w:rsidRPr="0014413A">
        <w:rPr>
          <w:rFonts w:asciiTheme="majorBidi" w:hAnsiTheme="majorBidi"/>
          <w:i/>
          <w:iCs/>
          <w:sz w:val="24"/>
          <w:szCs w:val="24"/>
        </w:rPr>
        <w:t>Journal of Experimental Botany</w:t>
      </w:r>
      <w:r w:rsidRPr="0014413A">
        <w:rPr>
          <w:rFonts w:asciiTheme="majorBidi" w:hAnsiTheme="majorBidi"/>
          <w:sz w:val="24"/>
          <w:szCs w:val="24"/>
        </w:rPr>
        <w:t xml:space="preserve"> 51 (345): 10.</w:t>
      </w:r>
    </w:p>
    <w:p w14:paraId="521969DE" w14:textId="5FA32E09"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Mella-Flores, Christophe Six, Morgane Ratin, Frédéric </w:t>
      </w: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Christophe Boutte, Gildas Le </w:t>
      </w:r>
      <w:proofErr w:type="spellStart"/>
      <w:r w:rsidRPr="0014413A">
        <w:rPr>
          <w:rFonts w:asciiTheme="majorBidi" w:hAnsiTheme="majorBidi"/>
          <w:sz w:val="24"/>
          <w:szCs w:val="24"/>
        </w:rPr>
        <w:t>Corguillé</w:t>
      </w:r>
      <w:proofErr w:type="spellEnd"/>
      <w:r w:rsidRPr="0014413A">
        <w:rPr>
          <w:rFonts w:asciiTheme="majorBidi" w:hAnsiTheme="majorBidi"/>
          <w:sz w:val="24"/>
          <w:szCs w:val="24"/>
        </w:rPr>
        <w:t xml:space="preserve">, Dominique Marie,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2012.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Have Evolved Different Adaptive Mechanisms to Cope with Light and UV Stress.” </w:t>
      </w:r>
      <w:r w:rsidRPr="0014413A">
        <w:rPr>
          <w:rFonts w:asciiTheme="majorBidi" w:hAnsiTheme="majorBidi"/>
          <w:i/>
          <w:iCs/>
          <w:sz w:val="24"/>
          <w:szCs w:val="24"/>
        </w:rPr>
        <w:t>Frontiers in Microbiology</w:t>
      </w:r>
      <w:r w:rsidRPr="0014413A">
        <w:rPr>
          <w:rFonts w:asciiTheme="majorBidi" w:hAnsiTheme="majorBidi"/>
          <w:sz w:val="24"/>
          <w:szCs w:val="24"/>
        </w:rPr>
        <w:t xml:space="preserve"> 3. https://doi.org/10.3389/fmicb.2012.00285.</w:t>
      </w:r>
    </w:p>
    <w:p w14:paraId="33FF4B8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Metropolis, Arianna W. Rosenbluth, Marshall N. Rosenbluth, Augusta H. Teller, and Edward Teller. 1953. “Equation of State Calculations by Fast Computing Machines.” </w:t>
      </w:r>
      <w:r w:rsidRPr="0014413A">
        <w:rPr>
          <w:rFonts w:asciiTheme="majorBidi" w:hAnsiTheme="majorBidi"/>
          <w:i/>
          <w:iCs/>
          <w:sz w:val="24"/>
          <w:szCs w:val="24"/>
        </w:rPr>
        <w:t>The Journal of Chemical Physics</w:t>
      </w:r>
      <w:r w:rsidRPr="0014413A">
        <w:rPr>
          <w:rFonts w:asciiTheme="majorBidi" w:hAnsiTheme="majorBidi"/>
          <w:sz w:val="24"/>
          <w:szCs w:val="24"/>
        </w:rPr>
        <w:t xml:space="preserve"> 21 (6): 1087–92. https://doi.org/10.1063/1.1699114.</w:t>
      </w:r>
    </w:p>
    <w:p w14:paraId="6400763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Michaelis, and Maud Menten. 1913. “The Kinetics of Invertase Action.”</w:t>
      </w:r>
    </w:p>
    <w:p w14:paraId="00C5155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Miller. 2012. “Superoxide </w:t>
      </w:r>
      <w:proofErr w:type="spellStart"/>
      <w:r w:rsidRPr="0014413A">
        <w:rPr>
          <w:rFonts w:asciiTheme="majorBidi" w:hAnsiTheme="majorBidi"/>
          <w:sz w:val="24"/>
          <w:szCs w:val="24"/>
        </w:rPr>
        <w:t>Dismutases</w:t>
      </w:r>
      <w:proofErr w:type="spellEnd"/>
      <w:r w:rsidRPr="0014413A">
        <w:rPr>
          <w:rFonts w:asciiTheme="majorBidi" w:hAnsiTheme="majorBidi"/>
          <w:sz w:val="24"/>
          <w:szCs w:val="24"/>
        </w:rPr>
        <w:t xml:space="preserve">: Ancient Enzymes and New Insights.” </w:t>
      </w:r>
      <w:r w:rsidRPr="0014413A">
        <w:rPr>
          <w:rFonts w:asciiTheme="majorBidi" w:hAnsiTheme="majorBidi"/>
          <w:i/>
          <w:iCs/>
          <w:sz w:val="24"/>
          <w:szCs w:val="24"/>
        </w:rPr>
        <w:t>FEBS Letters</w:t>
      </w:r>
      <w:r w:rsidRPr="0014413A">
        <w:rPr>
          <w:rFonts w:asciiTheme="majorBidi" w:hAnsiTheme="majorBidi"/>
          <w:sz w:val="24"/>
          <w:szCs w:val="24"/>
        </w:rPr>
        <w:t xml:space="preserve"> 586 (5): 585–95. https://doi.org/10.1016/j.febslet.2011.10.048.</w:t>
      </w:r>
    </w:p>
    <w:p w14:paraId="23CFBAB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Möller, Matias N., Ernesto </w:t>
      </w:r>
      <w:proofErr w:type="spellStart"/>
      <w:r w:rsidRPr="0014413A">
        <w:rPr>
          <w:rFonts w:asciiTheme="majorBidi" w:hAnsiTheme="majorBidi"/>
          <w:sz w:val="24"/>
          <w:szCs w:val="24"/>
        </w:rPr>
        <w:t>Cuevasanta</w:t>
      </w:r>
      <w:proofErr w:type="spellEnd"/>
      <w:r w:rsidRPr="0014413A">
        <w:rPr>
          <w:rFonts w:asciiTheme="majorBidi" w:hAnsiTheme="majorBidi"/>
          <w:sz w:val="24"/>
          <w:szCs w:val="24"/>
        </w:rPr>
        <w:t xml:space="preserve">, Florencia Orrico, Ana C. Lopez, Leonor Thomson, and Ana </w:t>
      </w:r>
      <w:proofErr w:type="spellStart"/>
      <w:r w:rsidRPr="0014413A">
        <w:rPr>
          <w:rFonts w:asciiTheme="majorBidi" w:hAnsiTheme="majorBidi"/>
          <w:sz w:val="24"/>
          <w:szCs w:val="24"/>
        </w:rPr>
        <w:t>Denicola</w:t>
      </w:r>
      <w:proofErr w:type="spellEnd"/>
      <w:r w:rsidRPr="0014413A">
        <w:rPr>
          <w:rFonts w:asciiTheme="majorBidi" w:hAnsiTheme="majorBidi"/>
          <w:sz w:val="24"/>
          <w:szCs w:val="24"/>
        </w:rPr>
        <w:t xml:space="preserve">. 2019. “Diffusion and Transport of Reactive Species Across Cell Membranes.” In </w:t>
      </w:r>
      <w:r w:rsidRPr="0014413A">
        <w:rPr>
          <w:rFonts w:asciiTheme="majorBidi" w:hAnsiTheme="majorBidi"/>
          <w:i/>
          <w:iCs/>
          <w:sz w:val="24"/>
          <w:szCs w:val="24"/>
        </w:rPr>
        <w:t>Bioactive Lipids in Health and Disease</w:t>
      </w:r>
      <w:r w:rsidRPr="0014413A">
        <w:rPr>
          <w:rFonts w:asciiTheme="majorBidi" w:hAnsiTheme="majorBidi"/>
          <w:sz w:val="24"/>
          <w:szCs w:val="24"/>
        </w:rPr>
        <w:t xml:space="preserve">, edited by </w:t>
      </w:r>
      <w:proofErr w:type="spellStart"/>
      <w:r w:rsidRPr="0014413A">
        <w:rPr>
          <w:rFonts w:asciiTheme="majorBidi" w:hAnsiTheme="majorBidi"/>
          <w:sz w:val="24"/>
          <w:szCs w:val="24"/>
        </w:rPr>
        <w:t>Trostchansky</w:t>
      </w:r>
      <w:proofErr w:type="spellEnd"/>
      <w:r w:rsidRPr="0014413A">
        <w:rPr>
          <w:rFonts w:asciiTheme="majorBidi" w:hAnsiTheme="majorBidi"/>
          <w:sz w:val="24"/>
          <w:szCs w:val="24"/>
        </w:rPr>
        <w:t xml:space="preserve"> and Homero Rubbo, 1127:3–19. Advances in Experimental Medicine and Biology. Cham: Springer International Publishing. https://doi.org/10.1007/978-3-030-11488-6_1.</w:t>
      </w:r>
    </w:p>
    <w:p w14:paraId="733BB73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Moore, and Sallie W. Chisholm. 1999. “</w:t>
      </w:r>
      <w:proofErr w:type="spellStart"/>
      <w:r w:rsidRPr="0014413A">
        <w:rPr>
          <w:rFonts w:asciiTheme="majorBidi" w:hAnsiTheme="majorBidi"/>
          <w:sz w:val="24"/>
          <w:szCs w:val="24"/>
        </w:rPr>
        <w:t>Photophysiology</w:t>
      </w:r>
      <w:proofErr w:type="spellEnd"/>
      <w:r w:rsidRPr="0014413A">
        <w:rPr>
          <w:rFonts w:asciiTheme="majorBidi" w:hAnsiTheme="majorBidi"/>
          <w:sz w:val="24"/>
          <w:szCs w:val="24"/>
        </w:rPr>
        <w:t xml:space="preserve"> of the Marine Cyanobacterium Prochlorococcus: Ecotypic Differences among Cultured Isolates.” </w:t>
      </w:r>
      <w:r w:rsidRPr="0014413A">
        <w:rPr>
          <w:rFonts w:asciiTheme="majorBidi" w:hAnsiTheme="majorBidi"/>
          <w:i/>
          <w:iCs/>
          <w:sz w:val="24"/>
          <w:szCs w:val="24"/>
        </w:rPr>
        <w:t>Limnology and Oceanography</w:t>
      </w:r>
      <w:r w:rsidRPr="0014413A">
        <w:rPr>
          <w:rFonts w:asciiTheme="majorBidi" w:hAnsiTheme="majorBidi"/>
          <w:sz w:val="24"/>
          <w:szCs w:val="24"/>
        </w:rPr>
        <w:t xml:space="preserve"> 44 (3): 628–38. https://doi.org/10.4319/lo.1999.44.3.0628.</w:t>
      </w:r>
    </w:p>
    <w:p w14:paraId="54F13E3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Moore, Allison Coe, Erik R. Zinser, Mak A. Saito, Matthew B. Sullivan, Debbie Lindell, Katya Frois‐Moniz, John Waterbury, and Sallie W. Chisholm. 2007. “Culturing the Marine Cyanobacterium Prochlorococcus.” </w:t>
      </w:r>
      <w:r w:rsidRPr="0014413A">
        <w:rPr>
          <w:rFonts w:asciiTheme="majorBidi" w:hAnsiTheme="majorBidi"/>
          <w:i/>
          <w:iCs/>
          <w:sz w:val="24"/>
          <w:szCs w:val="24"/>
        </w:rPr>
        <w:t>Limnology and Oceanography: Methods</w:t>
      </w:r>
      <w:r w:rsidRPr="0014413A">
        <w:rPr>
          <w:rFonts w:asciiTheme="majorBidi" w:hAnsiTheme="majorBidi"/>
          <w:sz w:val="24"/>
          <w:szCs w:val="24"/>
        </w:rPr>
        <w:t xml:space="preserve"> 5 (10): 353–62. https://doi.org/10.4319/lom.2007.5.353.</w:t>
      </w:r>
    </w:p>
    <w:p w14:paraId="45ECBC3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Moore, </w:t>
      </w:r>
      <w:proofErr w:type="spellStart"/>
      <w:r w:rsidRPr="0014413A">
        <w:rPr>
          <w:rFonts w:asciiTheme="majorBidi" w:hAnsiTheme="majorBidi"/>
          <w:sz w:val="24"/>
          <w:szCs w:val="24"/>
        </w:rPr>
        <w:t>Goericke</w:t>
      </w:r>
      <w:proofErr w:type="spellEnd"/>
      <w:r w:rsidRPr="0014413A">
        <w:rPr>
          <w:rFonts w:asciiTheme="majorBidi" w:hAnsiTheme="majorBidi"/>
          <w:sz w:val="24"/>
          <w:szCs w:val="24"/>
        </w:rPr>
        <w:t xml:space="preserve">, and Chisholm. 1995. “Comparative Physiology of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and Prochlorococcus: Influence of Light and Temperature on Growth, Pigments, Fluorescence and Absorptive Properties.”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116 (1/3): 259-275.</w:t>
      </w:r>
    </w:p>
    <w:p w14:paraId="25FE5E75" w14:textId="6E4DB86B"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Moore, Mills, Arrigo, Berman-Frank, Bopp, P. W. Boyd, E. D. Galbraith,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2013. “Processes and Patterns of Oceanic Nutrient Limitation.” </w:t>
      </w:r>
      <w:r w:rsidRPr="0014413A">
        <w:rPr>
          <w:rFonts w:asciiTheme="majorBidi" w:hAnsiTheme="majorBidi"/>
          <w:i/>
          <w:iCs/>
          <w:sz w:val="24"/>
          <w:szCs w:val="24"/>
        </w:rPr>
        <w:t>Nature Geoscience</w:t>
      </w:r>
      <w:r w:rsidRPr="0014413A">
        <w:rPr>
          <w:rFonts w:asciiTheme="majorBidi" w:hAnsiTheme="majorBidi"/>
          <w:sz w:val="24"/>
          <w:szCs w:val="24"/>
        </w:rPr>
        <w:t xml:space="preserve"> 6 (9): 701–10. https://doi.org/10.1038/ngeo1765.</w:t>
      </w:r>
    </w:p>
    <w:p w14:paraId="2A7A705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Moore, Anton F. Post, Gabrielle Rocap, and Sallie W. Chisholm. 2002. “Utilization of Different </w:t>
      </w:r>
      <w:r w:rsidRPr="0014413A">
        <w:rPr>
          <w:rFonts w:asciiTheme="majorBidi" w:hAnsiTheme="majorBidi"/>
          <w:sz w:val="24"/>
          <w:szCs w:val="24"/>
        </w:rPr>
        <w:lastRenderedPageBreak/>
        <w:t xml:space="preserve">Nitrogen Sources by the Marine Cyanobacteria </w:t>
      </w:r>
      <w:r w:rsidRPr="0014413A">
        <w:rPr>
          <w:rFonts w:asciiTheme="majorBidi" w:hAnsiTheme="majorBidi"/>
          <w:i/>
          <w:iCs/>
          <w:sz w:val="24"/>
          <w:szCs w:val="24"/>
        </w:rPr>
        <w:t>Prochlorococcus</w:t>
      </w:r>
      <w:r w:rsidRPr="0014413A">
        <w:rPr>
          <w:rFonts w:asciiTheme="majorBidi" w:hAnsiTheme="majorBidi"/>
          <w:sz w:val="24"/>
          <w:szCs w:val="24"/>
        </w:rPr>
        <w:t xml:space="preserve"> and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w:t>
      </w:r>
      <w:r w:rsidRPr="0014413A">
        <w:rPr>
          <w:rFonts w:asciiTheme="majorBidi" w:hAnsiTheme="majorBidi"/>
          <w:i/>
          <w:iCs/>
          <w:sz w:val="24"/>
          <w:szCs w:val="24"/>
        </w:rPr>
        <w:t>Limnology and Oceanography</w:t>
      </w:r>
      <w:r w:rsidRPr="0014413A">
        <w:rPr>
          <w:rFonts w:asciiTheme="majorBidi" w:hAnsiTheme="majorBidi"/>
          <w:sz w:val="24"/>
          <w:szCs w:val="24"/>
        </w:rPr>
        <w:t xml:space="preserve"> 47 (4): 989–96. https://doi.org/10.4319/lo.2002.47.4.0989.</w:t>
      </w:r>
    </w:p>
    <w:p w14:paraId="3635930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Morel, Yu-Hwan Ahn, Frédéric </w:t>
      </w: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Daniel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and Hervé Claustre. 1993. “&lt;I&gt;Prochlorococcus&lt;/I&gt; and &lt;I&gt;</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&lt;/I&gt;: A Comparative Study of Their Optical Properties in Relation to Their Size and Pigmentation.” </w:t>
      </w:r>
      <w:r w:rsidRPr="0014413A">
        <w:rPr>
          <w:rFonts w:asciiTheme="majorBidi" w:hAnsiTheme="majorBidi"/>
          <w:i/>
          <w:iCs/>
          <w:sz w:val="24"/>
          <w:szCs w:val="24"/>
        </w:rPr>
        <w:t>Journal of Marine Research</w:t>
      </w:r>
      <w:r w:rsidRPr="0014413A">
        <w:rPr>
          <w:rFonts w:asciiTheme="majorBidi" w:hAnsiTheme="majorBidi"/>
          <w:sz w:val="24"/>
          <w:szCs w:val="24"/>
        </w:rPr>
        <w:t xml:space="preserve"> 51 (3): 617–49. https://doi.org/10.1357/0022240933223963.</w:t>
      </w:r>
    </w:p>
    <w:p w14:paraId="405634F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Morris. 2011. “The ‘Helper’ Phenotype: A Symbiotic Interaction Between Prochlorococcus and Hydrogen Peroxide Scavenging Microorganisms.” University of Tennessee.</w:t>
      </w:r>
    </w:p>
    <w:p w14:paraId="463A646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2015. “Black Queen Evolution: The Role of Leakiness in Structuring Microbial Communities.” </w:t>
      </w:r>
      <w:r w:rsidRPr="0014413A">
        <w:rPr>
          <w:rFonts w:asciiTheme="majorBidi" w:hAnsiTheme="majorBidi"/>
          <w:i/>
          <w:iCs/>
          <w:sz w:val="24"/>
          <w:szCs w:val="24"/>
        </w:rPr>
        <w:t>Trends in Genetics</w:t>
      </w:r>
      <w:r w:rsidRPr="0014413A">
        <w:rPr>
          <w:rFonts w:asciiTheme="majorBidi" w:hAnsiTheme="majorBidi"/>
          <w:sz w:val="24"/>
          <w:szCs w:val="24"/>
        </w:rPr>
        <w:t xml:space="preserve"> 31 (8): 475–82. https://doi.org/10.1016/j.tig.2015.05.004.</w:t>
      </w:r>
    </w:p>
    <w:p w14:paraId="492BD07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Zackary I. Johnson, Martin J. Szul, Martin Keller, and Erik R. Zinser. 2011. “Dependence of the Cyanobacterium Prochlorococcus on Hydrogen Peroxide Scavenging Microbes for Growth at the Ocean’s Surface.” Edited by Francisco Rodriguez-Valera. </w:t>
      </w:r>
      <w:proofErr w:type="spellStart"/>
      <w:r w:rsidRPr="0014413A">
        <w:rPr>
          <w:rFonts w:asciiTheme="majorBidi" w:hAnsiTheme="majorBidi"/>
          <w:i/>
          <w:iCs/>
          <w:sz w:val="24"/>
          <w:szCs w:val="24"/>
        </w:rPr>
        <w:t>PLoS</w:t>
      </w:r>
      <w:proofErr w:type="spellEnd"/>
      <w:r w:rsidRPr="0014413A">
        <w:rPr>
          <w:rFonts w:asciiTheme="majorBidi" w:hAnsiTheme="majorBidi"/>
          <w:i/>
          <w:iCs/>
          <w:sz w:val="24"/>
          <w:szCs w:val="24"/>
        </w:rPr>
        <w:t xml:space="preserve"> ONE</w:t>
      </w:r>
      <w:r w:rsidRPr="0014413A">
        <w:rPr>
          <w:rFonts w:asciiTheme="majorBidi" w:hAnsiTheme="majorBidi"/>
          <w:sz w:val="24"/>
          <w:szCs w:val="24"/>
        </w:rPr>
        <w:t xml:space="preserve"> 6 (2): e16805. https://doi.org/10.1371/journal.pone.0016805.</w:t>
      </w:r>
    </w:p>
    <w:p w14:paraId="30E92C6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Zackary I. Johnson, Steven W. Wilhelm, and Erik R. Zinser. 2016. “Diel Regulation of Hydrogen Peroxide Defenses by Open Ocean Microbial Communities.” </w:t>
      </w:r>
      <w:r w:rsidRPr="0014413A">
        <w:rPr>
          <w:rFonts w:asciiTheme="majorBidi" w:hAnsiTheme="majorBidi"/>
          <w:i/>
          <w:iCs/>
          <w:sz w:val="24"/>
          <w:szCs w:val="24"/>
        </w:rPr>
        <w:t>Journal of Plankton Research</w:t>
      </w:r>
      <w:r w:rsidRPr="0014413A">
        <w:rPr>
          <w:rFonts w:asciiTheme="majorBidi" w:hAnsiTheme="majorBidi"/>
          <w:sz w:val="24"/>
          <w:szCs w:val="24"/>
        </w:rPr>
        <w:t xml:space="preserve"> 38 (4): 1103–14. https://doi.org/10.1093/plankt/fbw016.</w:t>
      </w:r>
    </w:p>
    <w:p w14:paraId="7C59A76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R. Kirkegaard, M. J. Szul, Z. I. Johnson, and E. R. Zinser. 2008. “Facilitation of Robust Growth of Prochlorococcus Colonies and Dilute Liquid Cultures by ‘Helper’ Heterotrophic Bacteria.” </w:t>
      </w:r>
      <w:r w:rsidRPr="0014413A">
        <w:rPr>
          <w:rFonts w:asciiTheme="majorBidi" w:hAnsiTheme="majorBidi"/>
          <w:i/>
          <w:iCs/>
          <w:sz w:val="24"/>
          <w:szCs w:val="24"/>
        </w:rPr>
        <w:t>Applied and Environmental Microbiology</w:t>
      </w:r>
      <w:r w:rsidRPr="0014413A">
        <w:rPr>
          <w:rFonts w:asciiTheme="majorBidi" w:hAnsiTheme="majorBidi"/>
          <w:sz w:val="24"/>
          <w:szCs w:val="24"/>
        </w:rPr>
        <w:t xml:space="preserve"> 74 (14): 4530–34. https://doi.org/10.1128/AEM.02479-07.</w:t>
      </w:r>
    </w:p>
    <w:p w14:paraId="16785D3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Richard E. Lenski, and Erik R. Zinser. 2012. “The Black Queen Hypothesis: Evolution of Dependencies through Adaptive Gene Loss.” </w:t>
      </w:r>
      <w:r w:rsidRPr="0014413A">
        <w:rPr>
          <w:rFonts w:asciiTheme="majorBidi" w:hAnsiTheme="majorBidi"/>
          <w:i/>
          <w:iCs/>
          <w:sz w:val="24"/>
          <w:szCs w:val="24"/>
        </w:rPr>
        <w:t>mBio</w:t>
      </w:r>
      <w:r w:rsidRPr="0014413A">
        <w:rPr>
          <w:rFonts w:asciiTheme="majorBidi" w:hAnsiTheme="majorBidi"/>
          <w:sz w:val="24"/>
          <w:szCs w:val="24"/>
        </w:rPr>
        <w:t xml:space="preserve"> 3 (2): e00036-12. https://doi.org/10.1128/mBio.00036-12.</w:t>
      </w:r>
    </w:p>
    <w:p w14:paraId="229D847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Spiridon E. Papoulis, and Richard E. Lenski. 2014. “COEXISTENCE OF EVOLVING BACTERIA STABILIZED BY A SHARED BLACK QUEEN FUNCTION: EXPERIMENTAL EVOLUTION OF A BLACK QUEEN COMMUNITY.” </w:t>
      </w:r>
      <w:r w:rsidRPr="0014413A">
        <w:rPr>
          <w:rFonts w:asciiTheme="majorBidi" w:hAnsiTheme="majorBidi"/>
          <w:i/>
          <w:iCs/>
          <w:sz w:val="24"/>
          <w:szCs w:val="24"/>
        </w:rPr>
        <w:t>Evolution</w:t>
      </w:r>
      <w:r w:rsidRPr="0014413A">
        <w:rPr>
          <w:rFonts w:asciiTheme="majorBidi" w:hAnsiTheme="majorBidi"/>
          <w:sz w:val="24"/>
          <w:szCs w:val="24"/>
        </w:rPr>
        <w:t xml:space="preserve"> 68 (10): 2960–71. https://doi.org/10.1111/evo.12485.</w:t>
      </w:r>
    </w:p>
    <w:p w14:paraId="0FEF8F8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Morris, Andrew L. Rose, and </w:t>
      </w:r>
      <w:proofErr w:type="spellStart"/>
      <w:r w:rsidRPr="0014413A">
        <w:rPr>
          <w:rFonts w:asciiTheme="majorBidi" w:hAnsiTheme="majorBidi"/>
          <w:sz w:val="24"/>
          <w:szCs w:val="24"/>
        </w:rPr>
        <w:t>Zhiying</w:t>
      </w:r>
      <w:proofErr w:type="spellEnd"/>
      <w:r w:rsidRPr="0014413A">
        <w:rPr>
          <w:rFonts w:asciiTheme="majorBidi" w:hAnsiTheme="majorBidi"/>
          <w:sz w:val="24"/>
          <w:szCs w:val="24"/>
        </w:rPr>
        <w:t xml:space="preserve"> Lu. 2022. “Reactive Oxygen Species in the World Ocean and Their Impacts on Marine Ecosystems.” </w:t>
      </w:r>
      <w:r w:rsidRPr="0014413A">
        <w:rPr>
          <w:rFonts w:asciiTheme="majorBidi" w:hAnsiTheme="majorBidi"/>
          <w:i/>
          <w:iCs/>
          <w:sz w:val="24"/>
          <w:szCs w:val="24"/>
        </w:rPr>
        <w:t>Redox Biology</w:t>
      </w:r>
      <w:r w:rsidRPr="0014413A">
        <w:rPr>
          <w:rFonts w:asciiTheme="majorBidi" w:hAnsiTheme="majorBidi"/>
          <w:sz w:val="24"/>
          <w:szCs w:val="24"/>
        </w:rPr>
        <w:t xml:space="preserve"> 52 (June):102285. https://doi.org/10.1016/j.redox.2022.102285.</w:t>
      </w:r>
    </w:p>
    <w:p w14:paraId="74617CF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Moya, Rosario Gil, Amparo Latorre, Juli </w:t>
      </w:r>
      <w:proofErr w:type="spellStart"/>
      <w:r w:rsidRPr="0014413A">
        <w:rPr>
          <w:rFonts w:asciiTheme="majorBidi" w:hAnsiTheme="majorBidi"/>
          <w:sz w:val="24"/>
          <w:szCs w:val="24"/>
        </w:rPr>
        <w:t>Peretó</w:t>
      </w:r>
      <w:proofErr w:type="spellEnd"/>
      <w:r w:rsidRPr="0014413A">
        <w:rPr>
          <w:rFonts w:asciiTheme="majorBidi" w:hAnsiTheme="majorBidi"/>
          <w:sz w:val="24"/>
          <w:szCs w:val="24"/>
        </w:rPr>
        <w:t xml:space="preserve">, Maria Pilar </w:t>
      </w:r>
      <w:proofErr w:type="spellStart"/>
      <w:r w:rsidRPr="0014413A">
        <w:rPr>
          <w:rFonts w:asciiTheme="majorBidi" w:hAnsiTheme="majorBidi"/>
          <w:sz w:val="24"/>
          <w:szCs w:val="24"/>
        </w:rPr>
        <w:t>Garcillán</w:t>
      </w:r>
      <w:proofErr w:type="spellEnd"/>
      <w:r w:rsidRPr="0014413A">
        <w:rPr>
          <w:rFonts w:asciiTheme="majorBidi" w:hAnsiTheme="majorBidi"/>
          <w:sz w:val="24"/>
          <w:szCs w:val="24"/>
        </w:rPr>
        <w:t xml:space="preserve">-Barcia, and Fernando De La Cruz. 2009. “Toward Minimal Bacterial Cells: Evolution vs. Design.” </w:t>
      </w:r>
      <w:r w:rsidRPr="0014413A">
        <w:rPr>
          <w:rFonts w:asciiTheme="majorBidi" w:hAnsiTheme="majorBidi"/>
          <w:i/>
          <w:iCs/>
          <w:sz w:val="24"/>
          <w:szCs w:val="24"/>
        </w:rPr>
        <w:t xml:space="preserve">FEMS Microbiology </w:t>
      </w:r>
      <w:r w:rsidRPr="0014413A">
        <w:rPr>
          <w:rFonts w:asciiTheme="majorBidi" w:hAnsiTheme="majorBidi"/>
          <w:i/>
          <w:iCs/>
          <w:sz w:val="24"/>
          <w:szCs w:val="24"/>
        </w:rPr>
        <w:lastRenderedPageBreak/>
        <w:t>Reviews</w:t>
      </w:r>
      <w:r w:rsidRPr="0014413A">
        <w:rPr>
          <w:rFonts w:asciiTheme="majorBidi" w:hAnsiTheme="majorBidi"/>
          <w:sz w:val="24"/>
          <w:szCs w:val="24"/>
        </w:rPr>
        <w:t xml:space="preserve"> 33 (1): 225–35. https://doi.org/10.1111/j.1574-6976.2008.00151.x.</w:t>
      </w:r>
    </w:p>
    <w:p w14:paraId="5B03EA8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Mullin, P. R. Sloan, and R. W. Eppley. 1966. “RELATIONSHIP BETWEEN CARBON CONTENT, CELL VOLUME, AND AREA IN PHYTOPLANKTON.” </w:t>
      </w:r>
      <w:r w:rsidRPr="0014413A">
        <w:rPr>
          <w:rFonts w:asciiTheme="majorBidi" w:hAnsiTheme="majorBidi"/>
          <w:i/>
          <w:iCs/>
          <w:sz w:val="24"/>
          <w:szCs w:val="24"/>
        </w:rPr>
        <w:t>Limnology and Oceanography</w:t>
      </w:r>
      <w:r w:rsidRPr="0014413A">
        <w:rPr>
          <w:rFonts w:asciiTheme="majorBidi" w:hAnsiTheme="majorBidi"/>
          <w:sz w:val="24"/>
          <w:szCs w:val="24"/>
        </w:rPr>
        <w:t xml:space="preserve"> 11 (2): 307–11. https://doi.org/10.4319/lo.1966.11.2.0307.</w:t>
      </w:r>
    </w:p>
    <w:p w14:paraId="4049B608"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Mulo</w:t>
      </w:r>
      <w:proofErr w:type="spellEnd"/>
      <w:r w:rsidRPr="0014413A">
        <w:rPr>
          <w:rFonts w:asciiTheme="majorBidi" w:hAnsiTheme="majorBidi"/>
          <w:sz w:val="24"/>
          <w:szCs w:val="24"/>
        </w:rPr>
        <w:t xml:space="preserve">, Isamu Sakurai, and Eva-Mari Aro. 2012. “Strategies for </w:t>
      </w:r>
      <w:proofErr w:type="spellStart"/>
      <w:r w:rsidRPr="0014413A">
        <w:rPr>
          <w:rFonts w:asciiTheme="majorBidi" w:hAnsiTheme="majorBidi"/>
          <w:sz w:val="24"/>
          <w:szCs w:val="24"/>
        </w:rPr>
        <w:t>psbA</w:t>
      </w:r>
      <w:proofErr w:type="spellEnd"/>
      <w:r w:rsidRPr="0014413A">
        <w:rPr>
          <w:rFonts w:asciiTheme="majorBidi" w:hAnsiTheme="majorBidi"/>
          <w:sz w:val="24"/>
          <w:szCs w:val="24"/>
        </w:rPr>
        <w:t xml:space="preserve"> Gene Expression in Cyanobacteria, Green Algae and Higher Plants: From Transcription to PSII Repair.” </w:t>
      </w:r>
      <w:proofErr w:type="spellStart"/>
      <w:r w:rsidRPr="0014413A">
        <w:rPr>
          <w:rFonts w:asciiTheme="majorBidi" w:hAnsiTheme="majorBidi"/>
          <w:i/>
          <w:iCs/>
          <w:sz w:val="24"/>
          <w:szCs w:val="24"/>
        </w:rPr>
        <w:t>Biochimica</w:t>
      </w:r>
      <w:proofErr w:type="spellEnd"/>
      <w:r w:rsidRPr="0014413A">
        <w:rPr>
          <w:rFonts w:asciiTheme="majorBidi" w:hAnsiTheme="majorBidi"/>
          <w:i/>
          <w:iCs/>
          <w:sz w:val="24"/>
          <w:szCs w:val="24"/>
        </w:rPr>
        <w:t xml:space="preserve"> et </w:t>
      </w:r>
      <w:proofErr w:type="spellStart"/>
      <w:r w:rsidRPr="0014413A">
        <w:rPr>
          <w:rFonts w:asciiTheme="majorBidi" w:hAnsiTheme="majorBidi"/>
          <w:i/>
          <w:iCs/>
          <w:sz w:val="24"/>
          <w:szCs w:val="24"/>
        </w:rPr>
        <w:t>Biophysica</w:t>
      </w:r>
      <w:proofErr w:type="spellEnd"/>
      <w:r w:rsidRPr="0014413A">
        <w:rPr>
          <w:rFonts w:asciiTheme="majorBidi" w:hAnsiTheme="majorBidi"/>
          <w:i/>
          <w:iCs/>
          <w:sz w:val="24"/>
          <w:szCs w:val="24"/>
        </w:rPr>
        <w:t xml:space="preserve"> Acta (BBA) - Bioenergetics</w:t>
      </w:r>
      <w:r w:rsidRPr="0014413A">
        <w:rPr>
          <w:rFonts w:asciiTheme="majorBidi" w:hAnsiTheme="majorBidi"/>
          <w:sz w:val="24"/>
          <w:szCs w:val="24"/>
        </w:rPr>
        <w:t xml:space="preserve"> 1817 (1): 247–57. https://doi.org/10.1016/j.bbabio.2011.04.011.</w:t>
      </w:r>
    </w:p>
    <w:p w14:paraId="66D91B15"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Nayfach</w:t>
      </w:r>
      <w:proofErr w:type="spellEnd"/>
      <w:r w:rsidRPr="0014413A">
        <w:rPr>
          <w:rFonts w:asciiTheme="majorBidi" w:hAnsiTheme="majorBidi"/>
          <w:sz w:val="24"/>
          <w:szCs w:val="24"/>
        </w:rPr>
        <w:t xml:space="preserve">, Beltran Rodriguez-Mueller, Nandita Garud, and Katherine S. Pollard. 2016. “An Integrated Metagenomics Pipeline for Strain Profiling Reveals Novel Patterns of Bacterial Transmission and Biogeography.” </w:t>
      </w:r>
      <w:r w:rsidRPr="0014413A">
        <w:rPr>
          <w:rFonts w:asciiTheme="majorBidi" w:hAnsiTheme="majorBidi"/>
          <w:i/>
          <w:iCs/>
          <w:sz w:val="24"/>
          <w:szCs w:val="24"/>
        </w:rPr>
        <w:t>Genome Research</w:t>
      </w:r>
      <w:r w:rsidRPr="0014413A">
        <w:rPr>
          <w:rFonts w:asciiTheme="majorBidi" w:hAnsiTheme="majorBidi"/>
          <w:sz w:val="24"/>
          <w:szCs w:val="24"/>
        </w:rPr>
        <w:t xml:space="preserve"> 26 (11): 1612–25. https://doi.org/10.1101/gr.201863.115.</w:t>
      </w:r>
    </w:p>
    <w:p w14:paraId="31F0EE1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Nicholls. 2012. “Classical Catalase: Ancient and Modern.” </w:t>
      </w:r>
      <w:r w:rsidRPr="0014413A">
        <w:rPr>
          <w:rFonts w:asciiTheme="majorBidi" w:hAnsiTheme="majorBidi"/>
          <w:i/>
          <w:iCs/>
          <w:sz w:val="24"/>
          <w:szCs w:val="24"/>
        </w:rPr>
        <w:t>Archives of Biochemistry and Biophysics</w:t>
      </w:r>
      <w:r w:rsidRPr="0014413A">
        <w:rPr>
          <w:rFonts w:asciiTheme="majorBidi" w:hAnsiTheme="majorBidi"/>
          <w:sz w:val="24"/>
          <w:szCs w:val="24"/>
        </w:rPr>
        <w:t xml:space="preserve"> 525 (2): 95–101. https://doi.org/10.1016/j.abb.2012.01.015.</w:t>
      </w:r>
    </w:p>
    <w:p w14:paraId="02EAACB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Nishiyama, Suleyman I. </w:t>
      </w:r>
      <w:proofErr w:type="spellStart"/>
      <w:r w:rsidRPr="0014413A">
        <w:rPr>
          <w:rFonts w:asciiTheme="majorBidi" w:hAnsiTheme="majorBidi"/>
          <w:sz w:val="24"/>
          <w:szCs w:val="24"/>
        </w:rPr>
        <w:t>Allakhverdiev</w:t>
      </w:r>
      <w:proofErr w:type="spellEnd"/>
      <w:r w:rsidRPr="0014413A">
        <w:rPr>
          <w:rFonts w:asciiTheme="majorBidi" w:hAnsiTheme="majorBidi"/>
          <w:sz w:val="24"/>
          <w:szCs w:val="24"/>
        </w:rPr>
        <w:t xml:space="preserve">, and Norio Murata. 2006. “A New Paradigm for the Action of Reactive Oxygen Species in the Photoinhibition of Photosystem II.” </w:t>
      </w:r>
      <w:proofErr w:type="spellStart"/>
      <w:r w:rsidRPr="0014413A">
        <w:rPr>
          <w:rFonts w:asciiTheme="majorBidi" w:hAnsiTheme="majorBidi"/>
          <w:i/>
          <w:iCs/>
          <w:sz w:val="24"/>
          <w:szCs w:val="24"/>
        </w:rPr>
        <w:t>Biochimica</w:t>
      </w:r>
      <w:proofErr w:type="spellEnd"/>
      <w:r w:rsidRPr="0014413A">
        <w:rPr>
          <w:rFonts w:asciiTheme="majorBidi" w:hAnsiTheme="majorBidi"/>
          <w:i/>
          <w:iCs/>
          <w:sz w:val="24"/>
          <w:szCs w:val="24"/>
        </w:rPr>
        <w:t xml:space="preserve"> et </w:t>
      </w:r>
      <w:proofErr w:type="spellStart"/>
      <w:r w:rsidRPr="0014413A">
        <w:rPr>
          <w:rFonts w:asciiTheme="majorBidi" w:hAnsiTheme="majorBidi"/>
          <w:i/>
          <w:iCs/>
          <w:sz w:val="24"/>
          <w:szCs w:val="24"/>
        </w:rPr>
        <w:t>Biophysica</w:t>
      </w:r>
      <w:proofErr w:type="spellEnd"/>
      <w:r w:rsidRPr="0014413A">
        <w:rPr>
          <w:rFonts w:asciiTheme="majorBidi" w:hAnsiTheme="majorBidi"/>
          <w:i/>
          <w:iCs/>
          <w:sz w:val="24"/>
          <w:szCs w:val="24"/>
        </w:rPr>
        <w:t xml:space="preserve"> Acta (BBA) - Bioenergetics</w:t>
      </w:r>
      <w:r w:rsidRPr="0014413A">
        <w:rPr>
          <w:rFonts w:asciiTheme="majorBidi" w:hAnsiTheme="majorBidi"/>
          <w:sz w:val="24"/>
          <w:szCs w:val="24"/>
        </w:rPr>
        <w:t xml:space="preserve"> 1757 (7): 742–49. https://doi.org/10.1016/j.bbabio.2006.05.013.</w:t>
      </w:r>
    </w:p>
    <w:p w14:paraId="7FEFCEF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Ofaim</w:t>
      </w:r>
      <w:proofErr w:type="spellEnd"/>
      <w:r w:rsidRPr="0014413A">
        <w:rPr>
          <w:rFonts w:asciiTheme="majorBidi" w:hAnsiTheme="majorBidi"/>
          <w:sz w:val="24"/>
          <w:szCs w:val="24"/>
        </w:rPr>
        <w:t xml:space="preserve">, Snorre </w:t>
      </w:r>
      <w:proofErr w:type="spellStart"/>
      <w:r w:rsidRPr="0014413A">
        <w:rPr>
          <w:rFonts w:asciiTheme="majorBidi" w:hAnsiTheme="majorBidi"/>
          <w:sz w:val="24"/>
          <w:szCs w:val="24"/>
        </w:rPr>
        <w:t>Sulheim</w:t>
      </w:r>
      <w:proofErr w:type="spellEnd"/>
      <w:r w:rsidRPr="0014413A">
        <w:rPr>
          <w:rFonts w:asciiTheme="majorBidi" w:hAnsiTheme="majorBidi"/>
          <w:sz w:val="24"/>
          <w:szCs w:val="24"/>
        </w:rPr>
        <w:t xml:space="preserve">, Eivind Almaas, Daniel Sher, and Daniel </w:t>
      </w:r>
      <w:proofErr w:type="spellStart"/>
      <w:r w:rsidRPr="0014413A">
        <w:rPr>
          <w:rFonts w:asciiTheme="majorBidi" w:hAnsiTheme="majorBidi"/>
          <w:sz w:val="24"/>
          <w:szCs w:val="24"/>
        </w:rPr>
        <w:t>Segrè</w:t>
      </w:r>
      <w:proofErr w:type="spellEnd"/>
      <w:r w:rsidRPr="0014413A">
        <w:rPr>
          <w:rFonts w:asciiTheme="majorBidi" w:hAnsiTheme="majorBidi"/>
          <w:sz w:val="24"/>
          <w:szCs w:val="24"/>
        </w:rPr>
        <w:t xml:space="preserve">. 2021. “Dynamic Allocation of Carbon Storage and Nutrient-Dependent Exudation in a Revised Genome-Scale Model of Prochlorococcus.” </w:t>
      </w:r>
      <w:r w:rsidRPr="0014413A">
        <w:rPr>
          <w:rFonts w:asciiTheme="majorBidi" w:hAnsiTheme="majorBidi"/>
          <w:i/>
          <w:iCs/>
          <w:sz w:val="24"/>
          <w:szCs w:val="24"/>
        </w:rPr>
        <w:t>Frontiers in Genetics</w:t>
      </w:r>
      <w:r w:rsidRPr="0014413A">
        <w:rPr>
          <w:rFonts w:asciiTheme="majorBidi" w:hAnsiTheme="majorBidi"/>
          <w:sz w:val="24"/>
          <w:szCs w:val="24"/>
        </w:rPr>
        <w:t xml:space="preserve"> 12 (February):586293. https://doi.org/10.3389/fgene.2021.586293.</w:t>
      </w:r>
    </w:p>
    <w:p w14:paraId="2DE3398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Ohno, and J I Gallin. 1985. “Diffusion of Extracellular Hydrogen Peroxide into Intracellular Compartments of Human Neutrophils. Studies Utilizing the Inactivation of Myeloperoxidase by Hydrogen Peroxide and </w:t>
      </w:r>
      <w:proofErr w:type="spellStart"/>
      <w:r w:rsidRPr="0014413A">
        <w:rPr>
          <w:rFonts w:asciiTheme="majorBidi" w:hAnsiTheme="majorBidi"/>
          <w:sz w:val="24"/>
          <w:szCs w:val="24"/>
        </w:rPr>
        <w:t>Azide</w:t>
      </w:r>
      <w:proofErr w:type="spellEnd"/>
      <w:r w:rsidRPr="0014413A">
        <w:rPr>
          <w:rFonts w:asciiTheme="majorBidi" w:hAnsiTheme="majorBidi"/>
          <w:sz w:val="24"/>
          <w:szCs w:val="24"/>
        </w:rPr>
        <w:t xml:space="preserve">.” </w:t>
      </w:r>
      <w:r w:rsidRPr="0014413A">
        <w:rPr>
          <w:rFonts w:asciiTheme="majorBidi" w:hAnsiTheme="majorBidi"/>
          <w:i/>
          <w:iCs/>
          <w:sz w:val="24"/>
          <w:szCs w:val="24"/>
        </w:rPr>
        <w:t>Journal of Biological Chemistry</w:t>
      </w:r>
      <w:r w:rsidRPr="0014413A">
        <w:rPr>
          <w:rFonts w:asciiTheme="majorBidi" w:hAnsiTheme="majorBidi"/>
          <w:sz w:val="24"/>
          <w:szCs w:val="24"/>
        </w:rPr>
        <w:t xml:space="preserve"> 260 (14): 8438–46. https://doi.org/10.1016/S0021-9258(17)39493-0.</w:t>
      </w:r>
    </w:p>
    <w:p w14:paraId="0122437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Omar, Ondrej </w:t>
      </w:r>
      <w:proofErr w:type="spellStart"/>
      <w:r w:rsidRPr="0014413A">
        <w:rPr>
          <w:rFonts w:asciiTheme="majorBidi" w:hAnsiTheme="majorBidi"/>
          <w:sz w:val="24"/>
          <w:szCs w:val="24"/>
        </w:rPr>
        <w:t>Prášil</w:t>
      </w:r>
      <w:proofErr w:type="spellEnd"/>
      <w:r w:rsidRPr="0014413A">
        <w:rPr>
          <w:rFonts w:asciiTheme="majorBidi" w:hAnsiTheme="majorBidi"/>
          <w:sz w:val="24"/>
          <w:szCs w:val="24"/>
        </w:rPr>
        <w:t xml:space="preserve">, Scott McCain, and Douglas Campbell. 2022. “Diffusional Interactions among Marine Phytoplankton and Bacterioplankton: Modelling H2O2 as a Case Study.” </w:t>
      </w:r>
      <w:r w:rsidRPr="0014413A">
        <w:rPr>
          <w:rFonts w:asciiTheme="majorBidi" w:hAnsiTheme="majorBidi"/>
          <w:i/>
          <w:iCs/>
          <w:sz w:val="24"/>
          <w:szCs w:val="24"/>
        </w:rPr>
        <w:t>Microorganisms 2022</w:t>
      </w:r>
      <w:r w:rsidRPr="0014413A">
        <w:rPr>
          <w:rFonts w:asciiTheme="majorBidi" w:hAnsiTheme="majorBidi"/>
          <w:sz w:val="24"/>
          <w:szCs w:val="24"/>
        </w:rPr>
        <w:t xml:space="preserve"> 10 (821). https://doi.org/10.3390/ microorganisms10040821.</w:t>
      </w:r>
    </w:p>
    <w:p w14:paraId="1A82DCC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Omran. 1980. “Peroxide Levels and the Activities of Catalase, Peroxidase, and Indoleacetic Acid Oxidase during and after Chilling Cucumber Seedlings.” </w:t>
      </w:r>
      <w:r w:rsidRPr="0014413A">
        <w:rPr>
          <w:rFonts w:asciiTheme="majorBidi" w:hAnsiTheme="majorBidi"/>
          <w:i/>
          <w:iCs/>
          <w:sz w:val="24"/>
          <w:szCs w:val="24"/>
        </w:rPr>
        <w:t>Plant Physiology</w:t>
      </w:r>
      <w:r w:rsidRPr="0014413A">
        <w:rPr>
          <w:rFonts w:asciiTheme="majorBidi" w:hAnsiTheme="majorBidi"/>
          <w:sz w:val="24"/>
          <w:szCs w:val="24"/>
        </w:rPr>
        <w:t xml:space="preserve"> 65 (2): 407–8. https://doi.org/10.1104/pp.65.2.407.</w:t>
      </w:r>
    </w:p>
    <w:p w14:paraId="295CD97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O’Sullivan, B. G. Heikes, M. Lee, W. Chang, G. L. Gregory, D. R. Blake, and G. W. Sachse. </w:t>
      </w:r>
      <w:r w:rsidRPr="0014413A">
        <w:rPr>
          <w:rFonts w:asciiTheme="majorBidi" w:hAnsiTheme="majorBidi"/>
          <w:sz w:val="24"/>
          <w:szCs w:val="24"/>
        </w:rPr>
        <w:lastRenderedPageBreak/>
        <w:t xml:space="preserve">1999. “Distribution of Hydrogen Peroxide and </w:t>
      </w:r>
      <w:proofErr w:type="spellStart"/>
      <w:r w:rsidRPr="0014413A">
        <w:rPr>
          <w:rFonts w:asciiTheme="majorBidi" w:hAnsiTheme="majorBidi"/>
          <w:sz w:val="24"/>
          <w:szCs w:val="24"/>
        </w:rPr>
        <w:t>Methylhydroperoxide</w:t>
      </w:r>
      <w:proofErr w:type="spellEnd"/>
      <w:r w:rsidRPr="0014413A">
        <w:rPr>
          <w:rFonts w:asciiTheme="majorBidi" w:hAnsiTheme="majorBidi"/>
          <w:sz w:val="24"/>
          <w:szCs w:val="24"/>
        </w:rPr>
        <w:t xml:space="preserve"> over the Pacific and South Atlantic Oceans.” </w:t>
      </w:r>
      <w:r w:rsidRPr="0014413A">
        <w:rPr>
          <w:rFonts w:asciiTheme="majorBidi" w:hAnsiTheme="majorBidi"/>
          <w:i/>
          <w:iCs/>
          <w:sz w:val="24"/>
          <w:szCs w:val="24"/>
        </w:rPr>
        <w:t>Journal of Geophysical Research: Atmospheres</w:t>
      </w:r>
      <w:r w:rsidRPr="0014413A">
        <w:rPr>
          <w:rFonts w:asciiTheme="majorBidi" w:hAnsiTheme="majorBidi"/>
          <w:sz w:val="24"/>
          <w:szCs w:val="24"/>
        </w:rPr>
        <w:t xml:space="preserve"> 104 (D5): 5635–46. https://doi.org/10.1029/98JD01250.</w:t>
      </w:r>
    </w:p>
    <w:p w14:paraId="6A0FBCC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Ottesen, Curtis R. Young, Scott M. Gifford, John M. Eppley, Roman Marin, Stephan C. Schuster, Christopher A. Scholin, and Edward F. DeLong. 2014. “Multispecies Diel Transcriptional Oscillations in Open Ocean Heterotrophic Bacterial Assemblages.” </w:t>
      </w:r>
      <w:r w:rsidRPr="0014413A">
        <w:rPr>
          <w:rFonts w:asciiTheme="majorBidi" w:hAnsiTheme="majorBidi"/>
          <w:i/>
          <w:iCs/>
          <w:sz w:val="24"/>
          <w:szCs w:val="24"/>
        </w:rPr>
        <w:t>Science</w:t>
      </w:r>
      <w:r w:rsidRPr="0014413A">
        <w:rPr>
          <w:rFonts w:asciiTheme="majorBidi" w:hAnsiTheme="majorBidi"/>
          <w:sz w:val="24"/>
          <w:szCs w:val="24"/>
        </w:rPr>
        <w:t xml:space="preserve"> 345 (6193): 207–12. https://doi.org/10.1126/science.1252476.</w:t>
      </w:r>
    </w:p>
    <w:p w14:paraId="78C9065F"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Jean </w:t>
      </w:r>
      <w:proofErr w:type="spellStart"/>
      <w:r w:rsidRPr="0014413A">
        <w:rPr>
          <w:rFonts w:asciiTheme="majorBidi" w:hAnsiTheme="majorBidi"/>
          <w:sz w:val="24"/>
          <w:szCs w:val="24"/>
        </w:rPr>
        <w:t>Blanchot</w:t>
      </w:r>
      <w:proofErr w:type="spellEnd"/>
      <w:r w:rsidRPr="0014413A">
        <w:rPr>
          <w:rFonts w:asciiTheme="majorBidi" w:hAnsiTheme="majorBidi"/>
          <w:sz w:val="24"/>
          <w:szCs w:val="24"/>
        </w:rPr>
        <w:t xml:space="preserve">, François </w:t>
      </w:r>
      <w:proofErr w:type="spellStart"/>
      <w:r w:rsidRPr="0014413A">
        <w:rPr>
          <w:rFonts w:asciiTheme="majorBidi" w:hAnsiTheme="majorBidi"/>
          <w:sz w:val="24"/>
          <w:szCs w:val="24"/>
        </w:rPr>
        <w:t>Lantoine</w:t>
      </w:r>
      <w:proofErr w:type="spellEnd"/>
      <w:r w:rsidRPr="0014413A">
        <w:rPr>
          <w:rFonts w:asciiTheme="majorBidi" w:hAnsiTheme="majorBidi"/>
          <w:sz w:val="24"/>
          <w:szCs w:val="24"/>
        </w:rPr>
        <w:t xml:space="preserve">, Jacques Neveux, and Dominique Marie. 1996. “Vertical Structure of Picophytoplankton at Different Trophic Sites of the Tropical Northeastern Atlantic Ocean.” </w:t>
      </w:r>
      <w:r w:rsidRPr="0014413A">
        <w:rPr>
          <w:rFonts w:asciiTheme="majorBidi" w:hAnsiTheme="majorBidi"/>
          <w:i/>
          <w:iCs/>
          <w:sz w:val="24"/>
          <w:szCs w:val="24"/>
        </w:rPr>
        <w:t>Deep Sea Research Part I: Oceanographic Research Papers</w:t>
      </w:r>
      <w:r w:rsidRPr="0014413A">
        <w:rPr>
          <w:rFonts w:asciiTheme="majorBidi" w:hAnsiTheme="majorBidi"/>
          <w:sz w:val="24"/>
          <w:szCs w:val="24"/>
        </w:rPr>
        <w:t xml:space="preserve"> 43 (8): 1191–1213. https://doi.org/10.1016/0967-0637(96)00056-8.</w:t>
      </w:r>
    </w:p>
    <w:p w14:paraId="53067354"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Jean </w:t>
      </w:r>
      <w:proofErr w:type="spellStart"/>
      <w:r w:rsidRPr="0014413A">
        <w:rPr>
          <w:rFonts w:asciiTheme="majorBidi" w:hAnsiTheme="majorBidi"/>
          <w:sz w:val="24"/>
          <w:szCs w:val="24"/>
        </w:rPr>
        <w:t>Blanchot</w:t>
      </w:r>
      <w:proofErr w:type="spellEnd"/>
      <w:r w:rsidRPr="0014413A">
        <w:rPr>
          <w:rFonts w:asciiTheme="majorBidi" w:hAnsiTheme="majorBidi"/>
          <w:sz w:val="24"/>
          <w:szCs w:val="24"/>
        </w:rPr>
        <w:t xml:space="preserve">, and D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xml:space="preserve">. 1999. “Differential Distribution and Ecology of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in Oceanic Waters: A Review.".” </w:t>
      </w:r>
      <w:r w:rsidRPr="0014413A">
        <w:rPr>
          <w:rFonts w:asciiTheme="majorBidi" w:hAnsiTheme="majorBidi"/>
          <w:i/>
          <w:iCs/>
          <w:sz w:val="24"/>
          <w:szCs w:val="24"/>
        </w:rPr>
        <w:t>Bulletin-</w:t>
      </w:r>
      <w:proofErr w:type="spellStart"/>
      <w:r w:rsidRPr="0014413A">
        <w:rPr>
          <w:rFonts w:asciiTheme="majorBidi" w:hAnsiTheme="majorBidi"/>
          <w:i/>
          <w:iCs/>
          <w:sz w:val="24"/>
          <w:szCs w:val="24"/>
        </w:rPr>
        <w:t>Institut</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Oceanographique</w:t>
      </w:r>
      <w:proofErr w:type="spellEnd"/>
      <w:r w:rsidRPr="0014413A">
        <w:rPr>
          <w:rFonts w:asciiTheme="majorBidi" w:hAnsiTheme="majorBidi"/>
          <w:i/>
          <w:iCs/>
          <w:sz w:val="24"/>
          <w:szCs w:val="24"/>
        </w:rPr>
        <w:t xml:space="preserve"> Monaco-</w:t>
      </w:r>
      <w:proofErr w:type="spellStart"/>
      <w:r w:rsidRPr="0014413A">
        <w:rPr>
          <w:rFonts w:asciiTheme="majorBidi" w:hAnsiTheme="majorBidi"/>
          <w:i/>
          <w:iCs/>
          <w:sz w:val="24"/>
          <w:szCs w:val="24"/>
        </w:rPr>
        <w:t>Numero</w:t>
      </w:r>
      <w:proofErr w:type="spellEnd"/>
      <w:r w:rsidRPr="0014413A">
        <w:rPr>
          <w:rFonts w:asciiTheme="majorBidi" w:hAnsiTheme="majorBidi"/>
          <w:i/>
          <w:iCs/>
          <w:sz w:val="24"/>
          <w:szCs w:val="24"/>
        </w:rPr>
        <w:t xml:space="preserve"> Special-</w:t>
      </w:r>
      <w:r w:rsidRPr="0014413A">
        <w:rPr>
          <w:rFonts w:asciiTheme="majorBidi" w:hAnsiTheme="majorBidi"/>
          <w:sz w:val="24"/>
          <w:szCs w:val="24"/>
        </w:rPr>
        <w:t>, 457–76.</w:t>
      </w:r>
    </w:p>
    <w:p w14:paraId="3983516E"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and Laurence </w:t>
      </w:r>
      <w:proofErr w:type="spellStart"/>
      <w:r w:rsidRPr="0014413A">
        <w:rPr>
          <w:rFonts w:asciiTheme="majorBidi" w:hAnsiTheme="majorBidi"/>
          <w:sz w:val="24"/>
          <w:szCs w:val="24"/>
        </w:rPr>
        <w:t>Garczarek</w:t>
      </w:r>
      <w:proofErr w:type="spellEnd"/>
      <w:r w:rsidRPr="0014413A">
        <w:rPr>
          <w:rFonts w:asciiTheme="majorBidi" w:hAnsiTheme="majorBidi"/>
          <w:sz w:val="24"/>
          <w:szCs w:val="24"/>
        </w:rPr>
        <w:t>. 2010. “</w:t>
      </w:r>
      <w:proofErr w:type="gramStart"/>
      <w:r w:rsidRPr="0014413A">
        <w:rPr>
          <w:rFonts w:asciiTheme="majorBidi" w:hAnsiTheme="majorBidi"/>
          <w:i/>
          <w:iCs/>
          <w:sz w:val="24"/>
          <w:szCs w:val="24"/>
        </w:rPr>
        <w:t>Prochlorococcus</w:t>
      </w:r>
      <w:r w:rsidRPr="0014413A">
        <w:rPr>
          <w:rFonts w:asciiTheme="majorBidi" w:hAnsiTheme="majorBidi"/>
          <w:sz w:val="24"/>
          <w:szCs w:val="24"/>
        </w:rPr>
        <w:t> :</w:t>
      </w:r>
      <w:proofErr w:type="gramEnd"/>
      <w:r w:rsidRPr="0014413A">
        <w:rPr>
          <w:rFonts w:asciiTheme="majorBidi" w:hAnsiTheme="majorBidi"/>
          <w:sz w:val="24"/>
          <w:szCs w:val="24"/>
        </w:rPr>
        <w:t xml:space="preserve"> Advantages and Limits of Minimalism.”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2 (1): 305–31. https://doi.org/10.1146/annurev-marine-120308-081034.</w:t>
      </w:r>
    </w:p>
    <w:p w14:paraId="7DD7C2B9"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W. R. Hess, and D. </w:t>
      </w:r>
      <w:proofErr w:type="spellStart"/>
      <w:r w:rsidRPr="0014413A">
        <w:rPr>
          <w:rFonts w:asciiTheme="majorBidi" w:hAnsiTheme="majorBidi"/>
          <w:sz w:val="24"/>
          <w:szCs w:val="24"/>
        </w:rPr>
        <w:t>Vaulot</w:t>
      </w:r>
      <w:proofErr w:type="spellEnd"/>
      <w:r w:rsidRPr="0014413A">
        <w:rPr>
          <w:rFonts w:asciiTheme="majorBidi" w:hAnsiTheme="majorBidi"/>
          <w:sz w:val="24"/>
          <w:szCs w:val="24"/>
        </w:rPr>
        <w:t>. 1999. “</w:t>
      </w:r>
      <w:proofErr w:type="gramStart"/>
      <w:r w:rsidRPr="0014413A">
        <w:rPr>
          <w:rFonts w:asciiTheme="majorBidi" w:hAnsiTheme="majorBidi"/>
          <w:i/>
          <w:iCs/>
          <w:sz w:val="24"/>
          <w:szCs w:val="24"/>
        </w:rPr>
        <w:t>Prochlorococcus</w:t>
      </w:r>
      <w:r w:rsidRPr="0014413A">
        <w:rPr>
          <w:rFonts w:asciiTheme="majorBidi" w:hAnsiTheme="majorBidi"/>
          <w:sz w:val="24"/>
          <w:szCs w:val="24"/>
        </w:rPr>
        <w:t xml:space="preserve"> ,</w:t>
      </w:r>
      <w:proofErr w:type="gramEnd"/>
      <w:r w:rsidRPr="0014413A">
        <w:rPr>
          <w:rFonts w:asciiTheme="majorBidi" w:hAnsiTheme="majorBidi"/>
          <w:sz w:val="24"/>
          <w:szCs w:val="24"/>
        </w:rPr>
        <w:t xml:space="preserve"> a Marine Photosynthetic Prokaryote of Global Significance.” </w:t>
      </w:r>
      <w:r w:rsidRPr="0014413A">
        <w:rPr>
          <w:rFonts w:asciiTheme="majorBidi" w:hAnsiTheme="majorBidi"/>
          <w:i/>
          <w:iCs/>
          <w:sz w:val="24"/>
          <w:szCs w:val="24"/>
        </w:rPr>
        <w:t>Microbiology and Molecular Biology Reviews</w:t>
      </w:r>
      <w:r w:rsidRPr="0014413A">
        <w:rPr>
          <w:rFonts w:asciiTheme="majorBidi" w:hAnsiTheme="majorBidi"/>
          <w:sz w:val="24"/>
          <w:szCs w:val="24"/>
        </w:rPr>
        <w:t xml:space="preserve"> 63 (1): 106–27. https://doi.org/10.1128/MMBR.63.1.106-127.1999.</w:t>
      </w:r>
    </w:p>
    <w:p w14:paraId="5956244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Passarge, Suzanne Hol, Marieke Escher, and Jef Huisman. 2006. “COMPETITION FOR NUTRIENTS AND LIGHT: STABLE COEXISTENCE, ALTERNATIVE STABLE STATES, OR COMPETITIVE EXCLUSION?” </w:t>
      </w:r>
      <w:r w:rsidRPr="0014413A">
        <w:rPr>
          <w:rFonts w:asciiTheme="majorBidi" w:hAnsiTheme="majorBidi"/>
          <w:i/>
          <w:iCs/>
          <w:sz w:val="24"/>
          <w:szCs w:val="24"/>
        </w:rPr>
        <w:t>Ecological Monographs</w:t>
      </w:r>
      <w:r w:rsidRPr="0014413A">
        <w:rPr>
          <w:rFonts w:asciiTheme="majorBidi" w:hAnsiTheme="majorBidi"/>
          <w:sz w:val="24"/>
          <w:szCs w:val="24"/>
        </w:rPr>
        <w:t xml:space="preserve"> 76 (1): 57–72. https://doi.org/10.1890/04-1824.</w:t>
      </w:r>
    </w:p>
    <w:p w14:paraId="58BA6F04"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Petasne</w:t>
      </w:r>
      <w:proofErr w:type="spellEnd"/>
      <w:r w:rsidRPr="0014413A">
        <w:rPr>
          <w:rFonts w:asciiTheme="majorBidi" w:hAnsiTheme="majorBidi"/>
          <w:sz w:val="24"/>
          <w:szCs w:val="24"/>
        </w:rPr>
        <w:t xml:space="preserve">, and Rod G. Zika. 1997. “Hydrogen Peroxide Lifetimes in South Florida Coastal and Offshore Waters.” </w:t>
      </w:r>
      <w:r w:rsidRPr="0014413A">
        <w:rPr>
          <w:rFonts w:asciiTheme="majorBidi" w:hAnsiTheme="majorBidi"/>
          <w:i/>
          <w:iCs/>
          <w:sz w:val="24"/>
          <w:szCs w:val="24"/>
        </w:rPr>
        <w:t>Marine Chemistry</w:t>
      </w:r>
      <w:r w:rsidRPr="0014413A">
        <w:rPr>
          <w:rFonts w:asciiTheme="majorBidi" w:hAnsiTheme="majorBidi"/>
          <w:sz w:val="24"/>
          <w:szCs w:val="24"/>
        </w:rPr>
        <w:t xml:space="preserve"> 56 (3–4): 215–25. https://doi.org/10.1016/S0304-4203(96)00072-2.</w:t>
      </w:r>
    </w:p>
    <w:p w14:paraId="0341C14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Pianka. 1970. “On R- and K-Selection.” </w:t>
      </w:r>
      <w:r w:rsidRPr="0014413A">
        <w:rPr>
          <w:rFonts w:asciiTheme="majorBidi" w:hAnsiTheme="majorBidi"/>
          <w:i/>
          <w:iCs/>
          <w:sz w:val="24"/>
          <w:szCs w:val="24"/>
        </w:rPr>
        <w:t>The American Naturalist</w:t>
      </w:r>
      <w:r w:rsidRPr="0014413A">
        <w:rPr>
          <w:rFonts w:asciiTheme="majorBidi" w:hAnsiTheme="majorBidi"/>
          <w:sz w:val="24"/>
          <w:szCs w:val="24"/>
        </w:rPr>
        <w:t xml:space="preserve"> 104 (940): 592–97. https://doi.org/10.1086/282697.</w:t>
      </w:r>
    </w:p>
    <w:p w14:paraId="0CA0659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Pinnix, G.S. Guzman, H.L. </w:t>
      </w:r>
      <w:proofErr w:type="spellStart"/>
      <w:r w:rsidRPr="0014413A">
        <w:rPr>
          <w:rFonts w:asciiTheme="majorBidi" w:hAnsiTheme="majorBidi"/>
          <w:sz w:val="24"/>
          <w:szCs w:val="24"/>
        </w:rPr>
        <w:t>Bonkovsky</w:t>
      </w:r>
      <w:proofErr w:type="spellEnd"/>
      <w:r w:rsidRPr="0014413A">
        <w:rPr>
          <w:rFonts w:asciiTheme="majorBidi" w:hAnsiTheme="majorBidi"/>
          <w:sz w:val="24"/>
          <w:szCs w:val="24"/>
        </w:rPr>
        <w:t xml:space="preserve">, S.R. Zaki, and J.M. Kinkade. 1994. “The Post-Translational Processing of Myeloperoxidase Is Regulated by the Availability of Heme.” </w:t>
      </w:r>
      <w:r w:rsidRPr="0014413A">
        <w:rPr>
          <w:rFonts w:asciiTheme="majorBidi" w:hAnsiTheme="majorBidi"/>
          <w:i/>
          <w:iCs/>
          <w:sz w:val="24"/>
          <w:szCs w:val="24"/>
        </w:rPr>
        <w:t>Archives of Biochemistry and Biophysics</w:t>
      </w:r>
      <w:r w:rsidRPr="0014413A">
        <w:rPr>
          <w:rFonts w:asciiTheme="majorBidi" w:hAnsiTheme="majorBidi"/>
          <w:sz w:val="24"/>
          <w:szCs w:val="24"/>
        </w:rPr>
        <w:t xml:space="preserve"> 312 (2): 447–58. https://doi.org/10.1006/abbi.1994.1331.</w:t>
      </w:r>
    </w:p>
    <w:p w14:paraId="0065E618" w14:textId="040C72E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Plattner, R. Knutti, F. Joos, T. F. Stocker, W. von Bloh, V. </w:t>
      </w:r>
      <w:proofErr w:type="spellStart"/>
      <w:r w:rsidRPr="0014413A">
        <w:rPr>
          <w:rFonts w:asciiTheme="majorBidi" w:hAnsiTheme="majorBidi"/>
          <w:sz w:val="24"/>
          <w:szCs w:val="24"/>
        </w:rPr>
        <w:t>Brovkin</w:t>
      </w:r>
      <w:proofErr w:type="spellEnd"/>
      <w:r w:rsidRPr="0014413A">
        <w:rPr>
          <w:rFonts w:asciiTheme="majorBidi" w:hAnsiTheme="majorBidi"/>
          <w:sz w:val="24"/>
          <w:szCs w:val="24"/>
        </w:rPr>
        <w:t xml:space="preserve">, D. Cameron,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2008. “Long-Term Climate Commitments Projected with Climate–Carbon Cycle Models.” </w:t>
      </w:r>
      <w:r w:rsidRPr="0014413A">
        <w:rPr>
          <w:rFonts w:asciiTheme="majorBidi" w:hAnsiTheme="majorBidi"/>
          <w:i/>
          <w:iCs/>
          <w:sz w:val="24"/>
          <w:szCs w:val="24"/>
        </w:rPr>
        <w:t>Journal of Climate</w:t>
      </w:r>
      <w:r w:rsidRPr="0014413A">
        <w:rPr>
          <w:rFonts w:asciiTheme="majorBidi" w:hAnsiTheme="majorBidi"/>
          <w:sz w:val="24"/>
          <w:szCs w:val="24"/>
        </w:rPr>
        <w:t xml:space="preserve"> 21 (12): 2721–51. https://doi.org/10.1175/2007JCLI1905.1.</w:t>
      </w:r>
    </w:p>
    <w:p w14:paraId="6038CC7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Poretsky, Ian Hewson, </w:t>
      </w:r>
      <w:proofErr w:type="spellStart"/>
      <w:r w:rsidRPr="0014413A">
        <w:rPr>
          <w:rFonts w:asciiTheme="majorBidi" w:hAnsiTheme="majorBidi"/>
          <w:sz w:val="24"/>
          <w:szCs w:val="24"/>
        </w:rPr>
        <w:t>Shulei</w:t>
      </w:r>
      <w:proofErr w:type="spellEnd"/>
      <w:r w:rsidRPr="0014413A">
        <w:rPr>
          <w:rFonts w:asciiTheme="majorBidi" w:hAnsiTheme="majorBidi"/>
          <w:sz w:val="24"/>
          <w:szCs w:val="24"/>
        </w:rPr>
        <w:t xml:space="preserve"> Sun, Andrew E. Allen, Jonathan P. Zehr, and Mary Ann Moran. 2009. “Comparative Day/Night </w:t>
      </w:r>
      <w:proofErr w:type="spellStart"/>
      <w:r w:rsidRPr="0014413A">
        <w:rPr>
          <w:rFonts w:asciiTheme="majorBidi" w:hAnsiTheme="majorBidi"/>
          <w:sz w:val="24"/>
          <w:szCs w:val="24"/>
        </w:rPr>
        <w:t>Metatranscriptomic</w:t>
      </w:r>
      <w:proofErr w:type="spellEnd"/>
      <w:r w:rsidRPr="0014413A">
        <w:rPr>
          <w:rFonts w:asciiTheme="majorBidi" w:hAnsiTheme="majorBidi"/>
          <w:sz w:val="24"/>
          <w:szCs w:val="24"/>
        </w:rPr>
        <w:t xml:space="preserve"> Analysis of Microbial Communities in the North Pacific Subtropical Gyre.” </w:t>
      </w:r>
      <w:r w:rsidRPr="0014413A">
        <w:rPr>
          <w:rFonts w:asciiTheme="majorBidi" w:hAnsiTheme="majorBidi"/>
          <w:i/>
          <w:iCs/>
          <w:sz w:val="24"/>
          <w:szCs w:val="24"/>
        </w:rPr>
        <w:t>Environmental Microbiology</w:t>
      </w:r>
      <w:r w:rsidRPr="0014413A">
        <w:rPr>
          <w:rFonts w:asciiTheme="majorBidi" w:hAnsiTheme="majorBidi"/>
          <w:sz w:val="24"/>
          <w:szCs w:val="24"/>
        </w:rPr>
        <w:t xml:space="preserve"> 11 (6): 1358–75. https://doi.org/10.1111/j.1462-2920.2008.01863.x.</w:t>
      </w:r>
    </w:p>
    <w:p w14:paraId="7E091D8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Powers, and William L. Miller. 2014. “Blending Remote Sensing Data Products to Estimate Photochemical Production of Hydrogen Peroxide and Superoxide in the Surface Ocean.” </w:t>
      </w:r>
      <w:r w:rsidRPr="0014413A">
        <w:rPr>
          <w:rFonts w:asciiTheme="majorBidi" w:hAnsiTheme="majorBidi"/>
          <w:i/>
          <w:iCs/>
          <w:sz w:val="24"/>
          <w:szCs w:val="24"/>
        </w:rPr>
        <w:t>Environ. Sci.: Processes Impacts</w:t>
      </w:r>
      <w:r w:rsidRPr="0014413A">
        <w:rPr>
          <w:rFonts w:asciiTheme="majorBidi" w:hAnsiTheme="majorBidi"/>
          <w:sz w:val="24"/>
          <w:szCs w:val="24"/>
        </w:rPr>
        <w:t xml:space="preserve"> 16 (4): 792–806. https://doi.org/10.1039/C3EM00617D.</w:t>
      </w:r>
    </w:p>
    <w:p w14:paraId="3EBE574D"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Purkan</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Ihsanawati</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Retnoningrum</w:t>
      </w:r>
      <w:proofErr w:type="spellEnd"/>
      <w:r w:rsidRPr="0014413A">
        <w:rPr>
          <w:rFonts w:asciiTheme="majorBidi" w:hAnsiTheme="majorBidi"/>
          <w:sz w:val="24"/>
          <w:szCs w:val="24"/>
        </w:rPr>
        <w:t xml:space="preserve">, Natalia, and Noer. 2010. “Mutation of </w:t>
      </w:r>
      <w:proofErr w:type="spellStart"/>
      <w:r w:rsidRPr="0014413A">
        <w:rPr>
          <w:rFonts w:asciiTheme="majorBidi" w:hAnsiTheme="majorBidi"/>
          <w:sz w:val="24"/>
          <w:szCs w:val="24"/>
        </w:rPr>
        <w:t>katG</w:t>
      </w:r>
      <w:proofErr w:type="spellEnd"/>
      <w:r w:rsidRPr="0014413A">
        <w:rPr>
          <w:rFonts w:asciiTheme="majorBidi" w:hAnsiTheme="majorBidi"/>
          <w:sz w:val="24"/>
          <w:szCs w:val="24"/>
        </w:rPr>
        <w:t xml:space="preserve"> Gene </w:t>
      </w:r>
      <w:proofErr w:type="gramStart"/>
      <w:r w:rsidRPr="0014413A">
        <w:rPr>
          <w:rFonts w:asciiTheme="majorBidi" w:hAnsiTheme="majorBidi"/>
          <w:sz w:val="24"/>
          <w:szCs w:val="24"/>
        </w:rPr>
        <w:t>In</w:t>
      </w:r>
      <w:proofErr w:type="gramEnd"/>
      <w:r w:rsidRPr="0014413A">
        <w:rPr>
          <w:rFonts w:asciiTheme="majorBidi" w:hAnsiTheme="majorBidi"/>
          <w:sz w:val="24"/>
          <w:szCs w:val="24"/>
        </w:rPr>
        <w:t xml:space="preserve"> Mycobacterium Tuberculosis That Promoting Inactive of Catalase/Peroxidase Leads to Isoniazid Resistance.” </w:t>
      </w:r>
      <w:r w:rsidRPr="0014413A">
        <w:rPr>
          <w:rFonts w:asciiTheme="majorBidi" w:hAnsiTheme="majorBidi"/>
          <w:i/>
          <w:iCs/>
          <w:sz w:val="24"/>
          <w:szCs w:val="24"/>
        </w:rPr>
        <w:t>Proceedings of the Third International Conference on Mathematics and Natural Sciences</w:t>
      </w:r>
      <w:r w:rsidRPr="0014413A">
        <w:rPr>
          <w:rFonts w:asciiTheme="majorBidi" w:hAnsiTheme="majorBidi"/>
          <w:sz w:val="24"/>
          <w:szCs w:val="24"/>
        </w:rPr>
        <w:t>, 9.</w:t>
      </w:r>
    </w:p>
    <w:p w14:paraId="2727F2A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Rabouille, Christopher A. Edwards, and Jonathan P. Zehr. 2007. “Modelling the Vertical Distribution of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in the North Pacific Subtropical Ocean.” </w:t>
      </w:r>
      <w:r w:rsidRPr="0014413A">
        <w:rPr>
          <w:rFonts w:asciiTheme="majorBidi" w:hAnsiTheme="majorBidi"/>
          <w:i/>
          <w:iCs/>
          <w:sz w:val="24"/>
          <w:szCs w:val="24"/>
        </w:rPr>
        <w:t>Environmental Microbiology</w:t>
      </w:r>
      <w:r w:rsidRPr="0014413A">
        <w:rPr>
          <w:rFonts w:asciiTheme="majorBidi" w:hAnsiTheme="majorBidi"/>
          <w:sz w:val="24"/>
          <w:szCs w:val="24"/>
        </w:rPr>
        <w:t xml:space="preserve"> 9 (10): 2588–2602. https://doi.org/10.1111/j.1462-2920.2007.01376.x.</w:t>
      </w:r>
    </w:p>
    <w:p w14:paraId="4295982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Raven, and P. G. Falkowski. 1999. “Oceanic Sinks for Atmospheric CO </w:t>
      </w:r>
      <w:r w:rsidRPr="0014413A">
        <w:rPr>
          <w:rFonts w:asciiTheme="majorBidi" w:hAnsiTheme="majorBidi"/>
          <w:sz w:val="24"/>
          <w:szCs w:val="24"/>
          <w:vertAlign w:val="subscript"/>
        </w:rPr>
        <w:t>2</w:t>
      </w:r>
      <w:r w:rsidRPr="0014413A">
        <w:rPr>
          <w:rFonts w:asciiTheme="majorBidi" w:hAnsiTheme="majorBidi"/>
          <w:sz w:val="24"/>
          <w:szCs w:val="24"/>
        </w:rPr>
        <w:t xml:space="preserve">.” </w:t>
      </w:r>
      <w:r w:rsidRPr="0014413A">
        <w:rPr>
          <w:rFonts w:asciiTheme="majorBidi" w:hAnsiTheme="majorBidi"/>
          <w:i/>
          <w:iCs/>
          <w:sz w:val="24"/>
          <w:szCs w:val="24"/>
        </w:rPr>
        <w:t>Plant, Cell and Environment</w:t>
      </w:r>
      <w:r w:rsidRPr="0014413A">
        <w:rPr>
          <w:rFonts w:asciiTheme="majorBidi" w:hAnsiTheme="majorBidi"/>
          <w:sz w:val="24"/>
          <w:szCs w:val="24"/>
        </w:rPr>
        <w:t xml:space="preserve"> 22 (6): 741–55. https://doi.org/10.1046/j.1365-3040.1999.00419.x.</w:t>
      </w:r>
    </w:p>
    <w:p w14:paraId="7FFC2BE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Ravishankar, A.V.S. Rao, and T. </w:t>
      </w:r>
      <w:proofErr w:type="spellStart"/>
      <w:r w:rsidRPr="0014413A">
        <w:rPr>
          <w:rFonts w:asciiTheme="majorBidi" w:hAnsiTheme="majorBidi"/>
          <w:sz w:val="24"/>
          <w:szCs w:val="24"/>
        </w:rPr>
        <w:t>Ramasarma</w:t>
      </w:r>
      <w:proofErr w:type="spellEnd"/>
      <w:r w:rsidRPr="0014413A">
        <w:rPr>
          <w:rFonts w:asciiTheme="majorBidi" w:hAnsiTheme="majorBidi"/>
          <w:sz w:val="24"/>
          <w:szCs w:val="24"/>
        </w:rPr>
        <w:t xml:space="preserve">. 1995. “Catalase Degrades </w:t>
      </w:r>
      <w:proofErr w:type="spellStart"/>
      <w:r w:rsidRPr="0014413A">
        <w:rPr>
          <w:rFonts w:asciiTheme="majorBidi" w:hAnsiTheme="majorBidi"/>
          <w:sz w:val="24"/>
          <w:szCs w:val="24"/>
        </w:rPr>
        <w:t>Diperoxovanadate</w:t>
      </w:r>
      <w:proofErr w:type="spellEnd"/>
      <w:r w:rsidRPr="0014413A">
        <w:rPr>
          <w:rFonts w:asciiTheme="majorBidi" w:hAnsiTheme="majorBidi"/>
          <w:sz w:val="24"/>
          <w:szCs w:val="24"/>
        </w:rPr>
        <w:t xml:space="preserve"> and Releases Oxygen.” </w:t>
      </w:r>
      <w:r w:rsidRPr="0014413A">
        <w:rPr>
          <w:rFonts w:asciiTheme="majorBidi" w:hAnsiTheme="majorBidi"/>
          <w:i/>
          <w:iCs/>
          <w:sz w:val="24"/>
          <w:szCs w:val="24"/>
        </w:rPr>
        <w:t>Archives of Biochemistry and Biophysics</w:t>
      </w:r>
      <w:r w:rsidRPr="0014413A">
        <w:rPr>
          <w:rFonts w:asciiTheme="majorBidi" w:hAnsiTheme="majorBidi"/>
          <w:sz w:val="24"/>
          <w:szCs w:val="24"/>
        </w:rPr>
        <w:t xml:space="preserve"> 321 (2): 477–84. https://doi.org/10.1006/abbi.1995.1420.</w:t>
      </w:r>
    </w:p>
    <w:p w14:paraId="082CF4D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Read, Paul M Berube, Steven J Biller, Iva Neveux, Andres Cubillos-Ruiz, Sallie W Chisholm, and Joseph J </w:t>
      </w:r>
      <w:proofErr w:type="spellStart"/>
      <w:r w:rsidRPr="0014413A">
        <w:rPr>
          <w:rFonts w:asciiTheme="majorBidi" w:hAnsiTheme="majorBidi"/>
          <w:sz w:val="24"/>
          <w:szCs w:val="24"/>
        </w:rPr>
        <w:t>Grzymski</w:t>
      </w:r>
      <w:proofErr w:type="spellEnd"/>
      <w:r w:rsidRPr="0014413A">
        <w:rPr>
          <w:rFonts w:asciiTheme="majorBidi" w:hAnsiTheme="majorBidi"/>
          <w:sz w:val="24"/>
          <w:szCs w:val="24"/>
        </w:rPr>
        <w:t xml:space="preserve">. 2017. “Nitrogen Cost Minimization Is Promoted by Structural Changes in the Transcriptome of N-Deprived Prochlorococcus Cells.” </w:t>
      </w:r>
      <w:r w:rsidRPr="0014413A">
        <w:rPr>
          <w:rFonts w:asciiTheme="majorBidi" w:hAnsiTheme="majorBidi"/>
          <w:i/>
          <w:iCs/>
          <w:sz w:val="24"/>
          <w:szCs w:val="24"/>
        </w:rPr>
        <w:t>The ISME Journal</w:t>
      </w:r>
      <w:r w:rsidRPr="0014413A">
        <w:rPr>
          <w:rFonts w:asciiTheme="majorBidi" w:hAnsiTheme="majorBidi"/>
          <w:sz w:val="24"/>
          <w:szCs w:val="24"/>
        </w:rPr>
        <w:t xml:space="preserve"> 11 (10): 2267–78. https://doi.org/10.1038/ismej.2017.88.</w:t>
      </w:r>
    </w:p>
    <w:p w14:paraId="3FB8BCE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Redfield. 1958. “THE BIOLOGICAL CONTROL OF CHEMICAL FACTORS IN THE ENVIRONMENT,” 19.</w:t>
      </w:r>
    </w:p>
    <w:p w14:paraId="2D330477"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Regelsberger</w:t>
      </w:r>
      <w:proofErr w:type="spellEnd"/>
      <w:r w:rsidRPr="0014413A">
        <w:rPr>
          <w:rFonts w:asciiTheme="majorBidi" w:hAnsiTheme="majorBidi"/>
          <w:sz w:val="24"/>
          <w:szCs w:val="24"/>
        </w:rPr>
        <w:t xml:space="preserve">, Christa </w:t>
      </w:r>
      <w:proofErr w:type="spellStart"/>
      <w:r w:rsidRPr="0014413A">
        <w:rPr>
          <w:rFonts w:asciiTheme="majorBidi" w:hAnsiTheme="majorBidi"/>
          <w:sz w:val="24"/>
          <w:szCs w:val="24"/>
        </w:rPr>
        <w:t>Jakopitsch</w:t>
      </w:r>
      <w:proofErr w:type="spellEnd"/>
      <w:r w:rsidRPr="0014413A">
        <w:rPr>
          <w:rFonts w:asciiTheme="majorBidi" w:hAnsiTheme="majorBidi"/>
          <w:sz w:val="24"/>
          <w:szCs w:val="24"/>
        </w:rPr>
        <w:t xml:space="preserve">, Lisa </w:t>
      </w:r>
      <w:proofErr w:type="spellStart"/>
      <w:r w:rsidRPr="0014413A">
        <w:rPr>
          <w:rFonts w:asciiTheme="majorBidi" w:hAnsiTheme="majorBidi"/>
          <w:sz w:val="24"/>
          <w:szCs w:val="24"/>
        </w:rPr>
        <w:t>Plasser</w:t>
      </w:r>
      <w:proofErr w:type="spellEnd"/>
      <w:r w:rsidRPr="0014413A">
        <w:rPr>
          <w:rFonts w:asciiTheme="majorBidi" w:hAnsiTheme="majorBidi"/>
          <w:sz w:val="24"/>
          <w:szCs w:val="24"/>
        </w:rPr>
        <w:t xml:space="preserve">, Hansjörg Schwaiger, Paul Georg </w:t>
      </w:r>
      <w:proofErr w:type="spellStart"/>
      <w:r w:rsidRPr="0014413A">
        <w:rPr>
          <w:rFonts w:asciiTheme="majorBidi" w:hAnsiTheme="majorBidi"/>
          <w:sz w:val="24"/>
          <w:szCs w:val="24"/>
        </w:rPr>
        <w:t>Furtmüller</w:t>
      </w:r>
      <w:proofErr w:type="spellEnd"/>
      <w:r w:rsidRPr="0014413A">
        <w:rPr>
          <w:rFonts w:asciiTheme="majorBidi" w:hAnsiTheme="majorBidi"/>
          <w:sz w:val="24"/>
          <w:szCs w:val="24"/>
        </w:rPr>
        <w:t xml:space="preserve">, Günter A. </w:t>
      </w:r>
      <w:proofErr w:type="spellStart"/>
      <w:r w:rsidRPr="0014413A">
        <w:rPr>
          <w:rFonts w:asciiTheme="majorBidi" w:hAnsiTheme="majorBidi"/>
          <w:sz w:val="24"/>
          <w:szCs w:val="24"/>
        </w:rPr>
        <w:t>Peschek</w:t>
      </w:r>
      <w:proofErr w:type="spellEnd"/>
      <w:r w:rsidRPr="0014413A">
        <w:rPr>
          <w:rFonts w:asciiTheme="majorBidi" w:hAnsiTheme="majorBidi"/>
          <w:sz w:val="24"/>
          <w:szCs w:val="24"/>
        </w:rPr>
        <w:t xml:space="preserve">, Marcel </w:t>
      </w:r>
      <w:proofErr w:type="spellStart"/>
      <w:r w:rsidRPr="0014413A">
        <w:rPr>
          <w:rFonts w:asciiTheme="majorBidi" w:hAnsiTheme="majorBidi"/>
          <w:sz w:val="24"/>
          <w:szCs w:val="24"/>
        </w:rPr>
        <w:t>Zámocký</w:t>
      </w:r>
      <w:proofErr w:type="spellEnd"/>
      <w:r w:rsidRPr="0014413A">
        <w:rPr>
          <w:rFonts w:asciiTheme="majorBidi" w:hAnsiTheme="majorBidi"/>
          <w:sz w:val="24"/>
          <w:szCs w:val="24"/>
        </w:rPr>
        <w:t xml:space="preserve">, and Christian </w:t>
      </w:r>
      <w:proofErr w:type="spellStart"/>
      <w:r w:rsidRPr="0014413A">
        <w:rPr>
          <w:rFonts w:asciiTheme="majorBidi" w:hAnsiTheme="majorBidi"/>
          <w:sz w:val="24"/>
          <w:szCs w:val="24"/>
        </w:rPr>
        <w:t>Obinger</w:t>
      </w:r>
      <w:proofErr w:type="spellEnd"/>
      <w:r w:rsidRPr="0014413A">
        <w:rPr>
          <w:rFonts w:asciiTheme="majorBidi" w:hAnsiTheme="majorBidi"/>
          <w:sz w:val="24"/>
          <w:szCs w:val="24"/>
        </w:rPr>
        <w:t xml:space="preserve">. 2002. “Occurrence and Biochemistry of </w:t>
      </w:r>
      <w:proofErr w:type="spellStart"/>
      <w:r w:rsidRPr="0014413A">
        <w:rPr>
          <w:rFonts w:asciiTheme="majorBidi" w:hAnsiTheme="majorBidi"/>
          <w:sz w:val="24"/>
          <w:szCs w:val="24"/>
        </w:rPr>
        <w:t>Hydroperoxidases</w:t>
      </w:r>
      <w:proofErr w:type="spellEnd"/>
      <w:r w:rsidRPr="0014413A">
        <w:rPr>
          <w:rFonts w:asciiTheme="majorBidi" w:hAnsiTheme="majorBidi"/>
          <w:sz w:val="24"/>
          <w:szCs w:val="24"/>
        </w:rPr>
        <w:t xml:space="preserve"> in Oxygenic Phototrophic Prokaryotes (Cyanobacteria).” </w:t>
      </w:r>
      <w:r w:rsidRPr="0014413A">
        <w:rPr>
          <w:rFonts w:asciiTheme="majorBidi" w:hAnsiTheme="majorBidi"/>
          <w:i/>
          <w:iCs/>
          <w:sz w:val="24"/>
          <w:szCs w:val="24"/>
        </w:rPr>
        <w:t>Plant Physiology and Biochemistry</w:t>
      </w:r>
      <w:r w:rsidRPr="0014413A">
        <w:rPr>
          <w:rFonts w:asciiTheme="majorBidi" w:hAnsiTheme="majorBidi"/>
          <w:sz w:val="24"/>
          <w:szCs w:val="24"/>
        </w:rPr>
        <w:t xml:space="preserve"> 40 (6–8): 479–90. https://doi.org/10.1016/S0981-9428(02)01405-5.</w:t>
      </w:r>
    </w:p>
    <w:p w14:paraId="193F2552" w14:textId="1A90ECD5"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lastRenderedPageBreak/>
        <w:t>Rippka</w:t>
      </w:r>
      <w:proofErr w:type="spellEnd"/>
      <w:r w:rsidRPr="0014413A">
        <w:rPr>
          <w:rFonts w:asciiTheme="majorBidi" w:hAnsiTheme="majorBidi"/>
          <w:sz w:val="24"/>
          <w:szCs w:val="24"/>
        </w:rPr>
        <w:t xml:space="preserve">, Rudolf I. Amann, Nicholas J. Fuller, David J. Scanlan, Wilhelm A. </w:t>
      </w:r>
      <w:proofErr w:type="spellStart"/>
      <w:r w:rsidRPr="0014413A">
        <w:rPr>
          <w:rFonts w:asciiTheme="majorBidi" w:hAnsiTheme="majorBidi"/>
          <w:sz w:val="24"/>
          <w:szCs w:val="24"/>
        </w:rPr>
        <w:t>Schönhuber</w:t>
      </w:r>
      <w:proofErr w:type="spellEnd"/>
      <w:r w:rsidRPr="0014413A">
        <w:rPr>
          <w:rFonts w:asciiTheme="majorBidi" w:hAnsiTheme="majorBidi"/>
          <w:sz w:val="24"/>
          <w:szCs w:val="24"/>
        </w:rPr>
        <w:t xml:space="preserve">, Nyree J. West, and Anton F. Post. 2001. “Closely Related Prochlorococcus Genotypes Show Remarkably Different Depth Distributions in Two Oceanic Regions as Revealed by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14413A">
        <w:rPr>
          <w:rFonts w:asciiTheme="majorBidi" w:hAnsiTheme="majorBidi"/>
          <w:sz w:val="24"/>
          <w:szCs w:val="24"/>
        </w:rPr>
        <w:t xml:space="preserve">Hybridization Using 16S rRNA-Targeted Oligonucleotides.” </w:t>
      </w:r>
      <w:r w:rsidRPr="0014413A">
        <w:rPr>
          <w:rFonts w:asciiTheme="majorBidi" w:hAnsiTheme="majorBidi"/>
          <w:i/>
          <w:iCs/>
          <w:sz w:val="24"/>
          <w:szCs w:val="24"/>
        </w:rPr>
        <w:t>Microbiology</w:t>
      </w:r>
      <w:r w:rsidRPr="0014413A">
        <w:rPr>
          <w:rFonts w:asciiTheme="majorBidi" w:hAnsiTheme="majorBidi"/>
          <w:sz w:val="24"/>
          <w:szCs w:val="24"/>
        </w:rPr>
        <w:t xml:space="preserve"> 147 (7): 1731–44. https://doi.org/10.1099/00221287-147-7-1731.</w:t>
      </w:r>
    </w:p>
    <w:p w14:paraId="26877755" w14:textId="6D1C850B"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Rippka</w:t>
      </w:r>
      <w:proofErr w:type="spellEnd"/>
      <w:r w:rsidRPr="0014413A">
        <w:rPr>
          <w:rFonts w:asciiTheme="majorBidi" w:hAnsiTheme="majorBidi"/>
          <w:sz w:val="24"/>
          <w:szCs w:val="24"/>
        </w:rPr>
        <w:t xml:space="preserve">, T Coursin, W Hess, C </w:t>
      </w:r>
      <w:proofErr w:type="spellStart"/>
      <w:r w:rsidRPr="0014413A">
        <w:rPr>
          <w:rFonts w:asciiTheme="majorBidi" w:hAnsiTheme="majorBidi"/>
          <w:sz w:val="24"/>
          <w:szCs w:val="24"/>
        </w:rPr>
        <w:t>Lichtlé</w:t>
      </w:r>
      <w:proofErr w:type="spellEnd"/>
      <w:r w:rsidRPr="0014413A">
        <w:rPr>
          <w:rFonts w:asciiTheme="majorBidi" w:hAnsiTheme="majorBidi"/>
          <w:sz w:val="24"/>
          <w:szCs w:val="24"/>
        </w:rPr>
        <w:t xml:space="preserve">, D J Scanlan, K A </w:t>
      </w:r>
      <w:proofErr w:type="spellStart"/>
      <w:r w:rsidRPr="0014413A">
        <w:rPr>
          <w:rFonts w:asciiTheme="majorBidi" w:hAnsiTheme="majorBidi"/>
          <w:sz w:val="24"/>
          <w:szCs w:val="24"/>
        </w:rPr>
        <w:t>Palinska</w:t>
      </w:r>
      <w:proofErr w:type="spellEnd"/>
      <w:r w:rsidRPr="0014413A">
        <w:rPr>
          <w:rFonts w:asciiTheme="majorBidi" w:hAnsiTheme="majorBidi"/>
          <w:sz w:val="24"/>
          <w:szCs w:val="24"/>
        </w:rPr>
        <w:t xml:space="preserve">, I </w:t>
      </w:r>
      <w:proofErr w:type="spellStart"/>
      <w:r w:rsidRPr="0014413A">
        <w:rPr>
          <w:rFonts w:asciiTheme="majorBidi" w:hAnsiTheme="majorBidi"/>
          <w:sz w:val="24"/>
          <w:szCs w:val="24"/>
        </w:rPr>
        <w:t>Iteman</w:t>
      </w:r>
      <w:proofErr w:type="spellEnd"/>
      <w:r w:rsidRPr="0014413A">
        <w:rPr>
          <w:rFonts w:asciiTheme="majorBidi" w:hAnsiTheme="majorBidi"/>
          <w:sz w:val="24"/>
          <w:szCs w:val="24"/>
        </w:rPr>
        <w:t xml:space="preserve">, F </w:t>
      </w:r>
      <w:proofErr w:type="spellStart"/>
      <w:r w:rsidRPr="0014413A">
        <w:rPr>
          <w:rFonts w:asciiTheme="majorBidi" w:hAnsiTheme="majorBidi"/>
          <w:sz w:val="24"/>
          <w:szCs w:val="24"/>
        </w:rPr>
        <w:t>Partensky</w:t>
      </w:r>
      <w:proofErr w:type="spellEnd"/>
      <w:r w:rsidRPr="0014413A">
        <w:rPr>
          <w:rFonts w:asciiTheme="majorBidi" w:hAnsiTheme="majorBidi"/>
          <w:sz w:val="24"/>
          <w:szCs w:val="24"/>
        </w:rPr>
        <w:t xml:space="preserve">, J Houmard, and M Herdman. 2000. “Prochlorococcus Marinus Chisholm </w:t>
      </w:r>
      <w:r w:rsidR="00183222" w:rsidRPr="00183222">
        <w:rPr>
          <w:rFonts w:ascii="Times New Roman" w:hAnsi="Times New Roman" w:cs="Times New Roman"/>
          <w:i/>
          <w:iCs/>
          <w:sz w:val="24"/>
          <w:szCs w:val="24"/>
        </w:rPr>
        <w:t>et al</w:t>
      </w:r>
      <w:r w:rsidRPr="0014413A">
        <w:rPr>
          <w:rFonts w:asciiTheme="majorBidi" w:hAnsiTheme="majorBidi"/>
          <w:sz w:val="24"/>
          <w:szCs w:val="24"/>
        </w:rPr>
        <w:t>. 1992 Subsp. Pastoris Subsp. Nov. Strain PCC 9511, the First Axenic Chlorophyll A2/B2-Containing Cyanobacterium (</w:t>
      </w:r>
      <w:proofErr w:type="spellStart"/>
      <w:r w:rsidRPr="0014413A">
        <w:rPr>
          <w:rFonts w:asciiTheme="majorBidi" w:hAnsiTheme="majorBidi"/>
          <w:sz w:val="24"/>
          <w:szCs w:val="24"/>
        </w:rPr>
        <w:t>Oxyphotobacteria</w:t>
      </w:r>
      <w:proofErr w:type="spellEnd"/>
      <w:r w:rsidRPr="0014413A">
        <w:rPr>
          <w:rFonts w:asciiTheme="majorBidi" w:hAnsiTheme="majorBidi"/>
          <w:sz w:val="24"/>
          <w:szCs w:val="24"/>
        </w:rPr>
        <w:t xml:space="preserve">).” </w:t>
      </w:r>
      <w:r w:rsidRPr="0014413A">
        <w:rPr>
          <w:rFonts w:asciiTheme="majorBidi" w:hAnsiTheme="majorBidi"/>
          <w:i/>
          <w:iCs/>
          <w:sz w:val="24"/>
          <w:szCs w:val="24"/>
        </w:rPr>
        <w:t>International Journal of Systematic and Evolutionary Microbiology</w:t>
      </w:r>
      <w:r w:rsidRPr="0014413A">
        <w:rPr>
          <w:rFonts w:asciiTheme="majorBidi" w:hAnsiTheme="majorBidi"/>
          <w:sz w:val="24"/>
          <w:szCs w:val="24"/>
        </w:rPr>
        <w:t xml:space="preserve"> 50 (5): 1833–47. https://doi.org/10.1099/00207713-50-5-1833.</w:t>
      </w:r>
    </w:p>
    <w:p w14:paraId="35F9C8BA" w14:textId="0D1999E3"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Rocap, Frank W. Larimer, Jane </w:t>
      </w:r>
      <w:proofErr w:type="spellStart"/>
      <w:r w:rsidRPr="0014413A">
        <w:rPr>
          <w:rFonts w:asciiTheme="majorBidi" w:hAnsiTheme="majorBidi"/>
          <w:sz w:val="24"/>
          <w:szCs w:val="24"/>
        </w:rPr>
        <w:t>Lamerdin</w:t>
      </w:r>
      <w:proofErr w:type="spellEnd"/>
      <w:r w:rsidRPr="0014413A">
        <w:rPr>
          <w:rFonts w:asciiTheme="majorBidi" w:hAnsiTheme="majorBidi"/>
          <w:sz w:val="24"/>
          <w:szCs w:val="24"/>
        </w:rPr>
        <w:t xml:space="preserve">, Stephanie Malfatti, Patrick Chain, Nathan A. Ahlgren, Andrae Arellano,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2003. “Genome Divergence in Two Prochlorococcus Ecotypes Reflects Oceanic Niche Differentiation.” </w:t>
      </w:r>
      <w:r w:rsidRPr="0014413A">
        <w:rPr>
          <w:rFonts w:asciiTheme="majorBidi" w:hAnsiTheme="majorBidi"/>
          <w:i/>
          <w:iCs/>
          <w:sz w:val="24"/>
          <w:szCs w:val="24"/>
        </w:rPr>
        <w:t>Nature</w:t>
      </w:r>
      <w:r w:rsidRPr="0014413A">
        <w:rPr>
          <w:rFonts w:asciiTheme="majorBidi" w:hAnsiTheme="majorBidi"/>
          <w:sz w:val="24"/>
          <w:szCs w:val="24"/>
        </w:rPr>
        <w:t xml:space="preserve"> 424 (6952): 1042–47. https://doi.org/10.1038/nature01947.</w:t>
      </w:r>
    </w:p>
    <w:p w14:paraId="4A96610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Roth‐Rosenberg, Dikla </w:t>
      </w:r>
      <w:proofErr w:type="spellStart"/>
      <w:r w:rsidRPr="0014413A">
        <w:rPr>
          <w:rFonts w:asciiTheme="majorBidi" w:hAnsiTheme="majorBidi"/>
          <w:sz w:val="24"/>
          <w:szCs w:val="24"/>
        </w:rPr>
        <w:t>Aharonovich</w:t>
      </w:r>
      <w:proofErr w:type="spellEnd"/>
      <w:r w:rsidRPr="0014413A">
        <w:rPr>
          <w:rFonts w:asciiTheme="majorBidi" w:hAnsiTheme="majorBidi"/>
          <w:sz w:val="24"/>
          <w:szCs w:val="24"/>
        </w:rPr>
        <w:t xml:space="preserve">, Anne Willem </w:t>
      </w:r>
      <w:proofErr w:type="spellStart"/>
      <w:r w:rsidRPr="0014413A">
        <w:rPr>
          <w:rFonts w:asciiTheme="majorBidi" w:hAnsiTheme="majorBidi"/>
          <w:sz w:val="24"/>
          <w:szCs w:val="24"/>
        </w:rPr>
        <w:t>Omta</w:t>
      </w:r>
      <w:proofErr w:type="spellEnd"/>
      <w:r w:rsidRPr="0014413A">
        <w:rPr>
          <w:rFonts w:asciiTheme="majorBidi" w:hAnsiTheme="majorBidi"/>
          <w:sz w:val="24"/>
          <w:szCs w:val="24"/>
        </w:rPr>
        <w:t xml:space="preserve">, Michael J. Follows, and Daniel Sher. 2021. “Dynamic Macromolecular Composition and High Exudation Rates in </w:t>
      </w:r>
      <w:r w:rsidRPr="0014413A">
        <w:rPr>
          <w:rFonts w:asciiTheme="majorBidi" w:hAnsiTheme="majorBidi"/>
          <w:i/>
          <w:iCs/>
          <w:sz w:val="24"/>
          <w:szCs w:val="24"/>
        </w:rPr>
        <w:t>Prochlorococcus</w:t>
      </w:r>
      <w:r w:rsidRPr="0014413A">
        <w:rPr>
          <w:rFonts w:asciiTheme="majorBidi" w:hAnsiTheme="majorBidi"/>
          <w:sz w:val="24"/>
          <w:szCs w:val="24"/>
        </w:rPr>
        <w:t xml:space="preserve">.” </w:t>
      </w:r>
      <w:r w:rsidRPr="0014413A">
        <w:rPr>
          <w:rFonts w:asciiTheme="majorBidi" w:hAnsiTheme="majorBidi"/>
          <w:i/>
          <w:iCs/>
          <w:sz w:val="24"/>
          <w:szCs w:val="24"/>
        </w:rPr>
        <w:t>Limnology and Oceanography</w:t>
      </w:r>
      <w:r w:rsidRPr="0014413A">
        <w:rPr>
          <w:rFonts w:asciiTheme="majorBidi" w:hAnsiTheme="majorBidi"/>
          <w:sz w:val="24"/>
          <w:szCs w:val="24"/>
        </w:rPr>
        <w:t xml:space="preserve"> 66 (5): 1759–73. https://doi.org/10.1002/lno.11720.</w:t>
      </w:r>
    </w:p>
    <w:p w14:paraId="06156B78" w14:textId="3FD1D1B0"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Saba, Marjorie A. M. Friedrichs, Mary-Elena Carr, David Antoine, Robert A. Armstrong, </w:t>
      </w:r>
      <w:proofErr w:type="spellStart"/>
      <w:r w:rsidRPr="0014413A">
        <w:rPr>
          <w:rFonts w:asciiTheme="majorBidi" w:hAnsiTheme="majorBidi"/>
          <w:sz w:val="24"/>
          <w:szCs w:val="24"/>
        </w:rPr>
        <w:t>Ichio</w:t>
      </w:r>
      <w:proofErr w:type="spellEnd"/>
      <w:r w:rsidRPr="0014413A">
        <w:rPr>
          <w:rFonts w:asciiTheme="majorBidi" w:hAnsiTheme="majorBidi"/>
          <w:sz w:val="24"/>
          <w:szCs w:val="24"/>
        </w:rPr>
        <w:t xml:space="preserve"> Asanuma, Olivier Aumont,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2010. “Challenges of Modeling Depth-Integrated Marine Primary Productivity over Multiple Decades: A Case Study at BATS and HOT: MODELING MARINE PRIMARY PRODUCTIVITY.” </w:t>
      </w:r>
      <w:r w:rsidRPr="0014413A">
        <w:rPr>
          <w:rFonts w:asciiTheme="majorBidi" w:hAnsiTheme="majorBidi"/>
          <w:i/>
          <w:iCs/>
          <w:sz w:val="24"/>
          <w:szCs w:val="24"/>
        </w:rPr>
        <w:t>Global Biogeochemical Cycles</w:t>
      </w:r>
      <w:r w:rsidRPr="0014413A">
        <w:rPr>
          <w:rFonts w:asciiTheme="majorBidi" w:hAnsiTheme="majorBidi"/>
          <w:sz w:val="24"/>
          <w:szCs w:val="24"/>
        </w:rPr>
        <w:t xml:space="preserve"> 24 (3): n/a-n/a. https://doi.org/10.1029/2009GB003655.</w:t>
      </w:r>
    </w:p>
    <w:p w14:paraId="7EC87BD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Sallée, Violaine </w:t>
      </w:r>
      <w:proofErr w:type="spellStart"/>
      <w:r w:rsidRPr="0014413A">
        <w:rPr>
          <w:rFonts w:asciiTheme="majorBidi" w:hAnsiTheme="majorBidi"/>
          <w:sz w:val="24"/>
          <w:szCs w:val="24"/>
        </w:rPr>
        <w:t>Pellichero</w:t>
      </w:r>
      <w:proofErr w:type="spellEnd"/>
      <w:r w:rsidRPr="0014413A">
        <w:rPr>
          <w:rFonts w:asciiTheme="majorBidi" w:hAnsiTheme="majorBidi"/>
          <w:sz w:val="24"/>
          <w:szCs w:val="24"/>
        </w:rPr>
        <w:t xml:space="preserve">, Camille </w:t>
      </w:r>
      <w:proofErr w:type="spellStart"/>
      <w:r w:rsidRPr="0014413A">
        <w:rPr>
          <w:rFonts w:asciiTheme="majorBidi" w:hAnsiTheme="majorBidi"/>
          <w:sz w:val="24"/>
          <w:szCs w:val="24"/>
        </w:rPr>
        <w:t>Akhoudas</w:t>
      </w:r>
      <w:proofErr w:type="spellEnd"/>
      <w:r w:rsidRPr="0014413A">
        <w:rPr>
          <w:rFonts w:asciiTheme="majorBidi" w:hAnsiTheme="majorBidi"/>
          <w:sz w:val="24"/>
          <w:szCs w:val="24"/>
        </w:rPr>
        <w:t xml:space="preserve">, Etienne </w:t>
      </w:r>
      <w:proofErr w:type="spellStart"/>
      <w:r w:rsidRPr="0014413A">
        <w:rPr>
          <w:rFonts w:asciiTheme="majorBidi" w:hAnsiTheme="majorBidi"/>
          <w:sz w:val="24"/>
          <w:szCs w:val="24"/>
        </w:rPr>
        <w:t>Pauthenet</w:t>
      </w:r>
      <w:proofErr w:type="spellEnd"/>
      <w:r w:rsidRPr="0014413A">
        <w:rPr>
          <w:rFonts w:asciiTheme="majorBidi" w:hAnsiTheme="majorBidi"/>
          <w:sz w:val="24"/>
          <w:szCs w:val="24"/>
        </w:rPr>
        <w:t xml:space="preserve">, Lucie Vignes, Sunke </w:t>
      </w:r>
      <w:proofErr w:type="spellStart"/>
      <w:r w:rsidRPr="0014413A">
        <w:rPr>
          <w:rFonts w:asciiTheme="majorBidi" w:hAnsiTheme="majorBidi"/>
          <w:sz w:val="24"/>
          <w:szCs w:val="24"/>
        </w:rPr>
        <w:t>Schmidtko</w:t>
      </w:r>
      <w:proofErr w:type="spellEnd"/>
      <w:r w:rsidRPr="0014413A">
        <w:rPr>
          <w:rFonts w:asciiTheme="majorBidi" w:hAnsiTheme="majorBidi"/>
          <w:sz w:val="24"/>
          <w:szCs w:val="24"/>
        </w:rPr>
        <w:t xml:space="preserve">, Alberto Naveira </w:t>
      </w:r>
      <w:proofErr w:type="spellStart"/>
      <w:r w:rsidRPr="0014413A">
        <w:rPr>
          <w:rFonts w:asciiTheme="majorBidi" w:hAnsiTheme="majorBidi"/>
          <w:sz w:val="24"/>
          <w:szCs w:val="24"/>
        </w:rPr>
        <w:t>Garabato</w:t>
      </w:r>
      <w:proofErr w:type="spellEnd"/>
      <w:r w:rsidRPr="0014413A">
        <w:rPr>
          <w:rFonts w:asciiTheme="majorBidi" w:hAnsiTheme="majorBidi"/>
          <w:sz w:val="24"/>
          <w:szCs w:val="24"/>
        </w:rPr>
        <w:t xml:space="preserve">, Peter Sutherland, and Mikael Kuusela. 2021. “Summertime Increases in Upper-Ocean Stratification and Mixed-Layer Depth.” </w:t>
      </w:r>
      <w:r w:rsidRPr="0014413A">
        <w:rPr>
          <w:rFonts w:asciiTheme="majorBidi" w:hAnsiTheme="majorBidi"/>
          <w:i/>
          <w:iCs/>
          <w:sz w:val="24"/>
          <w:szCs w:val="24"/>
        </w:rPr>
        <w:t>Nature</w:t>
      </w:r>
      <w:r w:rsidRPr="0014413A">
        <w:rPr>
          <w:rFonts w:asciiTheme="majorBidi" w:hAnsiTheme="majorBidi"/>
          <w:sz w:val="24"/>
          <w:szCs w:val="24"/>
        </w:rPr>
        <w:t xml:space="preserve"> 591 (7851): 592–98. https://doi.org/10.1038/s41586-021-03303-x.</w:t>
      </w:r>
    </w:p>
    <w:p w14:paraId="6C4499A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Sato, K Ito, H Kohara, Y Yamaguchi, K Adachi, and H Endo. 1992. “Negative Regulation of Catalase Gene Expression in Hepatoma Cells.” </w:t>
      </w:r>
      <w:r w:rsidRPr="0014413A">
        <w:rPr>
          <w:rFonts w:asciiTheme="majorBidi" w:hAnsiTheme="majorBidi"/>
          <w:i/>
          <w:iCs/>
          <w:sz w:val="24"/>
          <w:szCs w:val="24"/>
        </w:rPr>
        <w:t>Molecular and Cellular Biology</w:t>
      </w:r>
      <w:r w:rsidRPr="0014413A">
        <w:rPr>
          <w:rFonts w:asciiTheme="majorBidi" w:hAnsiTheme="majorBidi"/>
          <w:sz w:val="24"/>
          <w:szCs w:val="24"/>
        </w:rPr>
        <w:t xml:space="preserve"> 12 (6): 2525–33. https://doi.org/10.1128/MCB.12.6.2525.</w:t>
      </w:r>
    </w:p>
    <w:p w14:paraId="1EC6DFA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Schellhorn. 1995. “Regulation of </w:t>
      </w:r>
      <w:proofErr w:type="spellStart"/>
      <w:r w:rsidRPr="0014413A">
        <w:rPr>
          <w:rFonts w:asciiTheme="majorBidi" w:hAnsiTheme="majorBidi"/>
          <w:sz w:val="24"/>
          <w:szCs w:val="24"/>
        </w:rPr>
        <w:t>Hydroperoxidase</w:t>
      </w:r>
      <w:proofErr w:type="spellEnd"/>
      <w:r w:rsidRPr="0014413A">
        <w:rPr>
          <w:rFonts w:asciiTheme="majorBidi" w:hAnsiTheme="majorBidi"/>
          <w:sz w:val="24"/>
          <w:szCs w:val="24"/>
        </w:rPr>
        <w:t xml:space="preserve"> (Catalase) Expression in </w:t>
      </w:r>
      <w:r w:rsidRPr="0014413A">
        <w:rPr>
          <w:rFonts w:asciiTheme="majorBidi" w:hAnsiTheme="majorBidi"/>
          <w:i/>
          <w:iCs/>
          <w:sz w:val="24"/>
          <w:szCs w:val="24"/>
        </w:rPr>
        <w:t>Escherichia Coli</w:t>
      </w:r>
      <w:r w:rsidRPr="0014413A">
        <w:rPr>
          <w:rFonts w:asciiTheme="majorBidi" w:hAnsiTheme="majorBidi"/>
          <w:sz w:val="24"/>
          <w:szCs w:val="24"/>
        </w:rPr>
        <w:t xml:space="preserve">.” </w:t>
      </w:r>
      <w:r w:rsidRPr="0014413A">
        <w:rPr>
          <w:rFonts w:asciiTheme="majorBidi" w:hAnsiTheme="majorBidi"/>
          <w:i/>
          <w:iCs/>
          <w:sz w:val="24"/>
          <w:szCs w:val="24"/>
        </w:rPr>
        <w:t>FEMS Microbiology Letters</w:t>
      </w:r>
      <w:r w:rsidRPr="0014413A">
        <w:rPr>
          <w:rFonts w:asciiTheme="majorBidi" w:hAnsiTheme="majorBidi"/>
          <w:sz w:val="24"/>
          <w:szCs w:val="24"/>
        </w:rPr>
        <w:t xml:space="preserve"> 131 (2): 113–19. https://doi.org/10.1111/j.1574-6968.1995.tb07764.x.</w:t>
      </w:r>
    </w:p>
    <w:p w14:paraId="4E7ED0A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Seaver, and James A. Imlay. 2001. “Hydrogen Peroxide Fluxes and Compartmentalization inside Growing </w:t>
      </w:r>
      <w:r w:rsidRPr="0014413A">
        <w:rPr>
          <w:rFonts w:asciiTheme="majorBidi" w:hAnsiTheme="majorBidi"/>
          <w:i/>
          <w:iCs/>
          <w:sz w:val="24"/>
          <w:szCs w:val="24"/>
        </w:rPr>
        <w:t>Escherichia Coli</w:t>
      </w:r>
      <w:r w:rsidRPr="0014413A">
        <w:rPr>
          <w:rFonts w:asciiTheme="majorBidi" w:hAnsiTheme="majorBidi"/>
          <w:sz w:val="24"/>
          <w:szCs w:val="24"/>
        </w:rPr>
        <w:t xml:space="preserve">.” </w:t>
      </w:r>
      <w:r w:rsidRPr="0014413A">
        <w:rPr>
          <w:rFonts w:asciiTheme="majorBidi" w:hAnsiTheme="majorBidi"/>
          <w:i/>
          <w:iCs/>
          <w:sz w:val="24"/>
          <w:szCs w:val="24"/>
        </w:rPr>
        <w:t>Journal of Bacteriology</w:t>
      </w:r>
      <w:r w:rsidRPr="0014413A">
        <w:rPr>
          <w:rFonts w:asciiTheme="majorBidi" w:hAnsiTheme="majorBidi"/>
          <w:sz w:val="24"/>
          <w:szCs w:val="24"/>
        </w:rPr>
        <w:t xml:space="preserve"> 183 (24): 7182–89. https://doi.org/10.1128/JB.183.24.7182-7189.2001.</w:t>
      </w:r>
    </w:p>
    <w:p w14:paraId="7216647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Sexton, D. Joseph, and Martin Schuster. 2017. “Nutrient Limitation Determines the Fitness of Cheaters in Bacterial Siderophore Cooperation.” </w:t>
      </w:r>
      <w:r w:rsidRPr="0014413A">
        <w:rPr>
          <w:rFonts w:asciiTheme="majorBidi" w:hAnsiTheme="majorBidi"/>
          <w:i/>
          <w:iCs/>
          <w:sz w:val="24"/>
          <w:szCs w:val="24"/>
        </w:rPr>
        <w:t>Nature Communications</w:t>
      </w:r>
      <w:r w:rsidRPr="0014413A">
        <w:rPr>
          <w:rFonts w:asciiTheme="majorBidi" w:hAnsiTheme="majorBidi"/>
          <w:sz w:val="24"/>
          <w:szCs w:val="24"/>
        </w:rPr>
        <w:t xml:space="preserve"> 8 (1): 230. https://doi.org/10.1038/s41467-017-00222-2.</w:t>
      </w:r>
    </w:p>
    <w:p w14:paraId="6019EB7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Siegel, K. O. </w:t>
      </w:r>
      <w:proofErr w:type="spellStart"/>
      <w:r w:rsidRPr="0014413A">
        <w:rPr>
          <w:rFonts w:asciiTheme="majorBidi" w:hAnsiTheme="majorBidi"/>
          <w:sz w:val="24"/>
          <w:szCs w:val="24"/>
        </w:rPr>
        <w:t>Buesseler</w:t>
      </w:r>
      <w:proofErr w:type="spellEnd"/>
      <w:r w:rsidRPr="0014413A">
        <w:rPr>
          <w:rFonts w:asciiTheme="majorBidi" w:hAnsiTheme="majorBidi"/>
          <w:sz w:val="24"/>
          <w:szCs w:val="24"/>
        </w:rPr>
        <w:t xml:space="preserve">, S. C. Doney, S. F. </w:t>
      </w:r>
      <w:proofErr w:type="spellStart"/>
      <w:r w:rsidRPr="0014413A">
        <w:rPr>
          <w:rFonts w:asciiTheme="majorBidi" w:hAnsiTheme="majorBidi"/>
          <w:sz w:val="24"/>
          <w:szCs w:val="24"/>
        </w:rPr>
        <w:t>Sailley</w:t>
      </w:r>
      <w:proofErr w:type="spellEnd"/>
      <w:r w:rsidRPr="0014413A">
        <w:rPr>
          <w:rFonts w:asciiTheme="majorBidi" w:hAnsiTheme="majorBidi"/>
          <w:sz w:val="24"/>
          <w:szCs w:val="24"/>
        </w:rPr>
        <w:t xml:space="preserve">, M. J. </w:t>
      </w:r>
      <w:proofErr w:type="spellStart"/>
      <w:r w:rsidRPr="0014413A">
        <w:rPr>
          <w:rFonts w:asciiTheme="majorBidi" w:hAnsiTheme="majorBidi"/>
          <w:sz w:val="24"/>
          <w:szCs w:val="24"/>
        </w:rPr>
        <w:t>Behrenfeld</w:t>
      </w:r>
      <w:proofErr w:type="spellEnd"/>
      <w:r w:rsidRPr="0014413A">
        <w:rPr>
          <w:rFonts w:asciiTheme="majorBidi" w:hAnsiTheme="majorBidi"/>
          <w:sz w:val="24"/>
          <w:szCs w:val="24"/>
        </w:rPr>
        <w:t xml:space="preserve">, and P. W. Boyd. 2014. “Global Assessment of Ocean Carbon Export by Combining Satellite Observations and Food-Web Models.” </w:t>
      </w:r>
      <w:r w:rsidRPr="0014413A">
        <w:rPr>
          <w:rFonts w:asciiTheme="majorBidi" w:hAnsiTheme="majorBidi"/>
          <w:i/>
          <w:iCs/>
          <w:sz w:val="24"/>
          <w:szCs w:val="24"/>
        </w:rPr>
        <w:t>Global Biogeochemical Cycles</w:t>
      </w:r>
      <w:r w:rsidRPr="0014413A">
        <w:rPr>
          <w:rFonts w:asciiTheme="majorBidi" w:hAnsiTheme="majorBidi"/>
          <w:sz w:val="24"/>
          <w:szCs w:val="24"/>
        </w:rPr>
        <w:t xml:space="preserve"> 28 (3): 181–96. https://doi.org/10.1002/2013GB004743.</w:t>
      </w:r>
    </w:p>
    <w:p w14:paraId="5D6C4A1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Sohm, Nathan A Ahlgren, Zachary J Thomson, Cheryl Williams, James W Moffett, Mak A Saito, Eric A Webb, and Gabrielle Rocap. 2016. “Co-Occurring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Ecotypes Occupy Four Major Oceanic Regimes Defined by Temperature, Macronutrients and Iron.” </w:t>
      </w:r>
      <w:r w:rsidRPr="0014413A">
        <w:rPr>
          <w:rFonts w:asciiTheme="majorBidi" w:hAnsiTheme="majorBidi"/>
          <w:i/>
          <w:iCs/>
          <w:sz w:val="24"/>
          <w:szCs w:val="24"/>
        </w:rPr>
        <w:t>The ISME Journal</w:t>
      </w:r>
      <w:r w:rsidRPr="0014413A">
        <w:rPr>
          <w:rFonts w:asciiTheme="majorBidi" w:hAnsiTheme="majorBidi"/>
          <w:sz w:val="24"/>
          <w:szCs w:val="24"/>
        </w:rPr>
        <w:t xml:space="preserve"> 10 (2): 333–45. https://doi.org/10.1038/ismej.2015.115.</w:t>
      </w:r>
    </w:p>
    <w:p w14:paraId="1E6438B7"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Soitamo</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Vesa</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Havurinne</w:t>
      </w:r>
      <w:proofErr w:type="spellEnd"/>
      <w:r w:rsidRPr="0014413A">
        <w:rPr>
          <w:rFonts w:asciiTheme="majorBidi" w:hAnsiTheme="majorBidi"/>
          <w:sz w:val="24"/>
          <w:szCs w:val="24"/>
        </w:rPr>
        <w:t xml:space="preserve">, and Esa </w:t>
      </w:r>
      <w:proofErr w:type="spellStart"/>
      <w:r w:rsidRPr="0014413A">
        <w:rPr>
          <w:rFonts w:asciiTheme="majorBidi" w:hAnsiTheme="majorBidi"/>
          <w:sz w:val="24"/>
          <w:szCs w:val="24"/>
        </w:rPr>
        <w:t>Tyystjärvi</w:t>
      </w:r>
      <w:proofErr w:type="spellEnd"/>
      <w:r w:rsidRPr="0014413A">
        <w:rPr>
          <w:rFonts w:asciiTheme="majorBidi" w:hAnsiTheme="majorBidi"/>
          <w:sz w:val="24"/>
          <w:szCs w:val="24"/>
        </w:rPr>
        <w:t xml:space="preserve">. 2017. “Photoinhibition in Marine </w:t>
      </w:r>
      <w:proofErr w:type="spellStart"/>
      <w:r w:rsidRPr="0014413A">
        <w:rPr>
          <w:rFonts w:asciiTheme="majorBidi" w:hAnsiTheme="majorBidi"/>
          <w:sz w:val="24"/>
          <w:szCs w:val="24"/>
        </w:rPr>
        <w:t>Picocyanobacteria</w:t>
      </w:r>
      <w:proofErr w:type="spellEnd"/>
      <w:r w:rsidRPr="0014413A">
        <w:rPr>
          <w:rFonts w:asciiTheme="majorBidi" w:hAnsiTheme="majorBidi"/>
          <w:sz w:val="24"/>
          <w:szCs w:val="24"/>
        </w:rPr>
        <w:t xml:space="preserve">.” </w:t>
      </w:r>
      <w:proofErr w:type="spellStart"/>
      <w:r w:rsidRPr="0014413A">
        <w:rPr>
          <w:rFonts w:asciiTheme="majorBidi" w:hAnsiTheme="majorBidi"/>
          <w:i/>
          <w:iCs/>
          <w:sz w:val="24"/>
          <w:szCs w:val="24"/>
        </w:rPr>
        <w:t>Physiologia</w:t>
      </w:r>
      <w:proofErr w:type="spellEnd"/>
      <w:r w:rsidRPr="0014413A">
        <w:rPr>
          <w:rFonts w:asciiTheme="majorBidi" w:hAnsiTheme="majorBidi"/>
          <w:i/>
          <w:iCs/>
          <w:sz w:val="24"/>
          <w:szCs w:val="24"/>
        </w:rPr>
        <w:t xml:space="preserve"> Plantarum</w:t>
      </w:r>
      <w:r w:rsidRPr="0014413A">
        <w:rPr>
          <w:rFonts w:asciiTheme="majorBidi" w:hAnsiTheme="majorBidi"/>
          <w:sz w:val="24"/>
          <w:szCs w:val="24"/>
        </w:rPr>
        <w:t xml:space="preserve"> 161 (1): 97–108. https://doi.org/10.1111/ppl.12571.</w:t>
      </w:r>
    </w:p>
    <w:p w14:paraId="05E099D4" w14:textId="3EFB5A2B"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Sokolov, P Stone, C Forest, R Prinn, M Sarofim, M Webster, S </w:t>
      </w:r>
      <w:proofErr w:type="spellStart"/>
      <w:r w:rsidRPr="0014413A">
        <w:rPr>
          <w:rFonts w:asciiTheme="majorBidi" w:hAnsiTheme="majorBidi"/>
          <w:sz w:val="24"/>
          <w:szCs w:val="24"/>
        </w:rPr>
        <w:t>Paltsev</w:t>
      </w:r>
      <w:proofErr w:type="spellEnd"/>
      <w:r w:rsidRPr="0014413A">
        <w:rPr>
          <w:rFonts w:asciiTheme="majorBidi" w:hAnsiTheme="majorBidi"/>
          <w:sz w:val="24"/>
          <w:szCs w:val="24"/>
        </w:rPr>
        <w:t xml:space="preserve">, </w:t>
      </w:r>
      <w:r w:rsidR="00183222" w:rsidRPr="00183222">
        <w:rPr>
          <w:rFonts w:ascii="Times New Roman" w:hAnsi="Times New Roman" w:cs="Times New Roman"/>
          <w:i/>
          <w:iCs/>
          <w:sz w:val="24"/>
          <w:szCs w:val="24"/>
        </w:rPr>
        <w:t>et al</w:t>
      </w:r>
      <w:r w:rsidRPr="0014413A">
        <w:rPr>
          <w:rFonts w:asciiTheme="majorBidi" w:hAnsiTheme="majorBidi"/>
          <w:sz w:val="24"/>
          <w:szCs w:val="24"/>
        </w:rPr>
        <w:t>. 2009. “Probabilistic Forecast for 21st Century Climate Based on Uncertainties in Emissions (without Policy) and Climate Parameters,” 50.</w:t>
      </w:r>
    </w:p>
    <w:p w14:paraId="147A093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Sutherland, Scott D. Wankel, and Colleen M. Hansel. 2020. “Dark Biological Superoxide Production as a Significant Flux and Sink of Marine Dissolved Oxygen.”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117 (7): 3433–39. https://doi.org/10.1073/pnas.1912313117.</w:t>
      </w:r>
    </w:p>
    <w:p w14:paraId="28C093D2" w14:textId="7A5BDA89"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Swan, B. Tupper, A. </w:t>
      </w:r>
      <w:proofErr w:type="spellStart"/>
      <w:r w:rsidRPr="0014413A">
        <w:rPr>
          <w:rFonts w:asciiTheme="majorBidi" w:hAnsiTheme="majorBidi"/>
          <w:sz w:val="24"/>
          <w:szCs w:val="24"/>
        </w:rPr>
        <w:t>Sczyrba</w:t>
      </w:r>
      <w:proofErr w:type="spellEnd"/>
      <w:r w:rsidRPr="0014413A">
        <w:rPr>
          <w:rFonts w:asciiTheme="majorBidi" w:hAnsiTheme="majorBidi"/>
          <w:sz w:val="24"/>
          <w:szCs w:val="24"/>
        </w:rPr>
        <w:t xml:space="preserve">, F. M. Lauro, M. Martinez-Garcia, J. M. Gonzalez, H. Luo,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2013. “Prevalent Genome Streamlining and Latitudinal Divergence of Planktonic Bacteria in the Surface Ocean.”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110 (28): 11463–68. https://doi.org/10.1073/pnas.1304246110.</w:t>
      </w:r>
    </w:p>
    <w:p w14:paraId="7EF3970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Szilárd, László Sass, and Imre Vass. 2002. “Photoinactivation of Photosystem II at Low Light Intensity. Mathematical Models.” </w:t>
      </w:r>
      <w:r w:rsidRPr="0014413A">
        <w:rPr>
          <w:rFonts w:asciiTheme="majorBidi" w:hAnsiTheme="majorBidi"/>
          <w:i/>
          <w:iCs/>
          <w:sz w:val="24"/>
          <w:szCs w:val="24"/>
        </w:rPr>
        <w:t xml:space="preserve">Acta </w:t>
      </w:r>
      <w:proofErr w:type="spellStart"/>
      <w:r w:rsidRPr="0014413A">
        <w:rPr>
          <w:rFonts w:asciiTheme="majorBidi" w:hAnsiTheme="majorBidi"/>
          <w:i/>
          <w:iCs/>
          <w:sz w:val="24"/>
          <w:szCs w:val="24"/>
        </w:rPr>
        <w:t>Biologica</w:t>
      </w:r>
      <w:proofErr w:type="spellEnd"/>
      <w:r w:rsidRPr="0014413A">
        <w:rPr>
          <w:rFonts w:asciiTheme="majorBidi" w:hAnsiTheme="majorBidi"/>
          <w:i/>
          <w:iCs/>
          <w:sz w:val="24"/>
          <w:szCs w:val="24"/>
        </w:rPr>
        <w:t xml:space="preserve"> </w:t>
      </w:r>
      <w:proofErr w:type="spellStart"/>
      <w:r w:rsidRPr="0014413A">
        <w:rPr>
          <w:rFonts w:asciiTheme="majorBidi" w:hAnsiTheme="majorBidi"/>
          <w:i/>
          <w:iCs/>
          <w:sz w:val="24"/>
          <w:szCs w:val="24"/>
        </w:rPr>
        <w:t>Szegediensis</w:t>
      </w:r>
      <w:proofErr w:type="spellEnd"/>
      <w:r w:rsidRPr="0014413A">
        <w:rPr>
          <w:rFonts w:asciiTheme="majorBidi" w:hAnsiTheme="majorBidi"/>
          <w:sz w:val="24"/>
          <w:szCs w:val="24"/>
        </w:rPr>
        <w:t xml:space="preserve"> Volume 46 (3–4): 167–69.</w:t>
      </w:r>
    </w:p>
    <w:p w14:paraId="61F6138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Tagliabue. n.d. “Climate Forecasts: Bring Marine Microbes into the Equation.”</w:t>
      </w:r>
    </w:p>
    <w:p w14:paraId="3857109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Takahashi, and Murray R. Badger. 2011. “Photoprotection in Plants: A New Light on Photosystem II Damage.” </w:t>
      </w:r>
      <w:r w:rsidRPr="0014413A">
        <w:rPr>
          <w:rFonts w:asciiTheme="majorBidi" w:hAnsiTheme="majorBidi"/>
          <w:i/>
          <w:iCs/>
          <w:sz w:val="24"/>
          <w:szCs w:val="24"/>
        </w:rPr>
        <w:t>Trends in Plant Science</w:t>
      </w:r>
      <w:r w:rsidRPr="0014413A">
        <w:rPr>
          <w:rFonts w:asciiTheme="majorBidi" w:hAnsiTheme="majorBidi"/>
          <w:sz w:val="24"/>
          <w:szCs w:val="24"/>
        </w:rPr>
        <w:t xml:space="preserve"> 16 (1): 53–60. https://doi.org/10.1016/j.tplants.2010.10.001.</w:t>
      </w:r>
    </w:p>
    <w:p w14:paraId="7F24F4D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Takahashi, and Norio Murata. 2008. “How Do Environmental Stresses Accelerate Photoinhibition?” </w:t>
      </w:r>
      <w:r w:rsidRPr="0014413A">
        <w:rPr>
          <w:rFonts w:asciiTheme="majorBidi" w:hAnsiTheme="majorBidi"/>
          <w:i/>
          <w:iCs/>
          <w:sz w:val="24"/>
          <w:szCs w:val="24"/>
        </w:rPr>
        <w:t>Trends in Plant Science</w:t>
      </w:r>
      <w:r w:rsidRPr="0014413A">
        <w:rPr>
          <w:rFonts w:asciiTheme="majorBidi" w:hAnsiTheme="majorBidi"/>
          <w:sz w:val="24"/>
          <w:szCs w:val="24"/>
        </w:rPr>
        <w:t xml:space="preserve"> 13 (4): 178–82. https://doi.org/10.1016/j.tplants.2008.01.005.</w:t>
      </w:r>
    </w:p>
    <w:p w14:paraId="47D25AA3"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Talmy</w:t>
      </w:r>
      <w:proofErr w:type="spellEnd"/>
      <w:r w:rsidRPr="0014413A">
        <w:rPr>
          <w:rFonts w:asciiTheme="majorBidi" w:hAnsiTheme="majorBidi"/>
          <w:sz w:val="24"/>
          <w:szCs w:val="24"/>
        </w:rPr>
        <w:t xml:space="preserve">, Stephen J. Beckett, Adam B. Zhang, Darcy A. A. Taniguchi, Joshua S. Weitz, and </w:t>
      </w:r>
      <w:r w:rsidRPr="0014413A">
        <w:rPr>
          <w:rFonts w:asciiTheme="majorBidi" w:hAnsiTheme="majorBidi"/>
          <w:sz w:val="24"/>
          <w:szCs w:val="24"/>
        </w:rPr>
        <w:lastRenderedPageBreak/>
        <w:t xml:space="preserve">Michael J. Follows. 2019. “Contrasting Controls on Microzooplankton Grazing and Viral Infection of Microbial Prey.” </w:t>
      </w:r>
      <w:r w:rsidRPr="0014413A">
        <w:rPr>
          <w:rFonts w:asciiTheme="majorBidi" w:hAnsiTheme="majorBidi"/>
          <w:i/>
          <w:iCs/>
          <w:sz w:val="24"/>
          <w:szCs w:val="24"/>
        </w:rPr>
        <w:t>Frontiers in Marine Science</w:t>
      </w:r>
      <w:r w:rsidRPr="0014413A">
        <w:rPr>
          <w:rFonts w:asciiTheme="majorBidi" w:hAnsiTheme="majorBidi"/>
          <w:sz w:val="24"/>
          <w:szCs w:val="24"/>
        </w:rPr>
        <w:t xml:space="preserve"> 6 (April):182. https://doi.org/10.3389/fmars.2019.00182.</w:t>
      </w:r>
    </w:p>
    <w:p w14:paraId="6BEBFA6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Thompson, Mohamed F Haroon, Ahmed A </w:t>
      </w:r>
      <w:proofErr w:type="spellStart"/>
      <w:r w:rsidRPr="0014413A">
        <w:rPr>
          <w:rFonts w:asciiTheme="majorBidi" w:hAnsiTheme="majorBidi"/>
          <w:sz w:val="24"/>
          <w:szCs w:val="24"/>
        </w:rPr>
        <w:t>Shibl</w:t>
      </w:r>
      <w:proofErr w:type="spellEnd"/>
      <w:r w:rsidRPr="0014413A">
        <w:rPr>
          <w:rFonts w:asciiTheme="majorBidi" w:hAnsiTheme="majorBidi"/>
          <w:sz w:val="24"/>
          <w:szCs w:val="24"/>
        </w:rPr>
        <w:t xml:space="preserve">, Matt J Cahill, David K Ngugi, Gareth J Williams, James T Morton, Rob Knight, Kelly D Goodwin, and Ulrich Stingl. 2019. “Red Sea SAR11 and Prochlorococcus Single-Cell Genomes Reflect Globally Distributed Pangenomes.” </w:t>
      </w:r>
      <w:r w:rsidRPr="0014413A">
        <w:rPr>
          <w:rFonts w:asciiTheme="majorBidi" w:hAnsiTheme="majorBidi"/>
          <w:i/>
          <w:iCs/>
          <w:sz w:val="24"/>
          <w:szCs w:val="24"/>
        </w:rPr>
        <w:t>Applied and Environmental Microbiology</w:t>
      </w:r>
      <w:r w:rsidRPr="0014413A">
        <w:rPr>
          <w:rFonts w:asciiTheme="majorBidi" w:hAnsiTheme="majorBidi"/>
          <w:sz w:val="24"/>
          <w:szCs w:val="24"/>
        </w:rPr>
        <w:t xml:space="preserve"> 85 (13): 18.</w:t>
      </w:r>
    </w:p>
    <w:p w14:paraId="56F21D6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Thompson, </w:t>
      </w:r>
      <w:proofErr w:type="spellStart"/>
      <w:r w:rsidRPr="0014413A">
        <w:rPr>
          <w:rFonts w:asciiTheme="majorBidi" w:hAnsiTheme="majorBidi"/>
          <w:sz w:val="24"/>
          <w:szCs w:val="24"/>
        </w:rPr>
        <w:t>Genivaldo</w:t>
      </w:r>
      <w:proofErr w:type="spellEnd"/>
      <w:r w:rsidRPr="0014413A">
        <w:rPr>
          <w:rFonts w:asciiTheme="majorBidi" w:hAnsiTheme="majorBidi"/>
          <w:sz w:val="24"/>
          <w:szCs w:val="24"/>
        </w:rPr>
        <w:t xml:space="preserve"> G. Z. Silva, Nayra M. Vieira, Robert Edwards, Ana Carolina P. Vicente, and Fabiano L. Thompson. 2013. “Genomic Taxonomy of the Genus Prochlorococcus.” </w:t>
      </w:r>
      <w:r w:rsidRPr="0014413A">
        <w:rPr>
          <w:rFonts w:asciiTheme="majorBidi" w:hAnsiTheme="majorBidi"/>
          <w:i/>
          <w:iCs/>
          <w:sz w:val="24"/>
          <w:szCs w:val="24"/>
        </w:rPr>
        <w:t>Microbial Ecology</w:t>
      </w:r>
      <w:r w:rsidRPr="0014413A">
        <w:rPr>
          <w:rFonts w:asciiTheme="majorBidi" w:hAnsiTheme="majorBidi"/>
          <w:sz w:val="24"/>
          <w:szCs w:val="24"/>
        </w:rPr>
        <w:t xml:space="preserve"> 66 (4): 752–62. https://doi.org/10.1007/s00248-013-0270-8.</w:t>
      </w:r>
    </w:p>
    <w:p w14:paraId="215FE0E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Thomson, Andrew T. Davidson, Rick van den </w:t>
      </w:r>
      <w:proofErr w:type="spellStart"/>
      <w:r w:rsidRPr="0014413A">
        <w:rPr>
          <w:rFonts w:asciiTheme="majorBidi" w:hAnsiTheme="majorBidi"/>
          <w:sz w:val="24"/>
          <w:szCs w:val="24"/>
        </w:rPr>
        <w:t>Enden</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Imojen</w:t>
      </w:r>
      <w:proofErr w:type="spellEnd"/>
      <w:r w:rsidRPr="0014413A">
        <w:rPr>
          <w:rFonts w:asciiTheme="majorBidi" w:hAnsiTheme="majorBidi"/>
          <w:sz w:val="24"/>
          <w:szCs w:val="24"/>
        </w:rPr>
        <w:t xml:space="preserve"> Pearce, Laurent </w:t>
      </w:r>
      <w:proofErr w:type="spellStart"/>
      <w:r w:rsidRPr="0014413A">
        <w:rPr>
          <w:rFonts w:asciiTheme="majorBidi" w:hAnsiTheme="majorBidi"/>
          <w:sz w:val="24"/>
          <w:szCs w:val="24"/>
        </w:rPr>
        <w:t>Seuront</w:t>
      </w:r>
      <w:proofErr w:type="spellEnd"/>
      <w:r w:rsidRPr="0014413A">
        <w:rPr>
          <w:rFonts w:asciiTheme="majorBidi" w:hAnsiTheme="majorBidi"/>
          <w:sz w:val="24"/>
          <w:szCs w:val="24"/>
        </w:rPr>
        <w:t xml:space="preserve">, James S. Paterson, and Guy D. Williams. 2010. “Distribution and Abundance of Marine Microbes in the Southern Ocean between 30 and 80°E.” </w:t>
      </w:r>
      <w:r w:rsidRPr="0014413A">
        <w:rPr>
          <w:rFonts w:asciiTheme="majorBidi" w:hAnsiTheme="majorBidi"/>
          <w:i/>
          <w:iCs/>
          <w:sz w:val="24"/>
          <w:szCs w:val="24"/>
        </w:rPr>
        <w:t>Deep Sea Research Part II: Topical Studies in Oceanography</w:t>
      </w:r>
      <w:r w:rsidRPr="0014413A">
        <w:rPr>
          <w:rFonts w:asciiTheme="majorBidi" w:hAnsiTheme="majorBidi"/>
          <w:sz w:val="24"/>
          <w:szCs w:val="24"/>
        </w:rPr>
        <w:t xml:space="preserve"> 57 (9–10): 815–27. https://doi.org/10.1016/j.dsr2.2008.10.040.</w:t>
      </w:r>
    </w:p>
    <w:p w14:paraId="7643AC8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Tilman. 1977. “Resource Competition between Plankton Algae: An Experimental and Theoretical Approach.” </w:t>
      </w:r>
      <w:r w:rsidRPr="0014413A">
        <w:rPr>
          <w:rFonts w:asciiTheme="majorBidi" w:hAnsiTheme="majorBidi"/>
          <w:i/>
          <w:iCs/>
          <w:sz w:val="24"/>
          <w:szCs w:val="24"/>
        </w:rPr>
        <w:t>Ecology</w:t>
      </w:r>
      <w:r w:rsidRPr="0014413A">
        <w:rPr>
          <w:rFonts w:asciiTheme="majorBidi" w:hAnsiTheme="majorBidi"/>
          <w:sz w:val="24"/>
          <w:szCs w:val="24"/>
        </w:rPr>
        <w:t xml:space="preserve"> 58 (2): 338–48. https://doi.org/10.2307/1935608.</w:t>
      </w:r>
    </w:p>
    <w:p w14:paraId="1D3E69C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1982. </w:t>
      </w:r>
      <w:r w:rsidRPr="0014413A">
        <w:rPr>
          <w:rFonts w:asciiTheme="majorBidi" w:hAnsiTheme="majorBidi"/>
          <w:i/>
          <w:iCs/>
          <w:sz w:val="24"/>
          <w:szCs w:val="24"/>
        </w:rPr>
        <w:t>Resource Competition and Community Structure.</w:t>
      </w:r>
      <w:r w:rsidRPr="0014413A">
        <w:rPr>
          <w:rFonts w:asciiTheme="majorBidi" w:hAnsiTheme="majorBidi"/>
          <w:sz w:val="24"/>
          <w:szCs w:val="24"/>
        </w:rPr>
        <w:t xml:space="preserve"> Vol. Volume 17.</w:t>
      </w:r>
    </w:p>
    <w:p w14:paraId="7E6C835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Tjell, and Kristoffer Almdal. 2018. “Diffusion Rate of Hydrogen Peroxide through Water-Swelled Polyurethane Membranes.” </w:t>
      </w:r>
      <w:r w:rsidRPr="0014413A">
        <w:rPr>
          <w:rFonts w:asciiTheme="majorBidi" w:hAnsiTheme="majorBidi"/>
          <w:i/>
          <w:iCs/>
          <w:sz w:val="24"/>
          <w:szCs w:val="24"/>
        </w:rPr>
        <w:t>Sensing and Bio-Sensing Research</w:t>
      </w:r>
      <w:r w:rsidRPr="0014413A">
        <w:rPr>
          <w:rFonts w:asciiTheme="majorBidi" w:hAnsiTheme="majorBidi"/>
          <w:sz w:val="24"/>
          <w:szCs w:val="24"/>
        </w:rPr>
        <w:t xml:space="preserve"> 21 (November):35–39. https://doi.org/10.1016/j.sbsr.2018.10.001.</w:t>
      </w:r>
    </w:p>
    <w:p w14:paraId="23F81D44" w14:textId="75C2B67F"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Tovmasyan, Clarissa G.C. Maia, Tin Weitner, Sebastián </w:t>
      </w:r>
      <w:proofErr w:type="spellStart"/>
      <w:r w:rsidRPr="0014413A">
        <w:rPr>
          <w:rFonts w:asciiTheme="majorBidi" w:hAnsiTheme="majorBidi"/>
          <w:sz w:val="24"/>
          <w:szCs w:val="24"/>
        </w:rPr>
        <w:t>Carballal</w:t>
      </w:r>
      <w:proofErr w:type="spellEnd"/>
      <w:r w:rsidRPr="0014413A">
        <w:rPr>
          <w:rFonts w:asciiTheme="majorBidi" w:hAnsiTheme="majorBidi"/>
          <w:sz w:val="24"/>
          <w:szCs w:val="24"/>
        </w:rPr>
        <w:t xml:space="preserve">, Romulo S. Sampaio, Dominik Lieb, Robert Ghazaryan,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2015. “A Comprehensive Evaluation of Catalase-like Activity of Different Classes of Redox-Active Therapeutics.” </w:t>
      </w:r>
      <w:r w:rsidRPr="0014413A">
        <w:rPr>
          <w:rFonts w:asciiTheme="majorBidi" w:hAnsiTheme="majorBidi"/>
          <w:i/>
          <w:iCs/>
          <w:sz w:val="24"/>
          <w:szCs w:val="24"/>
        </w:rPr>
        <w:t>Free Radical Biology and Medicine</w:t>
      </w:r>
      <w:r w:rsidRPr="0014413A">
        <w:rPr>
          <w:rFonts w:asciiTheme="majorBidi" w:hAnsiTheme="majorBidi"/>
          <w:sz w:val="24"/>
          <w:szCs w:val="24"/>
        </w:rPr>
        <w:t xml:space="preserve"> 86 (September):308–21. https://doi.org/10.1016/j.freeradbiomed.2015.05.018.</w:t>
      </w:r>
    </w:p>
    <w:p w14:paraId="0087801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Traving, Martha R.J. </w:t>
      </w:r>
      <w:proofErr w:type="spellStart"/>
      <w:r w:rsidRPr="0014413A">
        <w:rPr>
          <w:rFonts w:asciiTheme="majorBidi" w:hAnsiTheme="majorBidi"/>
          <w:sz w:val="24"/>
          <w:szCs w:val="24"/>
        </w:rPr>
        <w:t>Clokie</w:t>
      </w:r>
      <w:proofErr w:type="spellEnd"/>
      <w:r w:rsidRPr="0014413A">
        <w:rPr>
          <w:rFonts w:asciiTheme="majorBidi" w:hAnsiTheme="majorBidi"/>
          <w:sz w:val="24"/>
          <w:szCs w:val="24"/>
        </w:rPr>
        <w:t xml:space="preserve">, and Mathias Middelboe. 2014. “Increased Acidification Has a Profound Effect on the Interactions between the Cyanobacterium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Sp. WH7803 and Its Viruses.” </w:t>
      </w:r>
      <w:r w:rsidRPr="0014413A">
        <w:rPr>
          <w:rFonts w:asciiTheme="majorBidi" w:hAnsiTheme="majorBidi"/>
          <w:i/>
          <w:iCs/>
          <w:sz w:val="24"/>
          <w:szCs w:val="24"/>
        </w:rPr>
        <w:t>FEMS Microbiology Ecology</w:t>
      </w:r>
      <w:r w:rsidRPr="0014413A">
        <w:rPr>
          <w:rFonts w:asciiTheme="majorBidi" w:hAnsiTheme="majorBidi"/>
          <w:sz w:val="24"/>
          <w:szCs w:val="24"/>
        </w:rPr>
        <w:t xml:space="preserve"> 87 (1): 133–41. https://doi.org/10.1111/1574-6941.12199.</w:t>
      </w:r>
    </w:p>
    <w:p w14:paraId="6948AEC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Treusch, Kevin L Vergin, Liam A Finlay, Michael G </w:t>
      </w:r>
      <w:proofErr w:type="spellStart"/>
      <w:r w:rsidRPr="0014413A">
        <w:rPr>
          <w:rFonts w:asciiTheme="majorBidi" w:hAnsiTheme="majorBidi"/>
          <w:sz w:val="24"/>
          <w:szCs w:val="24"/>
        </w:rPr>
        <w:t>Donatz</w:t>
      </w:r>
      <w:proofErr w:type="spellEnd"/>
      <w:r w:rsidRPr="0014413A">
        <w:rPr>
          <w:rFonts w:asciiTheme="majorBidi" w:hAnsiTheme="majorBidi"/>
          <w:sz w:val="24"/>
          <w:szCs w:val="24"/>
        </w:rPr>
        <w:t xml:space="preserve">, Robert M Burton, Craig A Carlson, and Stephen J Giovannoni. 2009. “Seasonality and Vertical Structure of Microbial Communities in an Ocean Gyre.” </w:t>
      </w:r>
      <w:r w:rsidRPr="0014413A">
        <w:rPr>
          <w:rFonts w:asciiTheme="majorBidi" w:hAnsiTheme="majorBidi"/>
          <w:i/>
          <w:iCs/>
          <w:sz w:val="24"/>
          <w:szCs w:val="24"/>
        </w:rPr>
        <w:t>The ISME Journal</w:t>
      </w:r>
      <w:r w:rsidRPr="0014413A">
        <w:rPr>
          <w:rFonts w:asciiTheme="majorBidi" w:hAnsiTheme="majorBidi"/>
          <w:sz w:val="24"/>
          <w:szCs w:val="24"/>
        </w:rPr>
        <w:t xml:space="preserve"> 3 (10): 1148–63. https://doi.org/10.1038/ismej.2009.60.</w:t>
      </w:r>
    </w:p>
    <w:p w14:paraId="2466787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Tripathi, Indu Bhatt, and Karl-Josef Dietz. 2009. “Peroxiredoxins: A Less Studied Component of </w:t>
      </w:r>
      <w:r w:rsidRPr="0014413A">
        <w:rPr>
          <w:rFonts w:asciiTheme="majorBidi" w:hAnsiTheme="majorBidi"/>
          <w:sz w:val="24"/>
          <w:szCs w:val="24"/>
        </w:rPr>
        <w:lastRenderedPageBreak/>
        <w:t xml:space="preserve">Hydrogen Peroxide Detoxification in Photosynthetic Organisms.” </w:t>
      </w:r>
      <w:proofErr w:type="spellStart"/>
      <w:r w:rsidRPr="0014413A">
        <w:rPr>
          <w:rFonts w:asciiTheme="majorBidi" w:hAnsiTheme="majorBidi"/>
          <w:i/>
          <w:iCs/>
          <w:sz w:val="24"/>
          <w:szCs w:val="24"/>
        </w:rPr>
        <w:t>Protoplasma</w:t>
      </w:r>
      <w:proofErr w:type="spellEnd"/>
      <w:r w:rsidRPr="0014413A">
        <w:rPr>
          <w:rFonts w:asciiTheme="majorBidi" w:hAnsiTheme="majorBidi"/>
          <w:sz w:val="24"/>
          <w:szCs w:val="24"/>
        </w:rPr>
        <w:t xml:space="preserve"> 235 (1–4): 3–15. https://doi.org/10.1007/s00709-009-0032-0.</w:t>
      </w:r>
    </w:p>
    <w:p w14:paraId="0A274C1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Ulloa, Carlos Henríquez-Castillo, Salvador Ramírez-</w:t>
      </w:r>
      <w:proofErr w:type="spellStart"/>
      <w:r w:rsidRPr="0014413A">
        <w:rPr>
          <w:rFonts w:asciiTheme="majorBidi" w:hAnsiTheme="majorBidi"/>
          <w:sz w:val="24"/>
          <w:szCs w:val="24"/>
        </w:rPr>
        <w:t>Flandes</w:t>
      </w:r>
      <w:proofErr w:type="spellEnd"/>
      <w:r w:rsidRPr="0014413A">
        <w:rPr>
          <w:rFonts w:asciiTheme="majorBidi" w:hAnsiTheme="majorBidi"/>
          <w:sz w:val="24"/>
          <w:szCs w:val="24"/>
        </w:rPr>
        <w:t xml:space="preserve">, Alvaro M. </w:t>
      </w:r>
      <w:proofErr w:type="spellStart"/>
      <w:r w:rsidRPr="0014413A">
        <w:rPr>
          <w:rFonts w:asciiTheme="majorBidi" w:hAnsiTheme="majorBidi"/>
          <w:sz w:val="24"/>
          <w:szCs w:val="24"/>
        </w:rPr>
        <w:t>Plominsky</w:t>
      </w:r>
      <w:proofErr w:type="spellEnd"/>
      <w:r w:rsidRPr="0014413A">
        <w:rPr>
          <w:rFonts w:asciiTheme="majorBidi" w:hAnsiTheme="majorBidi"/>
          <w:sz w:val="24"/>
          <w:szCs w:val="24"/>
        </w:rPr>
        <w:t xml:space="preserve">, Alejandro A. Murillo, Connor Morgan-Lang, Steven J. Hallam, and Ramunas </w:t>
      </w:r>
      <w:proofErr w:type="spellStart"/>
      <w:r w:rsidRPr="0014413A">
        <w:rPr>
          <w:rFonts w:asciiTheme="majorBidi" w:hAnsiTheme="majorBidi"/>
          <w:sz w:val="24"/>
          <w:szCs w:val="24"/>
        </w:rPr>
        <w:t>Stepanauskas</w:t>
      </w:r>
      <w:proofErr w:type="spellEnd"/>
      <w:r w:rsidRPr="0014413A">
        <w:rPr>
          <w:rFonts w:asciiTheme="majorBidi" w:hAnsiTheme="majorBidi"/>
          <w:sz w:val="24"/>
          <w:szCs w:val="24"/>
        </w:rPr>
        <w:t xml:space="preserve">. 2021. “The Cyanobacterium </w:t>
      </w:r>
      <w:r w:rsidRPr="0014413A">
        <w:rPr>
          <w:rFonts w:asciiTheme="majorBidi" w:hAnsiTheme="majorBidi"/>
          <w:i/>
          <w:iCs/>
          <w:sz w:val="24"/>
          <w:szCs w:val="24"/>
        </w:rPr>
        <w:t>Prochlorococcus</w:t>
      </w:r>
      <w:r w:rsidRPr="0014413A">
        <w:rPr>
          <w:rFonts w:asciiTheme="majorBidi" w:hAnsiTheme="majorBidi"/>
          <w:sz w:val="24"/>
          <w:szCs w:val="24"/>
        </w:rPr>
        <w:t xml:space="preserve"> Has Divergent Light-Harvesting Antennae and May Have Evolved in a Low-Oxygen Ocean.”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118 (11): e2025638118. https://doi.org/10.1073/pnas.2025638118.</w:t>
      </w:r>
    </w:p>
    <w:p w14:paraId="209DC07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Urbach, David J. Scanlan, Daniel L. Distel, John B. Waterbury, and Sallie W. Chisholm. 1998. “Rapid Diversification of Marine Picophytoplankton with Dissimilar Light-Harvesting Structures Inferred from Sequences of Prochlorococcus and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xml:space="preserve"> (Cyanobacteria).” </w:t>
      </w:r>
      <w:r w:rsidRPr="0014413A">
        <w:rPr>
          <w:rFonts w:asciiTheme="majorBidi" w:hAnsiTheme="majorBidi"/>
          <w:i/>
          <w:iCs/>
          <w:sz w:val="24"/>
          <w:szCs w:val="24"/>
        </w:rPr>
        <w:t>Journal of Molecular Evolution</w:t>
      </w:r>
      <w:r w:rsidRPr="0014413A">
        <w:rPr>
          <w:rFonts w:asciiTheme="majorBidi" w:hAnsiTheme="majorBidi"/>
          <w:sz w:val="24"/>
          <w:szCs w:val="24"/>
        </w:rPr>
        <w:t xml:space="preserve"> 46 (2): 188–201. https://doi.org/10.1007/PL00006294.</w:t>
      </w:r>
    </w:p>
    <w:p w14:paraId="5EECF64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Ustick. 2022. “Global</w:t>
      </w:r>
      <w:r w:rsidRPr="0014413A">
        <w:rPr>
          <w:rFonts w:asciiTheme="majorBidi" w:hAnsiTheme="majorBidi"/>
          <w:sz w:val="24"/>
          <w:szCs w:val="24"/>
        </w:rPr>
        <w:tab/>
        <w:t>Analysis</w:t>
      </w:r>
      <w:r w:rsidRPr="0014413A">
        <w:rPr>
          <w:rFonts w:asciiTheme="majorBidi" w:hAnsiTheme="majorBidi"/>
          <w:sz w:val="24"/>
          <w:szCs w:val="24"/>
        </w:rPr>
        <w:tab/>
        <w:t>of</w:t>
      </w:r>
      <w:r w:rsidRPr="0014413A">
        <w:rPr>
          <w:rFonts w:asciiTheme="majorBidi" w:hAnsiTheme="majorBidi"/>
          <w:sz w:val="24"/>
          <w:szCs w:val="24"/>
        </w:rPr>
        <w:tab/>
        <w:t>Nutrient</w:t>
      </w:r>
      <w:r w:rsidRPr="0014413A">
        <w:rPr>
          <w:rFonts w:asciiTheme="majorBidi" w:hAnsiTheme="majorBidi"/>
          <w:sz w:val="24"/>
          <w:szCs w:val="24"/>
        </w:rPr>
        <w:tab/>
        <w:t>Limitation</w:t>
      </w:r>
      <w:r w:rsidRPr="0014413A">
        <w:rPr>
          <w:rFonts w:asciiTheme="majorBidi" w:hAnsiTheme="majorBidi"/>
          <w:sz w:val="24"/>
          <w:szCs w:val="24"/>
        </w:rPr>
        <w:tab/>
        <w:t>and</w:t>
      </w:r>
      <w:r w:rsidRPr="0014413A">
        <w:rPr>
          <w:rFonts w:asciiTheme="majorBidi" w:hAnsiTheme="majorBidi"/>
          <w:sz w:val="24"/>
          <w:szCs w:val="24"/>
        </w:rPr>
        <w:tab/>
      </w:r>
      <w:proofErr w:type="spellStart"/>
      <w:r w:rsidRPr="0014413A">
        <w:rPr>
          <w:rFonts w:asciiTheme="majorBidi" w:hAnsiTheme="majorBidi"/>
          <w:sz w:val="24"/>
          <w:szCs w:val="24"/>
        </w:rPr>
        <w:t>Microdiversity</w:t>
      </w:r>
      <w:proofErr w:type="spellEnd"/>
      <w:r w:rsidRPr="0014413A">
        <w:rPr>
          <w:rFonts w:asciiTheme="majorBidi" w:hAnsiTheme="majorBidi"/>
          <w:sz w:val="24"/>
          <w:szCs w:val="24"/>
        </w:rPr>
        <w:tab/>
        <w:t>of</w:t>
      </w:r>
      <w:r w:rsidRPr="0014413A">
        <w:rPr>
          <w:rFonts w:asciiTheme="majorBidi" w:hAnsiTheme="majorBidi"/>
          <w:sz w:val="24"/>
          <w:szCs w:val="24"/>
        </w:rPr>
        <w:tab/>
        <w:t>Prochlorococcus.” Irvine: UNIVERSITY</w:t>
      </w:r>
      <w:r w:rsidRPr="0014413A">
        <w:rPr>
          <w:rFonts w:asciiTheme="majorBidi" w:hAnsiTheme="majorBidi"/>
          <w:sz w:val="24"/>
          <w:szCs w:val="24"/>
        </w:rPr>
        <w:tab/>
        <w:t>OF</w:t>
      </w:r>
      <w:r w:rsidRPr="0014413A">
        <w:rPr>
          <w:rFonts w:asciiTheme="majorBidi" w:hAnsiTheme="majorBidi"/>
          <w:sz w:val="24"/>
          <w:szCs w:val="24"/>
        </w:rPr>
        <w:tab/>
        <w:t>CALIFORNIA.</w:t>
      </w:r>
    </w:p>
    <w:p w14:paraId="43B127AF"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 </w:t>
      </w:r>
      <w:proofErr w:type="spellStart"/>
      <w:r w:rsidRPr="0014413A">
        <w:rPr>
          <w:rFonts w:asciiTheme="majorBidi" w:hAnsiTheme="majorBidi"/>
          <w:sz w:val="24"/>
          <w:szCs w:val="24"/>
        </w:rPr>
        <w:t>Klochko</w:t>
      </w:r>
      <w:proofErr w:type="spellEnd"/>
      <w:r w:rsidRPr="0014413A">
        <w:rPr>
          <w:rFonts w:asciiTheme="majorBidi" w:hAnsiTheme="majorBidi"/>
          <w:sz w:val="24"/>
          <w:szCs w:val="24"/>
        </w:rPr>
        <w:t xml:space="preserve">, Liubov B. Zelena, Sergei I. </w:t>
      </w:r>
      <w:proofErr w:type="spellStart"/>
      <w:r w:rsidRPr="0014413A">
        <w:rPr>
          <w:rFonts w:asciiTheme="majorBidi" w:hAnsiTheme="majorBidi"/>
          <w:sz w:val="24"/>
          <w:szCs w:val="24"/>
        </w:rPr>
        <w:t>Voychuk</w:t>
      </w:r>
      <w:proofErr w:type="spellEnd"/>
      <w:r w:rsidRPr="0014413A">
        <w:rPr>
          <w:rFonts w:asciiTheme="majorBidi" w:hAnsiTheme="majorBidi"/>
          <w:sz w:val="24"/>
          <w:szCs w:val="24"/>
        </w:rPr>
        <w:t>, and Andriy N. Ostapchuk. 2012. “Peculiarities of &lt;I&gt;</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Macleodii</w:t>
      </w:r>
      <w:proofErr w:type="spellEnd"/>
      <w:r w:rsidRPr="0014413A">
        <w:rPr>
          <w:rFonts w:asciiTheme="majorBidi" w:hAnsiTheme="majorBidi"/>
          <w:sz w:val="24"/>
          <w:szCs w:val="24"/>
        </w:rPr>
        <w:t xml:space="preserve">&lt;/I&gt; Strains Reflects Their Deep/Surface Habitation Rather than Geographical Distribution.” </w:t>
      </w:r>
      <w:r w:rsidRPr="0014413A">
        <w:rPr>
          <w:rFonts w:asciiTheme="majorBidi" w:hAnsiTheme="majorBidi"/>
          <w:i/>
          <w:iCs/>
          <w:sz w:val="24"/>
          <w:szCs w:val="24"/>
        </w:rPr>
        <w:t>The Journal of General and Applied Microbiology</w:t>
      </w:r>
      <w:r w:rsidRPr="0014413A">
        <w:rPr>
          <w:rFonts w:asciiTheme="majorBidi" w:hAnsiTheme="majorBidi"/>
          <w:sz w:val="24"/>
          <w:szCs w:val="24"/>
        </w:rPr>
        <w:t xml:space="preserve"> 58 (2): 129–35. https://doi.org/10.2323/jgam.58.129.</w:t>
      </w:r>
    </w:p>
    <w:p w14:paraId="7E4C444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Vaughan, and Neil V. Blough. 1998. “Photochemical Formation of Hydroxyl Radical by Constituents of Natural Waters.” </w:t>
      </w:r>
      <w:r w:rsidRPr="0014413A">
        <w:rPr>
          <w:rFonts w:asciiTheme="majorBidi" w:hAnsiTheme="majorBidi"/>
          <w:i/>
          <w:iCs/>
          <w:sz w:val="24"/>
          <w:szCs w:val="24"/>
        </w:rPr>
        <w:t>Environmental Science &amp; Technology</w:t>
      </w:r>
      <w:r w:rsidRPr="0014413A">
        <w:rPr>
          <w:rFonts w:asciiTheme="majorBidi" w:hAnsiTheme="majorBidi"/>
          <w:sz w:val="24"/>
          <w:szCs w:val="24"/>
        </w:rPr>
        <w:t xml:space="preserve"> 32 (19): 2947–53. https://doi.org/10.1021/es9710417.</w:t>
      </w:r>
    </w:p>
    <w:p w14:paraId="4EE3701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Venkatesan, Lenin </w:t>
      </w:r>
      <w:proofErr w:type="spellStart"/>
      <w:r w:rsidRPr="0014413A">
        <w:rPr>
          <w:rFonts w:asciiTheme="majorBidi" w:hAnsiTheme="majorBidi"/>
          <w:sz w:val="24"/>
          <w:szCs w:val="24"/>
        </w:rPr>
        <w:t>Mahimainathan</w:t>
      </w:r>
      <w:proofErr w:type="spellEnd"/>
      <w:r w:rsidRPr="0014413A">
        <w:rPr>
          <w:rFonts w:asciiTheme="majorBidi" w:hAnsiTheme="majorBidi"/>
          <w:sz w:val="24"/>
          <w:szCs w:val="24"/>
        </w:rPr>
        <w:t xml:space="preserve">, Falguni Das, Nandini Ghosh-Choudhury, and Goutam Ghosh Choudhury. 2007. “Downregulation of Catalase by Reactive Oxygen Species via PI 3 Kinase/Akt Signaling in Mesangial Cells.” </w:t>
      </w:r>
      <w:r w:rsidRPr="0014413A">
        <w:rPr>
          <w:rFonts w:asciiTheme="majorBidi" w:hAnsiTheme="majorBidi"/>
          <w:i/>
          <w:iCs/>
          <w:sz w:val="24"/>
          <w:szCs w:val="24"/>
        </w:rPr>
        <w:t>Journal of Cellular Physiology</w:t>
      </w:r>
      <w:r w:rsidRPr="0014413A">
        <w:rPr>
          <w:rFonts w:asciiTheme="majorBidi" w:hAnsiTheme="majorBidi"/>
          <w:sz w:val="24"/>
          <w:szCs w:val="24"/>
        </w:rPr>
        <w:t xml:space="preserve"> 211 (2): 457–67. https://doi.org/10.1002/jcp.20953.</w:t>
      </w:r>
    </w:p>
    <w:p w14:paraId="0650139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Venrick. 1982. “Phytoplankton in an Oligotrophic Ocean: Observations and Questions: Ecological Archives M052-002.” </w:t>
      </w:r>
      <w:r w:rsidRPr="0014413A">
        <w:rPr>
          <w:rFonts w:asciiTheme="majorBidi" w:hAnsiTheme="majorBidi"/>
          <w:i/>
          <w:iCs/>
          <w:sz w:val="24"/>
          <w:szCs w:val="24"/>
        </w:rPr>
        <w:t>Ecological Monographs</w:t>
      </w:r>
      <w:r w:rsidRPr="0014413A">
        <w:rPr>
          <w:rFonts w:asciiTheme="majorBidi" w:hAnsiTheme="majorBidi"/>
          <w:sz w:val="24"/>
          <w:szCs w:val="24"/>
        </w:rPr>
        <w:t xml:space="preserve"> 52 (2): 129–54. https://doi.org/10.2307/1942608.</w:t>
      </w:r>
    </w:p>
    <w:p w14:paraId="490BB37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Visintini, Adam C. Martiny, and Pedro </w:t>
      </w:r>
      <w:proofErr w:type="spellStart"/>
      <w:r w:rsidRPr="0014413A">
        <w:rPr>
          <w:rFonts w:asciiTheme="majorBidi" w:hAnsiTheme="majorBidi"/>
          <w:sz w:val="24"/>
          <w:szCs w:val="24"/>
        </w:rPr>
        <w:t>Flombaum</w:t>
      </w:r>
      <w:proofErr w:type="spellEnd"/>
      <w:r w:rsidRPr="0014413A">
        <w:rPr>
          <w:rFonts w:asciiTheme="majorBidi" w:hAnsiTheme="majorBidi"/>
          <w:sz w:val="24"/>
          <w:szCs w:val="24"/>
        </w:rPr>
        <w:t>. 2021. “</w:t>
      </w:r>
      <w:proofErr w:type="gramStart"/>
      <w:r w:rsidRPr="0014413A">
        <w:rPr>
          <w:rFonts w:asciiTheme="majorBidi" w:hAnsiTheme="majorBidi"/>
          <w:i/>
          <w:iCs/>
          <w:sz w:val="24"/>
          <w:szCs w:val="24"/>
        </w:rPr>
        <w:t>Prochlorococcus</w:t>
      </w:r>
      <w:r w:rsidRPr="0014413A">
        <w:rPr>
          <w:rFonts w:asciiTheme="majorBidi" w:hAnsiTheme="majorBidi"/>
          <w:sz w:val="24"/>
          <w:szCs w:val="24"/>
        </w:rPr>
        <w:t xml:space="preserve"> ,</w:t>
      </w:r>
      <w:proofErr w:type="gramEnd"/>
      <w:r w:rsidRPr="0014413A">
        <w:rPr>
          <w:rFonts w:asciiTheme="majorBidi" w:hAnsiTheme="majorBidi"/>
          <w:sz w:val="24"/>
          <w:szCs w:val="24"/>
        </w:rPr>
        <w:t xml:space="preserve"> </w:t>
      </w:r>
      <w:proofErr w:type="spellStart"/>
      <w:r w:rsidRPr="0014413A">
        <w:rPr>
          <w:rFonts w:asciiTheme="majorBidi" w:hAnsiTheme="majorBidi"/>
          <w:i/>
          <w:iCs/>
          <w:sz w:val="24"/>
          <w:szCs w:val="24"/>
        </w:rPr>
        <w:t>Synechococcus</w:t>
      </w:r>
      <w:proofErr w:type="spellEnd"/>
      <w:r w:rsidRPr="0014413A">
        <w:rPr>
          <w:rFonts w:asciiTheme="majorBidi" w:hAnsiTheme="majorBidi"/>
          <w:sz w:val="24"/>
          <w:szCs w:val="24"/>
        </w:rPr>
        <w:t xml:space="preserve"> , and </w:t>
      </w:r>
      <w:proofErr w:type="spellStart"/>
      <w:r w:rsidRPr="0014413A">
        <w:rPr>
          <w:rFonts w:asciiTheme="majorBidi" w:hAnsiTheme="majorBidi"/>
          <w:sz w:val="24"/>
          <w:szCs w:val="24"/>
        </w:rPr>
        <w:t>Picoeukaryotic</w:t>
      </w:r>
      <w:proofErr w:type="spellEnd"/>
      <w:r w:rsidRPr="0014413A">
        <w:rPr>
          <w:rFonts w:asciiTheme="majorBidi" w:hAnsiTheme="majorBidi"/>
          <w:sz w:val="24"/>
          <w:szCs w:val="24"/>
        </w:rPr>
        <w:t xml:space="preserve"> Phytoplankton Abundances in the Global Ocean.” </w:t>
      </w:r>
      <w:r w:rsidRPr="0014413A">
        <w:rPr>
          <w:rFonts w:asciiTheme="majorBidi" w:hAnsiTheme="majorBidi"/>
          <w:i/>
          <w:iCs/>
          <w:sz w:val="24"/>
          <w:szCs w:val="24"/>
        </w:rPr>
        <w:t>Limnology and Oceanography Letters</w:t>
      </w:r>
      <w:r w:rsidRPr="0014413A">
        <w:rPr>
          <w:rFonts w:asciiTheme="majorBidi" w:hAnsiTheme="majorBidi"/>
          <w:sz w:val="24"/>
          <w:szCs w:val="24"/>
        </w:rPr>
        <w:t xml:space="preserve"> 6 (4): 207–15. https://doi.org/10.1002/lol2.10188.</w:t>
      </w:r>
    </w:p>
    <w:p w14:paraId="60F18804"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Voss, Hermann W. Bange, Joachim W. </w:t>
      </w:r>
      <w:proofErr w:type="spellStart"/>
      <w:r w:rsidRPr="0014413A">
        <w:rPr>
          <w:rFonts w:asciiTheme="majorBidi" w:hAnsiTheme="majorBidi"/>
          <w:sz w:val="24"/>
          <w:szCs w:val="24"/>
        </w:rPr>
        <w:t>Dippner</w:t>
      </w:r>
      <w:proofErr w:type="spellEnd"/>
      <w:r w:rsidRPr="0014413A">
        <w:rPr>
          <w:rFonts w:asciiTheme="majorBidi" w:hAnsiTheme="majorBidi"/>
          <w:sz w:val="24"/>
          <w:szCs w:val="24"/>
        </w:rPr>
        <w:t xml:space="preserve">, Jack J. Middelburg, Joseph P. Montoya, and Bess Ward. 2013. “The Marine Nitrogen Cycle: Recent Discoveries, Uncertainties and the Potential Relevance of Climate Change.” </w:t>
      </w:r>
      <w:r w:rsidRPr="0014413A">
        <w:rPr>
          <w:rFonts w:asciiTheme="majorBidi" w:hAnsiTheme="majorBidi"/>
          <w:i/>
          <w:iCs/>
          <w:sz w:val="24"/>
          <w:szCs w:val="24"/>
        </w:rPr>
        <w:t>Philosophical Transactions of the Royal Society B: Biological Sciences</w:t>
      </w:r>
      <w:r w:rsidRPr="0014413A">
        <w:rPr>
          <w:rFonts w:asciiTheme="majorBidi" w:hAnsiTheme="majorBidi"/>
          <w:sz w:val="24"/>
          <w:szCs w:val="24"/>
        </w:rPr>
        <w:t xml:space="preserve"> 368 (1621): 20130121. https://doi.org/10.1098/rstb.2013.0121.</w:t>
      </w:r>
    </w:p>
    <w:p w14:paraId="2CFBF7D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lastRenderedPageBreak/>
        <w:t xml:space="preserve">Wagner, and Rita Adrian. 2009. “Cyanobacteria Dominance: Quantifying the Effects of Climate Change.” </w:t>
      </w:r>
      <w:r w:rsidRPr="0014413A">
        <w:rPr>
          <w:rFonts w:asciiTheme="majorBidi" w:hAnsiTheme="majorBidi"/>
          <w:i/>
          <w:iCs/>
          <w:sz w:val="24"/>
          <w:szCs w:val="24"/>
        </w:rPr>
        <w:t>Limnology and Oceanography</w:t>
      </w:r>
      <w:r w:rsidRPr="0014413A">
        <w:rPr>
          <w:rFonts w:asciiTheme="majorBidi" w:hAnsiTheme="majorBidi"/>
          <w:sz w:val="24"/>
          <w:szCs w:val="24"/>
        </w:rPr>
        <w:t xml:space="preserve"> 54 (6part2): 2460–68. https://doi.org/10.4319/lo.2009.54.6_part_2.2460.</w:t>
      </w:r>
    </w:p>
    <w:p w14:paraId="595FCCA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Wang, </w:t>
      </w:r>
      <w:proofErr w:type="spellStart"/>
      <w:r w:rsidRPr="0014413A">
        <w:rPr>
          <w:rFonts w:asciiTheme="majorBidi" w:hAnsiTheme="majorBidi"/>
          <w:sz w:val="24"/>
          <w:szCs w:val="24"/>
        </w:rPr>
        <w:t>Shujin</w:t>
      </w:r>
      <w:proofErr w:type="spellEnd"/>
      <w:r w:rsidRPr="0014413A">
        <w:rPr>
          <w:rFonts w:asciiTheme="majorBidi" w:hAnsiTheme="majorBidi"/>
          <w:sz w:val="24"/>
          <w:szCs w:val="24"/>
        </w:rPr>
        <w:t xml:space="preserve"> Guo, </w:t>
      </w:r>
      <w:proofErr w:type="spellStart"/>
      <w:r w:rsidRPr="0014413A">
        <w:rPr>
          <w:rFonts w:asciiTheme="majorBidi" w:hAnsiTheme="majorBidi"/>
          <w:sz w:val="24"/>
          <w:szCs w:val="24"/>
        </w:rPr>
        <w:t>Junhua</w:t>
      </w:r>
      <w:proofErr w:type="spellEnd"/>
      <w:r w:rsidRPr="0014413A">
        <w:rPr>
          <w:rFonts w:asciiTheme="majorBidi" w:hAnsiTheme="majorBidi"/>
          <w:sz w:val="24"/>
          <w:szCs w:val="24"/>
        </w:rPr>
        <w:t xml:space="preserve"> Liang, and Xiaoxia Sun. 2023. “Water Column Stratification Governs Picophytoplankton Community Structure in the Oligotrophic Eastern Indian Ocean.” </w:t>
      </w:r>
      <w:r w:rsidRPr="0014413A">
        <w:rPr>
          <w:rFonts w:asciiTheme="majorBidi" w:hAnsiTheme="majorBidi"/>
          <w:i/>
          <w:iCs/>
          <w:sz w:val="24"/>
          <w:szCs w:val="24"/>
        </w:rPr>
        <w:t>Marine Environmental Research</w:t>
      </w:r>
      <w:r w:rsidRPr="0014413A">
        <w:rPr>
          <w:rFonts w:asciiTheme="majorBidi" w:hAnsiTheme="majorBidi"/>
          <w:sz w:val="24"/>
          <w:szCs w:val="24"/>
        </w:rPr>
        <w:t xml:space="preserve"> 189 (July):106074. https://doi.org/10.1016/j.marenvres.2023.106074.</w:t>
      </w:r>
    </w:p>
    <w:p w14:paraId="4B3AB21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Wang, </w:t>
      </w:r>
      <w:proofErr w:type="spellStart"/>
      <w:r w:rsidRPr="0014413A">
        <w:rPr>
          <w:rFonts w:asciiTheme="majorBidi" w:hAnsiTheme="majorBidi"/>
          <w:sz w:val="24"/>
          <w:szCs w:val="24"/>
        </w:rPr>
        <w:t>Xiaonan</w:t>
      </w:r>
      <w:proofErr w:type="spellEnd"/>
      <w:r w:rsidRPr="0014413A">
        <w:rPr>
          <w:rFonts w:asciiTheme="majorBidi" w:hAnsiTheme="majorBidi"/>
          <w:sz w:val="24"/>
          <w:szCs w:val="24"/>
        </w:rPr>
        <w:t xml:space="preserve"> Liu, Yong Nie, and Xiao-Lei Wu. 2021. “Selfishness Driving Reductive Evolution Shapes Interdependent Patterns in Spatially Structured Microbial Communities.” </w:t>
      </w:r>
      <w:r w:rsidRPr="0014413A">
        <w:rPr>
          <w:rFonts w:asciiTheme="majorBidi" w:hAnsiTheme="majorBidi"/>
          <w:i/>
          <w:iCs/>
          <w:sz w:val="24"/>
          <w:szCs w:val="24"/>
        </w:rPr>
        <w:t>The ISME Journal</w:t>
      </w:r>
      <w:r w:rsidRPr="0014413A">
        <w:rPr>
          <w:rFonts w:asciiTheme="majorBidi" w:hAnsiTheme="majorBidi"/>
          <w:sz w:val="24"/>
          <w:szCs w:val="24"/>
        </w:rPr>
        <w:t xml:space="preserve"> 15 (5): 1387–1401. https://doi.org/10.1038/s41396-020-00858-x.</w:t>
      </w:r>
    </w:p>
    <w:p w14:paraId="25CF795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Wang, J. Keith Moore, Adam C. Martiny, and François W. Primeau. 2019. “Convergent Estimates of Marine Nitrogen Fixation.” </w:t>
      </w:r>
      <w:r w:rsidRPr="0014413A">
        <w:rPr>
          <w:rFonts w:asciiTheme="majorBidi" w:hAnsiTheme="majorBidi"/>
          <w:i/>
          <w:iCs/>
          <w:sz w:val="24"/>
          <w:szCs w:val="24"/>
        </w:rPr>
        <w:t>Nature</w:t>
      </w:r>
      <w:r w:rsidRPr="0014413A">
        <w:rPr>
          <w:rFonts w:asciiTheme="majorBidi" w:hAnsiTheme="majorBidi"/>
          <w:sz w:val="24"/>
          <w:szCs w:val="24"/>
        </w:rPr>
        <w:t xml:space="preserve"> 566 (7743): 205–11. https://doi.org/10.1038/s41586-019-0911-2.</w:t>
      </w:r>
    </w:p>
    <w:p w14:paraId="236E0B8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Ward, B. A., S. Dutkiewicz, O. Jahn, and M. J. Follows. 2012. “A Size-Structured Food-Web Model for the Global Ocean.” </w:t>
      </w:r>
      <w:r w:rsidRPr="0014413A">
        <w:rPr>
          <w:rFonts w:asciiTheme="majorBidi" w:hAnsiTheme="majorBidi"/>
          <w:i/>
          <w:iCs/>
          <w:sz w:val="24"/>
          <w:szCs w:val="24"/>
        </w:rPr>
        <w:t>Limnology and Oceanography</w:t>
      </w:r>
      <w:r w:rsidRPr="0014413A">
        <w:rPr>
          <w:rFonts w:asciiTheme="majorBidi" w:hAnsiTheme="majorBidi"/>
          <w:sz w:val="24"/>
          <w:szCs w:val="24"/>
        </w:rPr>
        <w:t xml:space="preserve"> 57 (6): 1877–91. https://doi.org/10.4319/lo.2012.57.6.1877.</w:t>
      </w:r>
    </w:p>
    <w:p w14:paraId="4FBCA0CB"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Ward, and Michael J. Follows. 2016. “Marine Mixotrophy Increases Trophic Transfer Efficiency, Mean Organism Size, and Vertical Carbon Flux.”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113 (11): 2958–63. https://doi.org/10.1073/pnas.1517118113.</w:t>
      </w:r>
    </w:p>
    <w:p w14:paraId="12715D6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Ward, Emilio </w:t>
      </w:r>
      <w:proofErr w:type="spellStart"/>
      <w:r w:rsidRPr="0014413A">
        <w:rPr>
          <w:rFonts w:asciiTheme="majorBidi" w:hAnsiTheme="majorBidi"/>
          <w:sz w:val="24"/>
          <w:szCs w:val="24"/>
        </w:rPr>
        <w:t>Marañón</w:t>
      </w:r>
      <w:proofErr w:type="spellEnd"/>
      <w:r w:rsidRPr="0014413A">
        <w:rPr>
          <w:rFonts w:asciiTheme="majorBidi" w:hAnsiTheme="majorBidi"/>
          <w:sz w:val="24"/>
          <w:szCs w:val="24"/>
        </w:rPr>
        <w:t xml:space="preserve">, Boris </w:t>
      </w:r>
      <w:proofErr w:type="spellStart"/>
      <w:r w:rsidRPr="0014413A">
        <w:rPr>
          <w:rFonts w:asciiTheme="majorBidi" w:hAnsiTheme="majorBidi"/>
          <w:sz w:val="24"/>
          <w:szCs w:val="24"/>
        </w:rPr>
        <w:t>Sauterey</w:t>
      </w:r>
      <w:proofErr w:type="spellEnd"/>
      <w:r w:rsidRPr="0014413A">
        <w:rPr>
          <w:rFonts w:asciiTheme="majorBidi" w:hAnsiTheme="majorBidi"/>
          <w:sz w:val="24"/>
          <w:szCs w:val="24"/>
        </w:rPr>
        <w:t xml:space="preserve">, Jonathan Rault, and David Claessen. 2017. “The Size Dependence of Phytoplankton Growth Rates: A Trade-Off between Nutrient Uptake and Metabolism.” </w:t>
      </w:r>
      <w:r w:rsidRPr="0014413A">
        <w:rPr>
          <w:rFonts w:asciiTheme="majorBidi" w:hAnsiTheme="majorBidi"/>
          <w:i/>
          <w:iCs/>
          <w:sz w:val="24"/>
          <w:szCs w:val="24"/>
        </w:rPr>
        <w:t>The American Naturalist</w:t>
      </w:r>
      <w:r w:rsidRPr="0014413A">
        <w:rPr>
          <w:rFonts w:asciiTheme="majorBidi" w:hAnsiTheme="majorBidi"/>
          <w:sz w:val="24"/>
          <w:szCs w:val="24"/>
        </w:rPr>
        <w:t xml:space="preserve"> 189 (2): 170–77. https://doi.org/10.1086/689992.</w:t>
      </w:r>
    </w:p>
    <w:p w14:paraId="2219AB4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Weissberg, Dikla </w:t>
      </w:r>
      <w:proofErr w:type="spellStart"/>
      <w:r w:rsidRPr="0014413A">
        <w:rPr>
          <w:rFonts w:asciiTheme="majorBidi" w:hAnsiTheme="majorBidi"/>
          <w:sz w:val="24"/>
          <w:szCs w:val="24"/>
        </w:rPr>
        <w:t>Aharonovich</w:t>
      </w:r>
      <w:proofErr w:type="spellEnd"/>
      <w:r w:rsidRPr="0014413A">
        <w:rPr>
          <w:rFonts w:asciiTheme="majorBidi" w:hAnsiTheme="majorBidi"/>
          <w:sz w:val="24"/>
          <w:szCs w:val="24"/>
        </w:rPr>
        <w:t xml:space="preserve">, and Daniel Sher. 2023. “Phototroph-Heterotroph Interactions during Growth and Long-Term Starvation across </w:t>
      </w:r>
      <w:r w:rsidRPr="0014413A">
        <w:rPr>
          <w:rFonts w:asciiTheme="majorBidi" w:hAnsiTheme="majorBidi"/>
          <w:i/>
          <w:iCs/>
          <w:sz w:val="24"/>
          <w:szCs w:val="24"/>
        </w:rPr>
        <w:t>Prochlorococcus</w:t>
      </w:r>
      <w:r w:rsidRPr="0014413A">
        <w:rPr>
          <w:rFonts w:asciiTheme="majorBidi" w:hAnsiTheme="majorBidi"/>
          <w:sz w:val="24"/>
          <w:szCs w:val="24"/>
        </w:rPr>
        <w:t xml:space="preserve"> and </w:t>
      </w:r>
      <w:proofErr w:type="spellStart"/>
      <w:r w:rsidRPr="0014413A">
        <w:rPr>
          <w:rFonts w:asciiTheme="majorBidi" w:hAnsiTheme="majorBidi"/>
          <w:i/>
          <w:iCs/>
          <w:sz w:val="24"/>
          <w:szCs w:val="24"/>
        </w:rPr>
        <w:t>Alteromonas</w:t>
      </w:r>
      <w:proofErr w:type="spellEnd"/>
      <w:r w:rsidRPr="0014413A">
        <w:rPr>
          <w:rFonts w:asciiTheme="majorBidi" w:hAnsiTheme="majorBidi"/>
          <w:sz w:val="24"/>
          <w:szCs w:val="24"/>
        </w:rPr>
        <w:t xml:space="preserve"> Diversity.” </w:t>
      </w:r>
      <w:r w:rsidRPr="0014413A">
        <w:rPr>
          <w:rFonts w:asciiTheme="majorBidi" w:hAnsiTheme="majorBidi"/>
          <w:i/>
          <w:iCs/>
          <w:sz w:val="24"/>
          <w:szCs w:val="24"/>
        </w:rPr>
        <w:t>The ISME Journal</w:t>
      </w:r>
      <w:r w:rsidRPr="0014413A">
        <w:rPr>
          <w:rFonts w:asciiTheme="majorBidi" w:hAnsiTheme="majorBidi"/>
          <w:sz w:val="24"/>
          <w:szCs w:val="24"/>
        </w:rPr>
        <w:t xml:space="preserve"> 17 (2): 227–37. https://doi.org/10.1038/s41396-022-01330-8.</w:t>
      </w:r>
    </w:p>
    <w:p w14:paraId="4DCBF79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Weitz, and Steven Wilhelm. 2012. “Ocean Viruses and Their Effects on Microbial Communities and Biogeochemical Cycles.” </w:t>
      </w:r>
      <w:r w:rsidRPr="0014413A">
        <w:rPr>
          <w:rFonts w:asciiTheme="majorBidi" w:hAnsiTheme="majorBidi"/>
          <w:i/>
          <w:iCs/>
          <w:sz w:val="24"/>
          <w:szCs w:val="24"/>
        </w:rPr>
        <w:t>F1000 Biology Reports</w:t>
      </w:r>
      <w:r w:rsidRPr="0014413A">
        <w:rPr>
          <w:rFonts w:asciiTheme="majorBidi" w:hAnsiTheme="majorBidi"/>
          <w:sz w:val="24"/>
          <w:szCs w:val="24"/>
        </w:rPr>
        <w:t>, September. https://doi.org/10.3410/B4-17.</w:t>
      </w:r>
    </w:p>
    <w:p w14:paraId="24E5416E"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West, Ashleigh S. Griffin, Andy Gardner, and Stephen P. Diggle. 2006. “Social Evolution Theory for Microorganisms.” </w:t>
      </w:r>
      <w:r w:rsidRPr="0014413A">
        <w:rPr>
          <w:rFonts w:asciiTheme="majorBidi" w:hAnsiTheme="majorBidi"/>
          <w:i/>
          <w:iCs/>
          <w:sz w:val="24"/>
          <w:szCs w:val="24"/>
        </w:rPr>
        <w:t>Nature Reviews Microbiology</w:t>
      </w:r>
      <w:r w:rsidRPr="0014413A">
        <w:rPr>
          <w:rFonts w:asciiTheme="majorBidi" w:hAnsiTheme="majorBidi"/>
          <w:sz w:val="24"/>
          <w:szCs w:val="24"/>
        </w:rPr>
        <w:t xml:space="preserve"> 4 (8): 597–607. https://doi.org/10.1038/nrmicro1461.</w:t>
      </w:r>
    </w:p>
    <w:p w14:paraId="0A0BE4F1"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Wiens. 1977. “On Competition and Variable Environments: Populations May Experience ‘Ecological Crunches’ in Variable Climates, Nullifying the Assumptions of Competition Theory and Limiting the Usefulness of Short-Term Studies of Population Patterns.” </w:t>
      </w:r>
      <w:r w:rsidRPr="0014413A">
        <w:rPr>
          <w:rFonts w:asciiTheme="majorBidi" w:hAnsiTheme="majorBidi"/>
          <w:i/>
          <w:iCs/>
          <w:sz w:val="24"/>
          <w:szCs w:val="24"/>
        </w:rPr>
        <w:t>American Scientist</w:t>
      </w:r>
      <w:r w:rsidRPr="0014413A">
        <w:rPr>
          <w:rFonts w:asciiTheme="majorBidi" w:hAnsiTheme="majorBidi"/>
          <w:sz w:val="24"/>
          <w:szCs w:val="24"/>
        </w:rPr>
        <w:t xml:space="preserve"> </w:t>
      </w:r>
      <w:r w:rsidRPr="0014413A">
        <w:rPr>
          <w:rFonts w:asciiTheme="majorBidi" w:hAnsiTheme="majorBidi"/>
          <w:sz w:val="24"/>
          <w:szCs w:val="24"/>
        </w:rPr>
        <w:lastRenderedPageBreak/>
        <w:t>65 (5): 590–97.</w:t>
      </w:r>
    </w:p>
    <w:p w14:paraId="055AAC1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Wietz, Mario López-Pérez, Daniel Sher, Steven J. Biller, and Francisco Rodriguez-Valera. 2022. “Microbe Profile: </w:t>
      </w:r>
      <w:proofErr w:type="spellStart"/>
      <w:r w:rsidRPr="0014413A">
        <w:rPr>
          <w:rFonts w:asciiTheme="majorBidi" w:hAnsiTheme="majorBidi"/>
          <w:sz w:val="24"/>
          <w:szCs w:val="24"/>
        </w:rPr>
        <w:t>Alteromonas</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Macleodii</w:t>
      </w:r>
      <w:proofErr w:type="spellEnd"/>
      <w:r w:rsidRPr="0014413A">
        <w:rPr>
          <w:rFonts w:asciiTheme="majorBidi" w:hAnsiTheme="majorBidi"/>
          <w:sz w:val="24"/>
          <w:szCs w:val="24"/>
        </w:rPr>
        <w:t xml:space="preserve"> − a Widespread, Fast-Responding, ‘Interactive’ Marine Bacterium.” </w:t>
      </w:r>
      <w:r w:rsidRPr="0014413A">
        <w:rPr>
          <w:rFonts w:asciiTheme="majorBidi" w:hAnsiTheme="majorBidi"/>
          <w:i/>
          <w:iCs/>
          <w:sz w:val="24"/>
          <w:szCs w:val="24"/>
        </w:rPr>
        <w:t>Microbiology</w:t>
      </w:r>
      <w:r w:rsidRPr="0014413A">
        <w:rPr>
          <w:rFonts w:asciiTheme="majorBidi" w:hAnsiTheme="majorBidi"/>
          <w:sz w:val="24"/>
          <w:szCs w:val="24"/>
        </w:rPr>
        <w:t xml:space="preserve"> 168 (11). https://doi.org/10.1099/mic.0.001236.</w:t>
      </w:r>
    </w:p>
    <w:p w14:paraId="02880310" w14:textId="381FFE49"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Wigington, Derek Sonderegger, Corina P. D. </w:t>
      </w:r>
      <w:proofErr w:type="spellStart"/>
      <w:r w:rsidRPr="0014413A">
        <w:rPr>
          <w:rFonts w:asciiTheme="majorBidi" w:hAnsiTheme="majorBidi"/>
          <w:sz w:val="24"/>
          <w:szCs w:val="24"/>
        </w:rPr>
        <w:t>Brussaard</w:t>
      </w:r>
      <w:proofErr w:type="spellEnd"/>
      <w:r w:rsidRPr="0014413A">
        <w:rPr>
          <w:rFonts w:asciiTheme="majorBidi" w:hAnsiTheme="majorBidi"/>
          <w:sz w:val="24"/>
          <w:szCs w:val="24"/>
        </w:rPr>
        <w:t xml:space="preserve">, Alison Buchan, Jan F. Finke, Jed A. Fuhrman, Jay T. Lennon,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2016. “Re-Examination of the Relationship between Marine Virus and Microbial Cell Abundances.” </w:t>
      </w:r>
      <w:r w:rsidRPr="0014413A">
        <w:rPr>
          <w:rFonts w:asciiTheme="majorBidi" w:hAnsiTheme="majorBidi"/>
          <w:i/>
          <w:iCs/>
          <w:sz w:val="24"/>
          <w:szCs w:val="24"/>
        </w:rPr>
        <w:t>Nature Microbiology</w:t>
      </w:r>
      <w:r w:rsidRPr="0014413A">
        <w:rPr>
          <w:rFonts w:asciiTheme="majorBidi" w:hAnsiTheme="majorBidi"/>
          <w:sz w:val="24"/>
          <w:szCs w:val="24"/>
        </w:rPr>
        <w:t xml:space="preserve"> 1 (3): 15024. https://doi.org/10.1038/nmicrobiol.2015.24.</w:t>
      </w:r>
    </w:p>
    <w:p w14:paraId="36EA2C1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Willey, </w:t>
      </w:r>
      <w:proofErr w:type="spellStart"/>
      <w:r w:rsidRPr="0014413A">
        <w:rPr>
          <w:rFonts w:asciiTheme="majorBidi" w:hAnsiTheme="majorBidi"/>
          <w:sz w:val="24"/>
          <w:szCs w:val="24"/>
        </w:rPr>
        <w:t>Hw</w:t>
      </w:r>
      <w:proofErr w:type="spellEnd"/>
      <w:r w:rsidRPr="0014413A">
        <w:rPr>
          <w:rFonts w:asciiTheme="majorBidi" w:hAnsiTheme="majorBidi"/>
          <w:sz w:val="24"/>
          <w:szCs w:val="24"/>
        </w:rPr>
        <w:t xml:space="preserve"> </w:t>
      </w:r>
      <w:proofErr w:type="spellStart"/>
      <w:r w:rsidRPr="0014413A">
        <w:rPr>
          <w:rFonts w:asciiTheme="majorBidi" w:hAnsiTheme="majorBidi"/>
          <w:sz w:val="24"/>
          <w:szCs w:val="24"/>
        </w:rPr>
        <w:t>Paerl</w:t>
      </w:r>
      <w:proofErr w:type="spellEnd"/>
      <w:r w:rsidRPr="0014413A">
        <w:rPr>
          <w:rFonts w:asciiTheme="majorBidi" w:hAnsiTheme="majorBidi"/>
          <w:sz w:val="24"/>
          <w:szCs w:val="24"/>
        </w:rPr>
        <w:t xml:space="preserve">, and M Go. 1999. “Impact of Rainwater Hydrogen Peroxide on Chlorophyll a Content of Surface Gulf Stream Seawater off North Carolina, USA.” </w:t>
      </w:r>
      <w:r w:rsidRPr="0014413A">
        <w:rPr>
          <w:rFonts w:asciiTheme="majorBidi" w:hAnsiTheme="majorBidi"/>
          <w:i/>
          <w:iCs/>
          <w:sz w:val="24"/>
          <w:szCs w:val="24"/>
        </w:rPr>
        <w:t>Marine Ecology Progress Series</w:t>
      </w:r>
      <w:r w:rsidRPr="0014413A">
        <w:rPr>
          <w:rFonts w:asciiTheme="majorBidi" w:hAnsiTheme="majorBidi"/>
          <w:sz w:val="24"/>
          <w:szCs w:val="24"/>
        </w:rPr>
        <w:t xml:space="preserve"> 178:145–50. https://doi.org/10.3354/meps178145.</w:t>
      </w:r>
    </w:p>
    <w:p w14:paraId="50AA5FCC"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Williams. 1928. “THE DECOMPOSITION OF HYDROGEN PEROXIDE BY LIVER CATALASE.” </w:t>
      </w:r>
      <w:r w:rsidRPr="0014413A">
        <w:rPr>
          <w:rFonts w:asciiTheme="majorBidi" w:hAnsiTheme="majorBidi"/>
          <w:i/>
          <w:iCs/>
          <w:sz w:val="24"/>
          <w:szCs w:val="24"/>
        </w:rPr>
        <w:t>Journal of General Physiology</w:t>
      </w:r>
      <w:r w:rsidRPr="0014413A">
        <w:rPr>
          <w:rFonts w:asciiTheme="majorBidi" w:hAnsiTheme="majorBidi"/>
          <w:sz w:val="24"/>
          <w:szCs w:val="24"/>
        </w:rPr>
        <w:t xml:space="preserve"> 11 (4): 309–37. https://doi.org/10.1085/jgp.11.4.309.</w:t>
      </w:r>
    </w:p>
    <w:p w14:paraId="332A061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Williams, Paul D. Quay, Toby K. Westberry, and Michael J. </w:t>
      </w:r>
      <w:proofErr w:type="spellStart"/>
      <w:r w:rsidRPr="0014413A">
        <w:rPr>
          <w:rFonts w:asciiTheme="majorBidi" w:hAnsiTheme="majorBidi"/>
          <w:sz w:val="24"/>
          <w:szCs w:val="24"/>
        </w:rPr>
        <w:t>Behrenfeld</w:t>
      </w:r>
      <w:proofErr w:type="spellEnd"/>
      <w:r w:rsidRPr="0014413A">
        <w:rPr>
          <w:rFonts w:asciiTheme="majorBidi" w:hAnsiTheme="majorBidi"/>
          <w:sz w:val="24"/>
          <w:szCs w:val="24"/>
        </w:rPr>
        <w:t xml:space="preserve">. 2013. “The Oligotrophic Ocean Is Autotrophic.” </w:t>
      </w:r>
      <w:r w:rsidRPr="0014413A">
        <w:rPr>
          <w:rFonts w:asciiTheme="majorBidi" w:hAnsiTheme="majorBidi"/>
          <w:i/>
          <w:iCs/>
          <w:sz w:val="24"/>
          <w:szCs w:val="24"/>
        </w:rPr>
        <w:t>Annual Review of Marine Science</w:t>
      </w:r>
      <w:r w:rsidRPr="0014413A">
        <w:rPr>
          <w:rFonts w:asciiTheme="majorBidi" w:hAnsiTheme="majorBidi"/>
          <w:sz w:val="24"/>
          <w:szCs w:val="24"/>
        </w:rPr>
        <w:t xml:space="preserve"> 5 (1): 535–49. https://doi.org/10.1146/annurev-marine-121211-172335.</w:t>
      </w:r>
    </w:p>
    <w:p w14:paraId="6E38E9FC" w14:textId="2B8D9489"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Wilson, Oliver Andrews, Anna </w:t>
      </w:r>
      <w:proofErr w:type="spellStart"/>
      <w:r w:rsidRPr="0014413A">
        <w:rPr>
          <w:rFonts w:asciiTheme="majorBidi" w:hAnsiTheme="majorBidi"/>
          <w:sz w:val="24"/>
          <w:szCs w:val="24"/>
        </w:rPr>
        <w:t>Katavouta</w:t>
      </w:r>
      <w:proofErr w:type="spellEnd"/>
      <w:r w:rsidRPr="0014413A">
        <w:rPr>
          <w:rFonts w:asciiTheme="majorBidi" w:hAnsiTheme="majorBidi"/>
          <w:sz w:val="24"/>
          <w:szCs w:val="24"/>
        </w:rPr>
        <w:t xml:space="preserve">, Francisco De Melo </w:t>
      </w:r>
      <w:proofErr w:type="spellStart"/>
      <w:r w:rsidRPr="0014413A">
        <w:rPr>
          <w:rFonts w:asciiTheme="majorBidi" w:hAnsiTheme="majorBidi"/>
          <w:sz w:val="24"/>
          <w:szCs w:val="24"/>
        </w:rPr>
        <w:t>Viríssimo</w:t>
      </w:r>
      <w:proofErr w:type="spellEnd"/>
      <w:r w:rsidRPr="0014413A">
        <w:rPr>
          <w:rFonts w:asciiTheme="majorBidi" w:hAnsiTheme="majorBidi"/>
          <w:sz w:val="24"/>
          <w:szCs w:val="24"/>
        </w:rPr>
        <w:t xml:space="preserve">, Ros M. Death, Markus Adloff, Chelsey A. Baker, </w:t>
      </w:r>
      <w:r w:rsidR="00183222" w:rsidRPr="00183222">
        <w:rPr>
          <w:rFonts w:ascii="Times New Roman" w:hAnsi="Times New Roman" w:cs="Times New Roman"/>
          <w:i/>
          <w:iCs/>
          <w:sz w:val="24"/>
          <w:szCs w:val="24"/>
        </w:rPr>
        <w:t>et al</w:t>
      </w:r>
      <w:r w:rsidRPr="0014413A">
        <w:rPr>
          <w:rFonts w:asciiTheme="majorBidi" w:hAnsiTheme="majorBidi"/>
          <w:sz w:val="24"/>
          <w:szCs w:val="24"/>
        </w:rPr>
        <w:t xml:space="preserve">. 2022. “The Biological Carbon Pump in CMIP6 Models: 21st Century Trends and Uncertainties.” </w:t>
      </w:r>
      <w:r w:rsidRPr="0014413A">
        <w:rPr>
          <w:rFonts w:asciiTheme="majorBidi" w:hAnsiTheme="majorBidi"/>
          <w:i/>
          <w:iCs/>
          <w:sz w:val="24"/>
          <w:szCs w:val="24"/>
        </w:rPr>
        <w:t>Proceedings of the National Academy of Sciences</w:t>
      </w:r>
      <w:r w:rsidRPr="0014413A">
        <w:rPr>
          <w:rFonts w:asciiTheme="majorBidi" w:hAnsiTheme="majorBidi"/>
          <w:sz w:val="24"/>
          <w:szCs w:val="24"/>
        </w:rPr>
        <w:t xml:space="preserve"> 119 (29): e2204369119. https://doi.org/10.1073/pnas.2204369119.</w:t>
      </w:r>
    </w:p>
    <w:p w14:paraId="187560E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Yuan. 2004. “Hydrogen Peroxide in Deep Waters of the North Pacific Ocean.” </w:t>
      </w:r>
      <w:r w:rsidRPr="0014413A">
        <w:rPr>
          <w:rFonts w:asciiTheme="majorBidi" w:hAnsiTheme="majorBidi"/>
          <w:i/>
          <w:iCs/>
          <w:sz w:val="24"/>
          <w:szCs w:val="24"/>
        </w:rPr>
        <w:t>Geophysical Research Letters</w:t>
      </w:r>
      <w:r w:rsidRPr="0014413A">
        <w:rPr>
          <w:rFonts w:asciiTheme="majorBidi" w:hAnsiTheme="majorBidi"/>
          <w:sz w:val="24"/>
          <w:szCs w:val="24"/>
        </w:rPr>
        <w:t xml:space="preserve"> 31 (1): L01310. https://doi.org/10.1029/2003GL018439.</w:t>
      </w:r>
    </w:p>
    <w:p w14:paraId="6A128D26" w14:textId="77777777" w:rsidR="006E430F" w:rsidRPr="0014413A" w:rsidRDefault="006E430F">
      <w:pPr>
        <w:widowControl w:val="0"/>
        <w:autoSpaceDE w:val="0"/>
        <w:autoSpaceDN w:val="0"/>
        <w:adjustRightInd w:val="0"/>
        <w:rPr>
          <w:rFonts w:asciiTheme="majorBidi" w:hAnsiTheme="majorBidi"/>
          <w:sz w:val="24"/>
          <w:szCs w:val="24"/>
        </w:rPr>
      </w:pPr>
      <w:proofErr w:type="spellStart"/>
      <w:r w:rsidRPr="0014413A">
        <w:rPr>
          <w:rFonts w:asciiTheme="majorBidi" w:hAnsiTheme="majorBidi"/>
          <w:sz w:val="24"/>
          <w:szCs w:val="24"/>
        </w:rPr>
        <w:t>Zamocky</w:t>
      </w:r>
      <w:proofErr w:type="spellEnd"/>
      <w:r w:rsidRPr="0014413A">
        <w:rPr>
          <w:rFonts w:asciiTheme="majorBidi" w:hAnsiTheme="majorBidi"/>
          <w:sz w:val="24"/>
          <w:szCs w:val="24"/>
        </w:rPr>
        <w:t xml:space="preserve">, Margit </w:t>
      </w:r>
      <w:proofErr w:type="spellStart"/>
      <w:r w:rsidRPr="0014413A">
        <w:rPr>
          <w:rFonts w:asciiTheme="majorBidi" w:hAnsiTheme="majorBidi"/>
          <w:sz w:val="24"/>
          <w:szCs w:val="24"/>
        </w:rPr>
        <w:t>Bernroitner</w:t>
      </w:r>
      <w:proofErr w:type="spellEnd"/>
      <w:r w:rsidRPr="0014413A">
        <w:rPr>
          <w:rFonts w:asciiTheme="majorBidi" w:hAnsiTheme="majorBidi"/>
          <w:sz w:val="24"/>
          <w:szCs w:val="24"/>
        </w:rPr>
        <w:t xml:space="preserve">, Günter A. </w:t>
      </w:r>
      <w:proofErr w:type="spellStart"/>
      <w:r w:rsidRPr="0014413A">
        <w:rPr>
          <w:rFonts w:asciiTheme="majorBidi" w:hAnsiTheme="majorBidi"/>
          <w:sz w:val="24"/>
          <w:szCs w:val="24"/>
        </w:rPr>
        <w:t>Peschek</w:t>
      </w:r>
      <w:proofErr w:type="spellEnd"/>
      <w:r w:rsidRPr="0014413A">
        <w:rPr>
          <w:rFonts w:asciiTheme="majorBidi" w:hAnsiTheme="majorBidi"/>
          <w:sz w:val="24"/>
          <w:szCs w:val="24"/>
        </w:rPr>
        <w:t xml:space="preserve">, Christian </w:t>
      </w:r>
      <w:proofErr w:type="spellStart"/>
      <w:r w:rsidRPr="0014413A">
        <w:rPr>
          <w:rFonts w:asciiTheme="majorBidi" w:hAnsiTheme="majorBidi"/>
          <w:sz w:val="24"/>
          <w:szCs w:val="24"/>
        </w:rPr>
        <w:t>Obinger</w:t>
      </w:r>
      <w:proofErr w:type="spellEnd"/>
      <w:r w:rsidRPr="0014413A">
        <w:rPr>
          <w:rFonts w:asciiTheme="majorBidi" w:hAnsiTheme="majorBidi"/>
          <w:sz w:val="24"/>
          <w:szCs w:val="24"/>
        </w:rPr>
        <w:t xml:space="preserve">, and Gernot Renger. 2012. “Chapter 7 Hydrogen Peroxide Degradation in Cyanobacteria and Chapter 23 Cyanobacterial Respiratory Electron Transport: Heme-Copper Oxidases and Their Electron Donors.” In </w:t>
      </w:r>
      <w:r w:rsidRPr="0014413A">
        <w:rPr>
          <w:rFonts w:asciiTheme="majorBidi" w:hAnsiTheme="majorBidi"/>
          <w:i/>
          <w:iCs/>
          <w:sz w:val="24"/>
          <w:szCs w:val="24"/>
        </w:rPr>
        <w:t>Bioenergetic Processes of Cyanobacteria: From Evolutionary Singularity to Ecological Diversity</w:t>
      </w:r>
      <w:r w:rsidRPr="0014413A">
        <w:rPr>
          <w:rFonts w:asciiTheme="majorBidi" w:hAnsiTheme="majorBidi"/>
          <w:sz w:val="24"/>
          <w:szCs w:val="24"/>
        </w:rPr>
        <w:t>. Vol. 49. http://choicereviews.org/review/10.5860/CHOICE.49-5658.</w:t>
      </w:r>
    </w:p>
    <w:p w14:paraId="64BDDCD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Zhang, Rossana Del Vecchio, and Neil V. Blough. 2012. “Investigating the Mechanism of Hydrogen Peroxide Photoproduction by Humic Substances.” </w:t>
      </w:r>
      <w:r w:rsidRPr="0014413A">
        <w:rPr>
          <w:rFonts w:asciiTheme="majorBidi" w:hAnsiTheme="majorBidi"/>
          <w:i/>
          <w:iCs/>
          <w:sz w:val="24"/>
          <w:szCs w:val="24"/>
        </w:rPr>
        <w:t>Environmental Science &amp; Technology</w:t>
      </w:r>
      <w:r w:rsidRPr="0014413A">
        <w:rPr>
          <w:rFonts w:asciiTheme="majorBidi" w:hAnsiTheme="majorBidi"/>
          <w:sz w:val="24"/>
          <w:szCs w:val="24"/>
        </w:rPr>
        <w:t xml:space="preserve"> 46 (21): 11836–43. https://doi.org/10.1021/es3029582.</w:t>
      </w:r>
    </w:p>
    <w:p w14:paraId="62CE35D7"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Zhang, Ying Sun, </w:t>
      </w:r>
      <w:proofErr w:type="spellStart"/>
      <w:r w:rsidRPr="0014413A">
        <w:rPr>
          <w:rFonts w:asciiTheme="majorBidi" w:hAnsiTheme="majorBidi"/>
          <w:sz w:val="24"/>
          <w:szCs w:val="24"/>
        </w:rPr>
        <w:t>Qinglu</w:t>
      </w:r>
      <w:proofErr w:type="spellEnd"/>
      <w:r w:rsidRPr="0014413A">
        <w:rPr>
          <w:rFonts w:asciiTheme="majorBidi" w:hAnsiTheme="majorBidi"/>
          <w:sz w:val="24"/>
          <w:szCs w:val="24"/>
        </w:rPr>
        <w:t xml:space="preserve"> Zeng, Sean A. Crowe, and Haiwei Luo. 2021. “Snowball Earth, Population Bottleneck and </w:t>
      </w:r>
      <w:r w:rsidRPr="0014413A">
        <w:rPr>
          <w:rFonts w:asciiTheme="majorBidi" w:hAnsiTheme="majorBidi"/>
          <w:i/>
          <w:iCs/>
          <w:sz w:val="24"/>
          <w:szCs w:val="24"/>
        </w:rPr>
        <w:t>Prochlorococcus</w:t>
      </w:r>
      <w:r w:rsidRPr="0014413A">
        <w:rPr>
          <w:rFonts w:asciiTheme="majorBidi" w:hAnsiTheme="majorBidi"/>
          <w:sz w:val="24"/>
          <w:szCs w:val="24"/>
        </w:rPr>
        <w:t xml:space="preserve"> Evolution.” </w:t>
      </w:r>
      <w:r w:rsidRPr="0014413A">
        <w:rPr>
          <w:rFonts w:asciiTheme="majorBidi" w:hAnsiTheme="majorBidi"/>
          <w:i/>
          <w:iCs/>
          <w:sz w:val="24"/>
          <w:szCs w:val="24"/>
        </w:rPr>
        <w:t xml:space="preserve">Proceedings of the Royal Society B: </w:t>
      </w:r>
      <w:r w:rsidRPr="0014413A">
        <w:rPr>
          <w:rFonts w:asciiTheme="majorBidi" w:hAnsiTheme="majorBidi"/>
          <w:i/>
          <w:iCs/>
          <w:sz w:val="24"/>
          <w:szCs w:val="24"/>
        </w:rPr>
        <w:lastRenderedPageBreak/>
        <w:t>Biological Sciences</w:t>
      </w:r>
      <w:r w:rsidRPr="0014413A">
        <w:rPr>
          <w:rFonts w:asciiTheme="majorBidi" w:hAnsiTheme="majorBidi"/>
          <w:sz w:val="24"/>
          <w:szCs w:val="24"/>
        </w:rPr>
        <w:t xml:space="preserve"> 288 (1963): 20211956. https://doi.org/10.1098/rspb.2021.1956.</w:t>
      </w:r>
    </w:p>
    <w:p w14:paraId="1BF45E1D"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Zhu, Leanne C. Powers, David J. Kieber, and William L. Miller. 2022. “Depth-Resolved Photochemical Production of Hydrogen Peroxide in the Global Ocean Using Remotely Sensed Ocean Color.” </w:t>
      </w:r>
      <w:r w:rsidRPr="0014413A">
        <w:rPr>
          <w:rFonts w:asciiTheme="majorBidi" w:hAnsiTheme="majorBidi"/>
          <w:i/>
          <w:iCs/>
          <w:sz w:val="24"/>
          <w:szCs w:val="24"/>
        </w:rPr>
        <w:t>Frontiers in Remote Sensing</w:t>
      </w:r>
      <w:r w:rsidRPr="0014413A">
        <w:rPr>
          <w:rFonts w:asciiTheme="majorBidi" w:hAnsiTheme="majorBidi"/>
          <w:sz w:val="24"/>
          <w:szCs w:val="24"/>
        </w:rPr>
        <w:t xml:space="preserve"> 3 (October):1009398. https://doi.org/10.3389/frsen.2022.1009398.</w:t>
      </w:r>
    </w:p>
    <w:p w14:paraId="08CB2C52"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Ziegelhoffer, and Timothy J. Donohue. 2009. “Bacterial Responses to Photo-Oxidative Stress.” </w:t>
      </w:r>
      <w:r w:rsidRPr="0014413A">
        <w:rPr>
          <w:rFonts w:asciiTheme="majorBidi" w:hAnsiTheme="majorBidi"/>
          <w:i/>
          <w:iCs/>
          <w:sz w:val="24"/>
          <w:szCs w:val="24"/>
        </w:rPr>
        <w:t>Nature Reviews Microbiology</w:t>
      </w:r>
      <w:r w:rsidRPr="0014413A">
        <w:rPr>
          <w:rFonts w:asciiTheme="majorBidi" w:hAnsiTheme="majorBidi"/>
          <w:sz w:val="24"/>
          <w:szCs w:val="24"/>
        </w:rPr>
        <w:t xml:space="preserve"> 7 (12): 856–63. https://doi.org/10.1038/nrmicro2237.</w:t>
      </w:r>
    </w:p>
    <w:p w14:paraId="756FF89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Zigler, J. L. Lepe-Zuniga, B. </w:t>
      </w:r>
      <w:proofErr w:type="spellStart"/>
      <w:r w:rsidRPr="0014413A">
        <w:rPr>
          <w:rFonts w:asciiTheme="majorBidi" w:hAnsiTheme="majorBidi"/>
          <w:sz w:val="24"/>
          <w:szCs w:val="24"/>
        </w:rPr>
        <w:t>Vistica</w:t>
      </w:r>
      <w:proofErr w:type="spellEnd"/>
      <w:r w:rsidRPr="0014413A">
        <w:rPr>
          <w:rFonts w:asciiTheme="majorBidi" w:hAnsiTheme="majorBidi"/>
          <w:sz w:val="24"/>
          <w:szCs w:val="24"/>
        </w:rPr>
        <w:t xml:space="preserve">, and I. Gery. 1985. “Analysis of the Cytotoxic Effects of Light-Exposed </w:t>
      </w:r>
      <w:proofErr w:type="spellStart"/>
      <w:r w:rsidRPr="0014413A">
        <w:rPr>
          <w:rFonts w:asciiTheme="majorBidi" w:hAnsiTheme="majorBidi"/>
          <w:sz w:val="24"/>
          <w:szCs w:val="24"/>
        </w:rPr>
        <w:t>Hepes</w:t>
      </w:r>
      <w:proofErr w:type="spellEnd"/>
      <w:r w:rsidRPr="0014413A">
        <w:rPr>
          <w:rFonts w:asciiTheme="majorBidi" w:hAnsiTheme="majorBidi"/>
          <w:sz w:val="24"/>
          <w:szCs w:val="24"/>
        </w:rPr>
        <w:t xml:space="preserve">-Containing Culture Medium.” </w:t>
      </w:r>
      <w:r w:rsidRPr="0014413A">
        <w:rPr>
          <w:rFonts w:asciiTheme="majorBidi" w:hAnsiTheme="majorBidi"/>
          <w:i/>
          <w:iCs/>
          <w:sz w:val="24"/>
          <w:szCs w:val="24"/>
        </w:rPr>
        <w:t>In Vitro Cellular &amp; Developmental Biology</w:t>
      </w:r>
      <w:r w:rsidRPr="0014413A">
        <w:rPr>
          <w:rFonts w:asciiTheme="majorBidi" w:hAnsiTheme="majorBidi"/>
          <w:sz w:val="24"/>
          <w:szCs w:val="24"/>
        </w:rPr>
        <w:t xml:space="preserve"> 21 (5): 282–87. https://doi.org/10.1007/BF02620943.</w:t>
      </w:r>
    </w:p>
    <w:p w14:paraId="63A09889"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Zinser. 2013. “Continuous Hydrogen Peroxide Production by Organic Buffers in Phytoplankton Culture Media.” </w:t>
      </w:r>
      <w:r w:rsidRPr="0014413A">
        <w:rPr>
          <w:rFonts w:asciiTheme="majorBidi" w:hAnsiTheme="majorBidi"/>
          <w:i/>
          <w:iCs/>
          <w:sz w:val="24"/>
          <w:szCs w:val="24"/>
        </w:rPr>
        <w:t>Journal of Phycology</w:t>
      </w:r>
      <w:r w:rsidRPr="0014413A">
        <w:rPr>
          <w:rFonts w:asciiTheme="majorBidi" w:hAnsiTheme="majorBidi"/>
          <w:sz w:val="24"/>
          <w:szCs w:val="24"/>
        </w:rPr>
        <w:t xml:space="preserve"> 49 (6): 1223–28. https://doi.org/10.1111/jpy.12123.</w:t>
      </w:r>
    </w:p>
    <w:p w14:paraId="2308BE53"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2018a. “Cross-Protection from Hydrogen Peroxide by Helper Microbes: The Impacts on the Cyanobacterium </w:t>
      </w:r>
      <w:r w:rsidRPr="0014413A">
        <w:rPr>
          <w:rFonts w:asciiTheme="majorBidi" w:hAnsiTheme="majorBidi"/>
          <w:i/>
          <w:iCs/>
          <w:sz w:val="24"/>
          <w:szCs w:val="24"/>
        </w:rPr>
        <w:t>Prochlorococcus</w:t>
      </w:r>
      <w:r w:rsidRPr="0014413A">
        <w:rPr>
          <w:rFonts w:asciiTheme="majorBidi" w:hAnsiTheme="majorBidi"/>
          <w:sz w:val="24"/>
          <w:szCs w:val="24"/>
        </w:rPr>
        <w:t xml:space="preserve"> and Other Beneficiaries in Marine Communities: HOOH and Cross-Protection.” </w:t>
      </w:r>
      <w:r w:rsidRPr="0014413A">
        <w:rPr>
          <w:rFonts w:asciiTheme="majorBidi" w:hAnsiTheme="majorBidi"/>
          <w:i/>
          <w:iCs/>
          <w:sz w:val="24"/>
          <w:szCs w:val="24"/>
        </w:rPr>
        <w:t>Environmental Microbiology Reports</w:t>
      </w:r>
      <w:r w:rsidRPr="0014413A">
        <w:rPr>
          <w:rFonts w:asciiTheme="majorBidi" w:hAnsiTheme="majorBidi"/>
          <w:sz w:val="24"/>
          <w:szCs w:val="24"/>
        </w:rPr>
        <w:t xml:space="preserve"> 10 (4): 399–411. https://doi.org/10.1111/1758-2229.12625.</w:t>
      </w:r>
    </w:p>
    <w:p w14:paraId="217A47FA"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 2018b. “The Microbial Contribution to Reactive Oxygen Species Dynamics in Marine Ecosystems: Abiotic and Biotic Sources and Sinks of ROS.” </w:t>
      </w:r>
      <w:r w:rsidRPr="0014413A">
        <w:rPr>
          <w:rFonts w:asciiTheme="majorBidi" w:hAnsiTheme="majorBidi"/>
          <w:i/>
          <w:iCs/>
          <w:sz w:val="24"/>
          <w:szCs w:val="24"/>
        </w:rPr>
        <w:t>Environmental Microbiology Reports</w:t>
      </w:r>
      <w:r w:rsidRPr="0014413A">
        <w:rPr>
          <w:rFonts w:asciiTheme="majorBidi" w:hAnsiTheme="majorBidi"/>
          <w:sz w:val="24"/>
          <w:szCs w:val="24"/>
        </w:rPr>
        <w:t xml:space="preserve"> 10 (4): 412–27. https://doi.org/10.1111/1758-2229.12626.</w:t>
      </w:r>
    </w:p>
    <w:p w14:paraId="6B2802C8"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Zinser, A. Coe, Z. I. Johnson, A. C. Martiny, N. J. Fuller, D. J. Scanlan, and S. W. Chisholm. 2006. “Prochlorococcus Ecotype Abundances in the North Atlantic Ocean </w:t>
      </w:r>
      <w:proofErr w:type="gramStart"/>
      <w:r w:rsidRPr="0014413A">
        <w:rPr>
          <w:rFonts w:asciiTheme="majorBidi" w:hAnsiTheme="majorBidi"/>
          <w:sz w:val="24"/>
          <w:szCs w:val="24"/>
        </w:rPr>
        <w:t>As</w:t>
      </w:r>
      <w:proofErr w:type="gramEnd"/>
      <w:r w:rsidRPr="0014413A">
        <w:rPr>
          <w:rFonts w:asciiTheme="majorBidi" w:hAnsiTheme="majorBidi"/>
          <w:sz w:val="24"/>
          <w:szCs w:val="24"/>
        </w:rPr>
        <w:t xml:space="preserve"> Revealed by an Improved Quantitative PCR Method.” </w:t>
      </w:r>
      <w:r w:rsidRPr="0014413A">
        <w:rPr>
          <w:rFonts w:asciiTheme="majorBidi" w:hAnsiTheme="majorBidi"/>
          <w:i/>
          <w:iCs/>
          <w:sz w:val="24"/>
          <w:szCs w:val="24"/>
        </w:rPr>
        <w:t>Applied and Environmental Microbiology</w:t>
      </w:r>
      <w:r w:rsidRPr="0014413A">
        <w:rPr>
          <w:rFonts w:asciiTheme="majorBidi" w:hAnsiTheme="majorBidi"/>
          <w:sz w:val="24"/>
          <w:szCs w:val="24"/>
        </w:rPr>
        <w:t xml:space="preserve"> 72 (1): 723–32. https://doi.org/10.1128/AEM.72.1.723-732.2006.</w:t>
      </w:r>
    </w:p>
    <w:p w14:paraId="78FF9F00"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Zinser, Zackary I. Johnson, Allison Coe, Erdem Karaca, Daniele Veneziano, and Sallie W. Chisholm. 2007. “Influence of Light and Temperature on Prochlorococcus Ecotype Distributions in the Atlantic Ocean.” </w:t>
      </w:r>
      <w:r w:rsidRPr="0014413A">
        <w:rPr>
          <w:rFonts w:asciiTheme="majorBidi" w:hAnsiTheme="majorBidi"/>
          <w:i/>
          <w:iCs/>
          <w:sz w:val="24"/>
          <w:szCs w:val="24"/>
        </w:rPr>
        <w:t>Limnology and Oceanography</w:t>
      </w:r>
      <w:r w:rsidRPr="0014413A">
        <w:rPr>
          <w:rFonts w:asciiTheme="majorBidi" w:hAnsiTheme="majorBidi"/>
          <w:sz w:val="24"/>
          <w:szCs w:val="24"/>
        </w:rPr>
        <w:t xml:space="preserve"> 52 (5): 2205–20. https://doi.org/10.4319/lo.2007.52.5.2205.</w:t>
      </w:r>
    </w:p>
    <w:p w14:paraId="0183B605"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Zinser, and Adam C. Martiny. 2023. “</w:t>
      </w:r>
      <w:r w:rsidRPr="0014413A">
        <w:rPr>
          <w:rFonts w:asciiTheme="majorBidi" w:hAnsiTheme="majorBidi"/>
          <w:i/>
          <w:iCs/>
          <w:sz w:val="24"/>
          <w:szCs w:val="24"/>
        </w:rPr>
        <w:t>Prochlorococcus</w:t>
      </w:r>
      <w:r w:rsidRPr="0014413A">
        <w:rPr>
          <w:rFonts w:asciiTheme="majorBidi" w:hAnsiTheme="majorBidi"/>
          <w:sz w:val="24"/>
          <w:szCs w:val="24"/>
        </w:rPr>
        <w:t xml:space="preserve">.” In </w:t>
      </w:r>
      <w:r w:rsidRPr="0014413A">
        <w:rPr>
          <w:rFonts w:asciiTheme="majorBidi" w:hAnsiTheme="majorBidi"/>
          <w:i/>
          <w:iCs/>
          <w:sz w:val="24"/>
          <w:szCs w:val="24"/>
        </w:rPr>
        <w:t>Bergey’s Manual of Systematics of Archaea and Bacteria</w:t>
      </w:r>
      <w:r w:rsidRPr="0014413A">
        <w:rPr>
          <w:rFonts w:asciiTheme="majorBidi" w:hAnsiTheme="majorBidi"/>
          <w:sz w:val="24"/>
          <w:szCs w:val="24"/>
        </w:rPr>
        <w:t>, edited by William B. Whitman, 1st ed., 1–18. Wiley. https://doi.org/10.1002/9781118960608.gbm00420.pub2.</w:t>
      </w:r>
    </w:p>
    <w:p w14:paraId="34EA8A66" w14:textId="77777777" w:rsidR="006E430F" w:rsidRPr="0014413A" w:rsidRDefault="006E430F">
      <w:pPr>
        <w:widowControl w:val="0"/>
        <w:autoSpaceDE w:val="0"/>
        <w:autoSpaceDN w:val="0"/>
        <w:adjustRightInd w:val="0"/>
        <w:rPr>
          <w:rFonts w:asciiTheme="majorBidi" w:hAnsiTheme="majorBidi"/>
          <w:sz w:val="24"/>
          <w:szCs w:val="24"/>
        </w:rPr>
      </w:pPr>
      <w:r w:rsidRPr="0014413A">
        <w:rPr>
          <w:rFonts w:asciiTheme="majorBidi" w:hAnsiTheme="majorBidi"/>
          <w:sz w:val="24"/>
          <w:szCs w:val="24"/>
        </w:rPr>
        <w:t xml:space="preserve">Zinser, D </w:t>
      </w:r>
      <w:proofErr w:type="spellStart"/>
      <w:r w:rsidRPr="0014413A">
        <w:rPr>
          <w:rFonts w:asciiTheme="majorBidi" w:hAnsiTheme="majorBidi"/>
          <w:sz w:val="24"/>
          <w:szCs w:val="24"/>
        </w:rPr>
        <w:t>Talmy</w:t>
      </w:r>
      <w:proofErr w:type="spellEnd"/>
      <w:r w:rsidRPr="0014413A">
        <w:rPr>
          <w:rFonts w:asciiTheme="majorBidi" w:hAnsiTheme="majorBidi"/>
          <w:sz w:val="24"/>
          <w:szCs w:val="24"/>
        </w:rPr>
        <w:t>, and B Calfee. 2023. “</w:t>
      </w:r>
      <w:proofErr w:type="spellStart"/>
      <w:r w:rsidRPr="0014413A">
        <w:rPr>
          <w:rFonts w:asciiTheme="majorBidi" w:hAnsiTheme="majorBidi"/>
          <w:sz w:val="24"/>
          <w:szCs w:val="24"/>
        </w:rPr>
        <w:t>Picocyanobacteria</w:t>
      </w:r>
      <w:proofErr w:type="spellEnd"/>
      <w:r w:rsidRPr="0014413A">
        <w:rPr>
          <w:rFonts w:asciiTheme="majorBidi" w:hAnsiTheme="majorBidi"/>
          <w:sz w:val="24"/>
          <w:szCs w:val="24"/>
        </w:rPr>
        <w:t xml:space="preserve"> (Prochlorococcus or </w:t>
      </w:r>
      <w:proofErr w:type="spellStart"/>
      <w:r w:rsidRPr="0014413A">
        <w:rPr>
          <w:rFonts w:asciiTheme="majorBidi" w:hAnsiTheme="majorBidi"/>
          <w:sz w:val="24"/>
          <w:szCs w:val="24"/>
        </w:rPr>
        <w:t>Synechococcus</w:t>
      </w:r>
      <w:proofErr w:type="spellEnd"/>
      <w:r w:rsidRPr="0014413A">
        <w:rPr>
          <w:rFonts w:asciiTheme="majorBidi" w:hAnsiTheme="majorBidi"/>
          <w:sz w:val="24"/>
          <w:szCs w:val="24"/>
        </w:rPr>
        <w:t>) and Picoeukaryote (</w:t>
      </w:r>
      <w:proofErr w:type="spellStart"/>
      <w:r w:rsidRPr="0014413A">
        <w:rPr>
          <w:rFonts w:asciiTheme="majorBidi" w:hAnsiTheme="majorBidi"/>
          <w:sz w:val="24"/>
          <w:szCs w:val="24"/>
        </w:rPr>
        <w:t>Micromonas</w:t>
      </w:r>
      <w:proofErr w:type="spellEnd"/>
      <w:r w:rsidRPr="0014413A">
        <w:rPr>
          <w:rFonts w:asciiTheme="majorBidi" w:hAnsiTheme="majorBidi"/>
          <w:sz w:val="24"/>
          <w:szCs w:val="24"/>
        </w:rPr>
        <w:t xml:space="preserve"> and </w:t>
      </w:r>
      <w:proofErr w:type="spellStart"/>
      <w:r w:rsidRPr="0014413A">
        <w:rPr>
          <w:rFonts w:asciiTheme="majorBidi" w:hAnsiTheme="majorBidi"/>
          <w:sz w:val="24"/>
          <w:szCs w:val="24"/>
        </w:rPr>
        <w:t>Ostreococcus</w:t>
      </w:r>
      <w:proofErr w:type="spellEnd"/>
      <w:r w:rsidRPr="0014413A">
        <w:rPr>
          <w:rFonts w:asciiTheme="majorBidi" w:hAnsiTheme="majorBidi"/>
          <w:sz w:val="24"/>
          <w:szCs w:val="24"/>
        </w:rPr>
        <w:t xml:space="preserve">) Cell Concentrations and Hydrogen Peroxide (HOOH) Concentrations during Batch Culture at the University of Tennessee, Knoxville.” </w:t>
      </w:r>
      <w:r w:rsidRPr="0014413A">
        <w:rPr>
          <w:rFonts w:asciiTheme="majorBidi" w:hAnsiTheme="majorBidi"/>
          <w:sz w:val="24"/>
          <w:szCs w:val="24"/>
        </w:rPr>
        <w:lastRenderedPageBreak/>
        <w:t>Biological and Chemical Oceanography Data Management Office (BCO-DMO). https://doi.org/doi:10.26008/1912/bco-dmo.913181.1.</w:t>
      </w:r>
    </w:p>
    <w:p w14:paraId="1EEC0B73" w14:textId="24CC47D2" w:rsidR="00785DAC" w:rsidRDefault="00785DAC" w:rsidP="00AB2160">
      <w:pPr>
        <w:pStyle w:val="Bibliography"/>
        <w:spacing w:line="360" w:lineRule="auto"/>
      </w:pPr>
    </w:p>
    <w:p w14:paraId="4B9C8460" w14:textId="77777777" w:rsidR="00DE3F08" w:rsidRDefault="00DE3F08" w:rsidP="00DE3F08"/>
    <w:p w14:paraId="2D5535C9" w14:textId="77777777" w:rsidR="00A65CCB" w:rsidRDefault="00A65CCB" w:rsidP="00DE3F08"/>
    <w:p w14:paraId="620C87D9" w14:textId="77777777" w:rsidR="00A65CCB" w:rsidRDefault="00A65CCB" w:rsidP="00DE3F08"/>
    <w:p w14:paraId="7C00FD74" w14:textId="77777777" w:rsidR="00A65CCB" w:rsidRDefault="00A65CCB" w:rsidP="00DE3F08"/>
    <w:p w14:paraId="61EE0024" w14:textId="77777777" w:rsidR="00A65CCB" w:rsidRDefault="00A65CCB" w:rsidP="00DE3F08"/>
    <w:p w14:paraId="0E6A2840" w14:textId="77777777" w:rsidR="00A65CCB" w:rsidRDefault="00A65CCB" w:rsidP="00DE3F08"/>
    <w:p w14:paraId="0527705A" w14:textId="77777777" w:rsidR="00A65CCB" w:rsidRDefault="00A65CCB" w:rsidP="00DE3F08"/>
    <w:p w14:paraId="41176894" w14:textId="77777777" w:rsidR="00A65CCB" w:rsidRDefault="00A65CCB" w:rsidP="00DE3F08"/>
    <w:p w14:paraId="0E3092EF" w14:textId="77777777" w:rsidR="00A65CCB" w:rsidRDefault="00A65CCB" w:rsidP="00DE3F08"/>
    <w:p w14:paraId="5D2E8F7B" w14:textId="77777777" w:rsidR="00A65CCB" w:rsidRDefault="00A65CCB" w:rsidP="00DE3F08"/>
    <w:p w14:paraId="4269C1E1" w14:textId="77777777" w:rsidR="00A65CCB" w:rsidRDefault="00A65CCB" w:rsidP="00DE3F08"/>
    <w:p w14:paraId="249F72DF" w14:textId="77777777" w:rsidR="00A65CCB" w:rsidRDefault="00A65CCB" w:rsidP="00DE3F08"/>
    <w:p w14:paraId="241EACD4" w14:textId="77777777" w:rsidR="00A65CCB" w:rsidRDefault="00A65CCB" w:rsidP="00DE3F08"/>
    <w:p w14:paraId="38882A78" w14:textId="77777777" w:rsidR="0049772E" w:rsidRDefault="0049772E" w:rsidP="00DE3F08"/>
    <w:p w14:paraId="477DFEA5" w14:textId="77777777" w:rsidR="0049772E" w:rsidRDefault="0049772E" w:rsidP="00DE3F08"/>
    <w:p w14:paraId="3401803C" w14:textId="77777777" w:rsidR="0049772E" w:rsidRDefault="0049772E" w:rsidP="00DE3F08"/>
    <w:p w14:paraId="1F2D8B17" w14:textId="77777777" w:rsidR="0049772E" w:rsidRDefault="0049772E" w:rsidP="00DE3F08"/>
    <w:p w14:paraId="267E9ED1" w14:textId="77777777" w:rsidR="0049772E" w:rsidRDefault="0049772E" w:rsidP="00DE3F08"/>
    <w:p w14:paraId="1DBF085A" w14:textId="77777777" w:rsidR="0049772E" w:rsidRDefault="0049772E" w:rsidP="00DE3F08"/>
    <w:p w14:paraId="3692D401" w14:textId="77777777" w:rsidR="0049772E" w:rsidRDefault="0049772E" w:rsidP="00DE3F08"/>
    <w:p w14:paraId="48FEAC09" w14:textId="77777777" w:rsidR="0049772E" w:rsidRPr="00DE3F08" w:rsidRDefault="0049772E" w:rsidP="00DE3F08"/>
    <w:p w14:paraId="404E2070" w14:textId="14A7AF75" w:rsidR="008B5D65" w:rsidRDefault="00563F0C" w:rsidP="0080154B">
      <w:pPr>
        <w:pStyle w:val="Heading1"/>
        <w:numPr>
          <w:ilvl w:val="0"/>
          <w:numId w:val="0"/>
        </w:numPr>
        <w:spacing w:line="360" w:lineRule="auto"/>
        <w:jc w:val="center"/>
      </w:pPr>
      <w:bookmarkStart w:id="88" w:name="_Toc173250058"/>
      <w:r>
        <w:lastRenderedPageBreak/>
        <w:t>A</w:t>
      </w:r>
      <w:r w:rsidR="004A76CB">
        <w:t>ppendices</w:t>
      </w:r>
      <w:bookmarkEnd w:id="88"/>
    </w:p>
    <w:p w14:paraId="42041D2F" w14:textId="21098257" w:rsidR="002A6959" w:rsidRPr="0080154B" w:rsidRDefault="00900E79" w:rsidP="0080154B">
      <w:pPr>
        <w:pStyle w:val="Heading2"/>
        <w:spacing w:line="360" w:lineRule="auto"/>
      </w:pPr>
      <w:bookmarkStart w:id="89" w:name="_Toc173250059"/>
      <w:r w:rsidRPr="008B5D65">
        <w:t>Appendix</w:t>
      </w:r>
      <w:r w:rsidR="007C0BE8" w:rsidRPr="008B5D65">
        <w:t xml:space="preserve"> </w:t>
      </w:r>
      <w:r w:rsidR="008B5D65" w:rsidRPr="008B5D65">
        <w:t>A</w:t>
      </w:r>
      <w:r w:rsidR="008B5D65">
        <w:t xml:space="preserve"> </w:t>
      </w:r>
      <w:r w:rsidR="002677CA">
        <w:t>s</w:t>
      </w:r>
      <w:r w:rsidR="002A6959" w:rsidRPr="008B5D65">
        <w:t xml:space="preserve">upplementary </w:t>
      </w:r>
      <w:r w:rsidR="002677CA">
        <w:t>i</w:t>
      </w:r>
      <w:r w:rsidR="002A6959" w:rsidRPr="008B5D65">
        <w:t xml:space="preserve">nformation </w:t>
      </w:r>
      <w:r w:rsidR="00844E21" w:rsidRPr="008B5D65">
        <w:t>Chapter 2</w:t>
      </w:r>
      <w:bookmarkEnd w:id="89"/>
    </w:p>
    <w:p w14:paraId="674CF706" w14:textId="19475DCA" w:rsidR="002A6959" w:rsidRDefault="00B52929" w:rsidP="0080154B">
      <w:pPr>
        <w:pStyle w:val="Heading3"/>
        <w:spacing w:line="360" w:lineRule="auto"/>
      </w:pPr>
      <w:bookmarkStart w:id="90" w:name="_Toc173250060"/>
      <w:r w:rsidRPr="003609FB">
        <w:t>A</w:t>
      </w:r>
      <w:r w:rsidR="002A6959" w:rsidRPr="003609FB">
        <w:t>1</w:t>
      </w:r>
      <w:r w:rsidR="002F6730" w:rsidRPr="003609FB">
        <w:t xml:space="preserve"> </w:t>
      </w:r>
      <w:r w:rsidR="002A6959" w:rsidRPr="003609FB">
        <w:t>Parameter fitting procedur</w:t>
      </w:r>
      <w:r w:rsidR="0080154B">
        <w:t>e</w:t>
      </w:r>
      <w:bookmarkEnd w:id="90"/>
    </w:p>
    <w:p w14:paraId="3962A999" w14:textId="77777777" w:rsidR="0080154B" w:rsidRPr="0080154B" w:rsidRDefault="0080154B" w:rsidP="0080154B"/>
    <w:p w14:paraId="0EAD7FAB" w14:textId="52411E9E"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goal of our fitting procedure was to search for probability distributions that maximize the probability of each parameter being true, given the model and the experimental data. Let a given experimental dataset be labelled D, and a set of parameters be </w:t>
      </w:r>
      <m:oMath>
        <m:r>
          <w:rPr>
            <w:rFonts w:ascii="Cambria Math" w:hAnsi="Cambria Math" w:cs="Times New Roman"/>
            <w:sz w:val="24"/>
            <w:szCs w:val="24"/>
          </w:rPr>
          <m:t>θ</m:t>
        </m:r>
      </m:oMath>
      <w:r w:rsidRPr="003609FB">
        <w:rPr>
          <w:rFonts w:ascii="Times New Roman" w:hAnsi="Times New Roman" w:cs="Times New Roman"/>
          <w:sz w:val="24"/>
          <w:szCs w:val="24"/>
        </w:rPr>
        <w:t xml:space="preserve">. In the following, we describe a procedure to estimate the probability of the parameters given the observations, which may be written </w:t>
      </w:r>
      <m:oMath>
        <m:r>
          <w:rPr>
            <w:rFonts w:ascii="Cambria Math" w:hAnsi="Cambria Math" w:cs="Times New Roman"/>
            <w:sz w:val="24"/>
            <w:szCs w:val="24"/>
          </w:rPr>
          <m:t>P(θ</m:t>
        </m:r>
      </m:oMath>
      <w:r w:rsidRPr="003609FB">
        <w:rPr>
          <w:rFonts w:ascii="Times New Roman" w:hAnsi="Times New Roman" w:cs="Times New Roman"/>
          <w:sz w:val="24"/>
          <w:szCs w:val="24"/>
        </w:rPr>
        <w:t xml:space="preserve"> |D). The following is true for any specific choice of data (e.g. </w:t>
      </w:r>
      <w:r w:rsidR="00691B65" w:rsidRPr="00691B65">
        <w:rPr>
          <w:rFonts w:ascii="Times New Roman" w:hAnsi="Times New Roman" w:cs="Times New Roman"/>
          <w:i/>
          <w:iCs/>
          <w:sz w:val="24"/>
          <w:szCs w:val="24"/>
        </w:rPr>
        <w:t>Prochlorococcus</w:t>
      </w:r>
      <w:r w:rsidR="0080154B">
        <w:rPr>
          <w:rFonts w:ascii="Times New Roman" w:hAnsi="Times New Roman" w:cs="Times New Roman"/>
          <w:sz w:val="24"/>
          <w:szCs w:val="24"/>
        </w:rPr>
        <w:t xml:space="preserve"> </w:t>
      </w:r>
      <w:r w:rsidRPr="003609FB">
        <w:rPr>
          <w:rFonts w:ascii="Times New Roman" w:hAnsi="Times New Roman" w:cs="Times New Roman"/>
          <w:sz w:val="24"/>
          <w:szCs w:val="24"/>
        </w:rPr>
        <w:t xml:space="preserve">cell densities through time, main text Figure </w:t>
      </w:r>
      <w:r w:rsidR="0080154B">
        <w:rPr>
          <w:rFonts w:ascii="Times New Roman" w:hAnsi="Times New Roman" w:cs="Times New Roman"/>
          <w:sz w:val="24"/>
          <w:szCs w:val="24"/>
        </w:rPr>
        <w:t>2.</w:t>
      </w:r>
      <w:r w:rsidRPr="003609FB">
        <w:rPr>
          <w:rFonts w:ascii="Times New Roman" w:hAnsi="Times New Roman" w:cs="Times New Roman"/>
          <w:sz w:val="24"/>
          <w:szCs w:val="24"/>
        </w:rPr>
        <w:t xml:space="preserve">4a) and corresponding parameter set (e.g. </w:t>
      </w:r>
      <m:oMath>
        <m:r>
          <w:rPr>
            <w:rFonts w:ascii="Cambria Math" w:hAnsi="Cambria Math" w:cs="Times New Roman"/>
            <w:sz w:val="24"/>
            <w:szCs w:val="24"/>
          </w:rPr>
          <m:t>θ={</m:t>
        </m:r>
        <m:sSub>
          <m:sSubPr>
            <m:ctrlPr>
              <w:rPr>
                <w:rFonts w:ascii="Cambria Math" w:hAnsi="Cambria Math" w:cs="Times New Roman"/>
                <w:i/>
                <w:iCs/>
                <w:sz w:val="24"/>
                <w:szCs w:val="24"/>
              </w:rPr>
            </m:ctrlPr>
          </m:sSubPr>
          <m:e>
            <m:r>
              <w:rPr>
                <w:rFonts w:ascii="Cambria Math" w:hAnsi="Cambria Math" w:cs="Times New Roman"/>
                <w:sz w:val="24"/>
                <w:szCs w:val="24"/>
              </w:rPr>
              <m:t>P</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max</m:t>
            </m:r>
          </m:sub>
        </m:sSub>
      </m:oMath>
      <w:r w:rsidRPr="003609FB">
        <w:rPr>
          <w:rFonts w:ascii="Times New Roman" w:hAnsi="Times New Roman" w:cs="Times New Roman"/>
          <w:sz w:val="24"/>
          <w:szCs w:val="24"/>
        </w:rPr>
        <w:t xml:space="preserve">}, main text Figure </w:t>
      </w:r>
      <w:proofErr w:type="gramStart"/>
      <w:r w:rsidR="0080154B">
        <w:rPr>
          <w:rFonts w:ascii="Times New Roman" w:hAnsi="Times New Roman" w:cs="Times New Roman"/>
          <w:sz w:val="24"/>
          <w:szCs w:val="24"/>
        </w:rPr>
        <w:t>2.</w:t>
      </w:r>
      <w:r w:rsidRPr="003609FB">
        <w:rPr>
          <w:rFonts w:ascii="Times New Roman" w:hAnsi="Times New Roman" w:cs="Times New Roman"/>
          <w:sz w:val="24"/>
          <w:szCs w:val="24"/>
        </w:rPr>
        <w:t>4b,c</w:t>
      </w:r>
      <w:proofErr w:type="gramEnd"/>
      <w:r w:rsidRPr="003609FB">
        <w:rPr>
          <w:rFonts w:ascii="Times New Roman" w:hAnsi="Times New Roman" w:cs="Times New Roman"/>
          <w:sz w:val="24"/>
          <w:szCs w:val="24"/>
        </w:rPr>
        <w:t>). Using Bayes theorem, the probability of a given parameter set given the observations is:</w:t>
      </w:r>
    </w:p>
    <w:p w14:paraId="31077879" w14:textId="77777777" w:rsidR="002A6959" w:rsidRPr="003609FB" w:rsidRDefault="002A6959" w:rsidP="00AB2160">
      <w:pPr>
        <w:spacing w:line="360" w:lineRule="auto"/>
        <w:rPr>
          <w:rFonts w:ascii="Times New Roman" w:hAnsi="Times New Roman" w:cs="Times New Roman"/>
          <w:sz w:val="24"/>
          <w:szCs w:val="24"/>
        </w:rPr>
      </w:pPr>
    </w:p>
    <w:p w14:paraId="1546F746" w14:textId="307262B8"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w:t>
      </w:r>
      <w:r w:rsidR="00B52929" w:rsidRPr="003609FB">
        <w:rPr>
          <w:rFonts w:ascii="Times New Roman" w:hAnsi="Times New Roman" w:cs="Times New Roman"/>
          <w:sz w:val="24"/>
          <w:szCs w:val="24"/>
        </w:rPr>
        <w:t xml:space="preserve">A1 </w:t>
      </w:r>
      <w:r w:rsidR="00844E21" w:rsidRPr="003609FB">
        <w:rPr>
          <w:rFonts w:ascii="Times New Roman" w:hAnsi="Times New Roman" w:cs="Times New Roman"/>
          <w:sz w:val="24"/>
          <w:szCs w:val="24"/>
        </w:rPr>
        <w:t>eq</w:t>
      </w:r>
      <w:r w:rsidRPr="003609FB">
        <w:rPr>
          <w:rFonts w:ascii="Times New Roman" w:hAnsi="Times New Roman" w:cs="Times New Roman"/>
          <w:sz w:val="24"/>
          <w:szCs w:val="24"/>
        </w:rPr>
        <w:t>1)</w:t>
      </w:r>
      <m:oMath>
        <m:r>
          <w:rPr>
            <w:rFonts w:ascii="Cambria Math" w:hAnsi="Cambria Math" w:cs="Times New Roman"/>
            <w:sz w:val="24"/>
            <w:szCs w:val="24"/>
          </w:rPr>
          <m:t xml:space="preserve">  P</m:t>
        </m:r>
        <m:d>
          <m:dPr>
            <m:ctrlPr>
              <w:rPr>
                <w:rFonts w:ascii="Cambria Math" w:hAnsi="Cambria Math" w:cs="Times New Roman"/>
                <w:i/>
                <w:sz w:val="24"/>
                <w:szCs w:val="24"/>
              </w:rPr>
            </m:ctrlPr>
          </m:dPr>
          <m:e>
            <m:r>
              <w:rPr>
                <w:rFonts w:ascii="Cambria Math" w:hAnsi="Cambria Math" w:cs="Times New Roman"/>
                <w:sz w:val="24"/>
                <w:szCs w:val="24"/>
              </w:rPr>
              <m:t>θ</m:t>
            </m:r>
            <m:r>
              <m:rPr>
                <m:sty m:val="p"/>
              </m:rPr>
              <w:rPr>
                <w:rFonts w:ascii="Cambria Math" w:hAnsi="Cambria Math" w:cs="Times New Roman"/>
                <w:sz w:val="24"/>
                <w:szCs w:val="24"/>
              </w:rPr>
              <m:t xml:space="preserve"> </m:t>
            </m:r>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r>
          <w:rPr>
            <w:rFonts w:ascii="Cambria Math" w:hAnsi="Cambria Math" w:cs="Times New Roman"/>
            <w:sz w:val="24"/>
            <w:szCs w:val="24"/>
          </w:rPr>
          <m:t> =</m:t>
        </m:r>
        <m:f>
          <m:fPr>
            <m:ctrlPr>
              <w:rPr>
                <w:rFonts w:ascii="Cambria Math" w:hAnsi="Cambria Math" w:cs="Times New Roman"/>
                <w:i/>
                <w:sz w:val="24"/>
                <w:szCs w:val="24"/>
              </w:rPr>
            </m:ctrlPr>
          </m:fPr>
          <m:num>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r>
                  <w:rPr>
                    <w:rFonts w:ascii="Cambria Math" w:hAnsi="Cambria Math" w:cs="Times New Roman"/>
                    <w:sz w:val="24"/>
                    <w:szCs w:val="24"/>
                  </w:rPr>
                  <m:t>θ</m:t>
                </m:r>
                <m:ctrlPr>
                  <w:rPr>
                    <w:rFonts w:ascii="Cambria Math" w:hAnsi="Cambria Math" w:cs="Times New Roman"/>
                    <w:sz w:val="24"/>
                    <w:szCs w:val="24"/>
                  </w:rPr>
                </m:ctrlP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ctrlPr>
                  <w:rPr>
                    <w:rFonts w:ascii="Cambria Math" w:hAnsi="Cambria Math" w:cs="Times New Roman"/>
                    <w:sz w:val="24"/>
                    <w:szCs w:val="24"/>
                  </w:rPr>
                </m:ctrlPr>
              </m:e>
            </m:d>
          </m:num>
          <m:den>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D</m:t>
                </m:r>
                <m:ctrlPr>
                  <w:rPr>
                    <w:rFonts w:ascii="Cambria Math" w:hAnsi="Cambria Math" w:cs="Times New Roman"/>
                    <w:sz w:val="24"/>
                    <w:szCs w:val="24"/>
                  </w:rPr>
                </m:ctrlPr>
              </m:e>
            </m:d>
          </m:den>
        </m:f>
        <m:r>
          <w:rPr>
            <w:rFonts w:ascii="Cambria Math" w:hAnsi="Cambria Math" w:cs="Times New Roman"/>
            <w:sz w:val="24"/>
            <w:szCs w:val="24"/>
          </w:rPr>
          <m:t>  </m:t>
        </m:r>
      </m:oMath>
    </w:p>
    <w:p w14:paraId="5E88E9A8" w14:textId="42697D7E"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In practice, it is difficult to directly find the set </w:t>
      </w:r>
      <m:oMath>
        <m:r>
          <w:rPr>
            <w:rFonts w:ascii="Cambria Math" w:hAnsi="Cambria Math" w:cs="Times New Roman"/>
            <w:sz w:val="24"/>
            <w:szCs w:val="24"/>
          </w:rPr>
          <m:t>θ</m:t>
        </m:r>
      </m:oMath>
      <w:r w:rsidRPr="003609FB">
        <w:rPr>
          <w:rFonts w:ascii="Times New Roman" w:hAnsi="Times New Roman" w:cs="Times New Roman"/>
          <w:sz w:val="24"/>
          <w:szCs w:val="24"/>
        </w:rPr>
        <w:t xml:space="preserve"> which agrees with the probability in Equation S1. The Metropolis-Hastings algorithm approximates the set </w:t>
      </w:r>
      <m:oMath>
        <m:r>
          <w:rPr>
            <w:rFonts w:ascii="Cambria Math" w:hAnsi="Cambria Math" w:cs="Times New Roman"/>
            <w:sz w:val="24"/>
            <w:szCs w:val="24"/>
          </w:rPr>
          <m:t>θ</m:t>
        </m:r>
      </m:oMath>
      <w:r w:rsidRPr="003609FB">
        <w:rPr>
          <w:rFonts w:ascii="Times New Roman" w:hAnsi="Times New Roman" w:cs="Times New Roman"/>
          <w:sz w:val="24"/>
          <w:szCs w:val="24"/>
        </w:rPr>
        <w:t xml:space="preserve"> with a random walk procedure. Consider first assuming a given parameter set, which we call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oMath>
      <w:r w:rsidRPr="003609FB">
        <w:rPr>
          <w:rFonts w:ascii="Times New Roman" w:hAnsi="Times New Roman" w:cs="Times New Roman"/>
          <w:sz w:val="24"/>
          <w:szCs w:val="24"/>
        </w:rPr>
        <w:t xml:space="preserve">. The essence of the random walk algorithm is to consider the feasibility of this parameter set by comparing it to a competing set of parameters, which we call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oMath>
      <w:r w:rsidRPr="003609FB">
        <w:rPr>
          <w:rFonts w:ascii="Times New Roman" w:hAnsi="Times New Roman" w:cs="Times New Roman"/>
          <w:sz w:val="24"/>
          <w:szCs w:val="24"/>
        </w:rPr>
        <w:t xml:space="preserve">. By Equation </w:t>
      </w:r>
      <w:r w:rsidR="0080154B">
        <w:rPr>
          <w:rFonts w:ascii="Times New Roman" w:hAnsi="Times New Roman" w:cs="Times New Roman"/>
          <w:sz w:val="24"/>
          <w:szCs w:val="24"/>
        </w:rPr>
        <w:t>A1 eq1</w:t>
      </w:r>
      <w:r w:rsidRPr="003609FB">
        <w:rPr>
          <w:rFonts w:ascii="Times New Roman" w:hAnsi="Times New Roman" w:cs="Times New Roman"/>
          <w:sz w:val="24"/>
          <w:szCs w:val="24"/>
        </w:rPr>
        <w:t xml:space="preserve">, the ratio of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oMath>
      <w:r w:rsidRPr="003609FB">
        <w:rPr>
          <w:rFonts w:ascii="Times New Roman" w:hAnsi="Times New Roman" w:cs="Times New Roman"/>
          <w:sz w:val="24"/>
          <w:szCs w:val="24"/>
        </w:rPr>
        <w:t xml:space="preserve"> to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oMath>
      <w:r w:rsidRPr="003609FB">
        <w:rPr>
          <w:rFonts w:ascii="Times New Roman" w:hAnsi="Times New Roman" w:cs="Times New Roman"/>
          <w:sz w:val="24"/>
          <w:szCs w:val="24"/>
        </w:rPr>
        <w:t xml:space="preserve"> may be written</w:t>
      </w:r>
      <w:r w:rsidR="00C41358">
        <w:rPr>
          <w:rFonts w:ascii="Times New Roman" w:hAnsi="Times New Roman" w:cs="Times New Roman"/>
          <w:sz w:val="24"/>
          <w:szCs w:val="24"/>
        </w:rPr>
        <w:t xml:space="preserve"> as</w:t>
      </w:r>
    </w:p>
    <w:p w14:paraId="4578B8D5" w14:textId="77777777" w:rsidR="002A6959" w:rsidRPr="003609FB" w:rsidRDefault="002A6959" w:rsidP="00AB2160">
      <w:pPr>
        <w:spacing w:line="360" w:lineRule="auto"/>
        <w:rPr>
          <w:rFonts w:ascii="Times New Roman" w:hAnsi="Times New Roman" w:cs="Times New Roman"/>
          <w:sz w:val="24"/>
          <w:szCs w:val="24"/>
        </w:rPr>
      </w:pPr>
    </w:p>
    <w:p w14:paraId="4357A54F" w14:textId="386FEFB4"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w:t>
      </w:r>
      <w:r w:rsidR="00B52929" w:rsidRPr="003609FB">
        <w:rPr>
          <w:rFonts w:ascii="Times New Roman" w:hAnsi="Times New Roman" w:cs="Times New Roman"/>
          <w:sz w:val="24"/>
          <w:szCs w:val="24"/>
        </w:rPr>
        <w:t>A1</w:t>
      </w:r>
      <w:r w:rsidR="00844E21" w:rsidRPr="003609FB">
        <w:rPr>
          <w:rFonts w:ascii="Times New Roman" w:hAnsi="Times New Roman" w:cs="Times New Roman"/>
          <w:sz w:val="24"/>
          <w:szCs w:val="24"/>
        </w:rPr>
        <w:t xml:space="preserve"> eq</w:t>
      </w:r>
      <w:r w:rsidR="00F05003" w:rsidRPr="003609FB">
        <w:rPr>
          <w:rFonts w:ascii="Times New Roman" w:hAnsi="Times New Roman" w:cs="Times New Roman"/>
          <w:sz w:val="24"/>
          <w:szCs w:val="24"/>
        </w:rPr>
        <w:t>2</w:t>
      </w:r>
      <w:r w:rsidRPr="003609FB">
        <w:rPr>
          <w:rFonts w:ascii="Times New Roman" w:hAnsi="Times New Roman" w:cs="Times New Roman"/>
          <w:sz w:val="24"/>
          <w:szCs w:val="24"/>
        </w:rPr>
        <w:t>)</w:t>
      </w:r>
      <w:r w:rsidR="00C41358">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r>
              <w:rPr>
                <w:rFonts w:ascii="Cambria Math" w:hAnsi="Cambria Math" w:cs="Times New Roman"/>
                <w:sz w:val="24"/>
                <w:szCs w:val="24"/>
              </w:rPr>
              <m:t> </m:t>
            </m:r>
          </m:num>
          <m:den>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d>
          </m:num>
          <m:den>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d>
          </m:den>
        </m:f>
        <m:f>
          <m:fPr>
            <m:ctrlPr>
              <w:rPr>
                <w:rFonts w:ascii="Cambria Math" w:hAnsi="Cambria Math" w:cs="Times New Roman"/>
                <w:i/>
                <w:sz w:val="24"/>
                <w:szCs w:val="24"/>
              </w:rPr>
            </m:ctrlPr>
          </m:fPr>
          <m:num>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d>
          </m:num>
          <m:den>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d>
          </m:den>
        </m:f>
        <m:r>
          <w:rPr>
            <w:rFonts w:ascii="Cambria Math" w:hAnsi="Cambria Math" w:cs="Times New Roman"/>
            <w:sz w:val="24"/>
            <w:szCs w:val="24"/>
          </w:rPr>
          <m:t>  </m:t>
        </m:r>
      </m:oMath>
    </w:p>
    <w:p w14:paraId="146DB10D" w14:textId="77777777" w:rsidR="002A6959" w:rsidRPr="003609FB" w:rsidRDefault="002A6959" w:rsidP="00AB2160">
      <w:pPr>
        <w:spacing w:line="360" w:lineRule="auto"/>
        <w:rPr>
          <w:rFonts w:ascii="Times New Roman" w:hAnsi="Times New Roman" w:cs="Times New Roman"/>
          <w:sz w:val="24"/>
          <w:szCs w:val="24"/>
        </w:rPr>
      </w:pPr>
    </w:p>
    <w:p w14:paraId="4F2E0209" w14:textId="49E7E611"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lastRenderedPageBreak/>
        <w:t xml:space="preserve">Note that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D</m:t>
            </m:r>
            <m:ctrlPr>
              <w:rPr>
                <w:rFonts w:ascii="Cambria Math" w:hAnsi="Cambria Math" w:cs="Times New Roman"/>
                <w:sz w:val="24"/>
                <w:szCs w:val="24"/>
              </w:rPr>
            </m:ctrlPr>
          </m:e>
        </m:d>
      </m:oMath>
      <w:r w:rsidRPr="003609FB">
        <w:rPr>
          <w:rFonts w:ascii="Times New Roman" w:hAnsi="Times New Roman" w:cs="Times New Roman"/>
          <w:sz w:val="24"/>
          <w:szCs w:val="24"/>
        </w:rPr>
        <w:t xml:space="preserve"> does not appear in Equation </w:t>
      </w:r>
      <w:r w:rsidR="0080154B">
        <w:rPr>
          <w:rFonts w:ascii="Times New Roman" w:hAnsi="Times New Roman" w:cs="Times New Roman"/>
          <w:sz w:val="24"/>
          <w:szCs w:val="24"/>
        </w:rPr>
        <w:t>A1 eq</w:t>
      </w:r>
      <w:r w:rsidRPr="003609FB">
        <w:rPr>
          <w:rFonts w:ascii="Times New Roman" w:hAnsi="Times New Roman" w:cs="Times New Roman"/>
          <w:sz w:val="24"/>
          <w:szCs w:val="24"/>
        </w:rPr>
        <w:t xml:space="preserve">2, which is helpful as this quantity is difficult to ascertain empirically. Equation </w:t>
      </w:r>
      <w:r w:rsidR="0080154B">
        <w:rPr>
          <w:rFonts w:ascii="Times New Roman" w:hAnsi="Times New Roman" w:cs="Times New Roman"/>
          <w:sz w:val="24"/>
          <w:szCs w:val="24"/>
        </w:rPr>
        <w:t>A1 eq</w:t>
      </w:r>
      <w:r w:rsidR="0080154B" w:rsidRPr="003609FB">
        <w:rPr>
          <w:rFonts w:ascii="Times New Roman" w:hAnsi="Times New Roman" w:cs="Times New Roman"/>
          <w:sz w:val="24"/>
          <w:szCs w:val="24"/>
        </w:rPr>
        <w:t>2</w:t>
      </w:r>
      <w:r w:rsidRPr="003609FB">
        <w:rPr>
          <w:rFonts w:ascii="Times New Roman" w:hAnsi="Times New Roman" w:cs="Times New Roman"/>
          <w:sz w:val="24"/>
          <w:szCs w:val="24"/>
        </w:rPr>
        <w:t xml:space="preserve"> requires knowledge of </w:t>
      </w:r>
      <m:oMath>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xml:space="preserve">, the probability of the data for a given parameter set, and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xml:space="preserve">, the probability of a given parameter set independent of anything else. Before defining these mathematically, we focus attention on procedural aspects of the Metropolis-Hastings algorithm. </w:t>
      </w:r>
    </w:p>
    <w:p w14:paraId="29F80D45" w14:textId="19113843" w:rsidR="002A6959" w:rsidRPr="003609FB" w:rsidRDefault="002A6959" w:rsidP="0080154B">
      <w:pPr>
        <w:spacing w:line="360" w:lineRule="auto"/>
        <w:rPr>
          <w:rFonts w:ascii="Times New Roman" w:hAnsi="Times New Roman" w:cs="Times New Roman"/>
          <w:sz w:val="24"/>
          <w:szCs w:val="24"/>
        </w:rPr>
      </w:pPr>
      <w:r w:rsidRPr="003609FB">
        <w:rPr>
          <w:rFonts w:ascii="Times New Roman" w:hAnsi="Times New Roman" w:cs="Times New Roman"/>
          <w:sz w:val="24"/>
          <w:szCs w:val="24"/>
        </w:rPr>
        <w:t>The Metropolis-Hastings algorithm generates each new parameter set following a random walk procedure:</w:t>
      </w:r>
    </w:p>
    <w:p w14:paraId="29F7F366" w14:textId="3016C041"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w:t>
      </w:r>
      <w:r w:rsidR="00B52929" w:rsidRPr="003609FB">
        <w:rPr>
          <w:rFonts w:ascii="Times New Roman" w:hAnsi="Times New Roman" w:cs="Times New Roman"/>
          <w:sz w:val="24"/>
          <w:szCs w:val="24"/>
        </w:rPr>
        <w:t>A1</w:t>
      </w:r>
      <w:r w:rsidR="00844E21" w:rsidRPr="003609FB">
        <w:rPr>
          <w:rFonts w:ascii="Times New Roman" w:hAnsi="Times New Roman" w:cs="Times New Roman"/>
          <w:sz w:val="24"/>
          <w:szCs w:val="24"/>
        </w:rPr>
        <w:t xml:space="preserve"> eq3</w:t>
      </w:r>
      <w:r w:rsidRPr="003609FB">
        <w:rPr>
          <w:rFonts w:ascii="Times New Roman" w:hAnsi="Times New Roman" w:cs="Times New Roman"/>
          <w:sz w:val="24"/>
          <w:szCs w:val="24"/>
        </w:rPr>
        <w:t xml:space="preserve">) </w:t>
      </w:r>
      <w:r w:rsidR="00C41358">
        <w:rPr>
          <w:rFonts w:ascii="Times New Roman" w:hAnsi="Times New Roman" w:cs="Times New Roman"/>
          <w:sz w:val="24"/>
          <w:szCs w:val="24"/>
        </w:rPr>
        <w:t xml:space="preserve">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prop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old</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a</m:t>
            </m:r>
          </m:sup>
        </m:sSup>
        <m:r>
          <w:rPr>
            <w:rFonts w:ascii="Cambria Math" w:hAnsi="Cambria Math" w:cs="Times New Roman"/>
            <w:sz w:val="24"/>
            <w:szCs w:val="24"/>
          </w:rPr>
          <m:t xml:space="preserve"> </m:t>
        </m:r>
      </m:oMath>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prop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old</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b</m:t>
            </m:r>
          </m:sup>
        </m:sSup>
        <m:r>
          <w:rPr>
            <w:rFonts w:ascii="Cambria Math" w:hAnsi="Cambria Math" w:cs="Times New Roman"/>
            <w:sz w:val="24"/>
            <w:szCs w:val="24"/>
          </w:rPr>
          <m:t xml:space="preserve"> </m:t>
        </m:r>
      </m:oMath>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prop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old</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c</m:t>
            </m:r>
          </m:sup>
        </m:sSup>
        <m:r>
          <w:rPr>
            <w:rFonts w:ascii="Cambria Math" w:hAnsi="Cambria Math" w:cs="Times New Roman"/>
            <w:sz w:val="24"/>
            <w:szCs w:val="24"/>
          </w:rPr>
          <m:t xml:space="preserve">        </m:t>
        </m:r>
      </m:oMath>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prop</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old</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d</m:t>
            </m:r>
          </m:sup>
        </m:sSup>
      </m:oMath>
    </w:p>
    <w:p w14:paraId="6C74D6CE" w14:textId="4038CD69"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where a, b, c and d are independent random numbers drawn from a normal probability distribution with mean zero and standard deviation 0.05. The precise choice of standard deviation modifies the computational efficiency of the algorithm but should not change the results </w:t>
      </w:r>
      <w:r w:rsidR="00FC0D28" w:rsidRPr="003609FB">
        <w:rPr>
          <w:rFonts w:ascii="Times New Roman" w:hAnsi="Times New Roman" w:cs="Times New Roman"/>
          <w:sz w:val="24"/>
          <w:szCs w:val="24"/>
        </w:rPr>
        <w:t>(Robert and Casella 2010)</w:t>
      </w:r>
      <w:r w:rsidRPr="003609FB">
        <w:rPr>
          <w:rFonts w:ascii="Times New Roman" w:hAnsi="Times New Roman" w:cs="Times New Roman"/>
          <w:sz w:val="24"/>
          <w:szCs w:val="24"/>
        </w:rPr>
        <w:t xml:space="preserve">. If the new parameter set is more probable than the old parameter set, then the ratio of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oMath>
      <w:r w:rsidRPr="003609FB">
        <w:rPr>
          <w:rFonts w:ascii="Times New Roman" w:hAnsi="Times New Roman" w:cs="Times New Roman"/>
          <w:sz w:val="24"/>
          <w:szCs w:val="24"/>
        </w:rPr>
        <w:t xml:space="preserve"> to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oMath>
      <w:r w:rsidRPr="003609FB">
        <w:rPr>
          <w:rFonts w:ascii="Times New Roman" w:hAnsi="Times New Roman" w:cs="Times New Roman"/>
          <w:sz w:val="24"/>
          <w:szCs w:val="24"/>
        </w:rPr>
        <w:t xml:space="preserve"> (Equation </w:t>
      </w:r>
      <w:r w:rsidR="0080154B">
        <w:rPr>
          <w:rFonts w:ascii="Times New Roman" w:hAnsi="Times New Roman" w:cs="Times New Roman"/>
          <w:sz w:val="24"/>
          <w:szCs w:val="24"/>
        </w:rPr>
        <w:t>A1 eq</w:t>
      </w:r>
      <w:r w:rsidR="0080154B" w:rsidRPr="003609FB">
        <w:rPr>
          <w:rFonts w:ascii="Times New Roman" w:hAnsi="Times New Roman" w:cs="Times New Roman"/>
          <w:sz w:val="24"/>
          <w:szCs w:val="24"/>
        </w:rPr>
        <w:t>2</w:t>
      </w:r>
      <w:r w:rsidRPr="003609FB">
        <w:rPr>
          <w:rFonts w:ascii="Times New Roman" w:hAnsi="Times New Roman" w:cs="Times New Roman"/>
          <w:sz w:val="24"/>
          <w:szCs w:val="24"/>
        </w:rPr>
        <w:t xml:space="preserve">) will be greater than one. If this is the case, then we can adopt this parameter set by relabeling it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new</m:t>
            </m:r>
          </m:sub>
        </m:sSub>
      </m:oMath>
      <w:r w:rsidRPr="003609FB">
        <w:rPr>
          <w:rFonts w:ascii="Times New Roman" w:hAnsi="Times New Roman" w:cs="Times New Roman"/>
          <w:sz w:val="24"/>
          <w:szCs w:val="24"/>
        </w:rPr>
        <w:t xml:space="preserve">. We then generate another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oMath>
      <w:r w:rsidRPr="003609FB">
        <w:rPr>
          <w:rFonts w:ascii="Times New Roman" w:hAnsi="Times New Roman" w:cs="Times New Roman"/>
          <w:sz w:val="24"/>
          <w:szCs w:val="24"/>
        </w:rPr>
        <w:t xml:space="preserve"> with Equation 7 (this time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new</m:t>
            </m:r>
          </m:sub>
        </m:sSub>
      </m:oMath>
      <w:r w:rsidRPr="003609FB">
        <w:rPr>
          <w:rFonts w:ascii="Times New Roman" w:hAnsi="Times New Roman" w:cs="Times New Roman"/>
          <w:sz w:val="24"/>
          <w:szCs w:val="24"/>
        </w:rPr>
        <w:t xml:space="preserve"> becomes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r>
          <w:rPr>
            <w:rFonts w:ascii="Cambria Math" w:hAnsi="Cambria Math" w:cs="Times New Roman"/>
            <w:sz w:val="24"/>
            <w:szCs w:val="24"/>
          </w:rPr>
          <m:t>)</m:t>
        </m:r>
      </m:oMath>
      <w:r w:rsidRPr="003609FB">
        <w:rPr>
          <w:rFonts w:ascii="Times New Roman" w:hAnsi="Times New Roman" w:cs="Times New Roman"/>
          <w:sz w:val="24"/>
          <w:szCs w:val="24"/>
        </w:rPr>
        <w:t xml:space="preserve">, and repeat this procedure iteratively until the random walk navigates to the set that best describes the probability in Equation </w:t>
      </w:r>
      <w:r w:rsidR="0080154B">
        <w:rPr>
          <w:rFonts w:ascii="Times New Roman" w:hAnsi="Times New Roman" w:cs="Times New Roman"/>
          <w:sz w:val="24"/>
          <w:szCs w:val="24"/>
        </w:rPr>
        <w:t>A1 eq1</w:t>
      </w:r>
      <w:r w:rsidRPr="003609FB">
        <w:rPr>
          <w:rFonts w:ascii="Times New Roman" w:hAnsi="Times New Roman" w:cs="Times New Roman"/>
          <w:sz w:val="24"/>
          <w:szCs w:val="24"/>
        </w:rPr>
        <w:t xml:space="preserve">. A subtle but key additional feature of the Metropolis-Hastings algorithm is to search parameter space by occasionally letting worse parameter sets be adopted. It does this by accepting the new parameter set if: </w:t>
      </w:r>
    </w:p>
    <w:p w14:paraId="10B87B9F" w14:textId="7529E4CA"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w:t>
      </w:r>
      <w:r w:rsidR="00B52929" w:rsidRPr="003609FB">
        <w:rPr>
          <w:rFonts w:ascii="Times New Roman" w:hAnsi="Times New Roman" w:cs="Times New Roman"/>
          <w:sz w:val="24"/>
          <w:szCs w:val="24"/>
        </w:rPr>
        <w:t xml:space="preserve">A1 </w:t>
      </w:r>
      <w:r w:rsidR="00844E21" w:rsidRPr="003609FB">
        <w:rPr>
          <w:rFonts w:ascii="Times New Roman" w:hAnsi="Times New Roman" w:cs="Times New Roman"/>
          <w:sz w:val="24"/>
          <w:szCs w:val="24"/>
        </w:rPr>
        <w:t>eq4</w:t>
      </w:r>
      <w:r w:rsidRPr="003609FB">
        <w:rPr>
          <w:rFonts w:ascii="Times New Roman" w:hAnsi="Times New Roman" w:cs="Times New Roman"/>
          <w:sz w:val="24"/>
          <w:szCs w:val="24"/>
        </w:rPr>
        <w:t xml:space="preserve">)  </w:t>
      </w:r>
      <w:r w:rsidR="00C41358">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proposed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r>
              <w:rPr>
                <w:rFonts w:ascii="Cambria Math" w:hAnsi="Cambria Math" w:cs="Times New Roman"/>
                <w:sz w:val="24"/>
                <w:szCs w:val="24"/>
              </w:rPr>
              <m:t> </m:t>
            </m:r>
          </m:num>
          <m:den>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old</m:t>
                    </m:r>
                  </m:sub>
                </m:sSub>
                <m:ctrlPr>
                  <w:rPr>
                    <w:rFonts w:ascii="Cambria Math" w:hAnsi="Cambria Math" w:cs="Times New Roman"/>
                    <w:sz w:val="24"/>
                    <w:szCs w:val="24"/>
                  </w:rPr>
                </m:ctrlPr>
              </m:e>
              <m:e>
                <m:r>
                  <m:rPr>
                    <m:sty m:val="p"/>
                  </m:rPr>
                  <w:rPr>
                    <w:rFonts w:ascii="Cambria Math" w:hAnsi="Cambria Math" w:cs="Times New Roman"/>
                    <w:sz w:val="24"/>
                    <w:szCs w:val="24"/>
                  </w:rPr>
                  <m:t>D</m:t>
                </m:r>
                <m:ctrlPr>
                  <w:rPr>
                    <w:rFonts w:ascii="Cambria Math" w:hAnsi="Cambria Math" w:cs="Times New Roman"/>
                    <w:sz w:val="24"/>
                    <w:szCs w:val="24"/>
                  </w:rPr>
                </m:ctrlPr>
              </m:e>
            </m:d>
          </m:den>
        </m:f>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a+b+c+d</m:t>
            </m:r>
          </m:sup>
        </m:sSup>
        <m:r>
          <w:rPr>
            <w:rFonts w:ascii="Cambria Math" w:hAnsi="Cambria Math" w:cs="Times New Roman"/>
            <w:sz w:val="24"/>
            <w:szCs w:val="24"/>
          </w:rPr>
          <m:t>≥r</m:t>
        </m:r>
      </m:oMath>
    </w:p>
    <w:p w14:paraId="106B4274" w14:textId="4C4D70C9" w:rsidR="002A6959" w:rsidRPr="003609FB" w:rsidRDefault="00EB0991" w:rsidP="00AB2160">
      <w:pPr>
        <w:spacing w:line="360" w:lineRule="auto"/>
        <w:ind w:firstLine="720"/>
        <w:rPr>
          <w:rFonts w:ascii="Times New Roman" w:hAnsi="Times New Roman" w:cs="Times New Roman"/>
          <w:sz w:val="24"/>
          <w:szCs w:val="24"/>
        </w:rPr>
      </w:pPr>
      <w:r>
        <w:rPr>
          <w:rFonts w:ascii="Times New Roman" w:hAnsi="Times New Roman" w:cs="Times New Roman"/>
          <w:sz w:val="24"/>
          <w:szCs w:val="24"/>
        </w:rPr>
        <w:t>w</w:t>
      </w:r>
      <w:r w:rsidR="002A6959" w:rsidRPr="003609FB">
        <w:rPr>
          <w:rFonts w:ascii="Times New Roman" w:hAnsi="Times New Roman" w:cs="Times New Roman"/>
          <w:sz w:val="24"/>
          <w:szCs w:val="24"/>
        </w:rPr>
        <w:t>here r is drawn randomly from a uniform distribution within the range [0,1].</w:t>
      </w:r>
      <w:r w:rsidR="00103F5D">
        <w:rPr>
          <w:rFonts w:ascii="Times New Roman" w:hAnsi="Times New Roman" w:cs="Times New Roman"/>
          <w:sz w:val="24"/>
          <w:szCs w:val="24"/>
        </w:rPr>
        <w:t xml:space="preserve"> </w:t>
      </w:r>
      <w:r>
        <w:rPr>
          <w:rFonts w:ascii="Times New Roman" w:hAnsi="Times New Roman" w:cs="Times New Roman"/>
          <w:sz w:val="24"/>
          <w:szCs w:val="24"/>
        </w:rPr>
        <w:t xml:space="preserve">This prevents parameter set convergence </w:t>
      </w:r>
      <w:r w:rsidR="00103F5D">
        <w:rPr>
          <w:rFonts w:ascii="Times New Roman" w:hAnsi="Times New Roman" w:cs="Times New Roman"/>
          <w:sz w:val="24"/>
          <w:szCs w:val="24"/>
        </w:rPr>
        <w:t>o</w:t>
      </w:r>
      <w:r>
        <w:rPr>
          <w:rFonts w:ascii="Times New Roman" w:hAnsi="Times New Roman" w:cs="Times New Roman"/>
          <w:sz w:val="24"/>
          <w:szCs w:val="24"/>
        </w:rPr>
        <w:t>n local minima and helps the algorithm search for global minima, and thus global optima for parameter values.</w:t>
      </w:r>
      <w:r w:rsidR="002A6959" w:rsidRPr="003609FB">
        <w:rPr>
          <w:rFonts w:ascii="Times New Roman" w:hAnsi="Times New Roman" w:cs="Times New Roman"/>
          <w:sz w:val="24"/>
          <w:szCs w:val="24"/>
        </w:rPr>
        <w:t xml:space="preserve"> Note that the exponential term in Equation </w:t>
      </w:r>
      <w:r w:rsidR="0080154B">
        <w:rPr>
          <w:rFonts w:ascii="Times New Roman" w:hAnsi="Times New Roman" w:cs="Times New Roman"/>
          <w:sz w:val="24"/>
          <w:szCs w:val="24"/>
        </w:rPr>
        <w:t>A1 eq4</w:t>
      </w:r>
      <w:r w:rsidR="002A6959" w:rsidRPr="003609FB">
        <w:rPr>
          <w:rFonts w:ascii="Times New Roman" w:hAnsi="Times New Roman" w:cs="Times New Roman"/>
          <w:sz w:val="24"/>
          <w:szCs w:val="24"/>
        </w:rPr>
        <w:t xml:space="preserve"> helps the algorithm compensate for the asymmetry of the lognormal distribution, and its tendency to favor large values over small values.</w:t>
      </w:r>
      <w:r>
        <w:rPr>
          <w:rFonts w:ascii="Times New Roman" w:hAnsi="Times New Roman" w:cs="Times New Roman"/>
          <w:sz w:val="24"/>
          <w:szCs w:val="24"/>
        </w:rPr>
        <w:t xml:space="preserve"> </w:t>
      </w:r>
      <w:r w:rsidR="002A6959" w:rsidRPr="003609FB">
        <w:rPr>
          <w:rFonts w:ascii="Times New Roman" w:hAnsi="Times New Roman" w:cs="Times New Roman"/>
          <w:sz w:val="24"/>
          <w:szCs w:val="24"/>
        </w:rPr>
        <w:t xml:space="preserve"> If the ratio in Equation </w:t>
      </w:r>
      <w:r w:rsidR="0080154B">
        <w:rPr>
          <w:rFonts w:ascii="Times New Roman" w:hAnsi="Times New Roman" w:cs="Times New Roman"/>
          <w:sz w:val="24"/>
          <w:szCs w:val="24"/>
        </w:rPr>
        <w:t>A1 eq4</w:t>
      </w:r>
      <w:r w:rsidR="002A6959" w:rsidRPr="003609FB">
        <w:rPr>
          <w:rFonts w:ascii="Times New Roman" w:hAnsi="Times New Roman" w:cs="Times New Roman"/>
          <w:sz w:val="24"/>
          <w:szCs w:val="24"/>
        </w:rPr>
        <w:t xml:space="preserve"> is greater than r, then it must also be greater than one, and hence improvements to the parameter set are always accepted. However, every so often, the ratio in Equation </w:t>
      </w:r>
      <w:r w:rsidR="0080154B">
        <w:rPr>
          <w:rFonts w:ascii="Times New Roman" w:hAnsi="Times New Roman" w:cs="Times New Roman"/>
          <w:sz w:val="24"/>
          <w:szCs w:val="24"/>
        </w:rPr>
        <w:t>A1 eq4</w:t>
      </w:r>
      <w:r w:rsidR="002A6959" w:rsidRPr="003609FB">
        <w:rPr>
          <w:rFonts w:ascii="Times New Roman" w:hAnsi="Times New Roman" w:cs="Times New Roman"/>
          <w:sz w:val="24"/>
          <w:szCs w:val="24"/>
        </w:rPr>
        <w:t xml:space="preserve"> will be less than one but greater </w:t>
      </w:r>
      <w:r w:rsidR="002A6959" w:rsidRPr="003609FB">
        <w:rPr>
          <w:rFonts w:ascii="Times New Roman" w:hAnsi="Times New Roman" w:cs="Times New Roman"/>
          <w:sz w:val="24"/>
          <w:szCs w:val="24"/>
        </w:rPr>
        <w:lastRenderedPageBreak/>
        <w:t>than r. Here, poorer parameter sets are still opted for</w:t>
      </w:r>
      <w:r>
        <w:rPr>
          <w:rFonts w:ascii="Times New Roman" w:hAnsi="Times New Roman" w:cs="Times New Roman"/>
          <w:sz w:val="24"/>
          <w:szCs w:val="24"/>
        </w:rPr>
        <w:t xml:space="preserve"> allowing for the search of some ‘bad’ parameter sets as well</w:t>
      </w:r>
      <w:r w:rsidR="002A6959" w:rsidRPr="003609FB">
        <w:rPr>
          <w:rFonts w:ascii="Times New Roman" w:hAnsi="Times New Roman" w:cs="Times New Roman"/>
          <w:sz w:val="24"/>
          <w:szCs w:val="24"/>
        </w:rPr>
        <w:t>. The algorithm still converges upon optimal parameter sets since there is a stronger tendency to select improved parameter sets over poorer ones.</w:t>
      </w:r>
    </w:p>
    <w:p w14:paraId="406597F2" w14:textId="0899B5E5" w:rsidR="002A6959" w:rsidRPr="003609FB" w:rsidRDefault="002A6959" w:rsidP="00C41358">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We now return to the unknowns in Equation </w:t>
      </w:r>
      <w:r w:rsidR="0080154B">
        <w:rPr>
          <w:rFonts w:ascii="Times New Roman" w:hAnsi="Times New Roman" w:cs="Times New Roman"/>
          <w:sz w:val="24"/>
          <w:szCs w:val="24"/>
        </w:rPr>
        <w:t>A1 eq2</w:t>
      </w:r>
      <w:r w:rsidRPr="003609FB">
        <w:rPr>
          <w:rFonts w:ascii="Times New Roman" w:hAnsi="Times New Roman" w:cs="Times New Roman"/>
          <w:sz w:val="24"/>
          <w:szCs w:val="24"/>
        </w:rPr>
        <w:t>: the probability of the data being true with respect to a given parameter set (i.e.</w:t>
      </w:r>
      <w:r w:rsidR="00EB0991">
        <w:rPr>
          <w:rFonts w:ascii="Times New Roman" w:hAnsi="Times New Roman" w:cs="Times New Roman"/>
          <w:sz w:val="24"/>
          <w:szCs w:val="24"/>
        </w:rPr>
        <w:t>,</w:t>
      </w:r>
      <w:r w:rsidRPr="003609FB">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and the probability of each parameter set being true, independent of anything else (i.e.</w:t>
      </w:r>
      <w:r w:rsidR="00EB0991">
        <w:rPr>
          <w:rFonts w:ascii="Times New Roman" w:hAnsi="Times New Roman" w:cs="Times New Roman"/>
          <w:sz w:val="24"/>
          <w:szCs w:val="24"/>
        </w:rPr>
        <w:t>,</w:t>
      </w:r>
      <w:r w:rsidRPr="003609FB">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xml:space="preserve">). In practice, these are typically quantified by a likelihood, and a set of priors, respectively. The likelihood of the data being true for any proposed parameter set is calculated with a likelihood function, </w:t>
      </w:r>
      <m:oMath>
        <m:r>
          <m:rPr>
            <m:scr m:val="script"/>
          </m:rPr>
          <w:rPr>
            <w:rFonts w:ascii="Cambria Math" w:hAnsi="Cambria Math" w:cs="Times New Roman"/>
            <w:sz w:val="24"/>
            <w:szCs w:val="24"/>
          </w:rPr>
          <m:t>L</m:t>
        </m:r>
        <m:d>
          <m:dPr>
            <m:ctrlPr>
              <w:rPr>
                <w:rFonts w:ascii="Cambria Math" w:hAnsi="Cambria Math" w:cs="Times New Roman"/>
                <w:i/>
                <w:sz w:val="24"/>
                <w:szCs w:val="24"/>
              </w:rPr>
            </m:ctrlPr>
          </m:dPr>
          <m:e>
            <m:r>
              <w:rPr>
                <w:rFonts w:ascii="Cambria Math" w:hAnsi="Cambria Math" w:cs="Times New Roman"/>
                <w:sz w:val="24"/>
                <w:szCs w:val="24"/>
              </w:rPr>
              <m:t>θ</m:t>
            </m:r>
          </m:e>
        </m:d>
      </m:oMath>
      <w:r w:rsidRPr="003609FB">
        <w:rPr>
          <w:rFonts w:ascii="Times New Roman" w:hAnsi="Times New Roman" w:cs="Times New Roman"/>
          <w:sz w:val="24"/>
          <w:szCs w:val="24"/>
        </w:rPr>
        <w:t xml:space="preserve">, which is defined as follows: </w:t>
      </w:r>
    </w:p>
    <w:p w14:paraId="013742A6" w14:textId="27323A6A" w:rsidR="002A6959" w:rsidRPr="003609FB" w:rsidRDefault="00C41358"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2A6959" w:rsidRPr="003609FB">
        <w:rPr>
          <w:rFonts w:ascii="Times New Roman" w:hAnsi="Times New Roman" w:cs="Times New Roman"/>
          <w:sz w:val="24"/>
          <w:szCs w:val="24"/>
        </w:rPr>
        <w:t>(</w:t>
      </w:r>
      <w:r w:rsidR="00B52929" w:rsidRPr="003609FB">
        <w:rPr>
          <w:rFonts w:ascii="Times New Roman" w:hAnsi="Times New Roman" w:cs="Times New Roman"/>
          <w:sz w:val="24"/>
          <w:szCs w:val="24"/>
        </w:rPr>
        <w:t>A1</w:t>
      </w:r>
      <w:r w:rsidR="00844E21" w:rsidRPr="003609FB">
        <w:rPr>
          <w:rFonts w:ascii="Times New Roman" w:hAnsi="Times New Roman" w:cs="Times New Roman"/>
          <w:sz w:val="24"/>
          <w:szCs w:val="24"/>
        </w:rPr>
        <w:t xml:space="preserve"> eq</w:t>
      </w:r>
      <w:r w:rsidR="002A6959" w:rsidRPr="003609FB">
        <w:rPr>
          <w:rFonts w:ascii="Times New Roman" w:hAnsi="Times New Roman" w:cs="Times New Roman"/>
          <w:sz w:val="24"/>
          <w:szCs w:val="24"/>
        </w:rPr>
        <w:t xml:space="preserve">5) </w:t>
      </w:r>
      <w:r>
        <w:rPr>
          <w:rFonts w:ascii="Times New Roman" w:hAnsi="Times New Roman" w:cs="Times New Roman"/>
          <w:sz w:val="24"/>
          <w:szCs w:val="24"/>
        </w:rPr>
        <w:t xml:space="preserve">          </w:t>
      </w:r>
      <m:oMath>
        <m:r>
          <w:rPr>
            <w:rFonts w:ascii="Cambria Math" w:hAnsi="Cambria Math" w:cs="Times New Roman"/>
            <w:sz w:val="24"/>
            <w:szCs w:val="24"/>
          </w:rPr>
          <m:t> P</m:t>
        </m:r>
        <m:d>
          <m:dPr>
            <m:ctrlPr>
              <w:rPr>
                <w:rFonts w:ascii="Cambria Math" w:hAnsi="Cambria Math" w:cs="Times New Roman"/>
                <w:i/>
                <w:sz w:val="24"/>
                <w:szCs w:val="24"/>
              </w:rPr>
            </m:ctrlPr>
          </m:dPr>
          <m:e>
            <m:r>
              <m:rPr>
                <m:sty m:val="p"/>
              </m:rPr>
              <w:rPr>
                <w:rFonts w:ascii="Cambria Math" w:hAnsi="Cambria Math" w:cs="Times New Roman"/>
                <w:sz w:val="24"/>
                <w:szCs w:val="24"/>
              </w:rPr>
              <m:t xml:space="preserve"> D</m:t>
            </m:r>
            <m:ctrlPr>
              <w:rPr>
                <w:rFonts w:ascii="Cambria Math" w:hAnsi="Cambria Math" w:cs="Times New Roman"/>
                <w:sz w:val="24"/>
                <w:szCs w:val="24"/>
              </w:rPr>
            </m:ctrlPr>
          </m:e>
          <m:e>
            <m:r>
              <w:rPr>
                <w:rFonts w:ascii="Cambria Math" w:hAnsi="Cambria Math" w:cs="Times New Roman"/>
                <w:sz w:val="24"/>
                <w:szCs w:val="24"/>
              </w:rPr>
              <m:t>θ</m:t>
            </m:r>
            <m:r>
              <m:rPr>
                <m:sty m:val="p"/>
              </m:rPr>
              <w:rPr>
                <w:rFonts w:ascii="Cambria Math" w:hAnsi="Cambria Math" w:cs="Times New Roman"/>
                <w:sz w:val="24"/>
                <w:szCs w:val="24"/>
              </w:rPr>
              <m:t xml:space="preserve"> </m:t>
            </m:r>
            <m:ctrlPr>
              <w:rPr>
                <w:rFonts w:ascii="Cambria Math" w:hAnsi="Cambria Math" w:cs="Times New Roman"/>
                <w:sz w:val="24"/>
                <w:szCs w:val="24"/>
              </w:rPr>
            </m:ctrlPr>
          </m:e>
        </m:d>
        <m:r>
          <m:rPr>
            <m:scr m:val="script"/>
          </m:rPr>
          <w:rPr>
            <w:rFonts w:ascii="Cambria Math" w:hAnsi="Cambria Math" w:cs="Times New Roman"/>
            <w:sz w:val="24"/>
            <w:szCs w:val="24"/>
          </w:rPr>
          <m:t> =L</m:t>
        </m:r>
        <m:d>
          <m:dPr>
            <m:ctrlPr>
              <w:rPr>
                <w:rFonts w:ascii="Cambria Math" w:hAnsi="Cambria Math" w:cs="Times New Roman"/>
                <w:i/>
                <w:sz w:val="24"/>
                <w:szCs w:val="24"/>
              </w:rPr>
            </m:ctrlPr>
          </m:dPr>
          <m:e>
            <m:r>
              <w:rPr>
                <w:rFonts w:ascii="Cambria Math" w:hAnsi="Cambria Math" w:cs="Times New Roman"/>
                <w:sz w:val="24"/>
                <w:szCs w:val="24"/>
              </w:rPr>
              <m:t>θ</m:t>
            </m:r>
          </m:e>
        </m:d>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ctrlPr>
              <w:rPr>
                <w:rFonts w:ascii="Cambria Math" w:hAnsi="Cambria Math" w:cs="Times New Roman"/>
                <w:i/>
                <w:sz w:val="24"/>
                <w:szCs w:val="24"/>
              </w:rPr>
            </m:ctrlPr>
          </m:fName>
          <m:e>
            <m:d>
              <m:dPr>
                <m:ctrlPr>
                  <w:rPr>
                    <w:rFonts w:ascii="Cambria Math" w:hAnsi="Cambria Math" w:cs="Times New Roman"/>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d>
          </m:e>
        </m:func>
      </m:oMath>
    </w:p>
    <w:p w14:paraId="0A443D62" w14:textId="3D5F571C"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Where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oMath>
      <w:r w:rsidRPr="003609FB">
        <w:rPr>
          <w:rFonts w:ascii="Times New Roman" w:hAnsi="Times New Roman" w:cs="Times New Roman"/>
          <w:sz w:val="24"/>
          <w:szCs w:val="24"/>
        </w:rPr>
        <w:t xml:space="preserve"> is the squared sum of differences between log-transformed hydrogen peroxide and cell abundances and the corresponding model estimate, evaluated at </w:t>
      </w:r>
      <m:oMath>
        <m:r>
          <w:rPr>
            <w:rFonts w:ascii="Cambria Math" w:hAnsi="Cambria Math" w:cs="Times New Roman"/>
            <w:sz w:val="24"/>
            <w:szCs w:val="24"/>
          </w:rPr>
          <m:t>θ</m:t>
        </m:r>
      </m:oMath>
      <w:r w:rsidRPr="003609FB">
        <w:rPr>
          <w:rFonts w:ascii="Times New Roman" w:hAnsi="Times New Roman" w:cs="Times New Roman"/>
          <w:sz w:val="24"/>
          <w:szCs w:val="24"/>
        </w:rPr>
        <w:t xml:space="preserve"> (labelled here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m:t>
            </m:r>
          </m:sub>
        </m:sSub>
      </m:oMath>
      <w:r w:rsidRPr="003609FB">
        <w:rPr>
          <w:rFonts w:ascii="Times New Roman" w:hAnsi="Times New Roman" w:cs="Times New Roman"/>
          <w:sz w:val="24"/>
          <w:szCs w:val="24"/>
        </w:rPr>
        <w:t xml:space="preserve">): </w:t>
      </w:r>
    </w:p>
    <w:p w14:paraId="7A4E760B" w14:textId="69AC8A6D" w:rsidR="002A6959" w:rsidRPr="003609FB" w:rsidRDefault="002A6959" w:rsidP="00C41358">
      <w:pPr>
        <w:spacing w:line="360" w:lineRule="auto"/>
        <w:rPr>
          <w:rFonts w:ascii="Times New Roman" w:hAnsi="Times New Roman" w:cs="Times New Roman"/>
          <w:sz w:val="24"/>
          <w:szCs w:val="24"/>
        </w:rPr>
      </w:pPr>
      <w:r w:rsidRPr="003609FB">
        <w:rPr>
          <w:rFonts w:ascii="Times New Roman" w:hAnsi="Times New Roman" w:cs="Times New Roman"/>
          <w:sz w:val="24"/>
          <w:szCs w:val="24"/>
        </w:rPr>
        <w:t>(</w:t>
      </w:r>
      <w:r w:rsidR="00B52929" w:rsidRPr="003609FB">
        <w:rPr>
          <w:rFonts w:ascii="Times New Roman" w:hAnsi="Times New Roman" w:cs="Times New Roman"/>
          <w:sz w:val="24"/>
          <w:szCs w:val="24"/>
        </w:rPr>
        <w:t>A1</w:t>
      </w:r>
      <w:r w:rsidR="00844E21" w:rsidRPr="003609FB">
        <w:rPr>
          <w:rFonts w:ascii="Times New Roman" w:hAnsi="Times New Roman" w:cs="Times New Roman"/>
          <w:sz w:val="24"/>
          <w:szCs w:val="24"/>
        </w:rPr>
        <w:t xml:space="preserve"> eq</w:t>
      </w:r>
      <w:r w:rsidRPr="003609FB">
        <w:rPr>
          <w:rFonts w:ascii="Times New Roman" w:hAnsi="Times New Roman" w:cs="Times New Roman"/>
          <w:sz w:val="24"/>
          <w:szCs w:val="24"/>
        </w:rPr>
        <w:t>6)</w:t>
      </w:r>
      <w:r w:rsidR="00C41358">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m:t>
        </m:r>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i</m:t>
            </m:r>
          </m:sub>
          <m:sup/>
          <m:e>
            <m:f>
              <m:fPr>
                <m:ctrlPr>
                  <w:rPr>
                    <w:rFonts w:ascii="Cambria Math" w:hAnsi="Cambria Math" w:cs="Times New Roman"/>
                    <w:sz w:val="24"/>
                    <w:szCs w:val="24"/>
                  </w:rPr>
                </m:ctrlPr>
              </m:fPr>
              <m:num>
                <m:sSup>
                  <m:sSupPr>
                    <m:ctrlPr>
                      <w:rPr>
                        <w:rFonts w:ascii="Cambria Math" w:hAnsi="Cambria Math" w:cs="Times New Roman"/>
                        <w:sz w:val="24"/>
                        <w:szCs w:val="24"/>
                      </w:rPr>
                    </m:ctrlPr>
                  </m:sSupPr>
                  <m:e>
                    <m:d>
                      <m:dPr>
                        <m:ctrlPr>
                          <w:rPr>
                            <w:rFonts w:ascii="Cambria Math" w:hAnsi="Cambria Math" w:cs="Times New Roman"/>
                            <w:sz w:val="24"/>
                            <w:szCs w:val="24"/>
                          </w:rPr>
                        </m:ctrlPr>
                      </m:dPr>
                      <m:e>
                        <m:acc>
                          <m:accPr>
                            <m:chr m:val="̅"/>
                            <m:ctrlPr>
                              <w:rPr>
                                <w:rFonts w:ascii="Cambria Math" w:hAnsi="Cambria Math" w:cs="Times New Roman"/>
                                <w:sz w:val="24"/>
                                <w:szCs w:val="24"/>
                              </w:rPr>
                            </m:ctrlPr>
                          </m:acc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e>
                        </m:acc>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ln</m:t>
                            </m:r>
                            <m:ctrlPr>
                              <w:rPr>
                                <w:rFonts w:ascii="Cambria Math" w:hAnsi="Cambria Math" w:cs="Times New Roman"/>
                                <w:i/>
                                <w:sz w:val="24"/>
                                <w:szCs w:val="24"/>
                              </w:rPr>
                            </m:ctrlP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m:t>
                                    </m:r>
                                  </m:sub>
                                </m:sSub>
                              </m:e>
                            </m:d>
                          </m:e>
                        </m:func>
                      </m:e>
                    </m:d>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den>
            </m:f>
          </m:e>
        </m:nary>
      </m:oMath>
    </w:p>
    <w:p w14:paraId="2F13834D" w14:textId="58F77516"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In Equation </w:t>
      </w:r>
      <w:r w:rsidR="0080154B">
        <w:rPr>
          <w:rFonts w:ascii="Times New Roman" w:hAnsi="Times New Roman" w:cs="Times New Roman"/>
          <w:sz w:val="24"/>
          <w:szCs w:val="24"/>
        </w:rPr>
        <w:t>A1 eq</w:t>
      </w:r>
      <w:r w:rsidRPr="003609FB">
        <w:rPr>
          <w:rFonts w:ascii="Times New Roman" w:hAnsi="Times New Roman" w:cs="Times New Roman"/>
          <w:sz w:val="24"/>
          <w:szCs w:val="24"/>
        </w:rPr>
        <w:t xml:space="preserve">6,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oMath>
      <w:r w:rsidRPr="003609FB">
        <w:rPr>
          <w:rFonts w:ascii="Times New Roman" w:hAnsi="Times New Roman" w:cs="Times New Roman"/>
          <w:sz w:val="24"/>
          <w:szCs w:val="24"/>
        </w:rPr>
        <w:t xml:space="preserve"> represents the population size at time-point i=</w:t>
      </w:r>
      <w:proofErr w:type="gramStart"/>
      <w:r w:rsidRPr="003609FB">
        <w:rPr>
          <w:rFonts w:ascii="Times New Roman" w:hAnsi="Times New Roman" w:cs="Times New Roman"/>
          <w:sz w:val="24"/>
          <w:szCs w:val="24"/>
        </w:rPr>
        <w:t>1,n</w:t>
      </w:r>
      <w:proofErr w:type="gramEnd"/>
      <w:r w:rsidRPr="003609FB">
        <w:rPr>
          <w:rFonts w:ascii="Times New Roman" w:hAnsi="Times New Roman" w:cs="Times New Roman"/>
          <w:sz w:val="24"/>
          <w:szCs w:val="24"/>
        </w:rPr>
        <w:t xml:space="preserve">, and replicate j=1,m, and </w:t>
      </w:r>
      <m:oMath>
        <m:acc>
          <m:accPr>
            <m:chr m:val="̅"/>
            <m:ctrlPr>
              <w:rPr>
                <w:rFonts w:ascii="Cambria Math" w:hAnsi="Cambria Math" w:cs="Times New Roman"/>
                <w:sz w:val="24"/>
                <w:szCs w:val="24"/>
              </w:rPr>
            </m:ctrlPr>
          </m:acc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e>
        </m:acc>
      </m:oMath>
      <w:r w:rsidRPr="003609FB">
        <w:rPr>
          <w:rFonts w:ascii="Times New Roman" w:hAnsi="Times New Roman" w:cs="Times New Roman"/>
          <w:sz w:val="24"/>
          <w:szCs w:val="24"/>
        </w:rPr>
        <w:t xml:space="preserve"> is the average of replicates after log-transformation. The parameter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is an uncertainty value, which sets the confidence with which we believe each datapoint is true. The specific choice of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was estimated for each dataset separately by analyzing the standard deviation among replicates or triplicates of log-transformed hydrogen peroxide and cell abundance data (see Section </w:t>
      </w:r>
      <w:r w:rsidR="0080154B">
        <w:rPr>
          <w:rFonts w:ascii="Times New Roman" w:hAnsi="Times New Roman" w:cs="Times New Roman"/>
          <w:sz w:val="24"/>
          <w:szCs w:val="24"/>
        </w:rPr>
        <w:t>A</w:t>
      </w:r>
      <w:r w:rsidRPr="003609FB">
        <w:rPr>
          <w:rFonts w:ascii="Times New Roman" w:hAnsi="Times New Roman" w:cs="Times New Roman"/>
          <w:sz w:val="24"/>
          <w:szCs w:val="24"/>
        </w:rPr>
        <w:t xml:space="preserve">2 and Figures </w:t>
      </w:r>
      <w:r w:rsidR="0080154B">
        <w:rPr>
          <w:rFonts w:ascii="Times New Roman" w:hAnsi="Times New Roman" w:cs="Times New Roman"/>
          <w:sz w:val="24"/>
          <w:szCs w:val="24"/>
        </w:rPr>
        <w:t>A</w:t>
      </w:r>
      <w:r w:rsidRPr="003609FB">
        <w:rPr>
          <w:rFonts w:ascii="Times New Roman" w:hAnsi="Times New Roman" w:cs="Times New Roman"/>
          <w:sz w:val="24"/>
          <w:szCs w:val="24"/>
        </w:rPr>
        <w:t>1-</w:t>
      </w:r>
      <w:r w:rsidR="0080154B">
        <w:rPr>
          <w:rFonts w:ascii="Times New Roman" w:hAnsi="Times New Roman" w:cs="Times New Roman"/>
          <w:sz w:val="24"/>
          <w:szCs w:val="24"/>
        </w:rPr>
        <w:t>A</w:t>
      </w:r>
      <w:r w:rsidRPr="003609FB">
        <w:rPr>
          <w:rFonts w:ascii="Times New Roman" w:hAnsi="Times New Roman" w:cs="Times New Roman"/>
          <w:sz w:val="24"/>
          <w:szCs w:val="24"/>
        </w:rPr>
        <w:t xml:space="preserve">3). </w:t>
      </w:r>
    </w:p>
    <w:p w14:paraId="76F8A18A" w14:textId="6B6E3552" w:rsidR="00B55C54" w:rsidRDefault="002A6959" w:rsidP="008033B5">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The probability of a given parameter set being true,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xml:space="preserve"> in Equation </w:t>
      </w:r>
      <w:r w:rsidR="0080154B">
        <w:rPr>
          <w:rFonts w:ascii="Times New Roman" w:hAnsi="Times New Roman" w:cs="Times New Roman"/>
          <w:sz w:val="24"/>
          <w:szCs w:val="24"/>
        </w:rPr>
        <w:t>A1 eq</w:t>
      </w:r>
      <w:r w:rsidRPr="003609FB">
        <w:rPr>
          <w:rFonts w:ascii="Times New Roman" w:hAnsi="Times New Roman" w:cs="Times New Roman"/>
          <w:sz w:val="24"/>
          <w:szCs w:val="24"/>
        </w:rPr>
        <w:t xml:space="preserve">1), is set by priors, which we have the freedom to choose. We assumed uninformative priors by neglecting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ctrlPr>
              <w:rPr>
                <w:rFonts w:ascii="Cambria Math" w:hAnsi="Cambria Math" w:cs="Times New Roman"/>
                <w:sz w:val="24"/>
                <w:szCs w:val="24"/>
              </w:rPr>
            </m:ctrlPr>
          </m:e>
        </m:d>
      </m:oMath>
      <w:r w:rsidRPr="003609FB">
        <w:rPr>
          <w:rFonts w:ascii="Times New Roman" w:hAnsi="Times New Roman" w:cs="Times New Roman"/>
          <w:sz w:val="24"/>
          <w:szCs w:val="24"/>
        </w:rPr>
        <w:t>, allowing all parameter values to be equally feasible before the fitting procedure. For each model-data fit, the random walk was run for 100,000 steps in parallel from two chains. The initial 50,000 iterations of the random walk were discarded</w:t>
      </w:r>
      <w:r w:rsidR="00492027">
        <w:rPr>
          <w:rFonts w:ascii="Times New Roman" w:hAnsi="Times New Roman" w:cs="Times New Roman"/>
          <w:sz w:val="24"/>
          <w:szCs w:val="24"/>
        </w:rPr>
        <w:t xml:space="preserve"> as ‘burn in’ period or training runs</w:t>
      </w:r>
      <w:r w:rsidRPr="003609FB">
        <w:rPr>
          <w:rFonts w:ascii="Times New Roman" w:hAnsi="Times New Roman" w:cs="Times New Roman"/>
          <w:sz w:val="24"/>
          <w:szCs w:val="24"/>
        </w:rPr>
        <w:t xml:space="preserve">. </w:t>
      </w:r>
    </w:p>
    <w:p w14:paraId="5704FCE9" w14:textId="77777777" w:rsidR="00C41358" w:rsidRDefault="00C41358" w:rsidP="008033B5">
      <w:pPr>
        <w:spacing w:line="360" w:lineRule="auto"/>
        <w:ind w:firstLine="720"/>
        <w:rPr>
          <w:rFonts w:ascii="Times New Roman" w:hAnsi="Times New Roman" w:cs="Times New Roman"/>
          <w:sz w:val="24"/>
          <w:szCs w:val="24"/>
        </w:rPr>
      </w:pPr>
    </w:p>
    <w:p w14:paraId="2192500E" w14:textId="6D1AB7DF" w:rsidR="002A6959" w:rsidRPr="003609FB" w:rsidRDefault="00B52929" w:rsidP="00AB2160">
      <w:pPr>
        <w:pStyle w:val="Heading3"/>
        <w:spacing w:line="360" w:lineRule="auto"/>
      </w:pPr>
      <w:bookmarkStart w:id="91" w:name="_Toc173250061"/>
      <w:r w:rsidRPr="003609FB">
        <w:lastRenderedPageBreak/>
        <w:t>A</w:t>
      </w:r>
      <w:r w:rsidR="002A6959" w:rsidRPr="003609FB">
        <w:t>2 Quantifying uncertainty in experimental data</w:t>
      </w:r>
      <w:bookmarkEnd w:id="91"/>
    </w:p>
    <w:p w14:paraId="370280B6" w14:textId="301D6E47" w:rsidR="002A6959"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The Metropolis-Hastings algorithm takes information about the uncertainty of each experimental datapoint to quantify parameter posterior distributions. Our likelihood function (Equations </w:t>
      </w:r>
      <w:r w:rsidR="0080154B">
        <w:rPr>
          <w:rFonts w:ascii="Times New Roman" w:hAnsi="Times New Roman" w:cs="Times New Roman"/>
          <w:sz w:val="24"/>
          <w:szCs w:val="24"/>
        </w:rPr>
        <w:t>A1 eq</w:t>
      </w:r>
      <w:r w:rsidRPr="003609FB">
        <w:rPr>
          <w:rFonts w:ascii="Times New Roman" w:hAnsi="Times New Roman" w:cs="Times New Roman"/>
          <w:sz w:val="24"/>
          <w:szCs w:val="24"/>
        </w:rPr>
        <w:t xml:space="preserve">5 and </w:t>
      </w:r>
      <w:r w:rsidR="0080154B">
        <w:rPr>
          <w:rFonts w:ascii="Times New Roman" w:hAnsi="Times New Roman" w:cs="Times New Roman"/>
          <w:sz w:val="24"/>
          <w:szCs w:val="24"/>
        </w:rPr>
        <w:t>A1 eq</w:t>
      </w:r>
      <w:r w:rsidRPr="003609FB">
        <w:rPr>
          <w:rFonts w:ascii="Times New Roman" w:hAnsi="Times New Roman" w:cs="Times New Roman"/>
          <w:sz w:val="24"/>
          <w:szCs w:val="24"/>
        </w:rPr>
        <w:t xml:space="preserve">6) assumes log-transformed data are normally distributed. This assumption was based on our observation that strong correlation between standard deviation and mean of biological replicates (Figure </w:t>
      </w:r>
      <w:r w:rsidR="008519E0" w:rsidRPr="003609FB">
        <w:rPr>
          <w:rFonts w:ascii="Times New Roman" w:hAnsi="Times New Roman" w:cs="Times New Roman"/>
          <w:sz w:val="24"/>
          <w:szCs w:val="24"/>
        </w:rPr>
        <w:t>A</w:t>
      </w:r>
      <w:r w:rsidR="00844E21" w:rsidRPr="003609FB">
        <w:rPr>
          <w:rFonts w:ascii="Times New Roman" w:hAnsi="Times New Roman" w:cs="Times New Roman"/>
          <w:sz w:val="24"/>
          <w:szCs w:val="24"/>
        </w:rPr>
        <w:t>2.</w:t>
      </w:r>
      <w:r w:rsidRPr="003609FB">
        <w:rPr>
          <w:rFonts w:ascii="Times New Roman" w:hAnsi="Times New Roman" w:cs="Times New Roman"/>
          <w:sz w:val="24"/>
          <w:szCs w:val="24"/>
        </w:rPr>
        <w:t xml:space="preserve">1, left column) largely disappeared after log-transformation (Figure </w:t>
      </w:r>
      <w:r w:rsidR="00F12EB2">
        <w:rPr>
          <w:rFonts w:ascii="Times New Roman" w:hAnsi="Times New Roman" w:cs="Times New Roman"/>
          <w:sz w:val="24"/>
          <w:szCs w:val="24"/>
        </w:rPr>
        <w:t>A</w:t>
      </w:r>
      <w:r w:rsidRPr="003609FB">
        <w:rPr>
          <w:rFonts w:ascii="Times New Roman" w:hAnsi="Times New Roman" w:cs="Times New Roman"/>
          <w:sz w:val="24"/>
          <w:szCs w:val="24"/>
        </w:rPr>
        <w:t xml:space="preserve">1, right column). Strong positive correlation between standard deviation and mean is an indication that a multiplicative process generates variance in biological replicates. The lack of clear structure in the relationship between standard deviation and mean after log-transformation suggests a log-normal distribution may be an appropriate description of variance. The log-normal distribution is widely used to model variance in biological systems for theoretical and empirical reasons </w:t>
      </w:r>
      <w:r w:rsidR="00FC0D28" w:rsidRPr="003609FB">
        <w:rPr>
          <w:rFonts w:ascii="Times New Roman" w:hAnsi="Times New Roman" w:cs="Times New Roman"/>
          <w:sz w:val="24"/>
          <w:szCs w:val="24"/>
        </w:rPr>
        <w:t>(Crow and Shimizu 1987; Koch 1966; Limpert, Stahel, and M. 2001)</w:t>
      </w:r>
      <w:r w:rsidRPr="003609FB">
        <w:rPr>
          <w:rFonts w:ascii="Times New Roman" w:hAnsi="Times New Roman" w:cs="Times New Roman"/>
          <w:sz w:val="24"/>
          <w:szCs w:val="24"/>
        </w:rPr>
        <w:t>.</w:t>
      </w:r>
    </w:p>
    <w:p w14:paraId="35AF7C61" w14:textId="345B1980" w:rsidR="008519E0" w:rsidRDefault="00B55C54" w:rsidP="008033B5">
      <w:pPr>
        <w:spacing w:line="360" w:lineRule="auto"/>
        <w:ind w:firstLine="720"/>
        <w:rPr>
          <w:rFonts w:ascii="Times New Roman" w:hAnsi="Times New Roman" w:cs="Times New Roman"/>
          <w:sz w:val="24"/>
          <w:szCs w:val="24"/>
        </w:rPr>
      </w:pPr>
      <w:r>
        <w:rPr>
          <w:rFonts w:ascii="Times New Roman" w:hAnsi="Times New Roman" w:cs="Times New Roman"/>
          <w:sz w:val="24"/>
          <w:szCs w:val="24"/>
        </w:rPr>
        <w:t>Figure A1 gives the a</w:t>
      </w:r>
      <w:r w:rsidRPr="003609FB">
        <w:rPr>
          <w:rFonts w:ascii="Times New Roman" w:hAnsi="Times New Roman" w:cs="Times New Roman"/>
          <w:sz w:val="24"/>
          <w:szCs w:val="24"/>
        </w:rPr>
        <w:t xml:space="preserve">nalysis of the relationship between standard deviation and mean among biological triplicates for raw (left column) vs log-transformed (right column) </w:t>
      </w:r>
      <w:proofErr w:type="spellStart"/>
      <w:proofErr w:type="gramStart"/>
      <w:r w:rsidRPr="003609FB">
        <w:rPr>
          <w:rFonts w:ascii="Times New Roman" w:hAnsi="Times New Roman" w:cs="Times New Roman"/>
          <w:sz w:val="24"/>
          <w:szCs w:val="24"/>
        </w:rPr>
        <w:t>a,b</w:t>
      </w:r>
      <w:proofErr w:type="spellEnd"/>
      <w:proofErr w:type="gramEnd"/>
      <w:r w:rsidRPr="003609FB">
        <w:rPr>
          <w:rFonts w:ascii="Times New Roman" w:hAnsi="Times New Roman" w:cs="Times New Roman"/>
          <w:sz w:val="24"/>
          <w:szCs w:val="24"/>
        </w:rPr>
        <w:t xml:space="preserve">)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abundance data </w:t>
      </w:r>
      <w:proofErr w:type="spellStart"/>
      <w:r w:rsidRPr="003609FB">
        <w:rPr>
          <w:rFonts w:ascii="Times New Roman" w:hAnsi="Times New Roman" w:cs="Times New Roman"/>
          <w:sz w:val="24"/>
          <w:szCs w:val="24"/>
        </w:rPr>
        <w:t>c,d</w:t>
      </w:r>
      <w:proofErr w:type="spellEnd"/>
      <w:r w:rsidRPr="003609FB">
        <w:rPr>
          <w:rFonts w:ascii="Times New Roman" w:hAnsi="Times New Roman" w:cs="Times New Roman"/>
          <w:sz w:val="24"/>
          <w:szCs w:val="24"/>
        </w:rPr>
        <w:t xml:space="preserve">)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abundance data and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 xml:space="preserve">) Hydrogen peroxide concentrations. There is greater positive correlation between mean and standard deviations in untransformed data, which is largely removed after log-transformation. We interpret this as evidence of multiplicative noise-generating </w:t>
      </w:r>
      <w:r w:rsidR="008033B5" w:rsidRPr="003609FB">
        <w:rPr>
          <w:rFonts w:ascii="Times New Roman" w:hAnsi="Times New Roman" w:cs="Times New Roman"/>
          <w:sz w:val="24"/>
          <w:szCs w:val="24"/>
        </w:rPr>
        <w:t>processes and</w:t>
      </w:r>
      <w:r w:rsidRPr="003609FB">
        <w:rPr>
          <w:rFonts w:ascii="Times New Roman" w:hAnsi="Times New Roman" w:cs="Times New Roman"/>
          <w:sz w:val="24"/>
          <w:szCs w:val="24"/>
        </w:rPr>
        <w:t xml:space="preserve"> assume log-transformed data are normally distributed.</w:t>
      </w:r>
    </w:p>
    <w:p w14:paraId="26A08B17" w14:textId="77777777" w:rsidR="004A76CB" w:rsidRDefault="004A76CB" w:rsidP="008033B5">
      <w:pPr>
        <w:spacing w:line="360" w:lineRule="auto"/>
        <w:ind w:firstLine="720"/>
        <w:rPr>
          <w:rFonts w:ascii="Times New Roman" w:hAnsi="Times New Roman" w:cs="Times New Roman"/>
          <w:sz w:val="24"/>
          <w:szCs w:val="24"/>
        </w:rPr>
      </w:pPr>
    </w:p>
    <w:p w14:paraId="6AD75020" w14:textId="51C5BCE6" w:rsidR="004A76CB" w:rsidRDefault="00E67DBB" w:rsidP="008033B5">
      <w:pPr>
        <w:spacing w:line="360" w:lineRule="auto"/>
        <w:ind w:firstLine="720"/>
        <w:rPr>
          <w:rFonts w:ascii="Times New Roman" w:hAnsi="Times New Roman" w:cs="Times New Roman"/>
          <w:sz w:val="24"/>
          <w:szCs w:val="24"/>
        </w:rPr>
      </w:pPr>
      <w:r w:rsidRPr="003609FB">
        <w:rPr>
          <w:rFonts w:ascii="Times New Roman" w:hAnsi="Times New Roman" w:cs="Times New Roman"/>
          <w:noProof/>
          <w:sz w:val="24"/>
          <w:szCs w:val="24"/>
        </w:rPr>
        <w:lastRenderedPageBreak/>
        <w:drawing>
          <wp:inline distT="0" distB="0" distL="0" distR="0" wp14:anchorId="29ECA2CA" wp14:editId="762DF40C">
            <wp:extent cx="5159141" cy="6254514"/>
            <wp:effectExtent l="0" t="0" r="0" b="0"/>
            <wp:docPr id="87776227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62279" name="Picture 1" descr="A screenshot of a graph&#10;&#10;Description automatically generated"/>
                    <pic:cNvPicPr/>
                  </pic:nvPicPr>
                  <pic:blipFill rotWithShape="1">
                    <a:blip r:embed="rId68"/>
                    <a:srcRect l="4912" t="8844" r="7074" b="5795"/>
                    <a:stretch/>
                  </pic:blipFill>
                  <pic:spPr bwMode="auto">
                    <a:xfrm>
                      <a:off x="0" y="0"/>
                      <a:ext cx="5178443" cy="6277914"/>
                    </a:xfrm>
                    <a:prstGeom prst="rect">
                      <a:avLst/>
                    </a:prstGeom>
                    <a:ln>
                      <a:noFill/>
                    </a:ln>
                    <a:extLst>
                      <a:ext uri="{53640926-AAD7-44D8-BBD7-CCE9431645EC}">
                        <a14:shadowObscured xmlns:a14="http://schemas.microsoft.com/office/drawing/2010/main"/>
                      </a:ext>
                    </a:extLst>
                  </pic:spPr>
                </pic:pic>
              </a:graphicData>
            </a:graphic>
          </wp:inline>
        </w:drawing>
      </w:r>
    </w:p>
    <w:p w14:paraId="4233E398" w14:textId="77777777" w:rsidR="00E67DBB" w:rsidRDefault="00E67DBB" w:rsidP="00E67DBB">
      <w:pPr>
        <w:pStyle w:val="Caption"/>
      </w:pPr>
      <w:bookmarkStart w:id="92" w:name="_Toc173250081"/>
      <w:r>
        <w:t xml:space="preserve">Figure A </w:t>
      </w:r>
      <w:r>
        <w:fldChar w:fldCharType="begin"/>
      </w:r>
      <w:r>
        <w:instrText xml:space="preserve"> SEQ A \* ARABIC </w:instrText>
      </w:r>
      <w:r>
        <w:fldChar w:fldCharType="separate"/>
      </w:r>
      <w:r>
        <w:rPr>
          <w:noProof/>
        </w:rPr>
        <w:t>1</w:t>
      </w:r>
      <w:r>
        <w:rPr>
          <w:noProof/>
        </w:rPr>
        <w:fldChar w:fldCharType="end"/>
      </w:r>
      <w:r>
        <w:t xml:space="preserve"> S</w:t>
      </w:r>
      <w:r w:rsidRPr="00F73FCB">
        <w:t xml:space="preserve">tandard deviation and mean </w:t>
      </w:r>
      <w:r>
        <w:t xml:space="preserve">analysis </w:t>
      </w:r>
      <w:r w:rsidRPr="00F73FCB">
        <w:t>among biological triplicates for raw (le</w:t>
      </w:r>
      <w:r>
        <w:t>ft)</w:t>
      </w:r>
      <w:r w:rsidRPr="00F73FCB">
        <w:t xml:space="preserve"> vs log-transformed</w:t>
      </w:r>
      <w:r>
        <w:t xml:space="preserve"> (right)</w:t>
      </w:r>
      <w:r w:rsidRPr="00F73FCB">
        <w:t xml:space="preserve"> Prochlorococcus abundance</w:t>
      </w:r>
      <w:r>
        <w:t xml:space="preserve">, </w:t>
      </w:r>
      <w:proofErr w:type="spellStart"/>
      <w:r w:rsidRPr="00F73FCB">
        <w:t>Synechococcus</w:t>
      </w:r>
      <w:proofErr w:type="spellEnd"/>
      <w:r w:rsidRPr="00F73FCB">
        <w:t xml:space="preserve"> abundance </w:t>
      </w:r>
      <w:r>
        <w:t>and H</w:t>
      </w:r>
      <w:r w:rsidRPr="007534E9">
        <w:rPr>
          <w:vertAlign w:val="subscript"/>
        </w:rPr>
        <w:t>2</w:t>
      </w:r>
      <w:r>
        <w:t>O</w:t>
      </w:r>
      <w:r w:rsidRPr="007534E9">
        <w:rPr>
          <w:vertAlign w:val="subscript"/>
        </w:rPr>
        <w:t>2</w:t>
      </w:r>
      <w:r>
        <w:t xml:space="preserve"> (HOOH) </w:t>
      </w:r>
      <w:r w:rsidRPr="00F73FCB">
        <w:t>data</w:t>
      </w:r>
      <w:r>
        <w:t>.</w:t>
      </w:r>
      <w:bookmarkEnd w:id="92"/>
    </w:p>
    <w:p w14:paraId="1E3F21A0" w14:textId="77777777" w:rsidR="004A76CB" w:rsidRDefault="004A76CB" w:rsidP="008033B5">
      <w:pPr>
        <w:spacing w:line="360" w:lineRule="auto"/>
        <w:ind w:firstLine="720"/>
        <w:rPr>
          <w:rFonts w:ascii="Times New Roman" w:hAnsi="Times New Roman" w:cs="Times New Roman"/>
          <w:sz w:val="24"/>
          <w:szCs w:val="24"/>
        </w:rPr>
      </w:pPr>
    </w:p>
    <w:p w14:paraId="6748971E" w14:textId="77777777" w:rsidR="004A76CB" w:rsidRDefault="004A76CB" w:rsidP="008033B5">
      <w:pPr>
        <w:spacing w:line="360" w:lineRule="auto"/>
        <w:ind w:firstLine="720"/>
        <w:rPr>
          <w:rFonts w:ascii="Times New Roman" w:hAnsi="Times New Roman" w:cs="Times New Roman"/>
          <w:sz w:val="24"/>
          <w:szCs w:val="24"/>
        </w:rPr>
      </w:pPr>
    </w:p>
    <w:p w14:paraId="3541F6FE" w14:textId="5FEA73B3"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We first assumed that the uncertainty parameter,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could be constrained by the standard deviation among biological replicates or triplicates:</w:t>
      </w:r>
    </w:p>
    <w:p w14:paraId="16756C13" w14:textId="030879F7"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8519E0" w:rsidRPr="003609FB">
        <w:rPr>
          <w:rFonts w:ascii="Times New Roman" w:hAnsi="Times New Roman" w:cs="Times New Roman"/>
          <w:sz w:val="24"/>
          <w:szCs w:val="24"/>
        </w:rPr>
        <w:t>A2 eq1</w:t>
      </w:r>
      <w:r w:rsidRPr="003609FB">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y,i</m:t>
            </m:r>
          </m:sub>
          <m:sup>
            <m:r>
              <w:rPr>
                <w:rFonts w:ascii="Cambria Math" w:hAnsi="Cambria Math" w:cs="Times New Roman"/>
                <w:sz w:val="24"/>
                <w:szCs w:val="24"/>
              </w:rPr>
              <m:t>2</m:t>
            </m:r>
          </m:sup>
        </m:sSubSup>
        <m:r>
          <w:rPr>
            <w:rFonts w:ascii="Cambria Math" w:hAnsi="Cambria Math" w:cs="Times New Roman"/>
            <w:sz w:val="24"/>
            <w:szCs w:val="24"/>
          </w:rPr>
          <m:t>=</m:t>
        </m:r>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j</m:t>
            </m:r>
          </m:sub>
          <m:sup/>
          <m:e>
            <m:sSup>
              <m:sSupPr>
                <m:ctrlPr>
                  <w:rPr>
                    <w:rFonts w:ascii="Cambria Math" w:hAnsi="Cambria Math" w:cs="Times New Roman"/>
                    <w:sz w:val="24"/>
                    <w:szCs w:val="24"/>
                  </w:rPr>
                </m:ctrlPr>
              </m:sSupPr>
              <m:e>
                <m:d>
                  <m:dPr>
                    <m:ctrlPr>
                      <w:rPr>
                        <w:rFonts w:ascii="Cambria Math" w:hAnsi="Cambria Math" w:cs="Times New Roman"/>
                        <w:sz w:val="24"/>
                        <w:szCs w:val="24"/>
                      </w:rPr>
                    </m:ctrlPr>
                  </m:d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r>
                      <w:rPr>
                        <w:rFonts w:ascii="Cambria Math" w:hAnsi="Cambria Math" w:cs="Times New Roman"/>
                        <w:sz w:val="24"/>
                        <w:szCs w:val="24"/>
                      </w:rPr>
                      <m:t>-</m:t>
                    </m:r>
                    <m:acc>
                      <m:accPr>
                        <m:chr m:val="̅"/>
                        <m:ctrlPr>
                          <w:rPr>
                            <w:rFonts w:ascii="Cambria Math" w:hAnsi="Cambria Math" w:cs="Times New Roman"/>
                            <w:sz w:val="24"/>
                            <w:szCs w:val="24"/>
                          </w:rPr>
                        </m:ctrlPr>
                      </m:acc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e>
                    </m:acc>
                  </m:e>
                </m:d>
              </m:e>
              <m:sup>
                <m:r>
                  <w:rPr>
                    <w:rFonts w:ascii="Cambria Math" w:hAnsi="Cambria Math" w:cs="Times New Roman"/>
                    <w:sz w:val="24"/>
                    <w:szCs w:val="24"/>
                  </w:rPr>
                  <m:t>2</m:t>
                </m:r>
              </m:sup>
            </m:sSup>
          </m:e>
        </m:nary>
      </m:oMath>
    </w:p>
    <w:p w14:paraId="31BFDA83" w14:textId="77972ED6" w:rsidR="002A6959" w:rsidRPr="003609FB" w:rsidRDefault="00BA7661" w:rsidP="00A53B46">
      <w:pPr>
        <w:spacing w:line="360" w:lineRule="auto"/>
        <w:rPr>
          <w:rFonts w:ascii="Times New Roman" w:hAnsi="Times New Roman" w:cs="Times New Roman"/>
          <w:sz w:val="24"/>
          <w:szCs w:val="24"/>
        </w:rPr>
      </w:pPr>
      <w:r>
        <w:rPr>
          <w:rFonts w:ascii="Times New Roman" w:hAnsi="Times New Roman" w:cs="Times New Roman"/>
          <w:sz w:val="24"/>
          <w:szCs w:val="24"/>
        </w:rPr>
        <w:t>w</w:t>
      </w:r>
      <w:r w:rsidR="002A6959" w:rsidRPr="003609FB">
        <w:rPr>
          <w:rFonts w:ascii="Times New Roman" w:hAnsi="Times New Roman" w:cs="Times New Roman"/>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oMath>
      <w:r w:rsidR="002A6959" w:rsidRPr="003609FB">
        <w:rPr>
          <w:rFonts w:ascii="Times New Roman" w:hAnsi="Times New Roman" w:cs="Times New Roman"/>
          <w:sz w:val="24"/>
          <w:szCs w:val="24"/>
        </w:rPr>
        <w:t xml:space="preserve"> represents the population size at time-point i=</w:t>
      </w:r>
      <w:proofErr w:type="gramStart"/>
      <w:r w:rsidR="002A6959" w:rsidRPr="003609FB">
        <w:rPr>
          <w:rFonts w:ascii="Times New Roman" w:hAnsi="Times New Roman" w:cs="Times New Roman"/>
          <w:sz w:val="24"/>
          <w:szCs w:val="24"/>
        </w:rPr>
        <w:t>1,n</w:t>
      </w:r>
      <w:proofErr w:type="gramEnd"/>
      <w:r w:rsidR="002A6959" w:rsidRPr="003609FB">
        <w:rPr>
          <w:rFonts w:ascii="Times New Roman" w:hAnsi="Times New Roman" w:cs="Times New Roman"/>
          <w:sz w:val="24"/>
          <w:szCs w:val="24"/>
        </w:rPr>
        <w:t xml:space="preserve">, and replicate j=1,m, and </w:t>
      </w:r>
      <m:oMath>
        <m:acc>
          <m:accPr>
            <m:chr m:val="̅"/>
            <m:ctrlPr>
              <w:rPr>
                <w:rFonts w:ascii="Cambria Math" w:hAnsi="Cambria Math" w:cs="Times New Roman"/>
                <w:sz w:val="24"/>
                <w:szCs w:val="24"/>
              </w:rPr>
            </m:ctrlPr>
          </m:acc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e>
        </m:acc>
      </m:oMath>
      <w:r w:rsidR="002A6959" w:rsidRPr="003609FB">
        <w:rPr>
          <w:rFonts w:ascii="Times New Roman" w:hAnsi="Times New Roman" w:cs="Times New Roman"/>
          <w:sz w:val="24"/>
          <w:szCs w:val="24"/>
        </w:rPr>
        <w:t xml:space="preserve"> is the average of replicates. Within each dataset, we initially constructed a 99% confidence interval on the uncertainty parameter, by assuming that the standard deviation follows a chi-squared distribution </w:t>
      </w:r>
      <w:r w:rsidR="00FC0D28" w:rsidRPr="003609FB">
        <w:rPr>
          <w:rFonts w:ascii="Times New Roman" w:hAnsi="Times New Roman" w:cs="Times New Roman"/>
          <w:sz w:val="24"/>
          <w:szCs w:val="24"/>
        </w:rPr>
        <w:t>(</w:t>
      </w:r>
      <w:proofErr w:type="spellStart"/>
      <w:r w:rsidR="00FC0D28" w:rsidRPr="003609FB">
        <w:rPr>
          <w:rFonts w:ascii="Times New Roman" w:hAnsi="Times New Roman" w:cs="Times New Roman"/>
          <w:sz w:val="24"/>
          <w:szCs w:val="24"/>
        </w:rPr>
        <w:t>Sheskin</w:t>
      </w:r>
      <w:proofErr w:type="spellEnd"/>
      <w:r w:rsidR="00FC0D28" w:rsidRPr="003609FB">
        <w:rPr>
          <w:rFonts w:ascii="Times New Roman" w:hAnsi="Times New Roman" w:cs="Times New Roman"/>
          <w:sz w:val="24"/>
          <w:szCs w:val="24"/>
        </w:rPr>
        <w:t xml:space="preserve"> 2003)</w:t>
      </w:r>
      <w:r w:rsidR="002A6959" w:rsidRPr="003609FB">
        <w:rPr>
          <w:rFonts w:ascii="Times New Roman" w:hAnsi="Times New Roman" w:cs="Times New Roman"/>
          <w:sz w:val="24"/>
          <w:szCs w:val="24"/>
        </w:rPr>
        <w:t>:</w:t>
      </w:r>
    </w:p>
    <w:p w14:paraId="20479794" w14:textId="6CAC3531"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8519E0" w:rsidRPr="003609FB">
        <w:rPr>
          <w:rFonts w:ascii="Times New Roman" w:hAnsi="Times New Roman" w:cs="Times New Roman"/>
          <w:sz w:val="24"/>
          <w:szCs w:val="24"/>
        </w:rPr>
        <w:t>A2 eq2</w:t>
      </w:r>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m-1</m:t>
                    </m:r>
                  </m:num>
                  <m:den>
                    <m:sSubSup>
                      <m:sSubSupPr>
                        <m:ctrlPr>
                          <w:rPr>
                            <w:rFonts w:ascii="Cambria Math" w:hAnsi="Cambria Math" w:cs="Times New Roman"/>
                            <w:i/>
                            <w:sz w:val="24"/>
                            <w:szCs w:val="24"/>
                          </w:rPr>
                        </m:ctrlPr>
                      </m:sSubSupPr>
                      <m:e>
                        <m:r>
                          <w:rPr>
                            <w:rFonts w:ascii="Cambria Math" w:hAnsi="Cambria Math" w:cs="Times New Roman"/>
                            <w:sz w:val="24"/>
                            <w:szCs w:val="24"/>
                          </w:rPr>
                          <m:t>χ</m:t>
                        </m:r>
                      </m:e>
                      <m:sub>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2</m:t>
                            </m:r>
                          </m:den>
                        </m:f>
                        <m:r>
                          <w:rPr>
                            <w:rFonts w:ascii="Cambria Math" w:hAnsi="Cambria Math" w:cs="Times New Roman"/>
                            <w:sz w:val="24"/>
                            <w:szCs w:val="24"/>
                          </w:rPr>
                          <m:t>,m-1</m:t>
                        </m:r>
                      </m:sub>
                      <m:sup>
                        <m:r>
                          <w:rPr>
                            <w:rFonts w:ascii="Cambria Math" w:hAnsi="Cambria Math" w:cs="Times New Roman"/>
                            <w:sz w:val="24"/>
                            <w:szCs w:val="24"/>
                          </w:rPr>
                          <m:t>2</m:t>
                        </m:r>
                      </m:sup>
                    </m:sSubSup>
                  </m:den>
                </m:f>
              </m:e>
            </m:rad>
            <m:r>
              <w:rPr>
                <w:rFonts w:ascii="Cambria Math" w:hAnsi="Cambria Math" w:cs="Times New Roman"/>
                <w:sz w:val="24"/>
                <w:szCs w:val="24"/>
              </w:rPr>
              <m:t>&lt;σ</m:t>
            </m:r>
          </m:e>
          <m:sub>
            <m:r>
              <w:rPr>
                <w:rFonts w:ascii="Cambria Math" w:hAnsi="Cambria Math" w:cs="Times New Roman"/>
                <w:sz w:val="24"/>
                <w:szCs w:val="24"/>
              </w:rPr>
              <m:t>y,i</m:t>
            </m:r>
          </m:sub>
        </m:sSub>
        <m:r>
          <w:rPr>
            <w:rFonts w:ascii="Cambria Math" w:hAnsi="Cambria Math" w:cs="Times New Roman"/>
            <w:sz w:val="24"/>
            <w:szCs w:val="24"/>
          </w:rPr>
          <m:t>&lt;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m-1</m:t>
                </m:r>
              </m:num>
              <m:den>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2</m:t>
                        </m:r>
                      </m:den>
                    </m:f>
                    <m:r>
                      <w:rPr>
                        <w:rFonts w:ascii="Cambria Math" w:hAnsi="Cambria Math" w:cs="Times New Roman"/>
                        <w:sz w:val="24"/>
                        <w:szCs w:val="24"/>
                      </w:rPr>
                      <m:t>,m-1</m:t>
                    </m:r>
                  </m:sub>
                  <m:sup>
                    <m:r>
                      <w:rPr>
                        <w:rFonts w:ascii="Cambria Math" w:hAnsi="Cambria Math" w:cs="Times New Roman"/>
                        <w:sz w:val="24"/>
                        <w:szCs w:val="24"/>
                      </w:rPr>
                      <m:t>2</m:t>
                    </m:r>
                  </m:sup>
                </m:sSubSup>
              </m:den>
            </m:f>
          </m:e>
        </m:rad>
      </m:oMath>
    </w:p>
    <w:p w14:paraId="758EBE90" w14:textId="7D0E0611" w:rsidR="002A6959" w:rsidRPr="003609FB" w:rsidRDefault="00BA7661" w:rsidP="00AB2160">
      <w:pPr>
        <w:spacing w:line="360" w:lineRule="auto"/>
        <w:rPr>
          <w:rFonts w:ascii="Times New Roman" w:hAnsi="Times New Roman" w:cs="Times New Roman"/>
          <w:sz w:val="24"/>
          <w:szCs w:val="24"/>
        </w:rPr>
      </w:pPr>
      <w:r>
        <w:rPr>
          <w:rFonts w:ascii="Times New Roman" w:hAnsi="Times New Roman" w:cs="Times New Roman"/>
          <w:sz w:val="24"/>
          <w:szCs w:val="24"/>
        </w:rPr>
        <w:t>w</w:t>
      </w:r>
      <w:r w:rsidR="002A6959" w:rsidRPr="003609FB">
        <w:rPr>
          <w:rFonts w:ascii="Times New Roman" w:hAnsi="Times New Roman" w:cs="Times New Roman"/>
          <w:sz w:val="24"/>
          <w:szCs w:val="24"/>
        </w:rPr>
        <w:t xml:space="preserve">here </w:t>
      </w:r>
      <m:oMath>
        <m:r>
          <w:rPr>
            <w:rFonts w:ascii="Cambria Math" w:hAnsi="Cambria Math" w:cs="Times New Roman"/>
            <w:sz w:val="24"/>
            <w:szCs w:val="24"/>
          </w:rPr>
          <m:t>α</m:t>
        </m:r>
      </m:oMath>
      <w:r w:rsidR="002A6959" w:rsidRPr="003609FB">
        <w:rPr>
          <w:rFonts w:ascii="Times New Roman" w:hAnsi="Times New Roman" w:cs="Times New Roman"/>
          <w:sz w:val="24"/>
          <w:szCs w:val="24"/>
        </w:rPr>
        <w:t xml:space="preserve"> is the desired confidence level which in our case is 1-0.99=0.01. Due to the high-level of uncertainty associated with sample size m=2 or m=3 (as is the case for biological replicates or triplicates, respectively), Equation S9 led to unrealistically wide confidence intervals for the standard deviations. We therefore estimated the standard deviation across time-points. To do this, we first subtracted the mean of log-transformed replicates from each log-transformed replicate (i.e.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i,j</m:t>
            </m:r>
          </m:sub>
        </m:sSub>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r>
          <w:rPr>
            <w:rFonts w:ascii="Cambria Math" w:hAnsi="Cambria Math" w:cs="Times New Roman"/>
            <w:sz w:val="24"/>
            <w:szCs w:val="24"/>
          </w:rPr>
          <m:t>-</m:t>
        </m:r>
        <m:acc>
          <m:accPr>
            <m:chr m:val="̅"/>
            <m:ctrlPr>
              <w:rPr>
                <w:rFonts w:ascii="Cambria Math" w:hAnsi="Cambria Math" w:cs="Times New Roman"/>
                <w:sz w:val="24"/>
                <w:szCs w:val="24"/>
              </w:rPr>
            </m:ctrlPr>
          </m:accPr>
          <m:e>
            <m:func>
              <m:funcPr>
                <m:ctrlPr>
                  <w:rPr>
                    <w:rFonts w:ascii="Cambria Math" w:hAnsi="Cambria Math" w:cs="Times New Roman"/>
                    <w:sz w:val="24"/>
                    <w:szCs w:val="24"/>
                  </w:rPr>
                </m:ctrlPr>
              </m:funcPr>
              <m:fName>
                <m:r>
                  <m:rPr>
                    <m:sty m:val="p"/>
                  </m:rPr>
                  <w:rPr>
                    <w:rFonts w:ascii="Cambria Math" w:hAnsi="Cambria Math" w:cs="Times New Roman"/>
                    <w:sz w:val="24"/>
                    <w:szCs w:val="24"/>
                  </w:rPr>
                  <m:t>ln</m:t>
                </m:r>
              </m:fName>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i,j</m:t>
                        </m:r>
                      </m:sub>
                    </m:sSub>
                  </m:e>
                </m:d>
              </m:e>
            </m:func>
          </m:e>
        </m:acc>
      </m:oMath>
      <w:r w:rsidR="002A6959" w:rsidRPr="003609FB">
        <w:rPr>
          <w:rFonts w:ascii="Times New Roman" w:hAnsi="Times New Roman" w:cs="Times New Roman"/>
          <w:sz w:val="24"/>
          <w:szCs w:val="24"/>
        </w:rPr>
        <w:t xml:space="preserve"> ). We assumed that each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i,j</m:t>
            </m:r>
          </m:sub>
        </m:sSub>
      </m:oMath>
      <w:r w:rsidR="002A6959" w:rsidRPr="003609FB">
        <w:rPr>
          <w:rFonts w:ascii="Times New Roman" w:hAnsi="Times New Roman" w:cs="Times New Roman"/>
          <w:sz w:val="24"/>
          <w:szCs w:val="24"/>
        </w:rPr>
        <w:t xml:space="preserve"> was normally distributed with mean 0 and unknown variance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oMath>
      <w:r w:rsidR="002A6959" w:rsidRPr="003609FB">
        <w:rPr>
          <w:rFonts w:ascii="Times New Roman" w:hAnsi="Times New Roman" w:cs="Times New Roman"/>
          <w:sz w:val="24"/>
          <w:szCs w:val="24"/>
        </w:rPr>
        <w:t xml:space="preserve"> which we assumed was equal across time-points (i.e.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002A6959" w:rsidRPr="003609FB">
        <w:rPr>
          <w:rFonts w:ascii="Times New Roman" w:hAnsi="Times New Roman" w:cs="Times New Roman"/>
          <w:sz w:val="24"/>
          <w:szCs w:val="24"/>
        </w:rPr>
        <w:t xml:space="preserve"> for all i=</w:t>
      </w:r>
      <w:proofErr w:type="gramStart"/>
      <w:r w:rsidR="002A6959" w:rsidRPr="003609FB">
        <w:rPr>
          <w:rFonts w:ascii="Times New Roman" w:hAnsi="Times New Roman" w:cs="Times New Roman"/>
          <w:sz w:val="24"/>
          <w:szCs w:val="24"/>
        </w:rPr>
        <w:t>1,n</w:t>
      </w:r>
      <w:proofErr w:type="gramEnd"/>
      <w:r w:rsidR="002A6959" w:rsidRPr="003609FB">
        <w:rPr>
          <w:rFonts w:ascii="Times New Roman" w:hAnsi="Times New Roman" w:cs="Times New Roman"/>
          <w:sz w:val="24"/>
          <w:szCs w:val="24"/>
        </w:rPr>
        <w:t xml:space="preserve">).  We then calculated the variance of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i,j</m:t>
            </m:r>
          </m:sub>
        </m:sSub>
      </m:oMath>
      <w:r w:rsidR="002A6959" w:rsidRPr="003609FB">
        <w:rPr>
          <w:rFonts w:ascii="Times New Roman" w:hAnsi="Times New Roman" w:cs="Times New Roman"/>
          <w:sz w:val="24"/>
          <w:szCs w:val="24"/>
        </w:rPr>
        <w:t xml:space="preserve"> and used Equation S9 to again construct 99% confidence intervals, this time however, with n-1 degrees of freedom:</w:t>
      </w:r>
    </w:p>
    <w:p w14:paraId="06A8F23E" w14:textId="76BDE350"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       (</w:t>
      </w:r>
      <w:r w:rsidR="008519E0" w:rsidRPr="003609FB">
        <w:rPr>
          <w:rFonts w:ascii="Times New Roman" w:hAnsi="Times New Roman" w:cs="Times New Roman"/>
          <w:sz w:val="24"/>
          <w:szCs w:val="24"/>
        </w:rPr>
        <w:t>A2 eq3</w:t>
      </w:r>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n-1</m:t>
                    </m:r>
                  </m:num>
                  <m:den>
                    <m:sSubSup>
                      <m:sSubSupPr>
                        <m:ctrlPr>
                          <w:rPr>
                            <w:rFonts w:ascii="Cambria Math" w:hAnsi="Cambria Math" w:cs="Times New Roman"/>
                            <w:i/>
                            <w:sz w:val="24"/>
                            <w:szCs w:val="24"/>
                          </w:rPr>
                        </m:ctrlPr>
                      </m:sSubSupPr>
                      <m:e>
                        <m:r>
                          <w:rPr>
                            <w:rFonts w:ascii="Cambria Math" w:hAnsi="Cambria Math" w:cs="Times New Roman"/>
                            <w:sz w:val="24"/>
                            <w:szCs w:val="24"/>
                          </w:rPr>
                          <m:t>χ</m:t>
                        </m:r>
                      </m:e>
                      <m:sub>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2</m:t>
                            </m:r>
                          </m:den>
                        </m:f>
                        <m:r>
                          <w:rPr>
                            <w:rFonts w:ascii="Cambria Math" w:hAnsi="Cambria Math" w:cs="Times New Roman"/>
                            <w:sz w:val="24"/>
                            <w:szCs w:val="24"/>
                          </w:rPr>
                          <m:t>,n-1</m:t>
                        </m:r>
                      </m:sub>
                      <m:sup>
                        <m:r>
                          <w:rPr>
                            <w:rFonts w:ascii="Cambria Math" w:hAnsi="Cambria Math" w:cs="Times New Roman"/>
                            <w:sz w:val="24"/>
                            <w:szCs w:val="24"/>
                          </w:rPr>
                          <m:t>2</m:t>
                        </m:r>
                      </m:sup>
                    </m:sSubSup>
                  </m:den>
                </m:f>
              </m:e>
            </m:rad>
            <m:r>
              <w:rPr>
                <w:rFonts w:ascii="Cambria Math" w:hAnsi="Cambria Math" w:cs="Times New Roman"/>
                <w:sz w:val="24"/>
                <w:szCs w:val="24"/>
              </w:rPr>
              <m:t>&lt;σ</m:t>
            </m:r>
          </m:e>
          <m:sub>
            <m:r>
              <w:rPr>
                <w:rFonts w:ascii="Cambria Math" w:hAnsi="Cambria Math" w:cs="Times New Roman"/>
                <w:sz w:val="24"/>
                <w:szCs w:val="24"/>
              </w:rPr>
              <m:t>y</m:t>
            </m:r>
          </m:sub>
        </m:sSub>
        <m:r>
          <w:rPr>
            <w:rFonts w:ascii="Cambria Math" w:hAnsi="Cambria Math" w:cs="Times New Roman"/>
            <w:sz w:val="24"/>
            <w:szCs w:val="24"/>
          </w:rPr>
          <m:t>&lt;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n-1</m:t>
                </m:r>
              </m:num>
              <m:den>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2</m:t>
                        </m:r>
                      </m:den>
                    </m:f>
                    <m:r>
                      <w:rPr>
                        <w:rFonts w:ascii="Cambria Math" w:hAnsi="Cambria Math" w:cs="Times New Roman"/>
                        <w:sz w:val="24"/>
                        <w:szCs w:val="24"/>
                      </w:rPr>
                      <m:t>,n-1</m:t>
                    </m:r>
                  </m:sub>
                  <m:sup>
                    <m:r>
                      <w:rPr>
                        <w:rFonts w:ascii="Cambria Math" w:hAnsi="Cambria Math" w:cs="Times New Roman"/>
                        <w:sz w:val="24"/>
                        <w:szCs w:val="24"/>
                      </w:rPr>
                      <m:t>2</m:t>
                    </m:r>
                  </m:sup>
                </m:sSubSup>
              </m:den>
            </m:f>
          </m:e>
        </m:rad>
      </m:oMath>
    </w:p>
    <w:p w14:paraId="1A61EEF9" w14:textId="5304A46B"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In Figure </w:t>
      </w:r>
      <w:r w:rsidR="008519E0" w:rsidRPr="003609FB">
        <w:rPr>
          <w:rFonts w:ascii="Times New Roman" w:hAnsi="Times New Roman" w:cs="Times New Roman"/>
          <w:sz w:val="24"/>
          <w:szCs w:val="24"/>
        </w:rPr>
        <w:t xml:space="preserve">A2 </w:t>
      </w:r>
      <w:r w:rsidRPr="003609FB">
        <w:rPr>
          <w:rFonts w:ascii="Times New Roman" w:hAnsi="Times New Roman" w:cs="Times New Roman"/>
          <w:sz w:val="24"/>
          <w:szCs w:val="24"/>
        </w:rPr>
        <w:t xml:space="preserve">2a, we show hydrogen peroxide replicates in media with zero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addition. The blue dots in Figure </w:t>
      </w:r>
      <w:r w:rsidR="008519E0" w:rsidRPr="003609FB">
        <w:rPr>
          <w:rFonts w:ascii="Times New Roman" w:hAnsi="Times New Roman" w:cs="Times New Roman"/>
          <w:sz w:val="24"/>
          <w:szCs w:val="24"/>
        </w:rPr>
        <w:t>A2 2b</w:t>
      </w:r>
      <w:r w:rsidRPr="003609FB">
        <w:rPr>
          <w:rFonts w:ascii="Times New Roman" w:hAnsi="Times New Roman" w:cs="Times New Roman"/>
          <w:sz w:val="24"/>
          <w:szCs w:val="24"/>
        </w:rPr>
        <w:t xml:space="preserve"> show log-transformed standard deviations among replicates (i.e.</w:t>
      </w:r>
      <w:r w:rsidR="00F12EB2">
        <w:rPr>
          <w:rFonts w:ascii="Times New Roman" w:hAnsi="Times New Roman" w:cs="Times New Roman"/>
          <w:sz w:val="24"/>
          <w:szCs w:val="24"/>
        </w:rPr>
        <w:t>,</w:t>
      </w:r>
      <w:r w:rsidRPr="003609F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The red-dashed line is the average standard deviation across time-points, and the solid red line is the upper limit of the 99% confidence interval in Equation </w:t>
      </w:r>
      <w:r w:rsidR="00F12EB2" w:rsidRPr="003609FB">
        <w:rPr>
          <w:rFonts w:ascii="Times New Roman" w:hAnsi="Times New Roman" w:cs="Times New Roman"/>
          <w:sz w:val="24"/>
          <w:szCs w:val="24"/>
        </w:rPr>
        <w:t>A2 eq</w:t>
      </w:r>
      <w:r w:rsidR="00F12EB2">
        <w:rPr>
          <w:rFonts w:ascii="Times New Roman" w:hAnsi="Times New Roman" w:cs="Times New Roman"/>
          <w:sz w:val="24"/>
          <w:szCs w:val="24"/>
        </w:rPr>
        <w:t>2</w:t>
      </w:r>
      <w:r w:rsidRPr="003609FB">
        <w:rPr>
          <w:rFonts w:ascii="Times New Roman" w:hAnsi="Times New Roman" w:cs="Times New Roman"/>
          <w:sz w:val="24"/>
          <w:szCs w:val="24"/>
        </w:rPr>
        <w:t xml:space="preserve">. The solid red line was used to constrain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in Equation </w:t>
      </w:r>
      <w:r w:rsidR="00E541C8" w:rsidRPr="003609FB">
        <w:rPr>
          <w:rFonts w:ascii="Times New Roman" w:hAnsi="Times New Roman" w:cs="Times New Roman"/>
          <w:sz w:val="24"/>
          <w:szCs w:val="24"/>
        </w:rPr>
        <w:t>A2 eq3</w:t>
      </w:r>
      <w:r w:rsidRPr="003609FB">
        <w:rPr>
          <w:rFonts w:ascii="Times New Roman" w:hAnsi="Times New Roman" w:cs="Times New Roman"/>
          <w:sz w:val="24"/>
          <w:szCs w:val="24"/>
        </w:rPr>
        <w:t xml:space="preserve">. A different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was calculated for </w:t>
      </w:r>
      <w:r w:rsidRPr="003609FB">
        <w:rPr>
          <w:rFonts w:ascii="Times New Roman" w:hAnsi="Times New Roman" w:cs="Times New Roman"/>
          <w:sz w:val="24"/>
          <w:szCs w:val="24"/>
        </w:rPr>
        <w:lastRenderedPageBreak/>
        <w:t xml:space="preserve">each dataset D following the same procedure. An example of this for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cell dynamics is shown in Figure </w:t>
      </w:r>
      <w:r w:rsidR="005F2CDB">
        <w:rPr>
          <w:rFonts w:ascii="Times New Roman" w:hAnsi="Times New Roman" w:cs="Times New Roman"/>
          <w:sz w:val="24"/>
          <w:szCs w:val="24"/>
        </w:rPr>
        <w:t>A</w:t>
      </w:r>
      <w:r w:rsidRPr="003609FB">
        <w:rPr>
          <w:rFonts w:ascii="Times New Roman" w:hAnsi="Times New Roman" w:cs="Times New Roman"/>
          <w:sz w:val="24"/>
          <w:szCs w:val="24"/>
        </w:rPr>
        <w:t xml:space="preserve">3. </w:t>
      </w:r>
    </w:p>
    <w:p w14:paraId="3A197C04" w14:textId="77777777" w:rsidR="002A6959" w:rsidRDefault="002A6959" w:rsidP="00AB2160">
      <w:pPr>
        <w:spacing w:line="360" w:lineRule="auto"/>
        <w:rPr>
          <w:rFonts w:ascii="Times New Roman" w:hAnsi="Times New Roman" w:cs="Times New Roman"/>
          <w:sz w:val="24"/>
          <w:szCs w:val="24"/>
        </w:rPr>
      </w:pPr>
    </w:p>
    <w:p w14:paraId="0D446715" w14:textId="77777777" w:rsidR="008033B5" w:rsidRDefault="008033B5" w:rsidP="00AB2160">
      <w:pPr>
        <w:spacing w:line="360" w:lineRule="auto"/>
        <w:rPr>
          <w:rFonts w:ascii="Times New Roman" w:hAnsi="Times New Roman" w:cs="Times New Roman"/>
          <w:sz w:val="24"/>
          <w:szCs w:val="24"/>
        </w:rPr>
      </w:pPr>
    </w:p>
    <w:p w14:paraId="10E7AD88" w14:textId="77777777" w:rsidR="008033B5" w:rsidRDefault="008033B5" w:rsidP="00AB2160">
      <w:pPr>
        <w:spacing w:line="360" w:lineRule="auto"/>
        <w:rPr>
          <w:rFonts w:ascii="Times New Roman" w:hAnsi="Times New Roman" w:cs="Times New Roman"/>
          <w:sz w:val="24"/>
          <w:szCs w:val="24"/>
        </w:rPr>
      </w:pPr>
    </w:p>
    <w:p w14:paraId="4382C07F" w14:textId="77777777" w:rsidR="008033B5" w:rsidRDefault="008033B5" w:rsidP="00AB2160">
      <w:pPr>
        <w:spacing w:line="360" w:lineRule="auto"/>
        <w:rPr>
          <w:rFonts w:ascii="Times New Roman" w:hAnsi="Times New Roman" w:cs="Times New Roman"/>
          <w:sz w:val="24"/>
          <w:szCs w:val="24"/>
        </w:rPr>
      </w:pPr>
    </w:p>
    <w:p w14:paraId="7B3C7DFD" w14:textId="77777777" w:rsidR="008033B5" w:rsidRDefault="008033B5" w:rsidP="00AB2160">
      <w:pPr>
        <w:spacing w:line="360" w:lineRule="auto"/>
        <w:rPr>
          <w:rFonts w:ascii="Times New Roman" w:hAnsi="Times New Roman" w:cs="Times New Roman"/>
          <w:sz w:val="24"/>
          <w:szCs w:val="24"/>
        </w:rPr>
      </w:pPr>
    </w:p>
    <w:p w14:paraId="00CAB7CC" w14:textId="77777777" w:rsidR="008033B5" w:rsidRDefault="008033B5" w:rsidP="00AB2160">
      <w:pPr>
        <w:spacing w:line="360" w:lineRule="auto"/>
        <w:rPr>
          <w:rFonts w:ascii="Times New Roman" w:hAnsi="Times New Roman" w:cs="Times New Roman"/>
          <w:sz w:val="24"/>
          <w:szCs w:val="24"/>
        </w:rPr>
      </w:pPr>
    </w:p>
    <w:p w14:paraId="2CA3B3AF" w14:textId="77777777" w:rsidR="008033B5" w:rsidRDefault="008033B5" w:rsidP="00AB2160">
      <w:pPr>
        <w:spacing w:line="360" w:lineRule="auto"/>
        <w:rPr>
          <w:rFonts w:ascii="Times New Roman" w:hAnsi="Times New Roman" w:cs="Times New Roman"/>
          <w:sz w:val="24"/>
          <w:szCs w:val="24"/>
        </w:rPr>
      </w:pPr>
    </w:p>
    <w:p w14:paraId="37AEE152" w14:textId="77777777" w:rsidR="008033B5" w:rsidRDefault="008033B5" w:rsidP="00AB2160">
      <w:pPr>
        <w:spacing w:line="360" w:lineRule="auto"/>
        <w:rPr>
          <w:rFonts w:ascii="Times New Roman" w:hAnsi="Times New Roman" w:cs="Times New Roman"/>
          <w:sz w:val="24"/>
          <w:szCs w:val="24"/>
        </w:rPr>
      </w:pPr>
    </w:p>
    <w:p w14:paraId="5EF613EA" w14:textId="77777777" w:rsidR="008033B5" w:rsidRDefault="008033B5" w:rsidP="00AB2160">
      <w:pPr>
        <w:spacing w:line="360" w:lineRule="auto"/>
        <w:rPr>
          <w:rFonts w:ascii="Times New Roman" w:hAnsi="Times New Roman" w:cs="Times New Roman"/>
          <w:sz w:val="24"/>
          <w:szCs w:val="24"/>
        </w:rPr>
      </w:pPr>
    </w:p>
    <w:p w14:paraId="00B2A1D4" w14:textId="77777777" w:rsidR="008033B5" w:rsidRDefault="008033B5" w:rsidP="00AB2160">
      <w:pPr>
        <w:spacing w:line="360" w:lineRule="auto"/>
        <w:rPr>
          <w:rFonts w:ascii="Times New Roman" w:hAnsi="Times New Roman" w:cs="Times New Roman"/>
          <w:sz w:val="24"/>
          <w:szCs w:val="24"/>
        </w:rPr>
      </w:pPr>
    </w:p>
    <w:p w14:paraId="1DDBEF7A" w14:textId="77777777" w:rsidR="008033B5" w:rsidRDefault="008033B5" w:rsidP="00AB2160">
      <w:pPr>
        <w:spacing w:line="360" w:lineRule="auto"/>
        <w:rPr>
          <w:rFonts w:ascii="Times New Roman" w:hAnsi="Times New Roman" w:cs="Times New Roman"/>
          <w:sz w:val="24"/>
          <w:szCs w:val="24"/>
        </w:rPr>
      </w:pPr>
    </w:p>
    <w:p w14:paraId="5D68E959" w14:textId="77777777" w:rsidR="004A76CB" w:rsidRDefault="004A76CB" w:rsidP="00AB2160">
      <w:pPr>
        <w:spacing w:line="360" w:lineRule="auto"/>
        <w:rPr>
          <w:rFonts w:ascii="Times New Roman" w:hAnsi="Times New Roman" w:cs="Times New Roman"/>
          <w:sz w:val="24"/>
          <w:szCs w:val="24"/>
        </w:rPr>
      </w:pPr>
    </w:p>
    <w:p w14:paraId="7903CBB0" w14:textId="77777777" w:rsidR="004A76CB" w:rsidRDefault="004A76CB" w:rsidP="00AB2160">
      <w:pPr>
        <w:spacing w:line="360" w:lineRule="auto"/>
        <w:rPr>
          <w:rFonts w:ascii="Times New Roman" w:hAnsi="Times New Roman" w:cs="Times New Roman"/>
          <w:sz w:val="24"/>
          <w:szCs w:val="24"/>
        </w:rPr>
      </w:pPr>
    </w:p>
    <w:p w14:paraId="6389E882" w14:textId="77777777" w:rsidR="004A76CB" w:rsidRDefault="004A76CB" w:rsidP="00AB2160">
      <w:pPr>
        <w:spacing w:line="360" w:lineRule="auto"/>
        <w:rPr>
          <w:rFonts w:ascii="Times New Roman" w:hAnsi="Times New Roman" w:cs="Times New Roman"/>
          <w:sz w:val="24"/>
          <w:szCs w:val="24"/>
        </w:rPr>
      </w:pPr>
    </w:p>
    <w:p w14:paraId="019D81F9" w14:textId="77777777" w:rsidR="004A76CB" w:rsidRDefault="004A76CB" w:rsidP="00AB2160">
      <w:pPr>
        <w:spacing w:line="360" w:lineRule="auto"/>
        <w:rPr>
          <w:rFonts w:ascii="Times New Roman" w:hAnsi="Times New Roman" w:cs="Times New Roman"/>
          <w:sz w:val="24"/>
          <w:szCs w:val="24"/>
        </w:rPr>
      </w:pPr>
    </w:p>
    <w:p w14:paraId="1EEEAFB4" w14:textId="77777777" w:rsidR="004A76CB" w:rsidRDefault="004A76CB" w:rsidP="00AB2160">
      <w:pPr>
        <w:spacing w:line="360" w:lineRule="auto"/>
        <w:rPr>
          <w:rFonts w:ascii="Times New Roman" w:hAnsi="Times New Roman" w:cs="Times New Roman"/>
          <w:sz w:val="24"/>
          <w:szCs w:val="24"/>
        </w:rPr>
      </w:pPr>
    </w:p>
    <w:p w14:paraId="568FEA52" w14:textId="77777777" w:rsidR="004A76CB" w:rsidRPr="003609FB" w:rsidRDefault="004A76CB" w:rsidP="00AB2160">
      <w:pPr>
        <w:spacing w:line="360" w:lineRule="auto"/>
        <w:rPr>
          <w:rFonts w:ascii="Times New Roman" w:hAnsi="Times New Roman" w:cs="Times New Roman"/>
          <w:sz w:val="24"/>
          <w:szCs w:val="24"/>
        </w:rPr>
      </w:pPr>
    </w:p>
    <w:p w14:paraId="102C215F" w14:textId="55818B46" w:rsidR="008519E0" w:rsidRPr="003609FB" w:rsidRDefault="008519E0" w:rsidP="00AB2160">
      <w:pPr>
        <w:spacing w:line="360" w:lineRule="auto"/>
        <w:rPr>
          <w:rFonts w:ascii="Times New Roman" w:hAnsi="Times New Roman" w:cs="Times New Roman"/>
          <w:sz w:val="24"/>
          <w:szCs w:val="24"/>
        </w:rPr>
      </w:pPr>
    </w:p>
    <w:tbl>
      <w:tblPr>
        <w:tblStyle w:val="TableGrid"/>
        <w:tblW w:w="95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3"/>
      </w:tblGrid>
      <w:tr w:rsidR="002A6959" w:rsidRPr="003609FB" w14:paraId="6231EFA7" w14:textId="77777777" w:rsidTr="008519E0">
        <w:trPr>
          <w:trHeight w:val="4042"/>
          <w:jc w:val="center"/>
        </w:trPr>
        <w:tc>
          <w:tcPr>
            <w:tcW w:w="9543" w:type="dxa"/>
          </w:tcPr>
          <w:p w14:paraId="7EB789E4" w14:textId="77777777" w:rsidR="002A6959" w:rsidRPr="003609FB" w:rsidRDefault="002A6959" w:rsidP="00AB2160">
            <w:pPr>
              <w:keepNext/>
              <w:spacing w:line="360" w:lineRule="auto"/>
              <w:rPr>
                <w:rFonts w:ascii="Times New Roman" w:hAnsi="Times New Roman" w:cs="Times New Roman"/>
                <w:sz w:val="24"/>
                <w:szCs w:val="24"/>
              </w:rPr>
            </w:pPr>
            <w:r w:rsidRPr="003609FB">
              <w:rPr>
                <w:rFonts w:ascii="Times New Roman" w:hAnsi="Times New Roman" w:cs="Times New Roman"/>
                <w:noProof/>
                <w:sz w:val="24"/>
                <w:szCs w:val="24"/>
              </w:rPr>
              <w:lastRenderedPageBreak/>
              <w:drawing>
                <wp:inline distT="0" distB="0" distL="0" distR="0" wp14:anchorId="0DAC1BDA" wp14:editId="1EB527E7">
                  <wp:extent cx="4969543" cy="2360295"/>
                  <wp:effectExtent l="0" t="0" r="0" b="1905"/>
                  <wp:docPr id="2059388838" name="Picture 1"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8" name="Picture 1" descr="A graph of a number of individuals&#10;&#10;Description automatically generated with medium confidence"/>
                          <pic:cNvPicPr/>
                        </pic:nvPicPr>
                        <pic:blipFill rotWithShape="1">
                          <a:blip r:embed="rId69"/>
                          <a:srcRect l="5776" t="7261" r="7440"/>
                          <a:stretch/>
                        </pic:blipFill>
                        <pic:spPr bwMode="auto">
                          <a:xfrm>
                            <a:off x="0" y="0"/>
                            <a:ext cx="4970754" cy="236087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4636A41" w14:textId="77777777" w:rsidR="00E67DBB" w:rsidRDefault="00E67DBB" w:rsidP="00E67DBB">
      <w:pPr>
        <w:pStyle w:val="Caption"/>
      </w:pPr>
      <w:bookmarkStart w:id="93" w:name="_Toc173250082"/>
      <w:r>
        <w:t xml:space="preserve">Figure A </w:t>
      </w:r>
      <w:r>
        <w:fldChar w:fldCharType="begin"/>
      </w:r>
      <w:r>
        <w:instrText xml:space="preserve"> SEQ A \* ARABIC </w:instrText>
      </w:r>
      <w:r>
        <w:fldChar w:fldCharType="separate"/>
      </w:r>
      <w:r>
        <w:rPr>
          <w:noProof/>
        </w:rPr>
        <w:t>2</w:t>
      </w:r>
      <w:r>
        <w:rPr>
          <w:noProof/>
        </w:rPr>
        <w:fldChar w:fldCharType="end"/>
      </w:r>
      <w:r>
        <w:t xml:space="preserve"> Error analysis r</w:t>
      </w:r>
      <w:r w:rsidRPr="00B133C2">
        <w:t>eplicates of hydrogen peroxide</w:t>
      </w:r>
      <w:bookmarkEnd w:id="93"/>
    </w:p>
    <w:p w14:paraId="54F02B6F" w14:textId="77777777" w:rsidR="00E67DBB" w:rsidRDefault="00E67DBB" w:rsidP="00E67DBB">
      <w:pPr>
        <w:spacing w:line="360" w:lineRule="auto"/>
        <w:rPr>
          <w:rFonts w:ascii="Times New Roman" w:hAnsi="Times New Roman" w:cs="Times New Roman"/>
          <w:sz w:val="24"/>
          <w:szCs w:val="24"/>
        </w:rPr>
      </w:pPr>
      <w:r>
        <w:rPr>
          <w:rFonts w:ascii="Times New Roman" w:hAnsi="Times New Roman" w:cs="Times New Roman"/>
          <w:sz w:val="24"/>
          <w:szCs w:val="24"/>
        </w:rPr>
        <w:t>R</w:t>
      </w:r>
      <w:r w:rsidRPr="003609FB">
        <w:rPr>
          <w:rFonts w:ascii="Times New Roman" w:hAnsi="Times New Roman" w:cs="Times New Roman"/>
          <w:sz w:val="24"/>
          <w:szCs w:val="24"/>
        </w:rPr>
        <w:t xml:space="preserve">eplicates of hydrogen peroxide concentration (a) along with a depiction of different quantities to constrain uncertainty across time-points (b). The red dashed line marked by the upper limit of a 99% confidence interval was determined with Equation A2 eq3 and set the uncertainty parameter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y,i</m:t>
            </m:r>
          </m:sub>
        </m:sSub>
      </m:oMath>
      <w:r w:rsidRPr="003609FB">
        <w:rPr>
          <w:rFonts w:ascii="Times New Roman" w:hAnsi="Times New Roman" w:cs="Times New Roman"/>
          <w:sz w:val="24"/>
          <w:szCs w:val="24"/>
        </w:rPr>
        <w:t xml:space="preserve"> across timepoints in this dataset.</w:t>
      </w:r>
    </w:p>
    <w:p w14:paraId="350EC8E6" w14:textId="77777777" w:rsidR="008033B5" w:rsidRDefault="008033B5" w:rsidP="00511118">
      <w:pPr>
        <w:pStyle w:val="Caption"/>
      </w:pPr>
    </w:p>
    <w:p w14:paraId="4809123B" w14:textId="77777777" w:rsidR="008033B5" w:rsidRDefault="008033B5" w:rsidP="00511118">
      <w:pPr>
        <w:pStyle w:val="Caption"/>
      </w:pPr>
    </w:p>
    <w:p w14:paraId="5946027F" w14:textId="77777777" w:rsidR="008033B5" w:rsidRDefault="008033B5" w:rsidP="00511118">
      <w:pPr>
        <w:pStyle w:val="Caption"/>
      </w:pPr>
    </w:p>
    <w:p w14:paraId="7A4D6D12" w14:textId="77777777" w:rsidR="008033B5" w:rsidRDefault="008033B5" w:rsidP="00511118">
      <w:pPr>
        <w:pStyle w:val="Caption"/>
      </w:pPr>
    </w:p>
    <w:p w14:paraId="462819CE" w14:textId="77777777" w:rsidR="008033B5" w:rsidRDefault="008033B5" w:rsidP="00511118">
      <w:pPr>
        <w:pStyle w:val="Caption"/>
      </w:pPr>
    </w:p>
    <w:p w14:paraId="511AB70F" w14:textId="77777777" w:rsidR="008033B5" w:rsidRDefault="008033B5" w:rsidP="00511118">
      <w:pPr>
        <w:pStyle w:val="Caption"/>
      </w:pPr>
    </w:p>
    <w:p w14:paraId="1D840AE0" w14:textId="77777777" w:rsidR="008033B5" w:rsidRDefault="008033B5" w:rsidP="00511118">
      <w:pPr>
        <w:pStyle w:val="Caption"/>
      </w:pPr>
    </w:p>
    <w:p w14:paraId="7A8903AE" w14:textId="77777777" w:rsidR="008033B5" w:rsidRDefault="008033B5" w:rsidP="00511118">
      <w:pPr>
        <w:pStyle w:val="Caption"/>
      </w:pPr>
    </w:p>
    <w:p w14:paraId="5BB4DB3E" w14:textId="77777777" w:rsidR="008033B5" w:rsidRDefault="008033B5" w:rsidP="00511118">
      <w:pPr>
        <w:pStyle w:val="Caption"/>
      </w:pPr>
    </w:p>
    <w:p w14:paraId="26918F71" w14:textId="77777777" w:rsidR="008033B5" w:rsidRDefault="008033B5" w:rsidP="00511118">
      <w:pPr>
        <w:pStyle w:val="Caption"/>
      </w:pPr>
    </w:p>
    <w:p w14:paraId="4F567977" w14:textId="77777777" w:rsidR="008033B5" w:rsidRDefault="008033B5" w:rsidP="00511118">
      <w:pPr>
        <w:pStyle w:val="Caption"/>
      </w:pPr>
    </w:p>
    <w:p w14:paraId="0FA53D8E" w14:textId="46465F79" w:rsidR="008F73D3" w:rsidRPr="003609FB" w:rsidRDefault="008F73D3" w:rsidP="00AB2160">
      <w:pPr>
        <w:spacing w:line="360" w:lineRule="auto"/>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2A6959" w:rsidRPr="003609FB" w14:paraId="1BF675C2" w14:textId="77777777" w:rsidTr="008F73D3">
        <w:trPr>
          <w:trHeight w:val="3432"/>
          <w:jc w:val="center"/>
        </w:trPr>
        <w:tc>
          <w:tcPr>
            <w:tcW w:w="8856" w:type="dxa"/>
          </w:tcPr>
          <w:p w14:paraId="1346BE12" w14:textId="77777777" w:rsidR="002A6959" w:rsidRPr="003609FB" w:rsidRDefault="002A6959" w:rsidP="00AB2160">
            <w:pPr>
              <w:spacing w:line="360" w:lineRule="auto"/>
              <w:rPr>
                <w:rFonts w:ascii="Times New Roman" w:hAnsi="Times New Roman" w:cs="Times New Roman"/>
                <w:sz w:val="24"/>
                <w:szCs w:val="24"/>
              </w:rPr>
            </w:pPr>
            <w:r w:rsidRPr="003609FB">
              <w:rPr>
                <w:rFonts w:ascii="Times New Roman" w:hAnsi="Times New Roman" w:cs="Times New Roman"/>
                <w:noProof/>
                <w:sz w:val="24"/>
                <w:szCs w:val="24"/>
              </w:rPr>
              <w:drawing>
                <wp:inline distT="0" distB="0" distL="0" distR="0" wp14:anchorId="26C89B1E" wp14:editId="78F38B56">
                  <wp:extent cx="4912468" cy="2326529"/>
                  <wp:effectExtent l="0" t="0" r="2540" b="0"/>
                  <wp:docPr id="19180433" name="Picture 1"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433" name="Picture 1" descr="A graph of a number of individuals&#10;&#10;Description automatically generated with medium confidence"/>
                          <pic:cNvPicPr/>
                        </pic:nvPicPr>
                        <pic:blipFill rotWithShape="1">
                          <a:blip r:embed="rId70"/>
                          <a:srcRect l="5322" t="7368" r="7745"/>
                          <a:stretch/>
                        </pic:blipFill>
                        <pic:spPr bwMode="auto">
                          <a:xfrm>
                            <a:off x="0" y="0"/>
                            <a:ext cx="4959878" cy="234898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41916F7" w14:textId="77777777" w:rsidR="00E67DBB" w:rsidRPr="003609FB" w:rsidRDefault="00E67DBB" w:rsidP="00E67DBB">
      <w:pPr>
        <w:pStyle w:val="Caption"/>
      </w:pPr>
      <w:bookmarkStart w:id="94" w:name="_Toc173250083"/>
      <w:r>
        <w:t xml:space="preserve">Figure A </w:t>
      </w:r>
      <w:r>
        <w:fldChar w:fldCharType="begin"/>
      </w:r>
      <w:r>
        <w:instrText xml:space="preserve"> SEQ A \* ARABIC </w:instrText>
      </w:r>
      <w:r>
        <w:fldChar w:fldCharType="separate"/>
      </w:r>
      <w:r>
        <w:rPr>
          <w:noProof/>
        </w:rPr>
        <w:t>3</w:t>
      </w:r>
      <w:r>
        <w:rPr>
          <w:noProof/>
        </w:rPr>
        <w:fldChar w:fldCharType="end"/>
      </w:r>
      <w:r>
        <w:t xml:space="preserve"> </w:t>
      </w:r>
      <w:r w:rsidRPr="000F1B07">
        <w:t xml:space="preserve">Error analysis replicates of </w:t>
      </w:r>
      <w:proofErr w:type="spellStart"/>
      <w:r>
        <w:t>Synechococcus</w:t>
      </w:r>
      <w:bookmarkEnd w:id="94"/>
      <w:proofErr w:type="spellEnd"/>
    </w:p>
    <w:p w14:paraId="4192DFFE" w14:textId="77777777" w:rsidR="00E67DBB" w:rsidRPr="003609FB" w:rsidRDefault="00E67DBB" w:rsidP="00E67DBB">
      <w:pPr>
        <w:spacing w:line="360" w:lineRule="auto"/>
        <w:rPr>
          <w:rFonts w:ascii="Times New Roman" w:hAnsi="Times New Roman" w:cs="Times New Roman"/>
          <w:sz w:val="24"/>
          <w:szCs w:val="24"/>
        </w:rPr>
      </w:pPr>
      <w:r>
        <w:rPr>
          <w:rFonts w:ascii="Times New Roman" w:hAnsi="Times New Roman" w:cs="Times New Roman"/>
          <w:sz w:val="24"/>
          <w:szCs w:val="24"/>
        </w:rPr>
        <w:t>R</w:t>
      </w:r>
      <w:r w:rsidRPr="003609FB">
        <w:rPr>
          <w:rFonts w:ascii="Times New Roman" w:hAnsi="Times New Roman" w:cs="Times New Roman"/>
          <w:sz w:val="24"/>
          <w:szCs w:val="24"/>
        </w:rPr>
        <w:t xml:space="preserve">eplicates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abundance (a) along with a depiction of different quantities to constrain uncertainty across time-points (b). All lines and symbols have the same meaning as in Figure </w:t>
      </w:r>
      <w:r>
        <w:rPr>
          <w:rFonts w:ascii="Times New Roman" w:hAnsi="Times New Roman" w:cs="Times New Roman"/>
          <w:sz w:val="24"/>
          <w:szCs w:val="24"/>
        </w:rPr>
        <w:t>A2</w:t>
      </w:r>
      <w:r w:rsidRPr="003609FB">
        <w:rPr>
          <w:rFonts w:ascii="Times New Roman" w:hAnsi="Times New Roman" w:cs="Times New Roman"/>
          <w:sz w:val="24"/>
          <w:szCs w:val="24"/>
        </w:rPr>
        <w:t>.</w:t>
      </w:r>
    </w:p>
    <w:p w14:paraId="148CAD88" w14:textId="77777777" w:rsidR="008033B5" w:rsidRDefault="008033B5" w:rsidP="00511118">
      <w:pPr>
        <w:pStyle w:val="Caption"/>
      </w:pPr>
    </w:p>
    <w:p w14:paraId="731AFFF6" w14:textId="77777777" w:rsidR="008033B5" w:rsidRDefault="008033B5" w:rsidP="00511118">
      <w:pPr>
        <w:pStyle w:val="Caption"/>
      </w:pPr>
    </w:p>
    <w:p w14:paraId="6EA65F45" w14:textId="77777777" w:rsidR="008033B5" w:rsidRDefault="008033B5" w:rsidP="00511118">
      <w:pPr>
        <w:pStyle w:val="Caption"/>
      </w:pPr>
    </w:p>
    <w:p w14:paraId="7FF75288" w14:textId="77777777" w:rsidR="008033B5" w:rsidRDefault="008033B5" w:rsidP="00511118">
      <w:pPr>
        <w:pStyle w:val="Caption"/>
      </w:pPr>
    </w:p>
    <w:p w14:paraId="2B18BDC3" w14:textId="77777777" w:rsidR="008033B5" w:rsidRDefault="008033B5" w:rsidP="00511118">
      <w:pPr>
        <w:pStyle w:val="Caption"/>
      </w:pPr>
    </w:p>
    <w:p w14:paraId="5427FE5B" w14:textId="77777777" w:rsidR="008033B5" w:rsidRDefault="008033B5" w:rsidP="00511118">
      <w:pPr>
        <w:pStyle w:val="Caption"/>
      </w:pPr>
    </w:p>
    <w:p w14:paraId="021C5573" w14:textId="77777777" w:rsidR="008033B5" w:rsidRDefault="008033B5" w:rsidP="00511118">
      <w:pPr>
        <w:pStyle w:val="Caption"/>
      </w:pPr>
    </w:p>
    <w:p w14:paraId="6436A1DF" w14:textId="77777777" w:rsidR="008033B5" w:rsidRDefault="008033B5" w:rsidP="00511118">
      <w:pPr>
        <w:pStyle w:val="Caption"/>
      </w:pPr>
    </w:p>
    <w:p w14:paraId="0011491E" w14:textId="77777777" w:rsidR="008033B5" w:rsidRDefault="008033B5" w:rsidP="00511118">
      <w:pPr>
        <w:pStyle w:val="Caption"/>
      </w:pPr>
    </w:p>
    <w:p w14:paraId="424F714D" w14:textId="77777777" w:rsidR="008033B5" w:rsidRDefault="008033B5" w:rsidP="00511118">
      <w:pPr>
        <w:pStyle w:val="Caption"/>
      </w:pPr>
    </w:p>
    <w:p w14:paraId="19B73405" w14:textId="77777777" w:rsidR="008033B5" w:rsidRDefault="008033B5" w:rsidP="00511118">
      <w:pPr>
        <w:pStyle w:val="Caption"/>
      </w:pPr>
    </w:p>
    <w:p w14:paraId="7895FC5A" w14:textId="17EEA667" w:rsidR="008033B5" w:rsidRDefault="008F73D3" w:rsidP="008033B5">
      <w:pPr>
        <w:pStyle w:val="Heading3"/>
        <w:spacing w:line="360" w:lineRule="auto"/>
      </w:pPr>
      <w:bookmarkStart w:id="95" w:name="_Toc173250062"/>
      <w:r w:rsidRPr="003609FB">
        <w:lastRenderedPageBreak/>
        <w:t>A</w:t>
      </w:r>
      <w:r w:rsidR="00CC7D54" w:rsidRPr="003609FB">
        <w:t xml:space="preserve">3 </w:t>
      </w:r>
      <w:r w:rsidR="00305A8D">
        <w:t>A</w:t>
      </w:r>
      <w:r w:rsidR="00305A8D" w:rsidRPr="003609FB">
        <w:t>dditional experimental datasets</w:t>
      </w:r>
      <w:bookmarkEnd w:id="95"/>
    </w:p>
    <w:p w14:paraId="30D6AE12" w14:textId="77777777" w:rsidR="006E430F" w:rsidRDefault="006E430F" w:rsidP="006E430F"/>
    <w:p w14:paraId="682ECDAA" w14:textId="6A5DDECC" w:rsidR="006E430F" w:rsidRDefault="00E67DBB" w:rsidP="006E430F">
      <w:r w:rsidRPr="006E430F">
        <w:rPr>
          <w:noProof/>
        </w:rPr>
        <w:drawing>
          <wp:inline distT="0" distB="0" distL="0" distR="0" wp14:anchorId="2E39225C" wp14:editId="7E9CF8E4">
            <wp:extent cx="5943600" cy="1981200"/>
            <wp:effectExtent l="0" t="0" r="0" b="0"/>
            <wp:docPr id="2059388861" name="Picture 2059388861" descr="A green graph with numbers and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61" name="Picture 2059388861" descr="A green graph with numbers and a white background&#10;&#10;Description automatically generated with medium confidence"/>
                    <pic:cNvPicPr/>
                  </pic:nvPicPr>
                  <pic:blipFill>
                    <a:blip r:embed="rId71"/>
                    <a:stretch>
                      <a:fillRect/>
                    </a:stretch>
                  </pic:blipFill>
                  <pic:spPr>
                    <a:xfrm>
                      <a:off x="0" y="0"/>
                      <a:ext cx="5943600" cy="1981200"/>
                    </a:xfrm>
                    <a:prstGeom prst="rect">
                      <a:avLst/>
                    </a:prstGeom>
                  </pic:spPr>
                </pic:pic>
              </a:graphicData>
            </a:graphic>
          </wp:inline>
        </w:drawing>
      </w:r>
    </w:p>
    <w:p w14:paraId="6C0D2E37" w14:textId="77777777" w:rsidR="00E67DBB" w:rsidRDefault="00E67DBB" w:rsidP="00E67DBB">
      <w:pPr>
        <w:pStyle w:val="Caption"/>
      </w:pPr>
      <w:bookmarkStart w:id="96" w:name="_Toc173250084"/>
      <w:r>
        <w:t xml:space="preserve">Figure A </w:t>
      </w:r>
      <w:r>
        <w:fldChar w:fldCharType="begin"/>
      </w:r>
      <w:r>
        <w:instrText xml:space="preserve"> SEQ A \* ARABIC </w:instrText>
      </w:r>
      <w:r>
        <w:fldChar w:fldCharType="separate"/>
      </w:r>
      <w:r>
        <w:rPr>
          <w:noProof/>
        </w:rPr>
        <w:t>4</w:t>
      </w:r>
      <w:r>
        <w:rPr>
          <w:noProof/>
        </w:rPr>
        <w:fldChar w:fldCharType="end"/>
      </w:r>
      <w:r>
        <w:t xml:space="preserve"> Monoculture </w:t>
      </w:r>
      <w:r w:rsidRPr="003609FB">
        <w:t xml:space="preserve">dynamics of </w:t>
      </w:r>
      <w:r w:rsidRPr="00691B65">
        <w:rPr>
          <w:i/>
          <w:iCs/>
        </w:rPr>
        <w:t>Prochlorococcus</w:t>
      </w:r>
      <w:r w:rsidRPr="003609FB">
        <w:t xml:space="preserve"> </w:t>
      </w:r>
      <w:r>
        <w:t>dataset #2</w:t>
      </w:r>
      <w:r w:rsidRPr="00D07907">
        <w:t xml:space="preserve"> modeled in growth media</w:t>
      </w:r>
      <w:r>
        <w:t xml:space="preserve"> with 0 additional</w:t>
      </w:r>
      <w:r w:rsidRPr="006E430F">
        <w:t xml:space="preserve"> </w:t>
      </w:r>
      <w:r>
        <w:t>H</w:t>
      </w:r>
      <w:r w:rsidRPr="007130A3">
        <w:rPr>
          <w:vertAlign w:val="subscript"/>
        </w:rPr>
        <w:t>2</w:t>
      </w:r>
      <w:r>
        <w:t>O</w:t>
      </w:r>
      <w:r>
        <w:rPr>
          <w:vertAlign w:val="subscript"/>
        </w:rPr>
        <w:t>2</w:t>
      </w:r>
      <w:r w:rsidRPr="00D07907">
        <w:t>.</w:t>
      </w:r>
      <w:r>
        <w:t xml:space="preserve"> </w:t>
      </w:r>
      <w:r w:rsidRPr="003609FB">
        <w:t xml:space="preserve">Laboratory batch culture dynamics of </w:t>
      </w:r>
      <w:r w:rsidRPr="006E430F">
        <w:rPr>
          <w:rFonts w:ascii="Times" w:hAnsi="Times"/>
          <w:i/>
          <w:iCs/>
        </w:rPr>
        <w:t>Prochlorococcus</w:t>
      </w:r>
      <w:r>
        <w:rPr>
          <w:i/>
          <w:iCs/>
        </w:rPr>
        <w:t xml:space="preserve"> </w:t>
      </w:r>
      <w:r w:rsidRPr="007130A3">
        <w:t>(Vol #</w:t>
      </w:r>
      <w:r>
        <w:t>1</w:t>
      </w:r>
      <w:r w:rsidRPr="007130A3">
        <w:t>)</w:t>
      </w:r>
      <w:r w:rsidRPr="00D07907">
        <w:t xml:space="preserve"> </w:t>
      </w:r>
      <w:r w:rsidRPr="003609FB">
        <w:t>data (blue line) and model searches (grey lines) with optimal solution (red line) in zero H</w:t>
      </w:r>
      <w:r w:rsidRPr="00351FC4">
        <w:rPr>
          <w:vertAlign w:val="subscript"/>
        </w:rPr>
        <w:t>2</w:t>
      </w:r>
      <w:r w:rsidRPr="003609FB">
        <w:t>O</w:t>
      </w:r>
      <w:r w:rsidRPr="00351FC4">
        <w:rPr>
          <w:vertAlign w:val="subscript"/>
        </w:rPr>
        <w:t>2</w:t>
      </w:r>
      <w:r w:rsidRPr="003609FB">
        <w:t xml:space="preserve"> batch culture (a). Also shown are parameter value histograms for the initial cell concentration (</w:t>
      </w:r>
      <w:r>
        <w:t>P</w:t>
      </w:r>
      <w:r w:rsidRPr="006E430F">
        <w:rPr>
          <w:vertAlign w:val="subscript"/>
        </w:rPr>
        <w:t>0</w:t>
      </w:r>
      <w:r w:rsidRPr="003609FB">
        <w:t>) and exponential growth rate (</w:t>
      </w:r>
      <m:oMath>
        <m:sSub>
          <m:sSubPr>
            <m:ctrlPr>
              <w:rPr>
                <w:rFonts w:ascii="Cambria Math" w:hAnsi="Cambria Math"/>
                <w:i/>
                <w:color w:val="auto"/>
              </w:rPr>
            </m:ctrlPr>
          </m:sSubPr>
          <m:e>
            <m:r>
              <w:rPr>
                <w:rFonts w:ascii="Cambria Math" w:hAnsi="Cambria Math"/>
              </w:rPr>
              <m:t>μ</m:t>
            </m:r>
          </m:e>
          <m:sub>
            <m:r>
              <w:rPr>
                <w:rFonts w:ascii="Cambria Math" w:hAnsi="Cambria Math"/>
              </w:rPr>
              <m:t>i</m:t>
            </m:r>
          </m:sub>
        </m:sSub>
      </m:oMath>
      <w:r w:rsidRPr="003609FB">
        <w:t>) (</w:t>
      </w:r>
      <w:proofErr w:type="gramStart"/>
      <w:r w:rsidRPr="003609FB">
        <w:t>b,c</w:t>
      </w:r>
      <w:proofErr w:type="gramEnd"/>
      <w:r w:rsidRPr="003609FB">
        <w:t>, respectively).</w:t>
      </w:r>
      <w:bookmarkEnd w:id="96"/>
      <w:r w:rsidRPr="003609FB">
        <w:t xml:space="preserve">  </w:t>
      </w:r>
    </w:p>
    <w:p w14:paraId="7B115AD9" w14:textId="77777777" w:rsidR="006E430F" w:rsidRDefault="006E430F" w:rsidP="006E430F"/>
    <w:p w14:paraId="4F7BC7A4" w14:textId="77777777" w:rsidR="006E430F" w:rsidRDefault="006E430F" w:rsidP="006E430F"/>
    <w:p w14:paraId="49904BF2" w14:textId="77777777" w:rsidR="006E430F" w:rsidRDefault="006E430F" w:rsidP="006E430F"/>
    <w:p w14:paraId="07E76809" w14:textId="77777777" w:rsidR="006E430F" w:rsidRDefault="006E430F" w:rsidP="006E430F"/>
    <w:p w14:paraId="293C984B" w14:textId="77777777" w:rsidR="006E430F" w:rsidRDefault="006E430F" w:rsidP="006E430F"/>
    <w:p w14:paraId="0925C644" w14:textId="77777777" w:rsidR="006E430F" w:rsidRDefault="006E430F" w:rsidP="006E430F"/>
    <w:p w14:paraId="23A8A52B" w14:textId="77777777" w:rsidR="006E430F" w:rsidRDefault="006E430F" w:rsidP="006E430F"/>
    <w:p w14:paraId="6A46AEFE" w14:textId="77777777" w:rsidR="006E430F" w:rsidRDefault="006E430F" w:rsidP="006E430F"/>
    <w:p w14:paraId="032BA60E" w14:textId="7F007B6C" w:rsidR="006E430F" w:rsidRDefault="00E67DBB" w:rsidP="006E430F">
      <w:r w:rsidRPr="00263029">
        <w:rPr>
          <w:rFonts w:ascii="Times New Roman" w:hAnsi="Times New Roman" w:cs="Times New Roman"/>
          <w:noProof/>
          <w:sz w:val="24"/>
          <w:szCs w:val="24"/>
        </w:rPr>
        <w:lastRenderedPageBreak/>
        <w:drawing>
          <wp:inline distT="0" distB="0" distL="0" distR="0" wp14:anchorId="508BD9CA" wp14:editId="47641D76">
            <wp:extent cx="5058962" cy="3776870"/>
            <wp:effectExtent l="0" t="0" r="0" b="0"/>
            <wp:docPr id="2059388860" name="Picture 2059388860" descr="A group of graphs and diagr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60" name="Picture 2059388860" descr="A group of graphs and diagrams&#10;&#10;Description automatically generated with medium confidence"/>
                    <pic:cNvPicPr/>
                  </pic:nvPicPr>
                  <pic:blipFill rotWithShape="1">
                    <a:blip r:embed="rId72"/>
                    <a:srcRect l="6187" t="10924" r="8696" b="4348"/>
                    <a:stretch/>
                  </pic:blipFill>
                  <pic:spPr bwMode="auto">
                    <a:xfrm>
                      <a:off x="0" y="0"/>
                      <a:ext cx="5059013" cy="3776908"/>
                    </a:xfrm>
                    <a:prstGeom prst="rect">
                      <a:avLst/>
                    </a:prstGeom>
                    <a:ln>
                      <a:noFill/>
                    </a:ln>
                    <a:extLst>
                      <a:ext uri="{53640926-AAD7-44D8-BBD7-CCE9431645EC}">
                        <a14:shadowObscured xmlns:a14="http://schemas.microsoft.com/office/drawing/2010/main"/>
                      </a:ext>
                    </a:extLst>
                  </pic:spPr>
                </pic:pic>
              </a:graphicData>
            </a:graphic>
          </wp:inline>
        </w:drawing>
      </w:r>
    </w:p>
    <w:p w14:paraId="1F49BDBD" w14:textId="77777777" w:rsidR="00E67DBB" w:rsidRPr="003609FB" w:rsidRDefault="00E67DBB" w:rsidP="00E67DBB">
      <w:pPr>
        <w:pStyle w:val="Caption"/>
      </w:pPr>
      <w:r>
        <w:t xml:space="preserve">Figure A 5 </w:t>
      </w:r>
      <w:r w:rsidRPr="00C75758">
        <w:rPr>
          <w:i/>
          <w:iCs/>
        </w:rPr>
        <w:t>Prochlorococcus</w:t>
      </w:r>
      <w:r w:rsidRPr="00C16DF2">
        <w:t xml:space="preserve"> </w:t>
      </w:r>
      <w:r>
        <w:t>and H</w:t>
      </w:r>
      <w:r w:rsidRPr="007130A3">
        <w:rPr>
          <w:vertAlign w:val="subscript"/>
        </w:rPr>
        <w:t>2</w:t>
      </w:r>
      <w:r>
        <w:t>O</w:t>
      </w:r>
      <w:r w:rsidRPr="007130A3">
        <w:rPr>
          <w:vertAlign w:val="subscript"/>
        </w:rPr>
        <w:t>2</w:t>
      </w:r>
      <w:r>
        <w:t xml:space="preserve"> model from 400nM spike assay repetition</w:t>
      </w:r>
    </w:p>
    <w:p w14:paraId="6B00AF35"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 data alongside model optimal (red line) and searched (grey) combinations in laboratory assays containing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To the right of each dynamics plot we show the initial value of P (b) or H (e) and the controlling parameter for each line: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sidRPr="003609FB">
        <w:rPr>
          <w:rFonts w:ascii="Times New Roman" w:hAnsi="Times New Roman" w:cs="Times New Roman"/>
          <w:sz w:val="24"/>
          <w:szCs w:val="24"/>
        </w:rPr>
        <w:t xml:space="preserve">  for P (c) and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sidRPr="003609FB">
        <w:rPr>
          <w:rFonts w:ascii="Times New Roman" w:hAnsi="Times New Roman" w:cs="Times New Roman"/>
          <w:sz w:val="24"/>
          <w:szCs w:val="24"/>
        </w:rPr>
        <w:t xml:space="preserve"> for H (e).</w:t>
      </w:r>
    </w:p>
    <w:p w14:paraId="34C89F07" w14:textId="77777777" w:rsidR="006E430F" w:rsidRDefault="006E430F" w:rsidP="006E430F"/>
    <w:p w14:paraId="2E5F2FD8" w14:textId="77777777" w:rsidR="006E430F" w:rsidRDefault="006E430F" w:rsidP="006E430F"/>
    <w:p w14:paraId="6FE8EB82" w14:textId="77777777" w:rsidR="006E430F" w:rsidRDefault="006E430F" w:rsidP="006E430F"/>
    <w:p w14:paraId="6D3E65BA" w14:textId="77777777" w:rsidR="006E430F" w:rsidRDefault="006E430F" w:rsidP="006E430F"/>
    <w:p w14:paraId="3A3EBE07" w14:textId="7426554E" w:rsidR="006E430F" w:rsidRDefault="00E67DBB" w:rsidP="006E430F">
      <w:r>
        <w:rPr>
          <w:rFonts w:ascii="Times New Roman" w:hAnsi="Times New Roman" w:cs="Times New Roman"/>
          <w:noProof/>
          <w:sz w:val="24"/>
          <w:szCs w:val="24"/>
        </w:rPr>
        <w:lastRenderedPageBreak/>
        <w:drawing>
          <wp:inline distT="0" distB="0" distL="0" distR="0" wp14:anchorId="7DA38B64" wp14:editId="1BA2C302">
            <wp:extent cx="5943600" cy="2228850"/>
            <wp:effectExtent l="0" t="0" r="0" b="0"/>
            <wp:docPr id="505051019" name="Picture 505051019" descr="A graph of a number of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19" name="Picture 505051019" descr="A graph of a number of cells&#10;&#10;Description automatically generated with medium confidenc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2228850"/>
                    </a:xfrm>
                    <a:prstGeom prst="rect">
                      <a:avLst/>
                    </a:prstGeom>
                  </pic:spPr>
                </pic:pic>
              </a:graphicData>
            </a:graphic>
          </wp:inline>
        </w:drawing>
      </w:r>
    </w:p>
    <w:p w14:paraId="4184918B" w14:textId="77777777" w:rsidR="00E67DBB" w:rsidRDefault="00E67DBB" w:rsidP="00E67DBB">
      <w:pPr>
        <w:pStyle w:val="Caption"/>
      </w:pPr>
      <w:r>
        <w:t xml:space="preserve">Figure A 6 </w:t>
      </w:r>
      <w:proofErr w:type="spellStart"/>
      <w:r w:rsidRPr="00C75758">
        <w:rPr>
          <w:i/>
          <w:iCs/>
        </w:rPr>
        <w:t>Synechococcus</w:t>
      </w:r>
      <w:proofErr w:type="spellEnd"/>
      <w:r w:rsidRPr="00C75758">
        <w:rPr>
          <w:i/>
          <w:iCs/>
        </w:rPr>
        <w:t xml:space="preserve"> </w:t>
      </w:r>
      <w:r w:rsidRPr="00D07907">
        <w:t>WH7803 (Vol #</w:t>
      </w:r>
      <w:r>
        <w:t>28</w:t>
      </w:r>
      <w:r w:rsidRPr="00D07907">
        <w:t>) modeled in growth media.</w:t>
      </w:r>
    </w:p>
    <w:p w14:paraId="15D048E8"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culture dynamics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t>
      </w:r>
      <w:r w:rsidRPr="007130A3">
        <w:rPr>
          <w:rFonts w:asciiTheme="majorBidi" w:hAnsiTheme="majorBidi"/>
          <w:sz w:val="24"/>
          <w:szCs w:val="24"/>
        </w:rPr>
        <w:t>WH7803 (Vol #28)</w:t>
      </w:r>
      <w:r w:rsidRPr="00D07907">
        <w:t xml:space="preserve"> </w:t>
      </w:r>
      <w:r w:rsidRPr="003609FB">
        <w:rPr>
          <w:rFonts w:ascii="Times New Roman" w:hAnsi="Times New Roman" w:cs="Times New Roman"/>
          <w:sz w:val="24"/>
          <w:szCs w:val="24"/>
        </w:rPr>
        <w:t>data (blue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(S</w:t>
      </w:r>
      <w:r w:rsidRPr="006E430F">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4CB5F5B7" w14:textId="77777777" w:rsidR="006E430F" w:rsidRDefault="006E430F" w:rsidP="006E430F"/>
    <w:p w14:paraId="50893331" w14:textId="77777777" w:rsidR="006E430F" w:rsidRDefault="006E430F" w:rsidP="006E430F"/>
    <w:p w14:paraId="0E1407FA" w14:textId="77777777" w:rsidR="004A76CB" w:rsidRDefault="004A76CB" w:rsidP="006E430F"/>
    <w:p w14:paraId="001B6325" w14:textId="77777777" w:rsidR="004A76CB" w:rsidRDefault="004A76CB" w:rsidP="006E430F"/>
    <w:p w14:paraId="16BE4D8D" w14:textId="77777777" w:rsidR="006E430F" w:rsidRDefault="006E430F" w:rsidP="006E430F">
      <w:pPr>
        <w:spacing w:line="360" w:lineRule="auto"/>
        <w:rPr>
          <w:rFonts w:ascii="Times New Roman" w:hAnsi="Times New Roman" w:cs="Times New Roman"/>
          <w:sz w:val="24"/>
          <w:szCs w:val="24"/>
        </w:rPr>
      </w:pPr>
    </w:p>
    <w:p w14:paraId="4821C9BA" w14:textId="77777777" w:rsidR="006E430F" w:rsidRDefault="006E430F" w:rsidP="006E430F">
      <w:pPr>
        <w:spacing w:line="360" w:lineRule="auto"/>
        <w:rPr>
          <w:rFonts w:ascii="Times New Roman" w:hAnsi="Times New Roman" w:cs="Times New Roman"/>
          <w:sz w:val="24"/>
          <w:szCs w:val="24"/>
        </w:rPr>
      </w:pPr>
    </w:p>
    <w:p w14:paraId="0F29F53E" w14:textId="77777777" w:rsidR="006E430F" w:rsidRPr="003609FB" w:rsidRDefault="006E430F" w:rsidP="006E430F">
      <w:pPr>
        <w:spacing w:line="360" w:lineRule="auto"/>
        <w:rPr>
          <w:rFonts w:ascii="Times New Roman" w:hAnsi="Times New Roman" w:cs="Times New Roman"/>
          <w:sz w:val="24"/>
          <w:szCs w:val="24"/>
        </w:rPr>
      </w:pPr>
    </w:p>
    <w:p w14:paraId="2473F257" w14:textId="77777777" w:rsidR="006E430F" w:rsidRPr="006E430F" w:rsidRDefault="006E430F" w:rsidP="006E430F"/>
    <w:p w14:paraId="15599E78" w14:textId="77777777" w:rsidR="008033B5" w:rsidRDefault="008033B5" w:rsidP="00511118">
      <w:pPr>
        <w:pStyle w:val="Caption"/>
      </w:pPr>
    </w:p>
    <w:p w14:paraId="537136DB" w14:textId="77777777" w:rsidR="008033B5" w:rsidRDefault="008033B5" w:rsidP="00511118">
      <w:pPr>
        <w:pStyle w:val="Caption"/>
      </w:pPr>
    </w:p>
    <w:p w14:paraId="2D0FE3CB" w14:textId="77777777" w:rsidR="006E430F" w:rsidRDefault="006E430F" w:rsidP="00511118">
      <w:pPr>
        <w:pStyle w:val="Caption"/>
      </w:pPr>
    </w:p>
    <w:p w14:paraId="604D727D" w14:textId="77777777" w:rsidR="004A76CB" w:rsidRDefault="004A76CB" w:rsidP="004A76CB">
      <w:pPr>
        <w:pStyle w:val="Caption"/>
      </w:pPr>
    </w:p>
    <w:p w14:paraId="25357B76" w14:textId="77777777" w:rsidR="008033B5" w:rsidRDefault="008033B5" w:rsidP="00511118">
      <w:pPr>
        <w:pStyle w:val="Caption"/>
      </w:pPr>
    </w:p>
    <w:p w14:paraId="1693D733" w14:textId="7BC54BD0" w:rsidR="008033B5" w:rsidRDefault="00E67DBB" w:rsidP="00511118">
      <w:pPr>
        <w:pStyle w:val="Caption"/>
      </w:pPr>
      <w:r w:rsidRPr="009A7572">
        <w:rPr>
          <w:noProof/>
        </w:rPr>
        <w:drawing>
          <wp:inline distT="0" distB="0" distL="0" distR="0" wp14:anchorId="5AFA59E8" wp14:editId="5157F01F">
            <wp:extent cx="5486400" cy="3705924"/>
            <wp:effectExtent l="0" t="0" r="0" b="2540"/>
            <wp:docPr id="505051021" name="Picture 505051021"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21" name="Picture 505051021" descr="A group of graphs showing different types of data&#10;&#10;Description automatically generated with medium confidence"/>
                    <pic:cNvPicPr/>
                  </pic:nvPicPr>
                  <pic:blipFill rotWithShape="1">
                    <a:blip r:embed="rId74"/>
                    <a:srcRect l="6000" t="10026" r="8467" b="3316"/>
                    <a:stretch/>
                  </pic:blipFill>
                  <pic:spPr bwMode="auto">
                    <a:xfrm>
                      <a:off x="0" y="0"/>
                      <a:ext cx="5496532" cy="3712768"/>
                    </a:xfrm>
                    <a:prstGeom prst="rect">
                      <a:avLst/>
                    </a:prstGeom>
                    <a:ln>
                      <a:noFill/>
                    </a:ln>
                    <a:extLst>
                      <a:ext uri="{53640926-AAD7-44D8-BBD7-CCE9431645EC}">
                        <a14:shadowObscured xmlns:a14="http://schemas.microsoft.com/office/drawing/2010/main"/>
                      </a:ext>
                    </a:extLst>
                  </pic:spPr>
                </pic:pic>
              </a:graphicData>
            </a:graphic>
          </wp:inline>
        </w:drawing>
      </w:r>
    </w:p>
    <w:p w14:paraId="433AF1E7" w14:textId="270E5F4C" w:rsidR="008033B5" w:rsidRDefault="00E67DBB" w:rsidP="00511118">
      <w:pPr>
        <w:pStyle w:val="Caption"/>
      </w:pPr>
      <w:r w:rsidRPr="00E67DBB">
        <w:t xml:space="preserve">Figure A </w:t>
      </w:r>
      <w:proofErr w:type="gramStart"/>
      <w:r w:rsidRPr="00E67DBB">
        <w:t xml:space="preserve">7  </w:t>
      </w:r>
      <w:proofErr w:type="spellStart"/>
      <w:r w:rsidRPr="00E67DBB">
        <w:t>Synechococcus</w:t>
      </w:r>
      <w:proofErr w:type="spellEnd"/>
      <w:proofErr w:type="gramEnd"/>
      <w:r w:rsidRPr="00E67DBB">
        <w:t xml:space="preserve"> WH7803 (Vol #28) in 400nM H2O2 spike assay Coupled laboratory batch culture dynamics of </w:t>
      </w:r>
      <w:proofErr w:type="spellStart"/>
      <w:r w:rsidRPr="00E67DBB">
        <w:t>Synechococcus</w:t>
      </w:r>
      <w:proofErr w:type="spellEnd"/>
      <w:r w:rsidRPr="00E67DBB">
        <w:t xml:space="preserve"> WH7803 (Vol# 28) (a) and H2O2 (d) data alongside searched parameter combinations (grey) in batch culture containing 400nM H2O2. To the right of each dynamics plot we show the initial cell concentration (S0) and H2O2 specific death rate (</w:t>
      </w:r>
      <w:proofErr w:type="spellStart"/>
      <w:proofErr w:type="gramStart"/>
      <w:r w:rsidRPr="00E67DBB">
        <w:t>kdam,i</w:t>
      </w:r>
      <w:proofErr w:type="spellEnd"/>
      <w:proofErr w:type="gramEnd"/>
      <w:r w:rsidRPr="00E67DBB">
        <w:t>) (</w:t>
      </w:r>
      <w:proofErr w:type="spellStart"/>
      <w:r w:rsidRPr="00E67DBB">
        <w:t>b,c</w:t>
      </w:r>
      <w:proofErr w:type="spellEnd"/>
      <w:r w:rsidRPr="00E67DBB">
        <w:t>) and initial hydrogen peroxide concentration (H0) and cell-specific detoxification rate (</w:t>
      </w:r>
      <w:r w:rsidRPr="00E67DBB">
        <w:rPr>
          <w:rFonts w:ascii="Cambria Math" w:hAnsi="Cambria Math" w:cs="Cambria Math"/>
        </w:rPr>
        <w:t>𝜙𝑚𝑎𝑥</w:t>
      </w:r>
      <w:r w:rsidRPr="00E67DBB">
        <w:t>,</w:t>
      </w:r>
      <w:r w:rsidRPr="00E67DBB">
        <w:rPr>
          <w:rFonts w:ascii="Cambria Math" w:hAnsi="Cambria Math" w:cs="Cambria Math"/>
        </w:rPr>
        <w:t>𝑖</w:t>
      </w:r>
      <w:r w:rsidRPr="00E67DBB">
        <w:t>) (</w:t>
      </w:r>
      <w:proofErr w:type="spellStart"/>
      <w:r w:rsidRPr="00E67DBB">
        <w:t>e,f</w:t>
      </w:r>
      <w:proofErr w:type="spellEnd"/>
      <w:r w:rsidRPr="00E67DBB">
        <w:t xml:space="preserve">).  </w:t>
      </w:r>
    </w:p>
    <w:p w14:paraId="20639963" w14:textId="77777777" w:rsidR="008033B5" w:rsidRDefault="008033B5" w:rsidP="00511118">
      <w:pPr>
        <w:pStyle w:val="Caption"/>
      </w:pPr>
    </w:p>
    <w:p w14:paraId="3C2ED75A" w14:textId="77777777" w:rsidR="00E67DBB" w:rsidRDefault="00E67DBB" w:rsidP="00E67DBB">
      <w:pPr>
        <w:spacing w:line="360" w:lineRule="auto"/>
        <w:rPr>
          <w:rFonts w:ascii="Times New Roman" w:hAnsi="Times New Roman" w:cs="Times New Roman"/>
          <w:sz w:val="24"/>
          <w:szCs w:val="24"/>
        </w:rPr>
      </w:pPr>
    </w:p>
    <w:p w14:paraId="2B095F48" w14:textId="77777777" w:rsidR="008033B5" w:rsidRDefault="008033B5" w:rsidP="00511118">
      <w:pPr>
        <w:pStyle w:val="Caption"/>
      </w:pPr>
    </w:p>
    <w:p w14:paraId="0704A9A8" w14:textId="0DB6671E" w:rsidR="008033B5" w:rsidRDefault="00E67DBB" w:rsidP="00511118">
      <w:pPr>
        <w:pStyle w:val="Caption"/>
      </w:pPr>
      <w:r>
        <w:rPr>
          <w:rFonts w:ascii="Times New Roman" w:hAnsi="Times New Roman" w:cs="Times New Roman"/>
          <w:noProof/>
        </w:rPr>
        <w:lastRenderedPageBreak/>
        <w:drawing>
          <wp:inline distT="0" distB="0" distL="0" distR="0" wp14:anchorId="299E9A74" wp14:editId="3071F588">
            <wp:extent cx="5943600" cy="2238375"/>
            <wp:effectExtent l="0" t="0" r="0" b="9525"/>
            <wp:docPr id="505051023" name="Picture 505051023"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23" name="Picture 505051023" descr="A graph of different sizes and colors&#10;&#10;Description automatically generated with medium confidenc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2238375"/>
                    </a:xfrm>
                    <a:prstGeom prst="rect">
                      <a:avLst/>
                    </a:prstGeom>
                  </pic:spPr>
                </pic:pic>
              </a:graphicData>
            </a:graphic>
          </wp:inline>
        </w:drawing>
      </w:r>
    </w:p>
    <w:p w14:paraId="1095D24E" w14:textId="77777777" w:rsidR="00E67DBB" w:rsidRPr="003609FB" w:rsidRDefault="00E67DBB" w:rsidP="00E67DBB">
      <w:pPr>
        <w:pStyle w:val="Caption"/>
      </w:pPr>
      <w:bookmarkStart w:id="97" w:name="_Toc173250085"/>
      <w:r>
        <w:t xml:space="preserve">Figure A </w:t>
      </w:r>
      <w:r>
        <w:fldChar w:fldCharType="begin"/>
      </w:r>
      <w:r>
        <w:instrText xml:space="preserve"> SEQ A \* ARABIC </w:instrText>
      </w:r>
      <w:r>
        <w:fldChar w:fldCharType="separate"/>
      </w:r>
      <w:r>
        <w:rPr>
          <w:noProof/>
        </w:rPr>
        <w:t>8</w:t>
      </w:r>
      <w:r>
        <w:rPr>
          <w:noProof/>
        </w:rPr>
        <w:fldChar w:fldCharType="end"/>
      </w:r>
      <w:r>
        <w:t xml:space="preserve"> </w:t>
      </w:r>
      <w:proofErr w:type="spellStart"/>
      <w:r w:rsidRPr="00522873">
        <w:rPr>
          <w:i/>
          <w:iCs/>
        </w:rPr>
        <w:t>Synechococcus</w:t>
      </w:r>
      <w:proofErr w:type="spellEnd"/>
      <w:r w:rsidRPr="006A19BF">
        <w:t xml:space="preserve"> WH7803 </w:t>
      </w:r>
      <w:r>
        <w:t xml:space="preserve">(Vol #52) modeled in growth media with 0 additional </w:t>
      </w:r>
      <w:r w:rsidRPr="003609FB">
        <w:t>H</w:t>
      </w:r>
      <w:r w:rsidRPr="00351FC4">
        <w:rPr>
          <w:vertAlign w:val="subscript"/>
        </w:rPr>
        <w:t>2</w:t>
      </w:r>
      <w:r w:rsidRPr="003609FB">
        <w:t>O</w:t>
      </w:r>
      <w:r w:rsidRPr="00351FC4">
        <w:rPr>
          <w:vertAlign w:val="subscript"/>
        </w:rPr>
        <w:t>2</w:t>
      </w:r>
      <w:bookmarkEnd w:id="97"/>
    </w:p>
    <w:p w14:paraId="5EB1B7A0"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culture dynamics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WH7803 </w:t>
      </w:r>
      <w:r>
        <w:rPr>
          <w:rFonts w:ascii="Times New Roman" w:hAnsi="Times New Roman" w:cs="Times New Roman"/>
          <w:sz w:val="24"/>
          <w:szCs w:val="24"/>
        </w:rPr>
        <w:t xml:space="preserve">(Vol #52) </w:t>
      </w:r>
      <w:r w:rsidRPr="003609FB">
        <w:rPr>
          <w:rFonts w:ascii="Times New Roman" w:hAnsi="Times New Roman" w:cs="Times New Roman"/>
          <w:sz w:val="24"/>
          <w:szCs w:val="24"/>
        </w:rPr>
        <w:t>data (blue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(S</w:t>
      </w:r>
      <w:r w:rsidRPr="00825C70">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1F76D616" w14:textId="77777777" w:rsidR="008033B5" w:rsidRDefault="008033B5" w:rsidP="00511118">
      <w:pPr>
        <w:pStyle w:val="Caption"/>
      </w:pPr>
    </w:p>
    <w:p w14:paraId="6A849138" w14:textId="77777777" w:rsidR="008033B5" w:rsidRDefault="008033B5" w:rsidP="00511118">
      <w:pPr>
        <w:pStyle w:val="Caption"/>
      </w:pPr>
    </w:p>
    <w:p w14:paraId="4DB9E6DA" w14:textId="77777777" w:rsidR="008033B5" w:rsidRDefault="008033B5" w:rsidP="00511118">
      <w:pPr>
        <w:pStyle w:val="Caption"/>
      </w:pPr>
    </w:p>
    <w:p w14:paraId="1C698E53" w14:textId="77777777" w:rsidR="008033B5" w:rsidRDefault="008033B5" w:rsidP="00511118">
      <w:pPr>
        <w:pStyle w:val="Caption"/>
      </w:pPr>
    </w:p>
    <w:p w14:paraId="5D182831" w14:textId="77777777" w:rsidR="008033B5" w:rsidRDefault="008033B5" w:rsidP="00511118">
      <w:pPr>
        <w:pStyle w:val="Caption"/>
      </w:pPr>
    </w:p>
    <w:p w14:paraId="415DB580" w14:textId="4308BAF4" w:rsidR="008B5D65" w:rsidRDefault="008B5D65" w:rsidP="00AB2160">
      <w:pPr>
        <w:spacing w:line="360" w:lineRule="auto"/>
        <w:rPr>
          <w:rFonts w:ascii="Times New Roman" w:hAnsi="Times New Roman" w:cs="Times New Roman"/>
          <w:sz w:val="24"/>
          <w:szCs w:val="24"/>
        </w:rPr>
      </w:pPr>
    </w:p>
    <w:p w14:paraId="40F8F91C" w14:textId="2A79722D" w:rsidR="008B5D65" w:rsidRDefault="008B5D65" w:rsidP="00AB2160">
      <w:pPr>
        <w:spacing w:line="360" w:lineRule="auto"/>
        <w:rPr>
          <w:rFonts w:ascii="Times New Roman" w:hAnsi="Times New Roman" w:cs="Times New Roman"/>
          <w:sz w:val="24"/>
          <w:szCs w:val="24"/>
        </w:rPr>
      </w:pPr>
    </w:p>
    <w:p w14:paraId="101DFB5F" w14:textId="7E76E508" w:rsidR="008B5D65" w:rsidRDefault="00E67DBB" w:rsidP="00AB2160">
      <w:pPr>
        <w:spacing w:line="360" w:lineRule="auto"/>
        <w:rPr>
          <w:rFonts w:ascii="Times New Roman" w:hAnsi="Times New Roman" w:cs="Times New Roman"/>
          <w:sz w:val="24"/>
          <w:szCs w:val="24"/>
        </w:rPr>
      </w:pPr>
      <w:r w:rsidRPr="00C44EA5">
        <w:rPr>
          <w:rFonts w:ascii="Times New Roman" w:hAnsi="Times New Roman" w:cs="Times New Roman"/>
          <w:noProof/>
          <w:sz w:val="24"/>
          <w:szCs w:val="24"/>
        </w:rPr>
        <w:lastRenderedPageBreak/>
        <w:drawing>
          <wp:inline distT="0" distB="0" distL="0" distR="0" wp14:anchorId="323D4F21" wp14:editId="0A819251">
            <wp:extent cx="5808744" cy="3879273"/>
            <wp:effectExtent l="0" t="0" r="0" b="0"/>
            <wp:docPr id="2059388826" name="Picture 2059388826"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26" name="Picture 2059388826" descr="A group of graphs showing different types of data&#10;&#10;Description automatically generated with medium confidence"/>
                    <pic:cNvPicPr/>
                  </pic:nvPicPr>
                  <pic:blipFill rotWithShape="1">
                    <a:blip r:embed="rId76"/>
                    <a:srcRect l="6062" t="9822" r="7868" b="3954"/>
                    <a:stretch/>
                  </pic:blipFill>
                  <pic:spPr bwMode="auto">
                    <a:xfrm>
                      <a:off x="0" y="0"/>
                      <a:ext cx="5819872" cy="3886704"/>
                    </a:xfrm>
                    <a:prstGeom prst="rect">
                      <a:avLst/>
                    </a:prstGeom>
                    <a:ln>
                      <a:noFill/>
                    </a:ln>
                    <a:extLst>
                      <a:ext uri="{53640926-AAD7-44D8-BBD7-CCE9431645EC}">
                        <a14:shadowObscured xmlns:a14="http://schemas.microsoft.com/office/drawing/2010/main"/>
                      </a:ext>
                    </a:extLst>
                  </pic:spPr>
                </pic:pic>
              </a:graphicData>
            </a:graphic>
          </wp:inline>
        </w:drawing>
      </w:r>
    </w:p>
    <w:p w14:paraId="3A7FF95D" w14:textId="77777777" w:rsidR="00E67DBB" w:rsidRPr="008033B5" w:rsidRDefault="00E67DBB" w:rsidP="00E67DBB">
      <w:pPr>
        <w:pStyle w:val="Caption"/>
      </w:pPr>
      <w:bookmarkStart w:id="98" w:name="_Toc173250086"/>
      <w:r>
        <w:t xml:space="preserve">Figure A </w:t>
      </w:r>
      <w:r>
        <w:fldChar w:fldCharType="begin"/>
      </w:r>
      <w:r>
        <w:instrText xml:space="preserve"> SEQ A \* ARABIC </w:instrText>
      </w:r>
      <w:r>
        <w:fldChar w:fldCharType="separate"/>
      </w:r>
      <w:r>
        <w:rPr>
          <w:noProof/>
        </w:rPr>
        <w:t>9</w:t>
      </w:r>
      <w:r>
        <w:rPr>
          <w:noProof/>
        </w:rPr>
        <w:fldChar w:fldCharType="end"/>
      </w:r>
      <w:r>
        <w:t xml:space="preserve"> Modeled </w:t>
      </w:r>
      <w:proofErr w:type="spellStart"/>
      <w:r w:rsidRPr="008033B5">
        <w:rPr>
          <w:i/>
          <w:iCs/>
        </w:rPr>
        <w:t>Synechococcus</w:t>
      </w:r>
      <w:proofErr w:type="spellEnd"/>
      <w:r w:rsidRPr="001C4F68">
        <w:t xml:space="preserve"> WH7803</w:t>
      </w:r>
      <w:r>
        <w:t xml:space="preserve"> monoculture in 400nM </w:t>
      </w:r>
      <w:r w:rsidRPr="003609FB">
        <w:t>H</w:t>
      </w:r>
      <w:r w:rsidRPr="00351FC4">
        <w:rPr>
          <w:vertAlign w:val="subscript"/>
        </w:rPr>
        <w:t>2</w:t>
      </w:r>
      <w:r w:rsidRPr="003609FB">
        <w:t>O</w:t>
      </w:r>
      <w:r w:rsidRPr="00351FC4">
        <w:rPr>
          <w:vertAlign w:val="subscript"/>
        </w:rPr>
        <w:t>2</w:t>
      </w:r>
      <w:r>
        <w:t xml:space="preserve"> spike assay</w:t>
      </w:r>
      <w:bookmarkEnd w:id="98"/>
    </w:p>
    <w:p w14:paraId="5A8E45BE"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WH7803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 data alongside searched parameter combinations (grey) in batch culture containing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To the right of each dynamics plot we show the initial cell concentration</w:t>
      </w:r>
      <w:r>
        <w:rPr>
          <w:rFonts w:ascii="Times New Roman" w:hAnsi="Times New Roman" w:cs="Times New Roman"/>
          <w:sz w:val="24"/>
          <w:szCs w:val="24"/>
        </w:rPr>
        <w:t xml:space="preserve"> (S</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death rate</w:t>
      </w: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and initial hydrogen peroxide concentration</w:t>
      </w:r>
      <w:r>
        <w:rPr>
          <w:rFonts w:ascii="Times New Roman" w:hAnsi="Times New Roman" w:cs="Times New Roman"/>
          <w:sz w:val="24"/>
          <w:szCs w:val="24"/>
        </w:rPr>
        <w:t xml:space="preserve"> (H</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cell-specific detoxification rate</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w:t>
      </w:r>
    </w:p>
    <w:p w14:paraId="03CA1084" w14:textId="79E84415" w:rsidR="008B5D65" w:rsidRDefault="008B5D65" w:rsidP="00AB2160">
      <w:pPr>
        <w:spacing w:line="360" w:lineRule="auto"/>
        <w:rPr>
          <w:rFonts w:ascii="Times New Roman" w:hAnsi="Times New Roman" w:cs="Times New Roman"/>
          <w:sz w:val="24"/>
          <w:szCs w:val="24"/>
        </w:rPr>
      </w:pPr>
    </w:p>
    <w:p w14:paraId="5E88D94E" w14:textId="33752102" w:rsidR="008B5D65" w:rsidRDefault="00E67DBB" w:rsidP="00AB2160">
      <w:pPr>
        <w:spacing w:line="360" w:lineRule="auto"/>
        <w:rPr>
          <w:rFonts w:ascii="Times New Roman" w:hAnsi="Times New Roman" w:cs="Times New Roman"/>
          <w:sz w:val="24"/>
          <w:szCs w:val="24"/>
        </w:rPr>
      </w:pPr>
      <w:r w:rsidRPr="007D44C1">
        <w:rPr>
          <w:rFonts w:ascii="Times New Roman" w:hAnsi="Times New Roman" w:cs="Times New Roman"/>
          <w:noProof/>
          <w:sz w:val="24"/>
          <w:szCs w:val="24"/>
        </w:rPr>
        <w:lastRenderedPageBreak/>
        <w:drawing>
          <wp:inline distT="0" distB="0" distL="0" distR="0" wp14:anchorId="2F802464" wp14:editId="56E81385">
            <wp:extent cx="5278931" cy="3450672"/>
            <wp:effectExtent l="0" t="0" r="4445" b="3810"/>
            <wp:docPr id="505051031" name="Picture 505051031" descr="A group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31" name="Picture 505051031" descr="A group of graphs and diagrams&#10;&#10;Description automatically generated"/>
                    <pic:cNvPicPr/>
                  </pic:nvPicPr>
                  <pic:blipFill rotWithShape="1">
                    <a:blip r:embed="rId77"/>
                    <a:srcRect l="3840" t="9137" r="7843" b="4274"/>
                    <a:stretch/>
                  </pic:blipFill>
                  <pic:spPr bwMode="auto">
                    <a:xfrm>
                      <a:off x="0" y="0"/>
                      <a:ext cx="5281417" cy="3452297"/>
                    </a:xfrm>
                    <a:prstGeom prst="rect">
                      <a:avLst/>
                    </a:prstGeom>
                    <a:ln>
                      <a:noFill/>
                    </a:ln>
                    <a:extLst>
                      <a:ext uri="{53640926-AAD7-44D8-BBD7-CCE9431645EC}">
                        <a14:shadowObscured xmlns:a14="http://schemas.microsoft.com/office/drawing/2010/main"/>
                      </a:ext>
                    </a:extLst>
                  </pic:spPr>
                </pic:pic>
              </a:graphicData>
            </a:graphic>
          </wp:inline>
        </w:drawing>
      </w:r>
    </w:p>
    <w:p w14:paraId="50DBEDA6" w14:textId="77777777" w:rsidR="00E67DBB" w:rsidRDefault="00E67DBB" w:rsidP="00E67DBB">
      <w:pPr>
        <w:pStyle w:val="Caption"/>
      </w:pPr>
      <w:bookmarkStart w:id="99" w:name="_Toc173250087"/>
      <w:r>
        <w:t xml:space="preserve">Figure A </w:t>
      </w:r>
      <w:r>
        <w:fldChar w:fldCharType="begin"/>
      </w:r>
      <w:r>
        <w:instrText xml:space="preserve"> SEQ A \* ARABIC </w:instrText>
      </w:r>
      <w:r>
        <w:fldChar w:fldCharType="separate"/>
      </w:r>
      <w:r>
        <w:rPr>
          <w:noProof/>
        </w:rPr>
        <w:t>10</w:t>
      </w:r>
      <w:r>
        <w:rPr>
          <w:noProof/>
        </w:rPr>
        <w:fldChar w:fldCharType="end"/>
      </w:r>
      <w:r>
        <w:t xml:space="preserve"> </w:t>
      </w:r>
      <w:r w:rsidRPr="002B0DAE">
        <w:t xml:space="preserve">Heterotroph EZ55 </w:t>
      </w:r>
      <w:r>
        <w:t>3</w:t>
      </w:r>
      <w:r w:rsidRPr="002B0DAE">
        <w:t xml:space="preserve">00nM </w:t>
      </w:r>
      <w:r w:rsidRPr="003609FB">
        <w:t>H</w:t>
      </w:r>
      <w:r w:rsidRPr="00351FC4">
        <w:rPr>
          <w:vertAlign w:val="subscript"/>
        </w:rPr>
        <w:t>2</w:t>
      </w:r>
      <w:r w:rsidRPr="003609FB">
        <w:t>O</w:t>
      </w:r>
      <w:r w:rsidRPr="00351FC4">
        <w:rPr>
          <w:vertAlign w:val="subscript"/>
        </w:rPr>
        <w:t>2</w:t>
      </w:r>
      <w:r w:rsidRPr="002B0DAE">
        <w:t xml:space="preserve"> spiked media dynamics over 2 hours</w:t>
      </w:r>
      <w:bookmarkEnd w:id="99"/>
    </w:p>
    <w:p w14:paraId="2038DDDC"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w:t>
      </w:r>
      <w:proofErr w:type="spellStart"/>
      <w:r w:rsidRPr="008033B5">
        <w:rPr>
          <w:rFonts w:ascii="Times New Roman" w:hAnsi="Times New Roman" w:cs="Times New Roman"/>
          <w:i/>
          <w:iCs/>
          <w:sz w:val="24"/>
          <w:szCs w:val="24"/>
        </w:rPr>
        <w:t>Alteromonas</w:t>
      </w:r>
      <w:proofErr w:type="spellEnd"/>
      <w:r w:rsidRPr="008033B5">
        <w:rPr>
          <w:rFonts w:ascii="Times New Roman" w:hAnsi="Times New Roman" w:cs="Times New Roman"/>
          <w:i/>
          <w:iCs/>
          <w:sz w:val="24"/>
          <w:szCs w:val="24"/>
        </w:rPr>
        <w:t xml:space="preserve"> </w:t>
      </w:r>
      <w:r w:rsidRPr="003609FB">
        <w:rPr>
          <w:rFonts w:ascii="Times New Roman" w:hAnsi="Times New Roman" w:cs="Times New Roman"/>
          <w:sz w:val="24"/>
          <w:szCs w:val="24"/>
        </w:rPr>
        <w:t>EZ55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 data alongside searched parameter combinations (grey) in batch culture containing 300nM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To the right of each dynamics plot we show the initial cell concentration</w:t>
      </w:r>
      <w:r>
        <w:rPr>
          <w:rFonts w:ascii="Times New Roman" w:hAnsi="Times New Roman" w:cs="Times New Roman"/>
          <w:sz w:val="24"/>
          <w:szCs w:val="24"/>
        </w:rPr>
        <w:t xml:space="preserve"> (D</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death rate</w:t>
      </w: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and initial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w:t>
      </w:r>
      <w:r>
        <w:rPr>
          <w:rFonts w:ascii="Times New Roman" w:hAnsi="Times New Roman" w:cs="Times New Roman"/>
          <w:sz w:val="24"/>
          <w:szCs w:val="24"/>
        </w:rPr>
        <w:t xml:space="preserve"> (H</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w:t>
      </w:r>
      <w:r>
        <w:rPr>
          <w:rFonts w:ascii="Times New Roman" w:hAnsi="Times New Roman" w:cs="Times New Roman"/>
          <w:sz w:val="24"/>
          <w:szCs w:val="24"/>
        </w:rPr>
        <w:t xml:space="preserve">EZ55 </w:t>
      </w:r>
      <w:r w:rsidRPr="003609FB">
        <w:rPr>
          <w:rFonts w:ascii="Times New Roman" w:hAnsi="Times New Roman" w:cs="Times New Roman"/>
          <w:sz w:val="24"/>
          <w:szCs w:val="24"/>
        </w:rPr>
        <w:t>cell-specific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detoxification rate</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w:t>
      </w:r>
    </w:p>
    <w:p w14:paraId="4317F0E1" w14:textId="0880B358" w:rsidR="008B5D65" w:rsidRDefault="008B5D65" w:rsidP="00AB2160">
      <w:pPr>
        <w:spacing w:line="360" w:lineRule="auto"/>
        <w:rPr>
          <w:rFonts w:ascii="Times New Roman" w:hAnsi="Times New Roman" w:cs="Times New Roman"/>
          <w:sz w:val="24"/>
          <w:szCs w:val="24"/>
        </w:rPr>
      </w:pPr>
    </w:p>
    <w:p w14:paraId="4C6CF502" w14:textId="0B0036DB" w:rsidR="008B5D65" w:rsidRDefault="008B5D65" w:rsidP="00AB2160">
      <w:pPr>
        <w:spacing w:line="360" w:lineRule="auto"/>
        <w:rPr>
          <w:rFonts w:ascii="Times New Roman" w:hAnsi="Times New Roman" w:cs="Times New Roman"/>
          <w:sz w:val="24"/>
          <w:szCs w:val="24"/>
        </w:rPr>
      </w:pPr>
    </w:p>
    <w:p w14:paraId="22451CF8" w14:textId="39D0B960" w:rsidR="008B5D65" w:rsidRDefault="00E67DBB" w:rsidP="00AB2160">
      <w:pPr>
        <w:spacing w:line="360" w:lineRule="auto"/>
        <w:rPr>
          <w:rFonts w:ascii="Times New Roman" w:hAnsi="Times New Roman" w:cs="Times New Roman"/>
          <w:sz w:val="24"/>
          <w:szCs w:val="24"/>
        </w:rPr>
      </w:pPr>
      <w:r w:rsidRPr="007D44C1">
        <w:rPr>
          <w:rFonts w:ascii="Times New Roman" w:hAnsi="Times New Roman" w:cs="Times New Roman"/>
          <w:noProof/>
          <w:sz w:val="24"/>
          <w:szCs w:val="24"/>
        </w:rPr>
        <w:lastRenderedPageBreak/>
        <w:drawing>
          <wp:inline distT="0" distB="0" distL="0" distR="0" wp14:anchorId="17646547" wp14:editId="740A07DD">
            <wp:extent cx="5803265" cy="3869055"/>
            <wp:effectExtent l="0" t="0" r="635" b="4445"/>
            <wp:docPr id="505051032" name="Picture 505051032" descr="A group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32" name="Picture 505051032" descr="A group of graphs and diagrams&#10;&#10;Description automatically generated"/>
                    <pic:cNvPicPr/>
                  </pic:nvPicPr>
                  <pic:blipFill>
                    <a:blip r:embed="rId78"/>
                    <a:stretch>
                      <a:fillRect/>
                    </a:stretch>
                  </pic:blipFill>
                  <pic:spPr>
                    <a:xfrm>
                      <a:off x="0" y="0"/>
                      <a:ext cx="5803265" cy="3869055"/>
                    </a:xfrm>
                    <a:prstGeom prst="rect">
                      <a:avLst/>
                    </a:prstGeom>
                  </pic:spPr>
                </pic:pic>
              </a:graphicData>
            </a:graphic>
          </wp:inline>
        </w:drawing>
      </w:r>
    </w:p>
    <w:p w14:paraId="0F4DF979" w14:textId="77777777" w:rsidR="00E67DBB" w:rsidRPr="003609FB" w:rsidRDefault="00E67DBB" w:rsidP="00E67DBB">
      <w:pPr>
        <w:pStyle w:val="Caption"/>
      </w:pPr>
      <w:bookmarkStart w:id="100" w:name="_Toc173250088"/>
      <w:r>
        <w:t xml:space="preserve">Figure A </w:t>
      </w:r>
      <w:r>
        <w:fldChar w:fldCharType="begin"/>
      </w:r>
      <w:r>
        <w:instrText xml:space="preserve"> SEQ A \* ARABIC </w:instrText>
      </w:r>
      <w:r>
        <w:fldChar w:fldCharType="separate"/>
      </w:r>
      <w:r>
        <w:rPr>
          <w:noProof/>
        </w:rPr>
        <w:t>11</w:t>
      </w:r>
      <w:r>
        <w:rPr>
          <w:noProof/>
        </w:rPr>
        <w:fldChar w:fldCharType="end"/>
      </w:r>
      <w:r>
        <w:t xml:space="preserve"> Heterotroph EZ55 800nM </w:t>
      </w:r>
      <w:r w:rsidRPr="003609FB">
        <w:t>H</w:t>
      </w:r>
      <w:r w:rsidRPr="00351FC4">
        <w:rPr>
          <w:vertAlign w:val="subscript"/>
        </w:rPr>
        <w:t>2</w:t>
      </w:r>
      <w:r w:rsidRPr="003609FB">
        <w:t>O</w:t>
      </w:r>
      <w:r w:rsidRPr="00351FC4">
        <w:rPr>
          <w:vertAlign w:val="subscript"/>
        </w:rPr>
        <w:t>2</w:t>
      </w:r>
      <w:r>
        <w:rPr>
          <w:vertAlign w:val="subscript"/>
        </w:rPr>
        <w:t xml:space="preserve"> </w:t>
      </w:r>
      <w:r>
        <w:t>spiked media dynamics over 2 hours</w:t>
      </w:r>
      <w:bookmarkEnd w:id="100"/>
    </w:p>
    <w:p w14:paraId="3D684E68"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w:t>
      </w:r>
      <w:proofErr w:type="spellStart"/>
      <w:r w:rsidRPr="008033B5">
        <w:rPr>
          <w:rFonts w:ascii="Times New Roman" w:hAnsi="Times New Roman" w:cs="Times New Roman"/>
          <w:i/>
          <w:iCs/>
          <w:sz w:val="24"/>
          <w:szCs w:val="24"/>
        </w:rPr>
        <w:t>Alteromonas</w:t>
      </w:r>
      <w:proofErr w:type="spellEnd"/>
      <w:r w:rsidRPr="003609FB">
        <w:rPr>
          <w:rFonts w:ascii="Times New Roman" w:hAnsi="Times New Roman" w:cs="Times New Roman"/>
          <w:sz w:val="24"/>
          <w:szCs w:val="24"/>
        </w:rPr>
        <w:t xml:space="preserve"> EZ55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 data alongside searched parameter combinations (grey) in batch culture containing 800nM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To the right of each dynamics plot we show the initial cell concentration</w:t>
      </w:r>
      <w:r>
        <w:rPr>
          <w:rFonts w:ascii="Times New Roman" w:hAnsi="Times New Roman" w:cs="Times New Roman"/>
          <w:sz w:val="24"/>
          <w:szCs w:val="24"/>
        </w:rPr>
        <w:t xml:space="preserve"> (D</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death rate</w:t>
      </w: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and initial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w:t>
      </w:r>
      <w:r>
        <w:rPr>
          <w:rFonts w:ascii="Times New Roman" w:hAnsi="Times New Roman" w:cs="Times New Roman"/>
          <w:sz w:val="24"/>
          <w:szCs w:val="24"/>
        </w:rPr>
        <w:t xml:space="preserve"> (H</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w:t>
      </w:r>
      <w:r>
        <w:rPr>
          <w:rFonts w:ascii="Times New Roman" w:hAnsi="Times New Roman" w:cs="Times New Roman"/>
          <w:sz w:val="24"/>
          <w:szCs w:val="24"/>
        </w:rPr>
        <w:t xml:space="preserve">EZ55 </w:t>
      </w:r>
      <w:r w:rsidRPr="003609FB">
        <w:rPr>
          <w:rFonts w:ascii="Times New Roman" w:hAnsi="Times New Roman" w:cs="Times New Roman"/>
          <w:sz w:val="24"/>
          <w:szCs w:val="24"/>
        </w:rPr>
        <w:t>cell-specific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09FB">
        <w:rPr>
          <w:rFonts w:ascii="Times New Roman" w:hAnsi="Times New Roman" w:cs="Times New Roman"/>
          <w:sz w:val="24"/>
          <w:szCs w:val="24"/>
        </w:rPr>
        <w:t>detoxification rate</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w:t>
      </w:r>
    </w:p>
    <w:p w14:paraId="356A32CC" w14:textId="462B925A" w:rsidR="008B5D65" w:rsidRDefault="008B5D65" w:rsidP="00AB2160">
      <w:pPr>
        <w:spacing w:line="360" w:lineRule="auto"/>
        <w:rPr>
          <w:rFonts w:ascii="Times New Roman" w:hAnsi="Times New Roman" w:cs="Times New Roman"/>
          <w:sz w:val="24"/>
          <w:szCs w:val="24"/>
        </w:rPr>
      </w:pPr>
    </w:p>
    <w:p w14:paraId="109A6329" w14:textId="0DDAD4EB" w:rsidR="008B5D65" w:rsidRDefault="008B5D65" w:rsidP="00AB2160">
      <w:pPr>
        <w:spacing w:line="360" w:lineRule="auto"/>
        <w:rPr>
          <w:rFonts w:ascii="Times New Roman" w:hAnsi="Times New Roman" w:cs="Times New Roman"/>
          <w:sz w:val="24"/>
          <w:szCs w:val="24"/>
        </w:rPr>
      </w:pPr>
    </w:p>
    <w:p w14:paraId="1F26F79E" w14:textId="77777777" w:rsidR="008B5D65" w:rsidRPr="003609FB" w:rsidRDefault="008B5D65" w:rsidP="00AB2160">
      <w:pPr>
        <w:spacing w:line="360" w:lineRule="auto"/>
        <w:rPr>
          <w:rFonts w:ascii="Times New Roman" w:hAnsi="Times New Roman" w:cs="Times New Roman"/>
          <w:sz w:val="24"/>
          <w:szCs w:val="24"/>
        </w:rPr>
      </w:pPr>
    </w:p>
    <w:p w14:paraId="67CAB381" w14:textId="064A8120" w:rsidR="004E0FCB" w:rsidRPr="003609FB" w:rsidRDefault="004E0FCB" w:rsidP="00AB2160">
      <w:pPr>
        <w:spacing w:line="360" w:lineRule="auto"/>
        <w:rPr>
          <w:rFonts w:ascii="Times New Roman" w:hAnsi="Times New Roman" w:cs="Times New Roman"/>
          <w:sz w:val="24"/>
          <w:szCs w:val="24"/>
        </w:rPr>
      </w:pPr>
    </w:p>
    <w:p w14:paraId="5506F527" w14:textId="77777777" w:rsidR="004A316C" w:rsidRDefault="004A316C" w:rsidP="00AB2160">
      <w:pPr>
        <w:spacing w:line="360" w:lineRule="auto"/>
        <w:rPr>
          <w:rFonts w:ascii="Times New Roman" w:hAnsi="Times New Roman" w:cs="Times New Roman"/>
          <w:sz w:val="24"/>
          <w:szCs w:val="24"/>
        </w:rPr>
      </w:pPr>
    </w:p>
    <w:p w14:paraId="67C93A54" w14:textId="77777777" w:rsidR="004A316C" w:rsidRDefault="004A316C" w:rsidP="00AB2160">
      <w:pPr>
        <w:spacing w:line="360" w:lineRule="auto"/>
        <w:rPr>
          <w:rFonts w:ascii="Times New Roman" w:hAnsi="Times New Roman" w:cs="Times New Roman"/>
          <w:sz w:val="24"/>
          <w:szCs w:val="24"/>
        </w:rPr>
      </w:pPr>
    </w:p>
    <w:p w14:paraId="7196137D" w14:textId="0B15865A" w:rsidR="002A6959" w:rsidRDefault="00BF0F96" w:rsidP="00E67DBB">
      <w:pPr>
        <w:pStyle w:val="Heading3"/>
        <w:numPr>
          <w:ilvl w:val="0"/>
          <w:numId w:val="0"/>
        </w:numPr>
        <w:spacing w:line="360" w:lineRule="auto"/>
      </w:pPr>
      <w:bookmarkStart w:id="101" w:name="_Toc173250063"/>
      <w:r w:rsidRPr="003609FB">
        <w:lastRenderedPageBreak/>
        <w:t>A</w:t>
      </w:r>
      <w:r w:rsidR="002A6959" w:rsidRPr="003609FB">
        <w:t xml:space="preserve">4 </w:t>
      </w:r>
      <w:r w:rsidRPr="003609FB">
        <w:t xml:space="preserve">Media and </w:t>
      </w:r>
      <w:r w:rsidR="002A6959" w:rsidRPr="003609FB">
        <w:t xml:space="preserve">Buffer </w:t>
      </w:r>
      <w:r w:rsidR="00F52F1E" w:rsidRPr="003609FB">
        <w:t>H</w:t>
      </w:r>
      <w:r w:rsidR="00F52F1E" w:rsidRPr="00351FC4">
        <w:rPr>
          <w:vertAlign w:val="subscript"/>
        </w:rPr>
        <w:t>2</w:t>
      </w:r>
      <w:r w:rsidR="00F52F1E" w:rsidRPr="003609FB">
        <w:t>O</w:t>
      </w:r>
      <w:r w:rsidR="00F52F1E" w:rsidRPr="00351FC4">
        <w:rPr>
          <w:vertAlign w:val="subscript"/>
        </w:rPr>
        <w:t>2</w:t>
      </w:r>
      <w:r w:rsidR="002A6959" w:rsidRPr="003609FB">
        <w:t>Production Assays</w:t>
      </w:r>
      <w:bookmarkEnd w:id="101"/>
      <w:r w:rsidR="002A6959" w:rsidRPr="003609FB">
        <w:t xml:space="preserve"> </w:t>
      </w:r>
    </w:p>
    <w:p w14:paraId="3EEFB214" w14:textId="77777777" w:rsidR="008B5D65" w:rsidRPr="008B5D65" w:rsidRDefault="008B5D65" w:rsidP="00AB2160">
      <w:pPr>
        <w:spacing w:line="360" w:lineRule="auto"/>
      </w:pPr>
    </w:p>
    <w:p w14:paraId="25768A1D" w14:textId="2EDB05DA" w:rsidR="002A6959" w:rsidRPr="003609FB" w:rsidRDefault="002A6959"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HEPES buffer produces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when illuminated at relevant irradiances (Morris 2013) so we use it here to ensure our model may be used for the more environmentally relevant, photochemically produced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dynamics before analyzing the more common spike assay. While the rest of this </w:t>
      </w:r>
      <w:r w:rsidR="007C7590">
        <w:rPr>
          <w:rFonts w:ascii="Times New Roman" w:hAnsi="Times New Roman" w:cs="Times New Roman"/>
          <w:sz w:val="24"/>
          <w:szCs w:val="24"/>
        </w:rPr>
        <w:t>thesis</w:t>
      </w:r>
      <w:r w:rsidRPr="003609FB">
        <w:rPr>
          <w:rFonts w:ascii="Times New Roman" w:hAnsi="Times New Roman" w:cs="Times New Roman"/>
          <w:sz w:val="24"/>
          <w:szCs w:val="24"/>
        </w:rPr>
        <w:t xml:space="preserve"> concerns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spikes as the main source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in media, the diel nature of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Pr="003609FB">
        <w:rPr>
          <w:rFonts w:ascii="Times New Roman" w:hAnsi="Times New Roman" w:cs="Times New Roman"/>
          <w:sz w:val="24"/>
          <w:szCs w:val="24"/>
        </w:rPr>
        <w:t xml:space="preserve">external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threats drove us to ensure the applicability of our model.  We leverage the assays of prior studies </w:t>
      </w:r>
      <w:sdt>
        <w:sdtPr>
          <w:rPr>
            <w:rFonts w:ascii="Times New Roman" w:hAnsi="Times New Roman" w:cs="Times New Roman"/>
            <w:sz w:val="24"/>
            <w:szCs w:val="24"/>
          </w:rPr>
          <w:tag w:val="MENDELEY_CITATION_v3_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"/>
          <w:id w:val="-2059382634"/>
          <w:placeholder>
            <w:docPart w:val="EA386DD3D127124A8BEB6F35955DD565"/>
          </w:placeholder>
        </w:sdtPr>
        <w:sdtContent>
          <w:r w:rsidRPr="003609FB">
            <w:rPr>
              <w:rFonts w:ascii="Times New Roman" w:hAnsi="Times New Roman" w:cs="Times New Roman"/>
              <w:sz w:val="24"/>
              <w:szCs w:val="24"/>
            </w:rPr>
            <w:t>(Jeffrey Morris &amp; Zinser, 2013; Morris, 2011)</w:t>
          </w:r>
        </w:sdtContent>
      </w:sdt>
      <w:r w:rsidRPr="003609FB">
        <w:rPr>
          <w:rFonts w:ascii="Times New Roman" w:hAnsi="Times New Roman" w:cs="Times New Roman"/>
          <w:sz w:val="24"/>
          <w:szCs w:val="24"/>
        </w:rPr>
        <w:t xml:space="preserve"> that tested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photoproduction in growth buffers to test our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production term (S</w:t>
      </w:r>
      <w:r w:rsidR="00454FDB" w:rsidRPr="00454FDB">
        <w:rPr>
          <w:rFonts w:ascii="Times New Roman" w:hAnsi="Times New Roman" w:cs="Times New Roman"/>
          <w:sz w:val="24"/>
          <w:szCs w:val="24"/>
          <w:vertAlign w:val="subscript"/>
        </w:rPr>
        <w:t>H</w:t>
      </w:r>
      <w:r w:rsidRPr="003609FB">
        <w:rPr>
          <w:rFonts w:ascii="Times New Roman" w:hAnsi="Times New Roman" w:cs="Times New Roman"/>
          <w:sz w:val="24"/>
          <w:szCs w:val="24"/>
        </w:rPr>
        <w:t xml:space="preserve">) and its ability to capture a more realistic photochemical reaction to that of the open ocean (Jeffrey Morris and Zinser 2013).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concentrations from dataset 1 singular TAPS (Figure </w:t>
      </w:r>
      <w:r w:rsidR="00454FDB">
        <w:rPr>
          <w:rFonts w:ascii="Times New Roman" w:hAnsi="Times New Roman" w:cs="Times New Roman"/>
          <w:sz w:val="24"/>
          <w:szCs w:val="24"/>
        </w:rPr>
        <w:t>A12</w:t>
      </w:r>
      <w:r w:rsidRPr="003609FB">
        <w:rPr>
          <w:rFonts w:ascii="Times New Roman" w:hAnsi="Times New Roman" w:cs="Times New Roman"/>
          <w:sz w:val="24"/>
          <w:szCs w:val="24"/>
        </w:rPr>
        <w:t xml:space="preserve">) or HEPES (Figure </w:t>
      </w:r>
      <w:r w:rsidR="00454FDB">
        <w:rPr>
          <w:rFonts w:ascii="Times New Roman" w:hAnsi="Times New Roman" w:cs="Times New Roman"/>
          <w:sz w:val="24"/>
          <w:szCs w:val="24"/>
        </w:rPr>
        <w:t>A</w:t>
      </w:r>
      <w:r w:rsidRPr="003609FB">
        <w:rPr>
          <w:rFonts w:ascii="Times New Roman" w:hAnsi="Times New Roman" w:cs="Times New Roman"/>
          <w:sz w:val="24"/>
          <w:szCs w:val="24"/>
        </w:rPr>
        <w:t>1</w:t>
      </w:r>
      <w:r w:rsidR="00454FDB">
        <w:rPr>
          <w:rFonts w:ascii="Times New Roman" w:hAnsi="Times New Roman" w:cs="Times New Roman"/>
          <w:sz w:val="24"/>
          <w:szCs w:val="24"/>
        </w:rPr>
        <w:t>3</w:t>
      </w:r>
      <w:r w:rsidRPr="003609FB">
        <w:rPr>
          <w:rFonts w:ascii="Times New Roman" w:hAnsi="Times New Roman" w:cs="Times New Roman"/>
          <w:sz w:val="24"/>
          <w:szCs w:val="24"/>
        </w:rPr>
        <w:t xml:space="preserve">) production were evaluated against the performance of our model from Eq. set 1 in natural seawater.  Production here takes on a non-linear production, yet our model manages to capture this. The dashed analytical solution of our model is visualized as well to ensure that our model solution protocol is effective. </w:t>
      </w:r>
      <w:proofErr w:type="gramStart"/>
      <w:r w:rsidRPr="003609FB">
        <w:rPr>
          <w:rFonts w:ascii="Times New Roman" w:hAnsi="Times New Roman" w:cs="Times New Roman"/>
          <w:sz w:val="24"/>
          <w:szCs w:val="24"/>
        </w:rPr>
        <w:t>Similar to</w:t>
      </w:r>
      <w:proofErr w:type="gramEnd"/>
      <w:r w:rsidRPr="003609FB">
        <w:rPr>
          <w:rFonts w:ascii="Times New Roman" w:hAnsi="Times New Roman" w:cs="Times New Roman"/>
          <w:sz w:val="24"/>
          <w:szCs w:val="24"/>
        </w:rPr>
        <w:t xml:space="preserve"> our models for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spike assays, the abiotic model captured the HEPES-initiated dynamics in our batch data. Agreement of both model solutions with laboratory data led to our adoption of this formulation for future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modeling regarding media assays. Through this analysis we ensured that 1) chosen ODE set 1 solved to an intelligible solution, shown below, and 2) this solution converged on our supplied data in a similar degree and manner as our fitting method. This step is key in evaluating our </w:t>
      </w:r>
      <w:r w:rsidR="00733D7D">
        <w:rPr>
          <w:rFonts w:ascii="Times New Roman" w:hAnsi="Times New Roman" w:cs="Times New Roman"/>
          <w:sz w:val="24"/>
          <w:szCs w:val="24"/>
        </w:rPr>
        <w:t>i</w:t>
      </w:r>
      <w:r w:rsidRPr="003609FB">
        <w:rPr>
          <w:rFonts w:ascii="Times New Roman" w:hAnsi="Times New Roman" w:cs="Times New Roman"/>
          <w:sz w:val="24"/>
          <w:szCs w:val="24"/>
        </w:rPr>
        <w:t xml:space="preserve">ntegration methods thus allowing a comparison of this data set dynamics to that of an analytical solution set calculated from an abiotic scenario. </w:t>
      </w:r>
    </w:p>
    <w:p w14:paraId="4F9D3CFF" w14:textId="732392DD" w:rsidR="002A6959" w:rsidRPr="003609FB" w:rsidRDefault="002A6959" w:rsidP="00AB2160">
      <w:pPr>
        <w:spacing w:line="360" w:lineRule="auto"/>
        <w:rPr>
          <w:rFonts w:ascii="Times New Roman" w:hAnsi="Times New Roman" w:cs="Times New Roman"/>
          <w:sz w:val="24"/>
          <w:szCs w:val="24"/>
        </w:rPr>
      </w:pPr>
    </w:p>
    <w:p w14:paraId="36C6141C" w14:textId="67FE3855" w:rsidR="00CC7D54" w:rsidRPr="003609FB" w:rsidRDefault="00CC7D54" w:rsidP="00AB2160">
      <w:pPr>
        <w:spacing w:line="360" w:lineRule="auto"/>
        <w:rPr>
          <w:rFonts w:ascii="Times New Roman" w:hAnsi="Times New Roman" w:cs="Times New Roman"/>
          <w:sz w:val="24"/>
          <w:szCs w:val="24"/>
        </w:rPr>
      </w:pPr>
    </w:p>
    <w:p w14:paraId="1EC3FDA2" w14:textId="5FE5E0C7" w:rsidR="00CC7D54" w:rsidRPr="003609FB" w:rsidRDefault="00CC7D54" w:rsidP="00AB2160">
      <w:pPr>
        <w:spacing w:line="360" w:lineRule="auto"/>
        <w:rPr>
          <w:rFonts w:ascii="Times New Roman" w:hAnsi="Times New Roman" w:cs="Times New Roman"/>
          <w:sz w:val="24"/>
          <w:szCs w:val="24"/>
        </w:rPr>
      </w:pPr>
    </w:p>
    <w:p w14:paraId="10ED2396" w14:textId="747AFD8B" w:rsidR="00CC7D54" w:rsidRDefault="00CC7D54" w:rsidP="00AB2160">
      <w:pPr>
        <w:spacing w:line="360" w:lineRule="auto"/>
        <w:rPr>
          <w:rFonts w:ascii="Times New Roman" w:hAnsi="Times New Roman" w:cs="Times New Roman"/>
          <w:sz w:val="24"/>
          <w:szCs w:val="24"/>
        </w:rPr>
      </w:pPr>
    </w:p>
    <w:p w14:paraId="43FEA3EE" w14:textId="77777777" w:rsidR="004A76CB" w:rsidRDefault="004A76CB" w:rsidP="00AB2160">
      <w:pPr>
        <w:spacing w:line="360" w:lineRule="auto"/>
        <w:rPr>
          <w:rFonts w:ascii="Times New Roman" w:hAnsi="Times New Roman" w:cs="Times New Roman"/>
          <w:sz w:val="24"/>
          <w:szCs w:val="24"/>
        </w:rPr>
      </w:pPr>
    </w:p>
    <w:p w14:paraId="4AD858D5" w14:textId="13DC4313" w:rsidR="004A76CB" w:rsidRDefault="004A76CB" w:rsidP="004A76C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br/>
      </w:r>
      <w:r w:rsidR="00E67DBB">
        <w:rPr>
          <w:rFonts w:ascii="Times New Roman" w:hAnsi="Times New Roman" w:cs="Times New Roman"/>
          <w:noProof/>
          <w:sz w:val="24"/>
          <w:szCs w:val="24"/>
        </w:rPr>
        <w:drawing>
          <wp:inline distT="0" distB="0" distL="0" distR="0" wp14:anchorId="0405F0CB" wp14:editId="72F35AC2">
            <wp:extent cx="5777346" cy="4771015"/>
            <wp:effectExtent l="0" t="0" r="1270" b="4445"/>
            <wp:docPr id="505051057" name="Picture 505051057"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57" name="Picture 505051057" descr="A graph of different colored lines&#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93846" cy="4784641"/>
                    </a:xfrm>
                    <a:prstGeom prst="rect">
                      <a:avLst/>
                    </a:prstGeom>
                  </pic:spPr>
                </pic:pic>
              </a:graphicData>
            </a:graphic>
          </wp:inline>
        </w:drawing>
      </w:r>
    </w:p>
    <w:p w14:paraId="363C59EE" w14:textId="77777777" w:rsidR="00E67DBB" w:rsidRPr="003609FB" w:rsidRDefault="00E67DBB" w:rsidP="00E67DBB">
      <w:pPr>
        <w:pStyle w:val="Caption"/>
      </w:pPr>
      <w:bookmarkStart w:id="102" w:name="_Toc173250089"/>
      <w:r>
        <w:t xml:space="preserve">Figure A </w:t>
      </w:r>
      <w:r>
        <w:fldChar w:fldCharType="begin"/>
      </w:r>
      <w:r>
        <w:instrText xml:space="preserve"> SEQ A \* ARABIC </w:instrText>
      </w:r>
      <w:r>
        <w:fldChar w:fldCharType="separate"/>
      </w:r>
      <w:r>
        <w:rPr>
          <w:noProof/>
        </w:rPr>
        <w:t>12</w:t>
      </w:r>
      <w:r>
        <w:rPr>
          <w:noProof/>
        </w:rPr>
        <w:fldChar w:fldCharType="end"/>
      </w:r>
      <w:r>
        <w:t xml:space="preserve"> </w:t>
      </w:r>
      <w:r w:rsidRPr="00315D81">
        <w:t>Modeled H</w:t>
      </w:r>
      <w:r w:rsidRPr="001B7CD7">
        <w:rPr>
          <w:vertAlign w:val="subscript"/>
        </w:rPr>
        <w:t>2</w:t>
      </w:r>
      <w:r w:rsidRPr="00315D81">
        <w:t>O</w:t>
      </w:r>
      <w:r w:rsidRPr="001B7CD7">
        <w:rPr>
          <w:vertAlign w:val="subscript"/>
        </w:rPr>
        <w:t>2</w:t>
      </w:r>
      <w:r w:rsidRPr="00315D81">
        <w:t xml:space="preserve"> production in TAPs buffer</w:t>
      </w:r>
      <w:bookmarkEnd w:id="102"/>
    </w:p>
    <w:p w14:paraId="4452D242" w14:textId="77777777" w:rsidR="00E67DB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measurements (connected purple symbols), sample explored model solutions (grey lines) and optimal model formulation (red line) from 3.75 mM TAPS buffer in batch growth media. Data from Morris </w:t>
      </w:r>
      <w:r w:rsidRPr="00183222">
        <w:rPr>
          <w:rFonts w:ascii="Times New Roman" w:hAnsi="Times New Roman" w:cs="Times New Roman"/>
          <w:i/>
          <w:iCs/>
          <w:sz w:val="24"/>
          <w:szCs w:val="24"/>
        </w:rPr>
        <w:t>et al</w:t>
      </w:r>
      <w:r w:rsidRPr="00276D32">
        <w:rPr>
          <w:rFonts w:ascii="Times New Roman" w:hAnsi="Times New Roman" w:cs="Times New Roman"/>
          <w:i/>
          <w:iCs/>
          <w:sz w:val="24"/>
          <w:szCs w:val="24"/>
        </w:rPr>
        <w:t xml:space="preserve">. </w:t>
      </w:r>
      <w:r w:rsidRPr="003609FB">
        <w:rPr>
          <w:rFonts w:ascii="Times New Roman" w:hAnsi="Times New Roman" w:cs="Times New Roman"/>
          <w:sz w:val="24"/>
          <w:szCs w:val="24"/>
        </w:rPr>
        <w:t>2011. This solution is visualized against several fitting methods to ensure reproducibility of analyses.</w:t>
      </w:r>
    </w:p>
    <w:p w14:paraId="37AEAC5B" w14:textId="77777777" w:rsidR="004A76CB" w:rsidRDefault="004A76CB" w:rsidP="004A76CB">
      <w:pPr>
        <w:spacing w:line="360" w:lineRule="auto"/>
        <w:rPr>
          <w:rFonts w:ascii="Times New Roman" w:hAnsi="Times New Roman" w:cs="Times New Roman"/>
          <w:sz w:val="24"/>
          <w:szCs w:val="24"/>
        </w:rPr>
      </w:pPr>
    </w:p>
    <w:p w14:paraId="20A1DE9F" w14:textId="77777777" w:rsidR="004A76CB" w:rsidRDefault="004A76CB" w:rsidP="004A76CB">
      <w:pPr>
        <w:spacing w:line="360" w:lineRule="auto"/>
        <w:rPr>
          <w:rFonts w:ascii="Times New Roman" w:hAnsi="Times New Roman" w:cs="Times New Roman"/>
          <w:sz w:val="24"/>
          <w:szCs w:val="24"/>
        </w:rPr>
      </w:pPr>
    </w:p>
    <w:p w14:paraId="25E0C925" w14:textId="77777777" w:rsidR="004A76CB" w:rsidRPr="003609FB" w:rsidRDefault="004A76CB" w:rsidP="004A76CB">
      <w:pPr>
        <w:spacing w:line="360" w:lineRule="auto"/>
        <w:rPr>
          <w:rFonts w:ascii="Times New Roman" w:hAnsi="Times New Roman" w:cs="Times New Roman"/>
          <w:sz w:val="24"/>
          <w:szCs w:val="24"/>
        </w:rPr>
      </w:pPr>
    </w:p>
    <w:p w14:paraId="5D9B9A1C" w14:textId="54283D1A" w:rsidR="004A316C" w:rsidRDefault="00E67DBB" w:rsidP="004A316C">
      <w:pPr>
        <w:pStyle w:val="Caption"/>
      </w:pPr>
      <w:r>
        <w:rPr>
          <w:rFonts w:ascii="Times New Roman" w:hAnsi="Times New Roman" w:cs="Times New Roman"/>
          <w:noProof/>
        </w:rPr>
        <w:lastRenderedPageBreak/>
        <w:drawing>
          <wp:inline distT="0" distB="0" distL="0" distR="0" wp14:anchorId="26BCE9A3" wp14:editId="385BC7DD">
            <wp:extent cx="5791200" cy="4729820"/>
            <wp:effectExtent l="0" t="0" r="0" b="0"/>
            <wp:docPr id="505051056" name="Picture 505051056" descr="A graph of a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56" name="Picture 505051056" descr="A graph of a curve&#10;&#10;Description automatically generated"/>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97217" cy="4734734"/>
                    </a:xfrm>
                    <a:prstGeom prst="rect">
                      <a:avLst/>
                    </a:prstGeom>
                  </pic:spPr>
                </pic:pic>
              </a:graphicData>
            </a:graphic>
          </wp:inline>
        </w:drawing>
      </w:r>
    </w:p>
    <w:p w14:paraId="104C4F4B" w14:textId="77777777" w:rsidR="00E67DBB" w:rsidRPr="003609FB" w:rsidRDefault="00E67DBB" w:rsidP="00E67DBB">
      <w:pPr>
        <w:pStyle w:val="Caption"/>
      </w:pPr>
      <w:bookmarkStart w:id="103" w:name="_Toc173250090"/>
      <w:r>
        <w:t xml:space="preserve">Figure A </w:t>
      </w:r>
      <w:r>
        <w:fldChar w:fldCharType="begin"/>
      </w:r>
      <w:r>
        <w:instrText xml:space="preserve"> SEQ A \* ARABIC </w:instrText>
      </w:r>
      <w:r>
        <w:fldChar w:fldCharType="separate"/>
      </w:r>
      <w:r>
        <w:rPr>
          <w:noProof/>
        </w:rPr>
        <w:t>13</w:t>
      </w:r>
      <w:r>
        <w:rPr>
          <w:noProof/>
        </w:rPr>
        <w:fldChar w:fldCharType="end"/>
      </w:r>
      <w:r>
        <w:t xml:space="preserve"> </w:t>
      </w:r>
      <w:r w:rsidRPr="007D12DD">
        <w:t>Modeled H</w:t>
      </w:r>
      <w:r w:rsidRPr="00CD5ED6">
        <w:rPr>
          <w:vertAlign w:val="subscript"/>
        </w:rPr>
        <w:t>2</w:t>
      </w:r>
      <w:r w:rsidRPr="007D12DD">
        <w:t>O</w:t>
      </w:r>
      <w:r w:rsidRPr="00CD5ED6">
        <w:rPr>
          <w:vertAlign w:val="subscript"/>
        </w:rPr>
        <w:t>2</w:t>
      </w:r>
      <w:r w:rsidRPr="007D12DD">
        <w:t xml:space="preserve"> production in HEPES buff</w:t>
      </w:r>
      <w:r>
        <w:t>er</w:t>
      </w:r>
      <w:bookmarkEnd w:id="103"/>
    </w:p>
    <w:p w14:paraId="5A8AB973" w14:textId="77777777" w:rsidR="00E67DBB" w:rsidRPr="003609FB" w:rsidRDefault="00E67DBB" w:rsidP="00E67DBB">
      <w:pPr>
        <w:spacing w:line="360" w:lineRule="auto"/>
        <w:rPr>
          <w:rFonts w:ascii="Times New Roman" w:hAnsi="Times New Roman" w:cs="Times New Roman"/>
          <w:sz w:val="24"/>
          <w:szCs w:val="24"/>
        </w:rPr>
      </w:pPr>
      <w:r w:rsidRPr="003609FB">
        <w:rPr>
          <w:rFonts w:ascii="Times New Roman" w:hAnsi="Times New Roman" w:cs="Times New Roman"/>
          <w:sz w:val="24"/>
          <w:szCs w:val="24"/>
        </w:rPr>
        <w:t>Visualization of direct HEPES to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conversion following Eq. 1. Both the analytical solution (green solid line) and model solutions via </w:t>
      </w:r>
      <w:proofErr w:type="spellStart"/>
      <w:r w:rsidRPr="003609FB">
        <w:rPr>
          <w:rFonts w:ascii="Times New Roman" w:hAnsi="Times New Roman" w:cs="Times New Roman"/>
          <w:sz w:val="24"/>
          <w:szCs w:val="24"/>
        </w:rPr>
        <w:t>ODEint</w:t>
      </w:r>
      <w:proofErr w:type="spellEnd"/>
      <w:r w:rsidRPr="003609FB">
        <w:rPr>
          <w:rFonts w:ascii="Times New Roman" w:hAnsi="Times New Roman" w:cs="Times New Roman"/>
          <w:sz w:val="24"/>
          <w:szCs w:val="24"/>
        </w:rPr>
        <w:t xml:space="preserve"> (cyan dotted line) or </w:t>
      </w:r>
      <w:proofErr w:type="spellStart"/>
      <w:r w:rsidRPr="003609FB">
        <w:rPr>
          <w:rFonts w:ascii="Times New Roman" w:hAnsi="Times New Roman" w:cs="Times New Roman"/>
          <w:sz w:val="24"/>
          <w:szCs w:val="24"/>
        </w:rPr>
        <w:t>ODElib</w:t>
      </w:r>
      <w:proofErr w:type="spellEnd"/>
      <w:r w:rsidRPr="003609FB">
        <w:rPr>
          <w:rFonts w:ascii="Times New Roman" w:hAnsi="Times New Roman" w:cs="Times New Roman"/>
          <w:sz w:val="24"/>
          <w:szCs w:val="24"/>
        </w:rPr>
        <w:t xml:space="preserve"> (Red solid) capture the measured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(purple symbols) dynamics of a 3.75mM HEPES buffer assay over 7 days. A singular rate of abiotic decay ( </w:t>
      </w: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oMath>
      <w:r w:rsidRPr="003609FB">
        <w:rPr>
          <w:rFonts w:ascii="Times New Roman" w:hAnsi="Times New Roman" w:cs="Times New Roman"/>
          <w:sz w:val="24"/>
          <w:szCs w:val="24"/>
        </w:rPr>
        <w:t xml:space="preserve">) is assumed here.  (Data from Morris </w:t>
      </w:r>
      <w:r w:rsidRPr="00183222">
        <w:rPr>
          <w:rFonts w:ascii="Times New Roman" w:hAnsi="Times New Roman" w:cs="Times New Roman"/>
          <w:i/>
          <w:iCs/>
          <w:sz w:val="24"/>
          <w:szCs w:val="24"/>
        </w:rPr>
        <w:t>et al</w:t>
      </w:r>
      <w:r w:rsidRPr="00276D32">
        <w:rPr>
          <w:rFonts w:ascii="Times New Roman" w:hAnsi="Times New Roman" w:cs="Times New Roman"/>
          <w:i/>
          <w:iCs/>
          <w:sz w:val="24"/>
          <w:szCs w:val="24"/>
        </w:rPr>
        <w:t xml:space="preserve">. </w:t>
      </w:r>
      <w:r w:rsidRPr="003609FB">
        <w:rPr>
          <w:rFonts w:ascii="Times New Roman" w:hAnsi="Times New Roman" w:cs="Times New Roman"/>
          <w:sz w:val="24"/>
          <w:szCs w:val="24"/>
        </w:rPr>
        <w:t>2011)</w:t>
      </w:r>
    </w:p>
    <w:p w14:paraId="6A79EDD7" w14:textId="77777777" w:rsidR="002A6959" w:rsidRPr="003609FB" w:rsidRDefault="002A6959" w:rsidP="00AB2160">
      <w:pPr>
        <w:spacing w:line="360" w:lineRule="auto"/>
        <w:rPr>
          <w:rFonts w:ascii="Times New Roman" w:hAnsi="Times New Roman" w:cs="Times New Roman"/>
          <w:sz w:val="24"/>
          <w:szCs w:val="24"/>
        </w:rPr>
      </w:pPr>
    </w:p>
    <w:p w14:paraId="246EE093" w14:textId="4482F26E" w:rsidR="00777AF2" w:rsidRDefault="00777AF2" w:rsidP="00511118">
      <w:pPr>
        <w:pStyle w:val="Caption"/>
      </w:pPr>
    </w:p>
    <w:p w14:paraId="36B04612" w14:textId="77777777" w:rsidR="00777AF2" w:rsidRDefault="00777AF2" w:rsidP="00511118">
      <w:pPr>
        <w:pStyle w:val="Caption"/>
      </w:pPr>
    </w:p>
    <w:p w14:paraId="0E223B74" w14:textId="77777777" w:rsidR="00777AF2" w:rsidRDefault="00777AF2" w:rsidP="00511118">
      <w:pPr>
        <w:pStyle w:val="Caption"/>
      </w:pPr>
    </w:p>
    <w:p w14:paraId="526B32DE" w14:textId="77777777" w:rsidR="00777AF2" w:rsidRDefault="00777AF2" w:rsidP="00511118">
      <w:pPr>
        <w:pStyle w:val="Caption"/>
      </w:pPr>
    </w:p>
    <w:p w14:paraId="2246F59A" w14:textId="77777777" w:rsidR="004A316C" w:rsidRPr="008B5D65" w:rsidRDefault="004A316C" w:rsidP="004A316C">
      <w:pPr>
        <w:pStyle w:val="Heading2"/>
        <w:spacing w:line="360" w:lineRule="auto"/>
      </w:pPr>
      <w:bookmarkStart w:id="104" w:name="_Toc173250064"/>
      <w:r w:rsidRPr="008B5D65">
        <w:lastRenderedPageBreak/>
        <w:t xml:space="preserve">Appendix </w:t>
      </w:r>
      <w:r>
        <w:t>B</w:t>
      </w:r>
      <w:r w:rsidRPr="008B5D65">
        <w:t xml:space="preserve"> </w:t>
      </w:r>
      <w:r>
        <w:t>s</w:t>
      </w:r>
      <w:r w:rsidRPr="008B5D65">
        <w:t xml:space="preserve">upplementary </w:t>
      </w:r>
      <w:r>
        <w:t>i</w:t>
      </w:r>
      <w:r w:rsidRPr="008B5D65">
        <w:t>nformation:  Chapter 3</w:t>
      </w:r>
      <w:bookmarkEnd w:id="104"/>
    </w:p>
    <w:p w14:paraId="1748C74D" w14:textId="77777777" w:rsidR="004A316C" w:rsidRPr="003609FB" w:rsidRDefault="004A316C" w:rsidP="004A316C">
      <w:pPr>
        <w:spacing w:line="360" w:lineRule="auto"/>
        <w:rPr>
          <w:rFonts w:ascii="Times New Roman" w:hAnsi="Times New Roman" w:cs="Times New Roman"/>
          <w:sz w:val="24"/>
          <w:szCs w:val="24"/>
        </w:rPr>
      </w:pPr>
    </w:p>
    <w:p w14:paraId="5E128AD8" w14:textId="77777777" w:rsidR="004A316C" w:rsidRPr="00777AF2" w:rsidRDefault="004A316C" w:rsidP="004A316C">
      <w:pPr>
        <w:pStyle w:val="Heading3"/>
        <w:spacing w:line="360" w:lineRule="auto"/>
      </w:pPr>
      <w:bookmarkStart w:id="105" w:name="_Toc173250065"/>
      <w:r w:rsidRPr="003609FB">
        <w:t xml:space="preserve">B1   Monoculture </w:t>
      </w:r>
      <w:r>
        <w:t>p</w:t>
      </w:r>
      <w:r w:rsidRPr="003609FB">
        <w:t>arameter fittings</w:t>
      </w:r>
      <w:bookmarkEnd w:id="105"/>
    </w:p>
    <w:p w14:paraId="08657151" w14:textId="77777777" w:rsidR="004A316C"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Monoculture curves fittings for picoeukaryotes mentioned in Figure 3.2 of the main text. </w:t>
      </w:r>
      <w:r w:rsidRPr="00691B65">
        <w:rPr>
          <w:rFonts w:ascii="Times New Roman" w:hAnsi="Times New Roman" w:cs="Times New Roman"/>
          <w:i/>
          <w:iCs/>
          <w:sz w:val="24"/>
          <w:szCs w:val="24"/>
        </w:rPr>
        <w:t>Prochlorococcus</w:t>
      </w:r>
      <w:r w:rsidRPr="003609FB">
        <w:rPr>
          <w:rFonts w:ascii="Times New Roman" w:hAnsi="Times New Roman" w:cs="Times New Roman"/>
          <w:sz w:val="24"/>
          <w:szCs w:val="24"/>
        </w:rPr>
        <w:t xml:space="preserve"> and </w:t>
      </w:r>
      <w:proofErr w:type="spellStart"/>
      <w:r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spp. and </w:t>
      </w:r>
      <w:proofErr w:type="spellStart"/>
      <w:r w:rsidRPr="00E71002">
        <w:rPr>
          <w:rFonts w:ascii="Times New Roman" w:hAnsi="Times New Roman" w:cs="Times New Roman"/>
          <w:i/>
          <w:iCs/>
          <w:sz w:val="24"/>
          <w:szCs w:val="24"/>
        </w:rPr>
        <w:t>Alteromonas</w:t>
      </w:r>
      <w:proofErr w:type="spellEnd"/>
      <w:r w:rsidRPr="00E71002">
        <w:rPr>
          <w:rFonts w:ascii="Times New Roman" w:hAnsi="Times New Roman" w:cs="Times New Roman"/>
          <w:i/>
          <w:iCs/>
          <w:sz w:val="24"/>
          <w:szCs w:val="24"/>
        </w:rPr>
        <w:t xml:space="preserve"> </w:t>
      </w:r>
      <w:proofErr w:type="spellStart"/>
      <w:r w:rsidRPr="00E71002">
        <w:rPr>
          <w:rFonts w:ascii="Times New Roman" w:hAnsi="Times New Roman" w:cs="Times New Roman"/>
          <w:i/>
          <w:iCs/>
          <w:sz w:val="24"/>
          <w:szCs w:val="24"/>
        </w:rPr>
        <w:t>macleodii</w:t>
      </w:r>
      <w:proofErr w:type="spellEnd"/>
      <w:r w:rsidRPr="003609FB">
        <w:rPr>
          <w:rFonts w:ascii="Times New Roman" w:hAnsi="Times New Roman" w:cs="Times New Roman"/>
          <w:sz w:val="24"/>
          <w:szCs w:val="24"/>
        </w:rPr>
        <w:t xml:space="preserve"> monoculture parameter analyses were shown in the main text or supplementary information </w:t>
      </w:r>
      <w:r>
        <w:rPr>
          <w:rFonts w:ascii="Times New Roman" w:hAnsi="Times New Roman" w:cs="Times New Roman"/>
          <w:sz w:val="24"/>
          <w:szCs w:val="24"/>
        </w:rPr>
        <w:t xml:space="preserve">(Appendix A) </w:t>
      </w:r>
      <w:r w:rsidRPr="003609FB">
        <w:rPr>
          <w:rFonts w:ascii="Times New Roman" w:hAnsi="Times New Roman" w:cs="Times New Roman"/>
          <w:sz w:val="24"/>
          <w:szCs w:val="24"/>
        </w:rPr>
        <w:t xml:space="preserve">for Chapter 2. </w:t>
      </w:r>
    </w:p>
    <w:p w14:paraId="66AAAC11" w14:textId="3C97F340" w:rsidR="008B5D65" w:rsidRDefault="008B5D65" w:rsidP="00AB2160">
      <w:pPr>
        <w:spacing w:line="360" w:lineRule="auto"/>
        <w:rPr>
          <w:rFonts w:ascii="Times New Roman" w:hAnsi="Times New Roman" w:cs="Times New Roman"/>
          <w:sz w:val="24"/>
          <w:szCs w:val="24"/>
        </w:rPr>
      </w:pPr>
    </w:p>
    <w:p w14:paraId="2C5BA762" w14:textId="533118DE" w:rsidR="008B5D65" w:rsidRDefault="008B5D65" w:rsidP="00AB2160">
      <w:pPr>
        <w:spacing w:line="360" w:lineRule="auto"/>
        <w:rPr>
          <w:rFonts w:ascii="Times New Roman" w:hAnsi="Times New Roman" w:cs="Times New Roman"/>
          <w:sz w:val="24"/>
          <w:szCs w:val="24"/>
        </w:rPr>
      </w:pPr>
    </w:p>
    <w:p w14:paraId="4983003D" w14:textId="77777777" w:rsidR="004A76CB" w:rsidRDefault="004A76CB" w:rsidP="00AB2160">
      <w:pPr>
        <w:spacing w:line="360" w:lineRule="auto"/>
        <w:rPr>
          <w:rFonts w:ascii="Times New Roman" w:hAnsi="Times New Roman" w:cs="Times New Roman"/>
          <w:sz w:val="24"/>
          <w:szCs w:val="24"/>
        </w:rPr>
      </w:pPr>
    </w:p>
    <w:p w14:paraId="2DC6F0D7" w14:textId="77777777" w:rsidR="004A76CB" w:rsidRDefault="004A76CB" w:rsidP="004A76CB">
      <w:pPr>
        <w:pStyle w:val="Caption"/>
      </w:pPr>
    </w:p>
    <w:p w14:paraId="1D93D451" w14:textId="78C4B7AA" w:rsidR="008B5D65" w:rsidRDefault="008B5D65" w:rsidP="00AB2160">
      <w:pPr>
        <w:spacing w:line="360" w:lineRule="auto"/>
        <w:rPr>
          <w:rFonts w:ascii="Times New Roman" w:hAnsi="Times New Roman" w:cs="Times New Roman"/>
          <w:sz w:val="24"/>
          <w:szCs w:val="24"/>
        </w:rPr>
      </w:pPr>
    </w:p>
    <w:p w14:paraId="25A18BC7" w14:textId="77777777" w:rsidR="004A76CB" w:rsidRDefault="004A76CB" w:rsidP="00AB2160">
      <w:pPr>
        <w:spacing w:line="360" w:lineRule="auto"/>
        <w:rPr>
          <w:rFonts w:ascii="Times New Roman" w:hAnsi="Times New Roman" w:cs="Times New Roman"/>
          <w:sz w:val="24"/>
          <w:szCs w:val="24"/>
        </w:rPr>
      </w:pPr>
    </w:p>
    <w:p w14:paraId="4E6B0441" w14:textId="77777777" w:rsidR="004A76CB" w:rsidRDefault="004A76CB" w:rsidP="00AB2160">
      <w:pPr>
        <w:spacing w:line="360" w:lineRule="auto"/>
        <w:rPr>
          <w:rFonts w:ascii="Times New Roman" w:hAnsi="Times New Roman" w:cs="Times New Roman"/>
          <w:sz w:val="24"/>
          <w:szCs w:val="24"/>
        </w:rPr>
      </w:pPr>
    </w:p>
    <w:p w14:paraId="5DCB2665" w14:textId="77777777" w:rsidR="004A76CB" w:rsidRDefault="004A76CB" w:rsidP="00AB2160">
      <w:pPr>
        <w:spacing w:line="360" w:lineRule="auto"/>
        <w:rPr>
          <w:rFonts w:ascii="Times New Roman" w:hAnsi="Times New Roman" w:cs="Times New Roman"/>
          <w:sz w:val="24"/>
          <w:szCs w:val="24"/>
        </w:rPr>
      </w:pPr>
    </w:p>
    <w:p w14:paraId="192AE813" w14:textId="77777777" w:rsidR="004A76CB" w:rsidRDefault="004A76CB" w:rsidP="00AB2160">
      <w:pPr>
        <w:spacing w:line="360" w:lineRule="auto"/>
        <w:rPr>
          <w:rFonts w:ascii="Times New Roman" w:hAnsi="Times New Roman" w:cs="Times New Roman"/>
          <w:sz w:val="24"/>
          <w:szCs w:val="24"/>
        </w:rPr>
      </w:pPr>
    </w:p>
    <w:p w14:paraId="49FC76D2" w14:textId="77777777" w:rsidR="004A76CB" w:rsidRDefault="004A76CB" w:rsidP="00AB2160">
      <w:pPr>
        <w:spacing w:line="360" w:lineRule="auto"/>
        <w:rPr>
          <w:rFonts w:ascii="Times New Roman" w:hAnsi="Times New Roman" w:cs="Times New Roman"/>
          <w:sz w:val="24"/>
          <w:szCs w:val="24"/>
        </w:rPr>
      </w:pPr>
    </w:p>
    <w:p w14:paraId="10E2485B" w14:textId="77777777" w:rsidR="004A76CB" w:rsidRDefault="004A76CB" w:rsidP="00AB2160">
      <w:pPr>
        <w:spacing w:line="360" w:lineRule="auto"/>
        <w:rPr>
          <w:rFonts w:ascii="Times New Roman" w:hAnsi="Times New Roman" w:cs="Times New Roman"/>
          <w:sz w:val="24"/>
          <w:szCs w:val="24"/>
        </w:rPr>
      </w:pPr>
    </w:p>
    <w:p w14:paraId="6651938B" w14:textId="77777777" w:rsidR="004A76CB" w:rsidRDefault="004A76CB" w:rsidP="00AB2160">
      <w:pPr>
        <w:spacing w:line="360" w:lineRule="auto"/>
        <w:rPr>
          <w:rFonts w:ascii="Times New Roman" w:hAnsi="Times New Roman" w:cs="Times New Roman"/>
          <w:sz w:val="24"/>
          <w:szCs w:val="24"/>
        </w:rPr>
      </w:pPr>
    </w:p>
    <w:p w14:paraId="33588EEE" w14:textId="77777777" w:rsidR="004A76CB" w:rsidRDefault="004A76CB" w:rsidP="00AB2160">
      <w:pPr>
        <w:spacing w:line="360" w:lineRule="auto"/>
        <w:rPr>
          <w:rFonts w:ascii="Times New Roman" w:hAnsi="Times New Roman" w:cs="Times New Roman"/>
          <w:sz w:val="24"/>
          <w:szCs w:val="24"/>
        </w:rPr>
      </w:pPr>
    </w:p>
    <w:p w14:paraId="435EBF28" w14:textId="77777777" w:rsidR="000C1CC1" w:rsidRDefault="000C1CC1" w:rsidP="00AB2160">
      <w:pPr>
        <w:spacing w:line="360" w:lineRule="auto"/>
        <w:rPr>
          <w:rFonts w:ascii="Times New Roman" w:hAnsi="Times New Roman" w:cs="Times New Roman"/>
          <w:sz w:val="24"/>
          <w:szCs w:val="24"/>
        </w:rPr>
      </w:pPr>
    </w:p>
    <w:p w14:paraId="65CCD295" w14:textId="627A3A33" w:rsidR="00BF0F96" w:rsidRDefault="00DE3F08" w:rsidP="00AB2160">
      <w:pPr>
        <w:spacing w:line="360" w:lineRule="auto"/>
        <w:rPr>
          <w:rFonts w:ascii="Times New Roman" w:hAnsi="Times New Roman" w:cs="Times New Roman"/>
          <w:sz w:val="24"/>
          <w:szCs w:val="24"/>
        </w:rPr>
      </w:pPr>
      <w:r w:rsidRPr="00DE3F08">
        <w:rPr>
          <w:rFonts w:ascii="Times New Roman" w:hAnsi="Times New Roman" w:cs="Times New Roman"/>
          <w:noProof/>
          <w:sz w:val="24"/>
          <w:szCs w:val="24"/>
        </w:rPr>
        <w:lastRenderedPageBreak/>
        <w:drawing>
          <wp:inline distT="0" distB="0" distL="0" distR="0" wp14:anchorId="0617A619" wp14:editId="4B97EE9F">
            <wp:extent cx="5466522" cy="3673697"/>
            <wp:effectExtent l="0" t="0" r="0" b="0"/>
            <wp:docPr id="505051020" name="Picture 505051020" descr="A graph of different siz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20" name="Picture 505051020" descr="A graph of different sizes and shapes&#10;&#10;Description automatically generated with medium confidence"/>
                    <pic:cNvPicPr/>
                  </pic:nvPicPr>
                  <pic:blipFill rotWithShape="1">
                    <a:blip r:embed="rId81"/>
                    <a:srcRect l="6188" t="10786" r="8194" b="2906"/>
                    <a:stretch/>
                  </pic:blipFill>
                  <pic:spPr bwMode="auto">
                    <a:xfrm>
                      <a:off x="0" y="0"/>
                      <a:ext cx="5470263" cy="3676211"/>
                    </a:xfrm>
                    <a:prstGeom prst="rect">
                      <a:avLst/>
                    </a:prstGeom>
                    <a:ln>
                      <a:noFill/>
                    </a:ln>
                    <a:extLst>
                      <a:ext uri="{53640926-AAD7-44D8-BBD7-CCE9431645EC}">
                        <a14:shadowObscured xmlns:a14="http://schemas.microsoft.com/office/drawing/2010/main"/>
                      </a:ext>
                    </a:extLst>
                  </pic:spPr>
                </pic:pic>
              </a:graphicData>
            </a:graphic>
          </wp:inline>
        </w:drawing>
      </w:r>
    </w:p>
    <w:p w14:paraId="18141403" w14:textId="77777777" w:rsidR="004A316C" w:rsidRDefault="004A316C" w:rsidP="004A316C">
      <w:pPr>
        <w:pStyle w:val="Caption"/>
      </w:pPr>
      <w:bookmarkStart w:id="106" w:name="_Toc173250091"/>
      <w:r>
        <w:t xml:space="preserve">Figure B </w:t>
      </w:r>
      <w:r>
        <w:fldChar w:fldCharType="begin"/>
      </w:r>
      <w:r>
        <w:instrText xml:space="preserve"> SEQ A \* ARABIC </w:instrText>
      </w:r>
      <w:r>
        <w:fldChar w:fldCharType="separate"/>
      </w:r>
      <w:r>
        <w:rPr>
          <w:noProof/>
        </w:rPr>
        <w:t>1</w:t>
      </w:r>
      <w:r>
        <w:rPr>
          <w:noProof/>
        </w:rPr>
        <w:fldChar w:fldCharType="end"/>
      </w:r>
      <w:r>
        <w:t xml:space="preserve"> </w:t>
      </w:r>
      <w:r w:rsidRPr="00161B97">
        <w:t xml:space="preserve">Monoculture </w:t>
      </w:r>
      <w:proofErr w:type="spellStart"/>
      <w:r w:rsidRPr="00CD5ED6">
        <w:rPr>
          <w:i/>
          <w:iCs/>
        </w:rPr>
        <w:t>Micromonas</w:t>
      </w:r>
      <w:proofErr w:type="spellEnd"/>
      <w:r w:rsidRPr="00CD5ED6">
        <w:rPr>
          <w:i/>
          <w:iCs/>
        </w:rPr>
        <w:t xml:space="preserve"> </w:t>
      </w:r>
      <w:proofErr w:type="spellStart"/>
      <w:r w:rsidRPr="00CD5ED6">
        <w:rPr>
          <w:i/>
          <w:iCs/>
        </w:rPr>
        <w:t>commoda</w:t>
      </w:r>
      <w:proofErr w:type="spellEnd"/>
      <w:r w:rsidRPr="00CD5ED6">
        <w:rPr>
          <w:i/>
          <w:iCs/>
        </w:rPr>
        <w:t xml:space="preserve"> </w:t>
      </w:r>
      <w:r w:rsidRPr="00161B97">
        <w:t xml:space="preserve">in </w:t>
      </w:r>
      <w:r>
        <w:t xml:space="preserve">growth media with 0 additional </w:t>
      </w:r>
      <w:r w:rsidRPr="003609FB">
        <w:t>H</w:t>
      </w:r>
      <w:r w:rsidRPr="00351FC4">
        <w:rPr>
          <w:vertAlign w:val="subscript"/>
        </w:rPr>
        <w:t>2</w:t>
      </w:r>
      <w:r w:rsidRPr="003609FB">
        <w:t>O</w:t>
      </w:r>
      <w:r w:rsidRPr="00351FC4">
        <w:rPr>
          <w:vertAlign w:val="subscript"/>
        </w:rPr>
        <w:t>2</w:t>
      </w:r>
      <w:bookmarkEnd w:id="106"/>
    </w:p>
    <w:p w14:paraId="555076A1" w14:textId="77777777" w:rsidR="004A316C" w:rsidRPr="003609FB" w:rsidRDefault="004A316C" w:rsidP="004A316C">
      <w:pPr>
        <w:spacing w:line="360" w:lineRule="auto"/>
        <w:rPr>
          <w:rFonts w:ascii="Times New Roman" w:hAnsi="Times New Roman" w:cs="Times New Roman"/>
          <w:sz w:val="24"/>
          <w:szCs w:val="24"/>
        </w:rPr>
      </w:pPr>
      <w:r>
        <w:rPr>
          <w:rFonts w:ascii="Times New Roman" w:hAnsi="Times New Roman" w:cs="Times New Roman"/>
          <w:sz w:val="24"/>
          <w:szCs w:val="24"/>
        </w:rPr>
        <w:t>Monoculture</w:t>
      </w:r>
      <w:r w:rsidRPr="003609FB">
        <w:rPr>
          <w:rFonts w:ascii="Times New Roman" w:hAnsi="Times New Roman" w:cs="Times New Roman"/>
          <w:sz w:val="24"/>
          <w:szCs w:val="24"/>
        </w:rPr>
        <w:t xml:space="preserve"> laboratory</w:t>
      </w:r>
      <w:r>
        <w:rPr>
          <w:rFonts w:ascii="Times New Roman" w:hAnsi="Times New Roman" w:cs="Times New Roman"/>
          <w:sz w:val="24"/>
          <w:szCs w:val="24"/>
        </w:rPr>
        <w:t xml:space="preserve"> </w:t>
      </w:r>
      <w:r w:rsidRPr="003609FB">
        <w:rPr>
          <w:rFonts w:ascii="Times New Roman" w:hAnsi="Times New Roman" w:cs="Times New Roman"/>
          <w:sz w:val="24"/>
          <w:szCs w:val="24"/>
        </w:rPr>
        <w:t>dynamics of the detoxifier (D)</w:t>
      </w:r>
      <w:r>
        <w:rPr>
          <w:rFonts w:ascii="Times New Roman" w:hAnsi="Times New Roman" w:cs="Times New Roman"/>
          <w:sz w:val="24"/>
          <w:szCs w:val="24"/>
        </w:rPr>
        <w:t xml:space="preserve"> </w:t>
      </w:r>
      <w:proofErr w:type="spellStart"/>
      <w:r w:rsidRPr="00CD5ED6">
        <w:rPr>
          <w:rFonts w:ascii="Times New Roman" w:hAnsi="Times New Roman" w:cs="Times New Roman"/>
          <w:i/>
          <w:iCs/>
          <w:sz w:val="24"/>
          <w:szCs w:val="24"/>
        </w:rPr>
        <w:t>Micromonas</w:t>
      </w:r>
      <w:proofErr w:type="spellEnd"/>
      <w:r w:rsidRPr="00CD5ED6">
        <w:rPr>
          <w:rFonts w:ascii="Times New Roman" w:hAnsi="Times New Roman" w:cs="Times New Roman"/>
          <w:i/>
          <w:iCs/>
          <w:sz w:val="24"/>
          <w:szCs w:val="24"/>
        </w:rPr>
        <w:t xml:space="preserve"> </w:t>
      </w:r>
      <w:proofErr w:type="spellStart"/>
      <w:proofErr w:type="gramStart"/>
      <w:r w:rsidRPr="00CD5ED6">
        <w:rPr>
          <w:rFonts w:ascii="Times New Roman" w:hAnsi="Times New Roman" w:cs="Times New Roman"/>
          <w:i/>
          <w:iCs/>
          <w:sz w:val="24"/>
          <w:szCs w:val="24"/>
        </w:rPr>
        <w:t>commoda</w:t>
      </w:r>
      <w:proofErr w:type="spellEnd"/>
      <w:r w:rsidRPr="003609FB">
        <w:rPr>
          <w:rFonts w:ascii="Times New Roman" w:hAnsi="Times New Roman" w:cs="Times New Roman"/>
          <w:sz w:val="24"/>
          <w:szCs w:val="24"/>
        </w:rPr>
        <w:t xml:space="preserve">  (</w:t>
      </w:r>
      <w:proofErr w:type="gramEnd"/>
      <w:r w:rsidRPr="003609FB">
        <w:rPr>
          <w:rFonts w:ascii="Times New Roman" w:hAnsi="Times New Roman" w:cs="Times New Roman"/>
          <w:sz w:val="24"/>
          <w:szCs w:val="24"/>
        </w:rPr>
        <w:t>pink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(D</w:t>
      </w:r>
      <w:r w:rsidRPr="007207BA">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0C28E634" w14:textId="77777777" w:rsidR="004A316C" w:rsidRPr="003609FB" w:rsidRDefault="004A316C"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5"/>
      </w:tblGrid>
      <w:tr w:rsidR="00C274E7" w:rsidRPr="003609FB" w14:paraId="4B028DED" w14:textId="77777777" w:rsidTr="009F64F4">
        <w:tc>
          <w:tcPr>
            <w:tcW w:w="9355" w:type="dxa"/>
          </w:tcPr>
          <w:p w14:paraId="5B223971" w14:textId="2BFE7854" w:rsidR="00C274E7" w:rsidRPr="003609FB" w:rsidRDefault="00F318DA" w:rsidP="00AB2160">
            <w:pPr>
              <w:keepNext/>
              <w:spacing w:line="360" w:lineRule="auto"/>
              <w:rPr>
                <w:rFonts w:ascii="Times New Roman" w:hAnsi="Times New Roman" w:cs="Times New Roman"/>
                <w:sz w:val="24"/>
                <w:szCs w:val="24"/>
              </w:rPr>
            </w:pPr>
            <w:r w:rsidRPr="00F318DA">
              <w:rPr>
                <w:rFonts w:ascii="Times New Roman" w:hAnsi="Times New Roman" w:cs="Times New Roman"/>
                <w:noProof/>
                <w:sz w:val="24"/>
                <w:szCs w:val="24"/>
              </w:rPr>
              <w:lastRenderedPageBreak/>
              <w:drawing>
                <wp:inline distT="0" distB="0" distL="0" distR="0" wp14:anchorId="5C5AE74F" wp14:editId="7AD15674">
                  <wp:extent cx="5727725" cy="3776870"/>
                  <wp:effectExtent l="0" t="0" r="0" b="0"/>
                  <wp:docPr id="2059388863" name="Picture 205938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4455" t="10020" r="9056" b="4438"/>
                          <a:stretch/>
                        </pic:blipFill>
                        <pic:spPr bwMode="auto">
                          <a:xfrm>
                            <a:off x="0" y="0"/>
                            <a:ext cx="5733753" cy="3780845"/>
                          </a:xfrm>
                          <a:prstGeom prst="rect">
                            <a:avLst/>
                          </a:prstGeom>
                          <a:ln>
                            <a:noFill/>
                          </a:ln>
                          <a:extLst>
                            <a:ext uri="{53640926-AAD7-44D8-BBD7-CCE9431645EC}">
                              <a14:shadowObscured xmlns:a14="http://schemas.microsoft.com/office/drawing/2010/main"/>
                            </a:ext>
                          </a:extLst>
                        </pic:spPr>
                      </pic:pic>
                    </a:graphicData>
                  </a:graphic>
                </wp:inline>
              </w:drawing>
            </w:r>
          </w:p>
        </w:tc>
      </w:tr>
    </w:tbl>
    <w:p w14:paraId="32D229F2" w14:textId="15415BAC" w:rsidR="00777AF2" w:rsidRDefault="004A316C" w:rsidP="00511118">
      <w:pPr>
        <w:pStyle w:val="Caption"/>
      </w:pPr>
      <w:r w:rsidRPr="004A316C">
        <w:t xml:space="preserve">Figure B 2 Monoculture (Detoxer57) </w:t>
      </w:r>
      <w:proofErr w:type="spellStart"/>
      <w:r w:rsidRPr="004A316C">
        <w:t>Micromonas</w:t>
      </w:r>
      <w:proofErr w:type="spellEnd"/>
      <w:r w:rsidRPr="004A316C">
        <w:t xml:space="preserve"> </w:t>
      </w:r>
      <w:proofErr w:type="spellStart"/>
      <w:r w:rsidRPr="004A316C">
        <w:t>commoda</w:t>
      </w:r>
      <w:proofErr w:type="spellEnd"/>
      <w:r w:rsidRPr="004A316C">
        <w:t xml:space="preserve"> in 400nm H2O2 spike Coupled laboratory batch culture dynamics of the detoxifier (D</w:t>
      </w:r>
      <w:proofErr w:type="gramStart"/>
      <w:r w:rsidRPr="004A316C">
        <w:t xml:space="preserve">)  </w:t>
      </w:r>
      <w:proofErr w:type="spellStart"/>
      <w:r w:rsidRPr="004A316C">
        <w:t>Micromonas</w:t>
      </w:r>
      <w:proofErr w:type="spellEnd"/>
      <w:proofErr w:type="gramEnd"/>
      <w:r w:rsidRPr="004A316C">
        <w:t xml:space="preserve"> </w:t>
      </w:r>
      <w:proofErr w:type="spellStart"/>
      <w:r w:rsidRPr="004A316C">
        <w:t>commoda</w:t>
      </w:r>
      <w:proofErr w:type="spellEnd"/>
      <w:r w:rsidRPr="004A316C">
        <w:t xml:space="preserve">  (pink line) (a) and H2O2 (maroon line) (d) data alongside searched parameter combinations (grey) in batch culture containing 400nM H2O2.  To the right of each dynamics plot we show the initial cell concentration (D0) and H2O2 specific death rate (</w:t>
      </w:r>
      <w:proofErr w:type="spellStart"/>
      <w:proofErr w:type="gramStart"/>
      <w:r w:rsidRPr="004A316C">
        <w:t>kdam,i</w:t>
      </w:r>
      <w:proofErr w:type="spellEnd"/>
      <w:proofErr w:type="gramEnd"/>
      <w:r w:rsidRPr="004A316C">
        <w:t>) (</w:t>
      </w:r>
      <w:proofErr w:type="spellStart"/>
      <w:r w:rsidRPr="004A316C">
        <w:t>b,c</w:t>
      </w:r>
      <w:proofErr w:type="spellEnd"/>
      <w:r w:rsidRPr="004A316C">
        <w:t>) and initial hydrogen peroxide concentration (H0) and cell-specific detoxification rate (</w:t>
      </w:r>
      <w:r w:rsidRPr="004A316C">
        <w:rPr>
          <w:rFonts w:ascii="Cambria Math" w:hAnsi="Cambria Math" w:cs="Cambria Math"/>
        </w:rPr>
        <w:t>𝜙𝑚𝑎𝑥</w:t>
      </w:r>
      <w:r w:rsidRPr="004A316C">
        <w:t>,</w:t>
      </w:r>
      <w:r w:rsidRPr="004A316C">
        <w:rPr>
          <w:rFonts w:ascii="Cambria Math" w:hAnsi="Cambria Math" w:cs="Cambria Math"/>
        </w:rPr>
        <w:t>𝑖</w:t>
      </w:r>
      <w:r w:rsidRPr="004A316C">
        <w:t>) (</w:t>
      </w:r>
      <w:proofErr w:type="spellStart"/>
      <w:r w:rsidRPr="004A316C">
        <w:t>e,f</w:t>
      </w:r>
      <w:proofErr w:type="spellEnd"/>
      <w:r w:rsidRPr="004A316C">
        <w:t>).</w:t>
      </w:r>
    </w:p>
    <w:p w14:paraId="6A93EEEF" w14:textId="77777777" w:rsidR="00777AF2" w:rsidRDefault="00777AF2" w:rsidP="00511118">
      <w:pPr>
        <w:pStyle w:val="Caption"/>
      </w:pPr>
    </w:p>
    <w:p w14:paraId="2D2AFD13" w14:textId="77777777" w:rsidR="00777AF2" w:rsidRDefault="00777AF2" w:rsidP="00511118">
      <w:pPr>
        <w:pStyle w:val="Caption"/>
      </w:pPr>
    </w:p>
    <w:p w14:paraId="3B31756E" w14:textId="77777777" w:rsidR="00777AF2" w:rsidRDefault="00777AF2" w:rsidP="00511118">
      <w:pPr>
        <w:pStyle w:val="Caption"/>
      </w:pPr>
    </w:p>
    <w:p w14:paraId="14740D01" w14:textId="77777777" w:rsidR="00777AF2" w:rsidRDefault="00777AF2" w:rsidP="00511118">
      <w:pPr>
        <w:pStyle w:val="Caption"/>
      </w:pPr>
    </w:p>
    <w:p w14:paraId="4A402BB0" w14:textId="77777777" w:rsidR="00777AF2" w:rsidRDefault="00777AF2" w:rsidP="00511118">
      <w:pPr>
        <w:pStyle w:val="Caption"/>
      </w:pPr>
    </w:p>
    <w:p w14:paraId="0A3530A9" w14:textId="77777777" w:rsidR="00777AF2" w:rsidRDefault="00777AF2" w:rsidP="00511118">
      <w:pPr>
        <w:pStyle w:val="Caption"/>
      </w:pPr>
    </w:p>
    <w:p w14:paraId="081CF098" w14:textId="5A6CE463" w:rsidR="00F35E3A" w:rsidRPr="003609FB" w:rsidRDefault="00F35E3A"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2"/>
      </w:tblGrid>
      <w:tr w:rsidR="00F054D3" w:rsidRPr="003609FB" w14:paraId="1AF182EB" w14:textId="77777777" w:rsidTr="00EC733D">
        <w:trPr>
          <w:trHeight w:val="100"/>
        </w:trPr>
        <w:tc>
          <w:tcPr>
            <w:tcW w:w="9422" w:type="dxa"/>
          </w:tcPr>
          <w:p w14:paraId="1AC88DB8" w14:textId="4B20ADE3" w:rsidR="00F054D3" w:rsidRPr="003609FB" w:rsidRDefault="00F054D3" w:rsidP="00AB2160">
            <w:pPr>
              <w:spacing w:line="360" w:lineRule="auto"/>
              <w:rPr>
                <w:rFonts w:ascii="Times New Roman" w:hAnsi="Times New Roman" w:cs="Times New Roman"/>
                <w:sz w:val="24"/>
                <w:szCs w:val="24"/>
              </w:rPr>
            </w:pPr>
          </w:p>
        </w:tc>
      </w:tr>
      <w:tr w:rsidR="00F054D3" w:rsidRPr="003609FB" w14:paraId="0DD2E903" w14:textId="77777777" w:rsidTr="00EC733D">
        <w:trPr>
          <w:trHeight w:val="1920"/>
        </w:trPr>
        <w:tc>
          <w:tcPr>
            <w:tcW w:w="9422" w:type="dxa"/>
          </w:tcPr>
          <w:p w14:paraId="3E383841" w14:textId="25E6881A" w:rsidR="00F054D3" w:rsidRPr="003609FB" w:rsidRDefault="007207BA" w:rsidP="00AB2160">
            <w:pPr>
              <w:spacing w:line="360" w:lineRule="auto"/>
              <w:rPr>
                <w:rFonts w:ascii="Times New Roman" w:hAnsi="Times New Roman" w:cs="Times New Roman"/>
                <w:sz w:val="24"/>
                <w:szCs w:val="24"/>
              </w:rPr>
            </w:pPr>
            <w:r w:rsidRPr="007207BA">
              <w:rPr>
                <w:rFonts w:ascii="Times New Roman" w:hAnsi="Times New Roman" w:cs="Times New Roman"/>
                <w:noProof/>
                <w:sz w:val="24"/>
                <w:szCs w:val="24"/>
              </w:rPr>
              <w:drawing>
                <wp:inline distT="0" distB="0" distL="0" distR="0" wp14:anchorId="180017C7" wp14:editId="569CE7F6">
                  <wp:extent cx="5845810" cy="3896995"/>
                  <wp:effectExtent l="0" t="0" r="0" b="1905"/>
                  <wp:docPr id="505051015" name="Picture 50505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845810" cy="3896995"/>
                          </a:xfrm>
                          <a:prstGeom prst="rect">
                            <a:avLst/>
                          </a:prstGeom>
                        </pic:spPr>
                      </pic:pic>
                    </a:graphicData>
                  </a:graphic>
                </wp:inline>
              </w:drawing>
            </w:r>
          </w:p>
        </w:tc>
      </w:tr>
      <w:tr w:rsidR="00F054D3" w:rsidRPr="003609FB" w14:paraId="54259FF6" w14:textId="77777777" w:rsidTr="00EC733D">
        <w:trPr>
          <w:trHeight w:val="267"/>
        </w:trPr>
        <w:tc>
          <w:tcPr>
            <w:tcW w:w="9422" w:type="dxa"/>
          </w:tcPr>
          <w:p w14:paraId="2670E59E" w14:textId="636EF22A" w:rsidR="00F054D3" w:rsidRPr="003609FB" w:rsidRDefault="00F054D3" w:rsidP="00AB2160">
            <w:pPr>
              <w:keepNext/>
              <w:spacing w:line="360" w:lineRule="auto"/>
              <w:rPr>
                <w:rFonts w:ascii="Times New Roman" w:hAnsi="Times New Roman" w:cs="Times New Roman"/>
                <w:sz w:val="24"/>
                <w:szCs w:val="24"/>
              </w:rPr>
            </w:pPr>
          </w:p>
        </w:tc>
      </w:tr>
    </w:tbl>
    <w:p w14:paraId="46BAB318" w14:textId="77777777" w:rsidR="004A316C" w:rsidRDefault="004A316C" w:rsidP="004A316C">
      <w:pPr>
        <w:pStyle w:val="Caption"/>
      </w:pPr>
      <w:r>
        <w:t xml:space="preserve">Figure B 3 </w:t>
      </w:r>
      <w:r w:rsidRPr="0068193A">
        <w:t xml:space="preserve">Monoculture </w:t>
      </w:r>
      <w:proofErr w:type="spellStart"/>
      <w:r w:rsidRPr="00362DE2">
        <w:rPr>
          <w:i/>
          <w:iCs/>
        </w:rPr>
        <w:t>Micromonas</w:t>
      </w:r>
      <w:proofErr w:type="spellEnd"/>
      <w:r w:rsidRPr="00362DE2">
        <w:rPr>
          <w:i/>
          <w:iCs/>
        </w:rPr>
        <w:t xml:space="preserve"> </w:t>
      </w:r>
      <w:proofErr w:type="spellStart"/>
      <w:r w:rsidRPr="00362DE2">
        <w:rPr>
          <w:i/>
          <w:iCs/>
        </w:rPr>
        <w:t>pusilla</w:t>
      </w:r>
      <w:proofErr w:type="spellEnd"/>
      <w:r w:rsidRPr="0068193A">
        <w:t xml:space="preserve"> </w:t>
      </w:r>
      <w:r w:rsidRPr="00161B97">
        <w:t xml:space="preserve">in </w:t>
      </w:r>
      <w:r>
        <w:t xml:space="preserve">growth media with 0 additional </w:t>
      </w:r>
      <w:r w:rsidRPr="003609FB">
        <w:t>H</w:t>
      </w:r>
      <w:r w:rsidRPr="00351FC4">
        <w:rPr>
          <w:vertAlign w:val="subscript"/>
        </w:rPr>
        <w:t>2</w:t>
      </w:r>
      <w:r w:rsidRPr="003609FB">
        <w:t>O</w:t>
      </w:r>
      <w:r w:rsidRPr="00351FC4">
        <w:rPr>
          <w:vertAlign w:val="subscript"/>
        </w:rPr>
        <w:t>2</w:t>
      </w:r>
    </w:p>
    <w:p w14:paraId="03756FBF" w14:textId="77777777" w:rsidR="004A316C" w:rsidRPr="003609FB"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culture dynamics of the detoxifier (D) </w:t>
      </w:r>
      <w:proofErr w:type="spellStart"/>
      <w:r w:rsidRPr="00777AF2">
        <w:rPr>
          <w:rFonts w:ascii="Times New Roman" w:hAnsi="Times New Roman" w:cs="Times New Roman"/>
          <w:i/>
          <w:iCs/>
          <w:sz w:val="24"/>
          <w:szCs w:val="24"/>
        </w:rPr>
        <w:t>Micromonas</w:t>
      </w:r>
      <w:proofErr w:type="spellEnd"/>
      <w:r w:rsidRPr="00777AF2">
        <w:rPr>
          <w:rFonts w:ascii="Times New Roman" w:hAnsi="Times New Roman" w:cs="Times New Roman"/>
          <w:i/>
          <w:iCs/>
          <w:sz w:val="24"/>
          <w:szCs w:val="24"/>
        </w:rPr>
        <w:t xml:space="preserve"> </w:t>
      </w:r>
      <w:proofErr w:type="spellStart"/>
      <w:r w:rsidRPr="00777AF2">
        <w:rPr>
          <w:rFonts w:ascii="Times New Roman" w:hAnsi="Times New Roman" w:cs="Times New Roman"/>
          <w:i/>
          <w:iCs/>
          <w:sz w:val="24"/>
          <w:szCs w:val="24"/>
        </w:rPr>
        <w:t>pusilla</w:t>
      </w:r>
      <w:proofErr w:type="spellEnd"/>
      <w:r w:rsidRPr="003609FB">
        <w:rPr>
          <w:rFonts w:ascii="Times New Roman" w:hAnsi="Times New Roman" w:cs="Times New Roman"/>
          <w:sz w:val="24"/>
          <w:szCs w:val="24"/>
        </w:rPr>
        <w:t xml:space="preserve"> with data (purple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(D</w:t>
      </w:r>
      <w:r w:rsidRPr="007207BA">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2EDBB523" w14:textId="77777777" w:rsidR="00777AF2" w:rsidRDefault="00777AF2" w:rsidP="00511118">
      <w:pPr>
        <w:pStyle w:val="Caption"/>
      </w:pPr>
    </w:p>
    <w:p w14:paraId="28504650" w14:textId="77777777" w:rsidR="00777AF2" w:rsidRDefault="00777AF2" w:rsidP="00511118">
      <w:pPr>
        <w:pStyle w:val="Caption"/>
      </w:pPr>
    </w:p>
    <w:p w14:paraId="478025A9" w14:textId="77777777" w:rsidR="00777AF2" w:rsidRDefault="00777AF2" w:rsidP="00511118">
      <w:pPr>
        <w:pStyle w:val="Caption"/>
      </w:pPr>
    </w:p>
    <w:p w14:paraId="7AE108DD" w14:textId="77777777" w:rsidR="00777AF2" w:rsidRDefault="00777AF2" w:rsidP="00511118">
      <w:pPr>
        <w:pStyle w:val="Caption"/>
      </w:pPr>
    </w:p>
    <w:p w14:paraId="7964B962" w14:textId="2810D04F" w:rsidR="00922282" w:rsidRPr="003609FB" w:rsidRDefault="00922282"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2"/>
      </w:tblGrid>
      <w:tr w:rsidR="00C8666C" w:rsidRPr="003609FB" w14:paraId="4827591D" w14:textId="77777777" w:rsidTr="00A2557C">
        <w:trPr>
          <w:trHeight w:val="620"/>
        </w:trPr>
        <w:tc>
          <w:tcPr>
            <w:tcW w:w="9422" w:type="dxa"/>
          </w:tcPr>
          <w:p w14:paraId="025669D9" w14:textId="22BB16C6" w:rsidR="00C8666C" w:rsidRPr="003609FB" w:rsidRDefault="00C8666C" w:rsidP="00AB2160">
            <w:pPr>
              <w:spacing w:line="360" w:lineRule="auto"/>
              <w:rPr>
                <w:rFonts w:ascii="Times New Roman" w:hAnsi="Times New Roman" w:cs="Times New Roman"/>
                <w:sz w:val="24"/>
                <w:szCs w:val="24"/>
              </w:rPr>
            </w:pPr>
          </w:p>
        </w:tc>
      </w:tr>
      <w:tr w:rsidR="00C8666C" w:rsidRPr="003609FB" w14:paraId="2B2AE6A2" w14:textId="77777777" w:rsidTr="00A2557C">
        <w:trPr>
          <w:trHeight w:val="1920"/>
        </w:trPr>
        <w:tc>
          <w:tcPr>
            <w:tcW w:w="9422" w:type="dxa"/>
          </w:tcPr>
          <w:p w14:paraId="66B5B315" w14:textId="5385F7B2" w:rsidR="00C8666C" w:rsidRPr="003609FB" w:rsidRDefault="00F318DA" w:rsidP="00AB2160">
            <w:pPr>
              <w:spacing w:line="360" w:lineRule="auto"/>
              <w:rPr>
                <w:rFonts w:ascii="Times New Roman" w:hAnsi="Times New Roman" w:cs="Times New Roman"/>
                <w:sz w:val="24"/>
                <w:szCs w:val="24"/>
              </w:rPr>
            </w:pPr>
            <w:r w:rsidRPr="00F318DA">
              <w:rPr>
                <w:rFonts w:ascii="Times New Roman" w:hAnsi="Times New Roman" w:cs="Times New Roman"/>
                <w:noProof/>
                <w:sz w:val="24"/>
                <w:szCs w:val="24"/>
              </w:rPr>
              <w:drawing>
                <wp:inline distT="0" distB="0" distL="0" distR="0" wp14:anchorId="557C4147" wp14:editId="08F712A6">
                  <wp:extent cx="5729471" cy="3816626"/>
                  <wp:effectExtent l="0" t="0" r="0" b="0"/>
                  <wp:docPr id="505051010" name="Picture 50505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4421" t="9692" r="8525" b="3319"/>
                          <a:stretch/>
                        </pic:blipFill>
                        <pic:spPr bwMode="auto">
                          <a:xfrm>
                            <a:off x="0" y="0"/>
                            <a:ext cx="5739298" cy="3823172"/>
                          </a:xfrm>
                          <a:prstGeom prst="rect">
                            <a:avLst/>
                          </a:prstGeom>
                          <a:ln>
                            <a:noFill/>
                          </a:ln>
                          <a:extLst>
                            <a:ext uri="{53640926-AAD7-44D8-BBD7-CCE9431645EC}">
                              <a14:shadowObscured xmlns:a14="http://schemas.microsoft.com/office/drawing/2010/main"/>
                            </a:ext>
                          </a:extLst>
                        </pic:spPr>
                      </pic:pic>
                    </a:graphicData>
                  </a:graphic>
                </wp:inline>
              </w:drawing>
            </w:r>
          </w:p>
          <w:p w14:paraId="63A424F6" w14:textId="082EACBA" w:rsidR="00C8666C" w:rsidRPr="003609FB" w:rsidRDefault="00C8666C" w:rsidP="00AB2160">
            <w:pPr>
              <w:keepNext/>
              <w:spacing w:line="360" w:lineRule="auto"/>
              <w:rPr>
                <w:rFonts w:ascii="Times New Roman" w:hAnsi="Times New Roman" w:cs="Times New Roman"/>
                <w:sz w:val="24"/>
                <w:szCs w:val="24"/>
              </w:rPr>
            </w:pPr>
          </w:p>
        </w:tc>
      </w:tr>
    </w:tbl>
    <w:p w14:paraId="78AE5956" w14:textId="77777777" w:rsidR="004A316C" w:rsidRDefault="004A316C" w:rsidP="004A316C">
      <w:pPr>
        <w:pStyle w:val="Caption"/>
      </w:pPr>
      <w:r>
        <w:t xml:space="preserve">Figure B 4 </w:t>
      </w:r>
      <w:r w:rsidRPr="004F2C8B">
        <w:t xml:space="preserve">Monoculture </w:t>
      </w:r>
      <w:r>
        <w:t xml:space="preserve">(Detoxer58) </w:t>
      </w:r>
      <w:proofErr w:type="spellStart"/>
      <w:r w:rsidRPr="00362DE2">
        <w:rPr>
          <w:i/>
          <w:iCs/>
        </w:rPr>
        <w:t>Micromonas</w:t>
      </w:r>
      <w:proofErr w:type="spellEnd"/>
      <w:r w:rsidRPr="00362DE2">
        <w:rPr>
          <w:i/>
          <w:iCs/>
        </w:rPr>
        <w:t xml:space="preserve"> </w:t>
      </w:r>
      <w:proofErr w:type="spellStart"/>
      <w:r w:rsidRPr="00362DE2">
        <w:rPr>
          <w:i/>
          <w:iCs/>
        </w:rPr>
        <w:t>pusilla</w:t>
      </w:r>
      <w:proofErr w:type="spellEnd"/>
      <w:r w:rsidRPr="004F2C8B">
        <w:t xml:space="preserve"> in 400nM H</w:t>
      </w:r>
      <w:r w:rsidRPr="00362DE2">
        <w:rPr>
          <w:vertAlign w:val="subscript"/>
        </w:rPr>
        <w:t>2</w:t>
      </w:r>
      <w:r w:rsidRPr="004F2C8B">
        <w:t>O</w:t>
      </w:r>
      <w:r w:rsidRPr="00362DE2">
        <w:rPr>
          <w:vertAlign w:val="subscript"/>
        </w:rPr>
        <w:t>2</w:t>
      </w:r>
      <w:r w:rsidRPr="004F2C8B">
        <w:t xml:space="preserve"> spike</w:t>
      </w:r>
    </w:p>
    <w:p w14:paraId="53A636F2" w14:textId="77777777" w:rsidR="004A316C" w:rsidRPr="003609FB"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the detoxifier (D) </w:t>
      </w:r>
      <w:proofErr w:type="spellStart"/>
      <w:r w:rsidRPr="00362DE2">
        <w:rPr>
          <w:rFonts w:ascii="Times New Roman" w:hAnsi="Times New Roman" w:cs="Times New Roman"/>
          <w:i/>
          <w:iCs/>
          <w:sz w:val="24"/>
          <w:szCs w:val="24"/>
        </w:rPr>
        <w:t>Micromonas</w:t>
      </w:r>
      <w:proofErr w:type="spellEnd"/>
      <w:r w:rsidRPr="00362DE2">
        <w:rPr>
          <w:rFonts w:ascii="Times New Roman" w:hAnsi="Times New Roman" w:cs="Times New Roman"/>
          <w:i/>
          <w:iCs/>
          <w:sz w:val="24"/>
          <w:szCs w:val="24"/>
        </w:rPr>
        <w:t xml:space="preserve"> </w:t>
      </w:r>
      <w:proofErr w:type="spellStart"/>
      <w:r w:rsidRPr="00362DE2">
        <w:rPr>
          <w:rFonts w:ascii="Times New Roman" w:hAnsi="Times New Roman" w:cs="Times New Roman"/>
          <w:i/>
          <w:iCs/>
          <w:sz w:val="24"/>
          <w:szCs w:val="24"/>
        </w:rPr>
        <w:t>pusilla</w:t>
      </w:r>
      <w:proofErr w:type="spellEnd"/>
      <w:r w:rsidRPr="003609FB">
        <w:rPr>
          <w:rFonts w:ascii="Times New Roman" w:hAnsi="Times New Roman" w:cs="Times New Roman"/>
          <w:sz w:val="24"/>
          <w:szCs w:val="24"/>
        </w:rPr>
        <w:t xml:space="preserve"> (purple line)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(pink line) (d) data alongside searched parameter combinations (grey) in batch culture containing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To the right of each dynamics plot we show the initial cell concentration</w:t>
      </w:r>
      <w:r>
        <w:rPr>
          <w:rFonts w:ascii="Times New Roman" w:hAnsi="Times New Roman" w:cs="Times New Roman"/>
          <w:sz w:val="24"/>
          <w:szCs w:val="24"/>
        </w:rPr>
        <w:t xml:space="preserve"> (D</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death rate</w:t>
      </w: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and initial hydrogen peroxide concentration</w:t>
      </w:r>
      <w:r>
        <w:rPr>
          <w:rFonts w:ascii="Times New Roman" w:hAnsi="Times New Roman" w:cs="Times New Roman"/>
          <w:sz w:val="24"/>
          <w:szCs w:val="24"/>
        </w:rPr>
        <w:t xml:space="preserve"> (H</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cell-specific detoxification rate</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w:t>
      </w:r>
    </w:p>
    <w:p w14:paraId="41C2F769" w14:textId="77777777" w:rsidR="00777AF2" w:rsidRDefault="00777AF2" w:rsidP="00511118">
      <w:pPr>
        <w:pStyle w:val="Caption"/>
      </w:pPr>
    </w:p>
    <w:p w14:paraId="103E0CE9" w14:textId="77777777" w:rsidR="00777AF2" w:rsidRDefault="00777AF2" w:rsidP="00511118">
      <w:pPr>
        <w:pStyle w:val="Caption"/>
      </w:pPr>
    </w:p>
    <w:p w14:paraId="0F3A5663" w14:textId="77777777" w:rsidR="00777AF2" w:rsidRDefault="00777AF2" w:rsidP="00511118">
      <w:pPr>
        <w:pStyle w:val="Caption"/>
      </w:pPr>
    </w:p>
    <w:p w14:paraId="3BABC11E" w14:textId="77777777" w:rsidR="00777AF2" w:rsidRDefault="00777AF2" w:rsidP="00511118">
      <w:pPr>
        <w:pStyle w:val="Caption"/>
      </w:pPr>
    </w:p>
    <w:p w14:paraId="4CBFA8A5" w14:textId="53E6A02B" w:rsidR="000C3ADD" w:rsidRPr="003609FB" w:rsidRDefault="000C3ADD"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2"/>
      </w:tblGrid>
      <w:tr w:rsidR="00EC733D" w:rsidRPr="003609FB" w14:paraId="14FF86A9" w14:textId="77777777" w:rsidTr="009F64F4">
        <w:trPr>
          <w:trHeight w:val="100"/>
        </w:trPr>
        <w:tc>
          <w:tcPr>
            <w:tcW w:w="9422" w:type="dxa"/>
          </w:tcPr>
          <w:p w14:paraId="3EBDDE22" w14:textId="32D7E3DA" w:rsidR="00EC733D" w:rsidRPr="003609FB" w:rsidRDefault="00EC733D" w:rsidP="00AB2160">
            <w:pPr>
              <w:spacing w:line="360" w:lineRule="auto"/>
              <w:rPr>
                <w:rFonts w:ascii="Times New Roman" w:hAnsi="Times New Roman" w:cs="Times New Roman"/>
                <w:sz w:val="24"/>
                <w:szCs w:val="24"/>
              </w:rPr>
            </w:pPr>
          </w:p>
        </w:tc>
      </w:tr>
      <w:tr w:rsidR="00EC733D" w:rsidRPr="003609FB" w14:paraId="3B116DEF" w14:textId="77777777" w:rsidTr="009F64F4">
        <w:trPr>
          <w:trHeight w:val="1920"/>
        </w:trPr>
        <w:tc>
          <w:tcPr>
            <w:tcW w:w="9422" w:type="dxa"/>
          </w:tcPr>
          <w:p w14:paraId="29DDBFBD" w14:textId="51E29222" w:rsidR="00EC733D" w:rsidRPr="003609FB" w:rsidRDefault="00F253FA" w:rsidP="00AB2160">
            <w:pPr>
              <w:spacing w:line="360" w:lineRule="auto"/>
              <w:rPr>
                <w:rFonts w:ascii="Times New Roman" w:hAnsi="Times New Roman" w:cs="Times New Roman"/>
                <w:sz w:val="24"/>
                <w:szCs w:val="24"/>
              </w:rPr>
            </w:pPr>
            <w:r w:rsidRPr="00F253FA">
              <w:rPr>
                <w:rFonts w:ascii="Times New Roman" w:hAnsi="Times New Roman" w:cs="Times New Roman"/>
                <w:noProof/>
                <w:sz w:val="24"/>
                <w:szCs w:val="24"/>
              </w:rPr>
              <w:drawing>
                <wp:inline distT="0" distB="0" distL="0" distR="0" wp14:anchorId="7C0CFB4A" wp14:editId="19113707">
                  <wp:extent cx="5845810" cy="3896995"/>
                  <wp:effectExtent l="0" t="0" r="0" b="1905"/>
                  <wp:docPr id="505051016" name="Picture 50505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845810" cy="3896995"/>
                          </a:xfrm>
                          <a:prstGeom prst="rect">
                            <a:avLst/>
                          </a:prstGeom>
                        </pic:spPr>
                      </pic:pic>
                    </a:graphicData>
                  </a:graphic>
                </wp:inline>
              </w:drawing>
            </w:r>
          </w:p>
        </w:tc>
      </w:tr>
      <w:tr w:rsidR="00EC733D" w:rsidRPr="003609FB" w14:paraId="42D6695B" w14:textId="77777777" w:rsidTr="009F64F4">
        <w:trPr>
          <w:trHeight w:val="267"/>
        </w:trPr>
        <w:tc>
          <w:tcPr>
            <w:tcW w:w="9422" w:type="dxa"/>
          </w:tcPr>
          <w:p w14:paraId="26B32D1D" w14:textId="1F5C3D19" w:rsidR="00EC733D" w:rsidRPr="003609FB" w:rsidRDefault="00EC733D" w:rsidP="00AB2160">
            <w:pPr>
              <w:keepNext/>
              <w:spacing w:line="360" w:lineRule="auto"/>
              <w:rPr>
                <w:rFonts w:ascii="Times New Roman" w:hAnsi="Times New Roman" w:cs="Times New Roman"/>
                <w:sz w:val="24"/>
                <w:szCs w:val="24"/>
              </w:rPr>
            </w:pPr>
          </w:p>
        </w:tc>
      </w:tr>
    </w:tbl>
    <w:p w14:paraId="4FDDC9A2" w14:textId="77777777" w:rsidR="004A316C" w:rsidRPr="003609FB" w:rsidRDefault="004A316C" w:rsidP="004A316C">
      <w:pPr>
        <w:pStyle w:val="Caption"/>
      </w:pPr>
      <w:r w:rsidRPr="00261EA2">
        <w:t xml:space="preserve">Figure </w:t>
      </w:r>
      <w:r>
        <w:t xml:space="preserve">B5 </w:t>
      </w:r>
      <w:r w:rsidRPr="008A6AB4">
        <w:t xml:space="preserve">Monoculture </w:t>
      </w:r>
      <w:proofErr w:type="spellStart"/>
      <w:r w:rsidRPr="00261EA2">
        <w:rPr>
          <w:i/>
          <w:iCs/>
        </w:rPr>
        <w:t>Ostreococcus</w:t>
      </w:r>
      <w:proofErr w:type="spellEnd"/>
      <w:r w:rsidRPr="00261EA2">
        <w:rPr>
          <w:i/>
          <w:iCs/>
        </w:rPr>
        <w:t xml:space="preserve"> </w:t>
      </w:r>
      <w:proofErr w:type="spellStart"/>
      <w:r w:rsidRPr="00261EA2">
        <w:rPr>
          <w:i/>
          <w:iCs/>
        </w:rPr>
        <w:t>lucimarinus</w:t>
      </w:r>
      <w:proofErr w:type="spellEnd"/>
      <w:r w:rsidRPr="008A6AB4">
        <w:t xml:space="preserve"> </w:t>
      </w:r>
      <w:r w:rsidRPr="00161B97">
        <w:t xml:space="preserve">in </w:t>
      </w:r>
      <w:r>
        <w:t xml:space="preserve">growth media with 0 additional </w:t>
      </w:r>
      <w:r w:rsidRPr="003609FB">
        <w:t>H</w:t>
      </w:r>
      <w:r w:rsidRPr="00351FC4">
        <w:rPr>
          <w:vertAlign w:val="subscript"/>
        </w:rPr>
        <w:t>2</w:t>
      </w:r>
      <w:r w:rsidRPr="003609FB">
        <w:t>O</w:t>
      </w:r>
      <w:r w:rsidRPr="00351FC4">
        <w:rPr>
          <w:vertAlign w:val="subscript"/>
        </w:rPr>
        <w:t>2</w:t>
      </w:r>
    </w:p>
    <w:p w14:paraId="0A8D380D" w14:textId="77777777" w:rsidR="004A316C" w:rsidRPr="003609FB"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culture dynamics of the detoxifier (D) </w:t>
      </w:r>
      <w:proofErr w:type="spellStart"/>
      <w:r w:rsidRPr="00261EA2">
        <w:rPr>
          <w:rFonts w:ascii="Times New Roman" w:hAnsi="Times New Roman" w:cs="Times New Roman"/>
          <w:i/>
          <w:iCs/>
          <w:sz w:val="24"/>
          <w:szCs w:val="24"/>
        </w:rPr>
        <w:t>Ostreococcus</w:t>
      </w:r>
      <w:proofErr w:type="spellEnd"/>
      <w:r w:rsidRPr="00261EA2">
        <w:rPr>
          <w:rFonts w:ascii="Times New Roman" w:hAnsi="Times New Roman" w:cs="Times New Roman"/>
          <w:i/>
          <w:iCs/>
          <w:sz w:val="24"/>
          <w:szCs w:val="24"/>
        </w:rPr>
        <w:t xml:space="preserve"> </w:t>
      </w:r>
      <w:proofErr w:type="spellStart"/>
      <w:r w:rsidRPr="00261EA2">
        <w:rPr>
          <w:rFonts w:ascii="Times New Roman" w:hAnsi="Times New Roman" w:cs="Times New Roman"/>
          <w:i/>
          <w:iCs/>
          <w:sz w:val="24"/>
          <w:szCs w:val="24"/>
        </w:rPr>
        <w:t>lucimarinus</w:t>
      </w:r>
      <w:proofErr w:type="spellEnd"/>
      <w:r w:rsidRPr="003609FB">
        <w:rPr>
          <w:rFonts w:ascii="Times New Roman" w:hAnsi="Times New Roman" w:cs="Times New Roman"/>
          <w:sz w:val="24"/>
          <w:szCs w:val="24"/>
        </w:rPr>
        <w:t xml:space="preserve"> with data (pink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(D</w:t>
      </w:r>
      <w:r w:rsidRPr="00D928E4">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55DD5C96" w14:textId="77777777" w:rsidR="00777AF2" w:rsidRDefault="00777AF2" w:rsidP="00511118">
      <w:pPr>
        <w:pStyle w:val="Caption"/>
      </w:pPr>
    </w:p>
    <w:p w14:paraId="31A1A8BB" w14:textId="77777777" w:rsidR="00777AF2" w:rsidRDefault="00777AF2" w:rsidP="00511118">
      <w:pPr>
        <w:pStyle w:val="Caption"/>
      </w:pPr>
    </w:p>
    <w:p w14:paraId="0D27F0AE" w14:textId="50EBABC9" w:rsidR="000275C4" w:rsidRPr="003609FB" w:rsidRDefault="000275C4" w:rsidP="00AB2160">
      <w:pPr>
        <w:spacing w:line="360" w:lineRule="auto"/>
        <w:rPr>
          <w:rFonts w:ascii="Times New Roman" w:hAnsi="Times New Roman" w:cs="Times New Roman"/>
          <w:sz w:val="24"/>
          <w:szCs w:val="24"/>
        </w:rPr>
      </w:pPr>
    </w:p>
    <w:tbl>
      <w:tblPr>
        <w:tblStyle w:val="TableGrid"/>
        <w:tblpPr w:leftFromText="180" w:rightFromText="180" w:vertAnchor="text" w:horzAnchor="margin" w:tblpY="155"/>
        <w:tblOverlap w:val="never"/>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22"/>
      </w:tblGrid>
      <w:tr w:rsidR="00A2557C" w:rsidRPr="003609FB" w14:paraId="36035872" w14:textId="77777777" w:rsidTr="009F64F4">
        <w:trPr>
          <w:trHeight w:val="620"/>
        </w:trPr>
        <w:tc>
          <w:tcPr>
            <w:tcW w:w="9422" w:type="dxa"/>
          </w:tcPr>
          <w:p w14:paraId="7D15524D" w14:textId="7A6F3724" w:rsidR="00A2557C" w:rsidRPr="003609FB" w:rsidRDefault="00A2557C" w:rsidP="00AB2160">
            <w:pPr>
              <w:spacing w:line="360" w:lineRule="auto"/>
              <w:rPr>
                <w:rFonts w:ascii="Times New Roman" w:hAnsi="Times New Roman" w:cs="Times New Roman"/>
                <w:sz w:val="24"/>
                <w:szCs w:val="24"/>
              </w:rPr>
            </w:pPr>
          </w:p>
        </w:tc>
      </w:tr>
      <w:tr w:rsidR="00A2557C" w:rsidRPr="003609FB" w14:paraId="5DDA168B" w14:textId="77777777" w:rsidTr="009F64F4">
        <w:trPr>
          <w:trHeight w:val="1920"/>
        </w:trPr>
        <w:tc>
          <w:tcPr>
            <w:tcW w:w="9422" w:type="dxa"/>
          </w:tcPr>
          <w:p w14:paraId="6FD770F9" w14:textId="5D29633D" w:rsidR="00A2557C" w:rsidRPr="003609FB" w:rsidRDefault="00A2557C" w:rsidP="00AB2160">
            <w:pPr>
              <w:spacing w:line="360" w:lineRule="auto"/>
              <w:rPr>
                <w:rFonts w:ascii="Times New Roman" w:hAnsi="Times New Roman" w:cs="Times New Roman"/>
                <w:sz w:val="24"/>
                <w:szCs w:val="24"/>
              </w:rPr>
            </w:pPr>
          </w:p>
          <w:p w14:paraId="3715E40A" w14:textId="09653E5F" w:rsidR="00A2557C" w:rsidRPr="003609FB" w:rsidRDefault="005078F0" w:rsidP="00AB2160">
            <w:pPr>
              <w:keepNext/>
              <w:spacing w:line="360" w:lineRule="auto"/>
              <w:rPr>
                <w:rFonts w:ascii="Times New Roman" w:hAnsi="Times New Roman" w:cs="Times New Roman"/>
                <w:sz w:val="24"/>
                <w:szCs w:val="24"/>
              </w:rPr>
            </w:pPr>
            <w:r w:rsidRPr="005078F0">
              <w:rPr>
                <w:rFonts w:ascii="Times New Roman" w:hAnsi="Times New Roman" w:cs="Times New Roman"/>
                <w:noProof/>
                <w:sz w:val="24"/>
                <w:szCs w:val="24"/>
              </w:rPr>
              <w:drawing>
                <wp:inline distT="0" distB="0" distL="0" distR="0" wp14:anchorId="0C166FC6" wp14:editId="0F71301F">
                  <wp:extent cx="5686595" cy="3697357"/>
                  <wp:effectExtent l="0" t="0" r="3175" b="0"/>
                  <wp:docPr id="505051011" name="Picture 50505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4251" t="9437" r="6318" b="3337"/>
                          <a:stretch/>
                        </pic:blipFill>
                        <pic:spPr bwMode="auto">
                          <a:xfrm>
                            <a:off x="0" y="0"/>
                            <a:ext cx="5692637" cy="370128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C4E4C85" w14:textId="77777777" w:rsidR="004A316C" w:rsidRDefault="004A316C" w:rsidP="004A316C">
      <w:pPr>
        <w:pStyle w:val="Caption"/>
      </w:pPr>
      <w:r>
        <w:t xml:space="preserve">Figure B6 </w:t>
      </w:r>
      <w:r w:rsidRPr="00F3506B">
        <w:t xml:space="preserve">Monoculture </w:t>
      </w:r>
      <w:r>
        <w:t xml:space="preserve">(Detoxer59) </w:t>
      </w:r>
      <w:proofErr w:type="spellStart"/>
      <w:r w:rsidRPr="007A01B3">
        <w:rPr>
          <w:i/>
          <w:iCs/>
        </w:rPr>
        <w:t>Ostreococcus</w:t>
      </w:r>
      <w:proofErr w:type="spellEnd"/>
      <w:r w:rsidRPr="007A01B3">
        <w:rPr>
          <w:i/>
          <w:iCs/>
        </w:rPr>
        <w:t xml:space="preserve"> </w:t>
      </w:r>
      <w:proofErr w:type="spellStart"/>
      <w:r w:rsidRPr="007A01B3">
        <w:rPr>
          <w:i/>
          <w:iCs/>
        </w:rPr>
        <w:t>lucimarinus</w:t>
      </w:r>
      <w:proofErr w:type="spellEnd"/>
      <w:r w:rsidRPr="00F3506B">
        <w:t xml:space="preserve"> in 400nM H</w:t>
      </w:r>
      <w:r w:rsidRPr="007A01B3">
        <w:rPr>
          <w:vertAlign w:val="subscript"/>
        </w:rPr>
        <w:t>2</w:t>
      </w:r>
      <w:r w:rsidRPr="00F3506B">
        <w:t>O</w:t>
      </w:r>
      <w:r w:rsidRPr="007A01B3">
        <w:rPr>
          <w:vertAlign w:val="subscript"/>
        </w:rPr>
        <w:t>2</w:t>
      </w:r>
      <w:r w:rsidRPr="00F3506B">
        <w:t xml:space="preserve"> spike</w:t>
      </w:r>
    </w:p>
    <w:p w14:paraId="52DA5C10" w14:textId="77777777" w:rsidR="004A316C" w:rsidRPr="003609FB"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Coupled laboratory batch culture dynamics of the detoxifier (D) </w:t>
      </w:r>
      <w:proofErr w:type="spellStart"/>
      <w:r w:rsidRPr="007A01B3">
        <w:rPr>
          <w:rFonts w:ascii="Times New Roman" w:hAnsi="Times New Roman" w:cs="Times New Roman"/>
          <w:i/>
          <w:iCs/>
          <w:sz w:val="24"/>
          <w:szCs w:val="24"/>
        </w:rPr>
        <w:t>Ostreococcus</w:t>
      </w:r>
      <w:proofErr w:type="spellEnd"/>
      <w:r w:rsidRPr="007A01B3">
        <w:rPr>
          <w:rFonts w:ascii="Times New Roman" w:hAnsi="Times New Roman" w:cs="Times New Roman"/>
          <w:i/>
          <w:iCs/>
          <w:sz w:val="24"/>
          <w:szCs w:val="24"/>
        </w:rPr>
        <w:t xml:space="preserve"> </w:t>
      </w:r>
      <w:proofErr w:type="spellStart"/>
      <w:r w:rsidRPr="007A01B3">
        <w:rPr>
          <w:rFonts w:ascii="Times New Roman" w:hAnsi="Times New Roman" w:cs="Times New Roman"/>
          <w:i/>
          <w:iCs/>
          <w:sz w:val="24"/>
          <w:szCs w:val="24"/>
        </w:rPr>
        <w:t>lucimarinus</w:t>
      </w:r>
      <w:proofErr w:type="spellEnd"/>
      <w:r w:rsidRPr="003609FB">
        <w:rPr>
          <w:rFonts w:ascii="Times New Roman" w:hAnsi="Times New Roman" w:cs="Times New Roman"/>
          <w:sz w:val="24"/>
          <w:szCs w:val="24"/>
        </w:rPr>
        <w:t xml:space="preserve"> (pink line) (a)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(orange line) (d) data alongside searched parameter combinations (grey) in batch culture containing 400nM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To the right of each dynamics plot we show the initial cell concentration</w:t>
      </w:r>
      <w:r>
        <w:rPr>
          <w:rFonts w:ascii="Times New Roman" w:hAnsi="Times New Roman" w:cs="Times New Roman"/>
          <w:sz w:val="24"/>
          <w:szCs w:val="24"/>
        </w:rPr>
        <w:t xml:space="preserve"> (D</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specific death rate</w:t>
      </w: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dam,i</m:t>
            </m:r>
          </m:sub>
        </m:sSub>
      </m:oMath>
      <w:r>
        <w:rPr>
          <w:rFonts w:ascii="Times New Roman" w:hAnsi="Times New Roman" w:cs="Times New Roman"/>
          <w:sz w:val="24"/>
          <w:szCs w:val="24"/>
        </w:rPr>
        <w:t xml:space="preserve">) </w:t>
      </w:r>
      <w:r w:rsidRPr="003609FB">
        <w:rPr>
          <w:rFonts w:ascii="Times New Roman" w:hAnsi="Times New Roman" w:cs="Times New Roman"/>
          <w:sz w:val="24"/>
          <w:szCs w:val="24"/>
        </w:rPr>
        <w:t>(</w:t>
      </w:r>
      <w:proofErr w:type="spellStart"/>
      <w:proofErr w:type="gramStart"/>
      <w:r w:rsidRPr="003609FB">
        <w:rPr>
          <w:rFonts w:ascii="Times New Roman" w:hAnsi="Times New Roman" w:cs="Times New Roman"/>
          <w:sz w:val="24"/>
          <w:szCs w:val="24"/>
        </w:rPr>
        <w:t>b,c</w:t>
      </w:r>
      <w:proofErr w:type="spellEnd"/>
      <w:proofErr w:type="gramEnd"/>
      <w:r w:rsidRPr="003609FB">
        <w:rPr>
          <w:rFonts w:ascii="Times New Roman" w:hAnsi="Times New Roman" w:cs="Times New Roman"/>
          <w:sz w:val="24"/>
          <w:szCs w:val="24"/>
        </w:rPr>
        <w:t>) and initial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r w:rsidRPr="003609FB">
        <w:rPr>
          <w:rFonts w:ascii="Times New Roman" w:hAnsi="Times New Roman" w:cs="Times New Roman"/>
          <w:sz w:val="24"/>
          <w:szCs w:val="24"/>
        </w:rPr>
        <w:t>concentration</w:t>
      </w:r>
      <w:r>
        <w:rPr>
          <w:rFonts w:ascii="Times New Roman" w:hAnsi="Times New Roman" w:cs="Times New Roman"/>
          <w:sz w:val="24"/>
          <w:szCs w:val="24"/>
        </w:rPr>
        <w:t xml:space="preserve"> (H</w:t>
      </w:r>
      <w:r w:rsidRPr="001E1D65">
        <w:rPr>
          <w:rFonts w:ascii="Times New Roman" w:hAnsi="Times New Roman" w:cs="Times New Roman"/>
          <w:sz w:val="24"/>
          <w:szCs w:val="24"/>
          <w:vertAlign w:val="subscript"/>
        </w:rPr>
        <w:t>0</w:t>
      </w:r>
      <w:r>
        <w:rPr>
          <w:rFonts w:ascii="Times New Roman" w:hAnsi="Times New Roman" w:cs="Times New Roman"/>
          <w:sz w:val="24"/>
          <w:szCs w:val="24"/>
        </w:rPr>
        <w:t>)</w:t>
      </w:r>
      <w:r w:rsidRPr="003609FB">
        <w:rPr>
          <w:rFonts w:ascii="Times New Roman" w:hAnsi="Times New Roman" w:cs="Times New Roman"/>
          <w:sz w:val="24"/>
          <w:szCs w:val="24"/>
        </w:rPr>
        <w:t xml:space="preserve"> and cell-specific detoxification rate</w:t>
      </w:r>
      <w:r>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ϕ</m:t>
            </m:r>
          </m:e>
          <m:sub>
            <m:r>
              <w:rPr>
                <w:rFonts w:ascii="Cambria Math" w:hAnsi="Cambria Math" w:cs="Times New Roman"/>
                <w:sz w:val="24"/>
                <w:szCs w:val="24"/>
              </w:rPr>
              <m:t>max,i</m:t>
            </m:r>
          </m:sub>
        </m:sSub>
      </m:oMath>
      <w:r>
        <w:rPr>
          <w:rFonts w:ascii="Times New Roman" w:hAnsi="Times New Roman" w:cs="Times New Roman"/>
          <w:sz w:val="24"/>
          <w:szCs w:val="24"/>
        </w:rPr>
        <w:t>)</w:t>
      </w:r>
      <w:r w:rsidRPr="003609FB">
        <w:rPr>
          <w:rFonts w:ascii="Times New Roman" w:hAnsi="Times New Roman" w:cs="Times New Roman"/>
          <w:sz w:val="24"/>
          <w:szCs w:val="24"/>
        </w:rPr>
        <w:t xml:space="preserve"> (</w:t>
      </w:r>
      <w:proofErr w:type="spellStart"/>
      <w:r w:rsidRPr="003609FB">
        <w:rPr>
          <w:rFonts w:ascii="Times New Roman" w:hAnsi="Times New Roman" w:cs="Times New Roman"/>
          <w:sz w:val="24"/>
          <w:szCs w:val="24"/>
        </w:rPr>
        <w:t>e,f</w:t>
      </w:r>
      <w:proofErr w:type="spellEnd"/>
      <w:r w:rsidRPr="003609FB">
        <w:rPr>
          <w:rFonts w:ascii="Times New Roman" w:hAnsi="Times New Roman" w:cs="Times New Roman"/>
          <w:sz w:val="24"/>
          <w:szCs w:val="24"/>
        </w:rPr>
        <w:t>).</w:t>
      </w:r>
    </w:p>
    <w:p w14:paraId="640FEB47" w14:textId="77777777" w:rsidR="00777AF2" w:rsidRDefault="00777AF2" w:rsidP="00511118">
      <w:pPr>
        <w:pStyle w:val="Caption"/>
      </w:pPr>
    </w:p>
    <w:p w14:paraId="19BAB0AB" w14:textId="64AEEB15" w:rsidR="00777AF2" w:rsidRDefault="004A316C" w:rsidP="00511118">
      <w:pPr>
        <w:pStyle w:val="Caption"/>
      </w:pPr>
      <w:r>
        <w:rPr>
          <w:rFonts w:ascii="Times New Roman" w:hAnsi="Times New Roman" w:cs="Times New Roman"/>
          <w:noProof/>
        </w:rPr>
        <w:lastRenderedPageBreak/>
        <w:drawing>
          <wp:inline distT="0" distB="0" distL="0" distR="0" wp14:anchorId="257D6D4E" wp14:editId="57D719A8">
            <wp:extent cx="5845810" cy="3355975"/>
            <wp:effectExtent l="0" t="0" r="0" b="0"/>
            <wp:docPr id="505051017" name="Picture 505051017" descr="A graph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17" name="Picture 505051017" descr="A graph of different types of data&#10;&#10;Description automatically generated with medium confidenc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45810" cy="3355975"/>
                    </a:xfrm>
                    <a:prstGeom prst="rect">
                      <a:avLst/>
                    </a:prstGeom>
                  </pic:spPr>
                </pic:pic>
              </a:graphicData>
            </a:graphic>
          </wp:inline>
        </w:drawing>
      </w:r>
    </w:p>
    <w:p w14:paraId="7B44EF72" w14:textId="77777777" w:rsidR="004A316C" w:rsidRDefault="004A316C" w:rsidP="004A316C">
      <w:pPr>
        <w:pStyle w:val="Caption"/>
      </w:pPr>
      <w:r>
        <w:t xml:space="preserve">Figure B7 </w:t>
      </w:r>
      <w:r w:rsidRPr="00F3294A">
        <w:t xml:space="preserve">Monoculture </w:t>
      </w:r>
      <w:proofErr w:type="spellStart"/>
      <w:r w:rsidRPr="00234308">
        <w:rPr>
          <w:i/>
          <w:iCs/>
        </w:rPr>
        <w:t>Ostreococcus</w:t>
      </w:r>
      <w:proofErr w:type="spellEnd"/>
      <w:r w:rsidRPr="00234308">
        <w:rPr>
          <w:i/>
          <w:iCs/>
        </w:rPr>
        <w:t xml:space="preserve"> </w:t>
      </w:r>
      <w:proofErr w:type="spellStart"/>
      <w:r w:rsidRPr="00234308">
        <w:rPr>
          <w:i/>
          <w:iCs/>
        </w:rPr>
        <w:t>tauri</w:t>
      </w:r>
      <w:proofErr w:type="spellEnd"/>
      <w:r w:rsidRPr="00F3294A">
        <w:t xml:space="preserve"> </w:t>
      </w:r>
      <w:r w:rsidRPr="00161B97">
        <w:t xml:space="preserve">in </w:t>
      </w:r>
      <w:r>
        <w:t xml:space="preserve">growth media with 0 additional </w:t>
      </w:r>
      <w:r w:rsidRPr="003609FB">
        <w:t>H</w:t>
      </w:r>
      <w:r w:rsidRPr="00351FC4">
        <w:rPr>
          <w:vertAlign w:val="subscript"/>
        </w:rPr>
        <w:t>2</w:t>
      </w:r>
      <w:r w:rsidRPr="003609FB">
        <w:t>O</w:t>
      </w:r>
      <w:r w:rsidRPr="00351FC4">
        <w:rPr>
          <w:vertAlign w:val="subscript"/>
        </w:rPr>
        <w:t>2</w:t>
      </w:r>
    </w:p>
    <w:p w14:paraId="1EA2EFE3" w14:textId="77777777" w:rsidR="004A316C" w:rsidRDefault="004A316C" w:rsidP="004A316C">
      <w:pPr>
        <w:spacing w:line="360" w:lineRule="auto"/>
        <w:rPr>
          <w:rFonts w:ascii="Times New Roman" w:hAnsi="Times New Roman" w:cs="Times New Roman"/>
          <w:sz w:val="24"/>
          <w:szCs w:val="24"/>
        </w:rPr>
      </w:pPr>
      <w:r w:rsidRPr="003609FB">
        <w:rPr>
          <w:rFonts w:ascii="Times New Roman" w:hAnsi="Times New Roman" w:cs="Times New Roman"/>
          <w:sz w:val="24"/>
          <w:szCs w:val="24"/>
        </w:rPr>
        <w:t xml:space="preserve">Laboratory batch culture dynamics of the detoxifier (D) </w:t>
      </w:r>
      <w:proofErr w:type="spellStart"/>
      <w:r w:rsidRPr="00234308">
        <w:rPr>
          <w:rFonts w:ascii="Times New Roman" w:hAnsi="Times New Roman" w:cs="Times New Roman"/>
          <w:i/>
          <w:iCs/>
          <w:sz w:val="24"/>
          <w:szCs w:val="24"/>
        </w:rPr>
        <w:t>Ostreococcus</w:t>
      </w:r>
      <w:proofErr w:type="spellEnd"/>
      <w:r w:rsidRPr="00234308">
        <w:rPr>
          <w:rFonts w:ascii="Times New Roman" w:hAnsi="Times New Roman" w:cs="Times New Roman"/>
          <w:i/>
          <w:iCs/>
          <w:sz w:val="24"/>
          <w:szCs w:val="24"/>
        </w:rPr>
        <w:t xml:space="preserve"> </w:t>
      </w:r>
      <w:proofErr w:type="spellStart"/>
      <w:r w:rsidRPr="00234308">
        <w:rPr>
          <w:rFonts w:ascii="Times New Roman" w:hAnsi="Times New Roman" w:cs="Times New Roman"/>
          <w:i/>
          <w:iCs/>
          <w:sz w:val="24"/>
          <w:szCs w:val="24"/>
        </w:rPr>
        <w:t>tauri</w:t>
      </w:r>
      <w:proofErr w:type="spellEnd"/>
      <w:r w:rsidRPr="003609FB">
        <w:rPr>
          <w:rFonts w:ascii="Times New Roman" w:hAnsi="Times New Roman" w:cs="Times New Roman"/>
          <w:sz w:val="24"/>
          <w:szCs w:val="24"/>
        </w:rPr>
        <w:t xml:space="preserve"> with data (purple line) and model searches (grey lines) with optimal solution (red line) in zero 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batch culture (a). Also shown are parameter value histograms for the initial cell concentration (D</w:t>
      </w:r>
      <w:r w:rsidRPr="00016217">
        <w:rPr>
          <w:rFonts w:ascii="Times New Roman" w:hAnsi="Times New Roman" w:cs="Times New Roman"/>
          <w:sz w:val="24"/>
          <w:szCs w:val="24"/>
          <w:vertAlign w:val="subscript"/>
        </w:rPr>
        <w:t>0</w:t>
      </w:r>
      <w:r w:rsidRPr="003609FB">
        <w:rPr>
          <w:rFonts w:ascii="Times New Roman" w:hAnsi="Times New Roman" w:cs="Times New Roman"/>
          <w:sz w:val="24"/>
          <w:szCs w:val="24"/>
        </w:rPr>
        <w:t>) and exponential growth rate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oMath>
      <w:r w:rsidRPr="003609FB">
        <w:rPr>
          <w:rFonts w:ascii="Times New Roman" w:hAnsi="Times New Roman" w:cs="Times New Roman"/>
          <w:sz w:val="24"/>
          <w:szCs w:val="24"/>
        </w:rPr>
        <w:t>) (</w:t>
      </w:r>
      <w:proofErr w:type="gramStart"/>
      <w:r w:rsidRPr="003609FB">
        <w:rPr>
          <w:rFonts w:ascii="Times New Roman" w:hAnsi="Times New Roman" w:cs="Times New Roman"/>
          <w:sz w:val="24"/>
          <w:szCs w:val="24"/>
        </w:rPr>
        <w:t>b,c</w:t>
      </w:r>
      <w:proofErr w:type="gramEnd"/>
      <w:r w:rsidRPr="003609FB">
        <w:rPr>
          <w:rFonts w:ascii="Times New Roman" w:hAnsi="Times New Roman" w:cs="Times New Roman"/>
          <w:sz w:val="24"/>
          <w:szCs w:val="24"/>
        </w:rPr>
        <w:t xml:space="preserve">, respectively).  </w:t>
      </w:r>
    </w:p>
    <w:p w14:paraId="7F64BC12" w14:textId="77777777" w:rsidR="00777AF2" w:rsidRDefault="00777AF2" w:rsidP="00511118">
      <w:pPr>
        <w:pStyle w:val="Caption"/>
      </w:pPr>
    </w:p>
    <w:p w14:paraId="61B31957" w14:textId="77777777" w:rsidR="00E67DBB" w:rsidRDefault="00E67DBB" w:rsidP="00E67DBB">
      <w:pPr>
        <w:pStyle w:val="Caption"/>
      </w:pPr>
    </w:p>
    <w:p w14:paraId="7F5F93B1" w14:textId="77777777" w:rsidR="00777AF2" w:rsidRPr="003609FB" w:rsidRDefault="00777AF2" w:rsidP="00AB2160">
      <w:pPr>
        <w:spacing w:line="360" w:lineRule="auto"/>
        <w:rPr>
          <w:rFonts w:ascii="Times New Roman" w:hAnsi="Times New Roman" w:cs="Times New Roman"/>
          <w:sz w:val="24"/>
          <w:szCs w:val="24"/>
        </w:rPr>
      </w:pPr>
    </w:p>
    <w:p w14:paraId="5DF616C3" w14:textId="44D41C38" w:rsidR="008B5D65" w:rsidRDefault="008B5D65" w:rsidP="00AB2160">
      <w:pPr>
        <w:spacing w:line="360" w:lineRule="auto"/>
        <w:rPr>
          <w:rFonts w:ascii="Times New Roman" w:hAnsi="Times New Roman" w:cs="Times New Roman"/>
          <w:sz w:val="24"/>
          <w:szCs w:val="24"/>
        </w:rPr>
      </w:pPr>
    </w:p>
    <w:p w14:paraId="184B60F8" w14:textId="77777777" w:rsidR="008B5D65" w:rsidRPr="003609FB" w:rsidRDefault="008B5D65" w:rsidP="00AB2160">
      <w:pPr>
        <w:spacing w:line="360" w:lineRule="auto"/>
        <w:rPr>
          <w:rFonts w:ascii="Times New Roman" w:hAnsi="Times New Roman" w:cs="Times New Roman"/>
          <w:sz w:val="24"/>
          <w:szCs w:val="24"/>
        </w:rPr>
      </w:pPr>
    </w:p>
    <w:p w14:paraId="2E30387C" w14:textId="6AC48104" w:rsidR="00F054D3" w:rsidRPr="003609FB" w:rsidRDefault="00E67DBB" w:rsidP="00AB2160">
      <w:pPr>
        <w:spacing w:line="360" w:lineRule="auto"/>
        <w:rPr>
          <w:rFonts w:ascii="Times New Roman" w:hAnsi="Times New Roman" w:cs="Times New Roman"/>
          <w:sz w:val="24"/>
          <w:szCs w:val="24"/>
        </w:rPr>
      </w:pPr>
      <w:r w:rsidRPr="005078F0">
        <w:rPr>
          <w:rFonts w:ascii="Times New Roman" w:hAnsi="Times New Roman" w:cs="Times New Roman"/>
          <w:noProof/>
          <w:sz w:val="24"/>
          <w:szCs w:val="24"/>
        </w:rPr>
        <w:lastRenderedPageBreak/>
        <w:drawing>
          <wp:inline distT="0" distB="0" distL="0" distR="0" wp14:anchorId="0F9658B0" wp14:editId="29E72A63">
            <wp:extent cx="5307016" cy="3369034"/>
            <wp:effectExtent l="0" t="0" r="1905" b="0"/>
            <wp:docPr id="505051013" name="Picture 505051013" descr="A group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51013" name="Picture 505051013" descr="A group of graphs and diagrams&#10;&#10;Description automatically generated"/>
                    <pic:cNvPicPr/>
                  </pic:nvPicPr>
                  <pic:blipFill rotWithShape="1">
                    <a:blip r:embed="rId88"/>
                    <a:srcRect l="2211" t="9947" r="6998" b="3592"/>
                    <a:stretch/>
                  </pic:blipFill>
                  <pic:spPr bwMode="auto">
                    <a:xfrm>
                      <a:off x="0" y="0"/>
                      <a:ext cx="5307484" cy="3369331"/>
                    </a:xfrm>
                    <a:prstGeom prst="rect">
                      <a:avLst/>
                    </a:prstGeom>
                    <a:ln>
                      <a:noFill/>
                    </a:ln>
                    <a:extLst>
                      <a:ext uri="{53640926-AAD7-44D8-BBD7-CCE9431645EC}">
                        <a14:shadowObscured xmlns:a14="http://schemas.microsoft.com/office/drawing/2010/main"/>
                      </a:ext>
                    </a:extLst>
                  </pic:spPr>
                </pic:pic>
              </a:graphicData>
            </a:graphic>
          </wp:inline>
        </w:drawing>
      </w:r>
    </w:p>
    <w:p w14:paraId="1E673BFE" w14:textId="77777777" w:rsidR="00E67DBB" w:rsidRDefault="00E67DBB" w:rsidP="00E67DBB">
      <w:pPr>
        <w:pStyle w:val="Caption"/>
      </w:pPr>
      <w:r>
        <w:t xml:space="preserve">Figure B8 </w:t>
      </w:r>
      <w:r w:rsidRPr="00E7612E">
        <w:t xml:space="preserve">Monoculture </w:t>
      </w:r>
      <w:r w:rsidRPr="00BB0026">
        <w:t>Parameter Summary Table</w:t>
      </w:r>
      <w:r>
        <w:rPr>
          <w:i/>
          <w:iCs/>
        </w:rPr>
        <w:t xml:space="preserve"> </w:t>
      </w:r>
      <w:r w:rsidRPr="00BB0026">
        <w:t xml:space="preserve">Growth Parameters of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rsidRPr="00BB0026">
        <w:t xml:space="preserve"> </w:t>
      </w:r>
      <w:r>
        <w:t>(</w:t>
      </w:r>
      <w:proofErr w:type="spellStart"/>
      <w:r>
        <w:t>mus</w:t>
      </w:r>
      <w:proofErr w:type="spellEnd"/>
      <w:r>
        <w:t xml:space="preserve">) </w:t>
      </w:r>
      <w:r w:rsidRPr="00BB0026">
        <w:t xml:space="preserve">and </w:t>
      </w:r>
      <w:r>
        <w:t>nutrient affinity (k1s)</w:t>
      </w:r>
      <w:r w:rsidRPr="00BB0026">
        <w:t xml:space="preserve"> from </w:t>
      </w:r>
      <w:r>
        <w:t xml:space="preserve">assays with </w:t>
      </w:r>
      <w:r w:rsidRPr="00BB0026">
        <w:t xml:space="preserve">0nM </w:t>
      </w:r>
      <w:r>
        <w:t xml:space="preserve">additional </w:t>
      </w:r>
      <w:r w:rsidRPr="00E7612E">
        <w:t>H</w:t>
      </w:r>
      <w:r w:rsidRPr="00234308">
        <w:rPr>
          <w:vertAlign w:val="subscript"/>
        </w:rPr>
        <w:t>2</w:t>
      </w:r>
      <w:r w:rsidRPr="00E7612E">
        <w:t>O</w:t>
      </w:r>
      <w:r w:rsidRPr="00234308">
        <w:rPr>
          <w:vertAlign w:val="subscript"/>
        </w:rPr>
        <w:t>2</w:t>
      </w:r>
      <w:r w:rsidRPr="00E7612E">
        <w:t xml:space="preserve"> spike </w:t>
      </w:r>
      <w:r>
        <w:t xml:space="preserve">and </w:t>
      </w:r>
      <w:r w:rsidRPr="00E7612E">
        <w:t>H</w:t>
      </w:r>
      <w:r w:rsidRPr="00234308">
        <w:rPr>
          <w:vertAlign w:val="subscript"/>
        </w:rPr>
        <w:t>2</w:t>
      </w:r>
      <w:r w:rsidRPr="00E7612E">
        <w:t>O</w:t>
      </w:r>
      <w:r w:rsidRPr="00234308">
        <w:rPr>
          <w:vertAlign w:val="subscript"/>
        </w:rPr>
        <w:t>2</w:t>
      </w:r>
      <w:r w:rsidRPr="00E7612E">
        <w:t xml:space="preserve"> </w:t>
      </w:r>
      <w:r>
        <w:t xml:space="preserve">parameters of cell-specific </w:t>
      </w:r>
    </w:p>
    <w:p w14:paraId="79754182" w14:textId="77777777" w:rsidR="00E67DBB" w:rsidRPr="00D71796" w:rsidRDefault="00E67DBB" w:rsidP="00E67DBB">
      <w:pPr>
        <w:pStyle w:val="Caption"/>
      </w:pPr>
      <w:r w:rsidRPr="00E7612E">
        <w:t>H</w:t>
      </w:r>
      <w:r w:rsidRPr="00234308">
        <w:rPr>
          <w:vertAlign w:val="subscript"/>
        </w:rPr>
        <w:t>2</w:t>
      </w:r>
      <w:r w:rsidRPr="00E7612E">
        <w:t>O</w:t>
      </w:r>
      <w:r w:rsidRPr="00234308">
        <w:rPr>
          <w:vertAlign w:val="subscript"/>
        </w:rPr>
        <w:t>2</w:t>
      </w:r>
      <w:r>
        <w:t xml:space="preserve"> detoxification, (phis)</w:t>
      </w:r>
      <w:r>
        <w:rPr>
          <w:vertAlign w:val="subscript"/>
        </w:rPr>
        <w:t xml:space="preserve"> </w:t>
      </w:r>
      <m:oMath>
        <m:sSub>
          <m:sSubPr>
            <m:ctrlPr>
              <w:rPr>
                <w:rFonts w:ascii="Cambria Math" w:hAnsi="Cambria Math"/>
                <w:i/>
                <w:iCs/>
              </w:rPr>
            </m:ctrlPr>
          </m:sSubPr>
          <m:e>
            <m:r>
              <w:rPr>
                <w:rFonts w:ascii="Cambria Math" w:hAnsi="Cambria Math"/>
              </w:rPr>
              <m:t>ϕ</m:t>
            </m:r>
          </m:e>
          <m:sub>
            <m:r>
              <w:rPr>
                <w:rFonts w:ascii="Cambria Math" w:hAnsi="Cambria Math"/>
              </w:rPr>
              <m:t>max,i</m:t>
            </m:r>
          </m:sub>
        </m:sSub>
      </m:oMath>
      <w:r w:rsidRPr="003609FB">
        <w:t xml:space="preserve"> </w:t>
      </w:r>
      <w:r>
        <w:t>and</w:t>
      </w:r>
      <w:r w:rsidRPr="00D71796">
        <w:t xml:space="preserve"> </w:t>
      </w:r>
      <w:r w:rsidRPr="00E7612E">
        <w:t>H</w:t>
      </w:r>
      <w:r w:rsidRPr="00234308">
        <w:rPr>
          <w:vertAlign w:val="subscript"/>
        </w:rPr>
        <w:t>2</w:t>
      </w:r>
      <w:r w:rsidRPr="00E7612E">
        <w:t>O</w:t>
      </w:r>
      <w:r w:rsidRPr="00234308">
        <w:rPr>
          <w:vertAlign w:val="subscript"/>
        </w:rPr>
        <w:t>2</w:t>
      </w:r>
      <w:r>
        <w:t xml:space="preserve"> cell damage, (</w:t>
      </w:r>
      <w:proofErr w:type="spellStart"/>
      <w:r>
        <w:t>kdams</w:t>
      </w:r>
      <w:proofErr w:type="spellEnd"/>
      <w:r>
        <w:t xml:space="preserve">)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dam,i</m:t>
            </m:r>
          </m:sub>
        </m:sSub>
      </m:oMath>
      <w:r>
        <w:t>, from assays with</w:t>
      </w:r>
      <w:r w:rsidRPr="00E7612E">
        <w:t xml:space="preserve"> 400nM </w:t>
      </w:r>
      <w:r>
        <w:t xml:space="preserve">additional </w:t>
      </w:r>
      <w:r w:rsidRPr="00E7612E">
        <w:t>H</w:t>
      </w:r>
      <w:r w:rsidRPr="00234308">
        <w:rPr>
          <w:vertAlign w:val="subscript"/>
        </w:rPr>
        <w:t>2</w:t>
      </w:r>
      <w:r w:rsidRPr="00E7612E">
        <w:t>O</w:t>
      </w:r>
      <w:r w:rsidRPr="00234308">
        <w:rPr>
          <w:vertAlign w:val="subscript"/>
        </w:rPr>
        <w:t>2</w:t>
      </w:r>
      <w:r w:rsidRPr="00E7612E">
        <w:t xml:space="preserve"> spike</w:t>
      </w:r>
      <w:r>
        <w:t>.</w:t>
      </w:r>
    </w:p>
    <w:p w14:paraId="2F216EC7" w14:textId="77777777" w:rsidR="007320AA" w:rsidRDefault="007320AA" w:rsidP="00AB2160">
      <w:pPr>
        <w:spacing w:line="360" w:lineRule="auto"/>
        <w:rPr>
          <w:rFonts w:ascii="Times New Roman" w:hAnsi="Times New Roman" w:cs="Times New Roman"/>
          <w:sz w:val="24"/>
          <w:szCs w:val="24"/>
        </w:rPr>
      </w:pPr>
    </w:p>
    <w:p w14:paraId="224445C5" w14:textId="77777777" w:rsidR="005078F0" w:rsidRDefault="005078F0" w:rsidP="00AB2160">
      <w:pPr>
        <w:spacing w:line="360" w:lineRule="auto"/>
        <w:rPr>
          <w:rFonts w:ascii="Times New Roman" w:hAnsi="Times New Roman" w:cs="Times New Roman"/>
          <w:sz w:val="24"/>
          <w:szCs w:val="24"/>
        </w:rPr>
      </w:pPr>
    </w:p>
    <w:p w14:paraId="565395C8" w14:textId="77777777" w:rsidR="001E1D65" w:rsidRDefault="001E1D65" w:rsidP="00AB2160">
      <w:pPr>
        <w:spacing w:line="360" w:lineRule="auto"/>
        <w:rPr>
          <w:rFonts w:ascii="Times New Roman" w:hAnsi="Times New Roman" w:cs="Times New Roman"/>
          <w:sz w:val="24"/>
          <w:szCs w:val="24"/>
        </w:rPr>
      </w:pPr>
    </w:p>
    <w:p w14:paraId="707E57E7" w14:textId="4C04CD9D" w:rsidR="001C6F55" w:rsidRPr="003609FB" w:rsidRDefault="001C6F55" w:rsidP="00AB2160">
      <w:pPr>
        <w:spacing w:line="360" w:lineRule="auto"/>
        <w:rPr>
          <w:rFonts w:ascii="Times New Roman" w:hAnsi="Times New Roman" w:cs="Times New Roman"/>
          <w:sz w:val="24"/>
          <w:szCs w:val="24"/>
        </w:rPr>
      </w:pPr>
    </w:p>
    <w:p w14:paraId="577CF792" w14:textId="77777777" w:rsidR="001E1D65" w:rsidRDefault="001E1D65" w:rsidP="00511118">
      <w:pPr>
        <w:pStyle w:val="Caption"/>
      </w:pPr>
    </w:p>
    <w:p w14:paraId="5F16F9E9" w14:textId="77777777" w:rsidR="001E1D65" w:rsidRDefault="001E1D65" w:rsidP="00511118">
      <w:pPr>
        <w:pStyle w:val="Caption"/>
      </w:pPr>
    </w:p>
    <w:p w14:paraId="63B76DAE" w14:textId="7063AABE" w:rsidR="008B5D65" w:rsidRDefault="008B5D65" w:rsidP="00AB2160">
      <w:pPr>
        <w:spacing w:line="360" w:lineRule="auto"/>
        <w:rPr>
          <w:rFonts w:ascii="Times New Roman" w:hAnsi="Times New Roman" w:cs="Times New Roman"/>
          <w:sz w:val="24"/>
          <w:szCs w:val="24"/>
        </w:rPr>
      </w:pPr>
    </w:p>
    <w:p w14:paraId="3A9A2E0A" w14:textId="47E50894" w:rsidR="00362DE2" w:rsidRDefault="00362DE2" w:rsidP="00AB2160">
      <w:pPr>
        <w:spacing w:line="360" w:lineRule="auto"/>
        <w:rPr>
          <w:rFonts w:ascii="Times New Roman" w:hAnsi="Times New Roman" w:cs="Times New Roman"/>
          <w:sz w:val="24"/>
          <w:szCs w:val="24"/>
        </w:rPr>
      </w:pPr>
    </w:p>
    <w:p w14:paraId="190AA5AB" w14:textId="77777777" w:rsidR="00777AF2" w:rsidRDefault="00777AF2" w:rsidP="00AB2160">
      <w:pPr>
        <w:spacing w:line="360" w:lineRule="auto"/>
        <w:rPr>
          <w:rFonts w:ascii="Times New Roman" w:hAnsi="Times New Roman" w:cs="Times New Roman"/>
          <w:sz w:val="24"/>
          <w:szCs w:val="24"/>
        </w:rPr>
      </w:pPr>
    </w:p>
    <w:p w14:paraId="5D4EF80D" w14:textId="2FE518B5" w:rsidR="00BB0026" w:rsidRDefault="00BB0026" w:rsidP="004939C4">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DC93595" wp14:editId="02F19D5E">
            <wp:extent cx="6104660" cy="1284051"/>
            <wp:effectExtent l="0" t="0" r="4445" b="0"/>
            <wp:docPr id="19"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omputer&#10;&#10;Description automatically generated"/>
                    <pic:cNvPicPr/>
                  </pic:nvPicPr>
                  <pic:blipFill rotWithShape="1">
                    <a:blip r:embed="rId89" cstate="print">
                      <a:extLst>
                        <a:ext uri="{28A0092B-C50C-407E-A947-70E740481C1C}">
                          <a14:useLocalDpi xmlns:a14="http://schemas.microsoft.com/office/drawing/2010/main" val="0"/>
                        </a:ext>
                      </a:extLst>
                    </a:blip>
                    <a:srcRect l="7201"/>
                    <a:stretch/>
                  </pic:blipFill>
                  <pic:spPr bwMode="auto">
                    <a:xfrm>
                      <a:off x="0" y="0"/>
                      <a:ext cx="6124218" cy="1288165"/>
                    </a:xfrm>
                    <a:prstGeom prst="rect">
                      <a:avLst/>
                    </a:prstGeom>
                    <a:ln>
                      <a:noFill/>
                    </a:ln>
                    <a:extLst>
                      <a:ext uri="{53640926-AAD7-44D8-BBD7-CCE9431645EC}">
                        <a14:shadowObscured xmlns:a14="http://schemas.microsoft.com/office/drawing/2010/main"/>
                      </a:ext>
                    </a:extLst>
                  </pic:spPr>
                </pic:pic>
              </a:graphicData>
            </a:graphic>
          </wp:inline>
        </w:drawing>
      </w:r>
    </w:p>
    <w:p w14:paraId="7E34441C" w14:textId="7C7789A7" w:rsidR="00B5475F" w:rsidRDefault="00970A0F" w:rsidP="00511118">
      <w:pPr>
        <w:pStyle w:val="Caption"/>
      </w:pPr>
      <w:r w:rsidRPr="00970A0F">
        <w:t>Figure B</w:t>
      </w:r>
      <w:r>
        <w:t>9</w:t>
      </w:r>
      <w:r w:rsidRPr="00970A0F">
        <w:t xml:space="preserve"> Monoculture Parameter Summary Table Growth Parameters of </w:t>
      </w:r>
      <w:r w:rsidRPr="00970A0F">
        <w:rPr>
          <w:rFonts w:ascii="Cambria Math" w:hAnsi="Cambria Math" w:cs="Cambria Math"/>
        </w:rPr>
        <w:t>𝜇𝑖</w:t>
      </w:r>
      <w:r w:rsidRPr="00970A0F">
        <w:t xml:space="preserve"> (</w:t>
      </w:r>
      <w:proofErr w:type="spellStart"/>
      <w:r w:rsidRPr="00970A0F">
        <w:t>mus</w:t>
      </w:r>
      <w:proofErr w:type="spellEnd"/>
      <w:r w:rsidRPr="00970A0F">
        <w:t>) and nutrient affinity (k1s) from assays with 0nM additional H2O2 spike and H2O2 parameters of cell-</w:t>
      </w:r>
      <w:proofErr w:type="gramStart"/>
      <w:r w:rsidRPr="00970A0F">
        <w:t>specific  H</w:t>
      </w:r>
      <w:proofErr w:type="gramEnd"/>
      <w:r w:rsidRPr="00970A0F">
        <w:t xml:space="preserve">2O2 detoxification, (phis) </w:t>
      </w:r>
      <w:r w:rsidRPr="00970A0F">
        <w:rPr>
          <w:rFonts w:ascii="Cambria Math" w:hAnsi="Cambria Math" w:cs="Cambria Math"/>
        </w:rPr>
        <w:t>𝜙𝑚𝑎𝑥</w:t>
      </w:r>
      <w:r w:rsidRPr="00970A0F">
        <w:t>,</w:t>
      </w:r>
      <w:r w:rsidRPr="00970A0F">
        <w:rPr>
          <w:rFonts w:ascii="Cambria Math" w:hAnsi="Cambria Math" w:cs="Cambria Math"/>
        </w:rPr>
        <w:t>𝑖</w:t>
      </w:r>
      <w:r w:rsidRPr="00970A0F">
        <w:t xml:space="preserve"> and H2O2 cell damage, (</w:t>
      </w:r>
      <w:proofErr w:type="spellStart"/>
      <w:r w:rsidRPr="00970A0F">
        <w:t>kdams</w:t>
      </w:r>
      <w:proofErr w:type="spellEnd"/>
      <w:r w:rsidRPr="00970A0F">
        <w:t xml:space="preserve">) </w:t>
      </w:r>
      <w:proofErr w:type="spellStart"/>
      <w:r w:rsidRPr="00970A0F">
        <w:t>kdam,i</w:t>
      </w:r>
      <w:proofErr w:type="spellEnd"/>
      <w:r w:rsidRPr="00970A0F">
        <w:t>, from assays with 400nM additional H2O2 spike.</w:t>
      </w:r>
    </w:p>
    <w:p w14:paraId="6603EE34" w14:textId="77777777" w:rsidR="00B5475F" w:rsidRDefault="00B5475F" w:rsidP="00511118">
      <w:pPr>
        <w:pStyle w:val="Caption"/>
      </w:pPr>
    </w:p>
    <w:p w14:paraId="190AAD37" w14:textId="77777777" w:rsidR="00B5475F" w:rsidRDefault="00B5475F" w:rsidP="00511118">
      <w:pPr>
        <w:pStyle w:val="Caption"/>
      </w:pPr>
    </w:p>
    <w:p w14:paraId="2A9527F2" w14:textId="77777777" w:rsidR="00B5475F" w:rsidRDefault="00B5475F" w:rsidP="00511118">
      <w:pPr>
        <w:pStyle w:val="Caption"/>
      </w:pPr>
    </w:p>
    <w:p w14:paraId="6ADA156E" w14:textId="77777777" w:rsidR="00B5475F" w:rsidRDefault="00B5475F" w:rsidP="00511118">
      <w:pPr>
        <w:pStyle w:val="Caption"/>
      </w:pPr>
    </w:p>
    <w:p w14:paraId="66D886D5" w14:textId="77777777" w:rsidR="00B5475F" w:rsidRDefault="00B5475F" w:rsidP="00511118">
      <w:pPr>
        <w:pStyle w:val="Caption"/>
      </w:pPr>
    </w:p>
    <w:p w14:paraId="38C76C00" w14:textId="77777777" w:rsidR="00B5475F" w:rsidRDefault="00B5475F" w:rsidP="00511118">
      <w:pPr>
        <w:pStyle w:val="Caption"/>
      </w:pPr>
    </w:p>
    <w:p w14:paraId="3BF2F88B" w14:textId="77777777" w:rsidR="00B5475F" w:rsidRDefault="00B5475F" w:rsidP="00511118">
      <w:pPr>
        <w:pStyle w:val="Caption"/>
      </w:pPr>
    </w:p>
    <w:p w14:paraId="701DCD63" w14:textId="77777777" w:rsidR="00B5475F" w:rsidRDefault="00B5475F" w:rsidP="00511118">
      <w:pPr>
        <w:pStyle w:val="Caption"/>
      </w:pPr>
    </w:p>
    <w:p w14:paraId="0EECCACE" w14:textId="77777777" w:rsidR="00B5475F" w:rsidRDefault="00B5475F" w:rsidP="00511118">
      <w:pPr>
        <w:pStyle w:val="Caption"/>
      </w:pPr>
    </w:p>
    <w:p w14:paraId="3177494B" w14:textId="77777777" w:rsidR="00B5475F" w:rsidRDefault="00B5475F" w:rsidP="00511118">
      <w:pPr>
        <w:pStyle w:val="Caption"/>
      </w:pPr>
    </w:p>
    <w:p w14:paraId="659F5FF6" w14:textId="77777777" w:rsidR="00B5475F" w:rsidRDefault="00B5475F" w:rsidP="00511118">
      <w:pPr>
        <w:pStyle w:val="Caption"/>
      </w:pPr>
    </w:p>
    <w:p w14:paraId="36EDF73D" w14:textId="77777777" w:rsidR="00B5475F" w:rsidRDefault="00B5475F" w:rsidP="00511118">
      <w:pPr>
        <w:pStyle w:val="Caption"/>
      </w:pPr>
    </w:p>
    <w:p w14:paraId="4D7D375B" w14:textId="77777777" w:rsidR="00B5475F" w:rsidRDefault="00B5475F" w:rsidP="00511118">
      <w:pPr>
        <w:pStyle w:val="Caption"/>
      </w:pPr>
    </w:p>
    <w:p w14:paraId="333E6E72" w14:textId="77777777" w:rsidR="00B5475F" w:rsidRDefault="00B5475F" w:rsidP="00511118">
      <w:pPr>
        <w:pStyle w:val="Caption"/>
      </w:pPr>
    </w:p>
    <w:p w14:paraId="48A58313" w14:textId="77777777" w:rsidR="00B5475F" w:rsidRDefault="00B5475F" w:rsidP="00511118">
      <w:pPr>
        <w:pStyle w:val="Caption"/>
      </w:pPr>
    </w:p>
    <w:p w14:paraId="3C4D1732" w14:textId="77777777" w:rsidR="00B5475F" w:rsidRDefault="00B5475F" w:rsidP="00511118">
      <w:pPr>
        <w:pStyle w:val="Caption"/>
      </w:pPr>
    </w:p>
    <w:p w14:paraId="7CAEA862" w14:textId="2DFE52F1" w:rsidR="00B33870" w:rsidRPr="003609FB" w:rsidRDefault="00A45A8D" w:rsidP="00AB2160">
      <w:pPr>
        <w:pStyle w:val="Heading3"/>
        <w:spacing w:line="360" w:lineRule="auto"/>
      </w:pPr>
      <w:bookmarkStart w:id="107" w:name="_Toc173250066"/>
      <w:r w:rsidRPr="003609FB">
        <w:lastRenderedPageBreak/>
        <w:t>B</w:t>
      </w:r>
      <w:r w:rsidR="00B33870" w:rsidRPr="003609FB">
        <w:t>2 Equilibria</w:t>
      </w:r>
      <w:bookmarkEnd w:id="107"/>
    </w:p>
    <w:p w14:paraId="537EB5A1" w14:textId="77777777" w:rsidR="00B33870" w:rsidRPr="003609FB" w:rsidRDefault="00B33870" w:rsidP="00AB2160">
      <w:pPr>
        <w:spacing w:line="360" w:lineRule="auto"/>
        <w:rPr>
          <w:rFonts w:ascii="Times New Roman" w:hAnsi="Times New Roman" w:cs="Times New Roman"/>
          <w:sz w:val="24"/>
          <w:szCs w:val="24"/>
        </w:rPr>
      </w:pPr>
    </w:p>
    <w:p w14:paraId="12B8C9E9" w14:textId="7A0A8671" w:rsidR="00C83E41" w:rsidRPr="003609FB" w:rsidRDefault="00B33870" w:rsidP="000F66B1">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Equilibrium for cases 1-4 calculated with differentiation and S*, P*, H*, N* </w:t>
      </w:r>
      <w:proofErr w:type="spellStart"/>
      <w:r w:rsidRPr="003609FB">
        <w:rPr>
          <w:rFonts w:ascii="Times New Roman" w:hAnsi="Times New Roman" w:cs="Times New Roman"/>
          <w:sz w:val="24"/>
          <w:szCs w:val="24"/>
        </w:rPr>
        <w:t>algebaric</w:t>
      </w:r>
      <w:proofErr w:type="spellEnd"/>
      <w:r w:rsidRPr="003609FB">
        <w:rPr>
          <w:rFonts w:ascii="Times New Roman" w:hAnsi="Times New Roman" w:cs="Times New Roman"/>
          <w:sz w:val="24"/>
          <w:szCs w:val="24"/>
        </w:rPr>
        <w:t xml:space="preserve"> </w:t>
      </w:r>
      <w:r w:rsidR="00197A8D" w:rsidRPr="003609FB">
        <w:rPr>
          <w:rFonts w:ascii="Times New Roman" w:hAnsi="Times New Roman" w:cs="Times New Roman"/>
          <w:sz w:val="24"/>
          <w:szCs w:val="24"/>
        </w:rPr>
        <w:t>substitutions</w:t>
      </w:r>
      <w:r w:rsidR="00777AF2">
        <w:rPr>
          <w:rFonts w:ascii="Times New Roman" w:hAnsi="Times New Roman" w:cs="Times New Roman"/>
          <w:sz w:val="24"/>
          <w:szCs w:val="24"/>
        </w:rPr>
        <w:t xml:space="preserve"> for chapter 3 analyses of long term S,P,N,H dynamics. </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gridCol w:w="180"/>
      </w:tblGrid>
      <w:tr w:rsidR="00B33870" w:rsidRPr="003609FB" w14:paraId="3DDC7A95" w14:textId="77777777" w:rsidTr="004C2C2A">
        <w:trPr>
          <w:trHeight w:val="1084"/>
        </w:trPr>
        <w:tc>
          <w:tcPr>
            <w:tcW w:w="9540" w:type="dxa"/>
            <w:gridSpan w:val="2"/>
          </w:tcPr>
          <w:p w14:paraId="1AF18087" w14:textId="55F2CFE1" w:rsidR="00B33870" w:rsidRPr="00197A8D" w:rsidRDefault="00B33870" w:rsidP="004C2C2A">
            <w:pPr>
              <w:spacing w:line="360" w:lineRule="auto"/>
              <w:jc w:val="center"/>
              <w:rPr>
                <w:rFonts w:ascii="Times New Roman" w:hAnsi="Times New Roman" w:cs="Times New Roman"/>
                <w:sz w:val="24"/>
                <w:szCs w:val="24"/>
                <w:highlight w:val="yellow"/>
              </w:rPr>
            </w:pPr>
            <w:r w:rsidRPr="003609FB">
              <w:rPr>
                <w:rFonts w:ascii="Times New Roman" w:hAnsi="Times New Roman" w:cs="Times New Roman"/>
                <w:sz w:val="24"/>
                <w:szCs w:val="24"/>
              </w:rPr>
              <w:t xml:space="preserve">Steady State of P and N in 0 supply of </w:t>
            </w:r>
            <w:r w:rsidR="00F52F1E" w:rsidRPr="003609FB">
              <w:rPr>
                <w:rFonts w:ascii="Times New Roman" w:hAnsi="Times New Roman" w:cs="Times New Roman"/>
                <w:sz w:val="24"/>
                <w:szCs w:val="24"/>
              </w:rPr>
              <w:t>H</w:t>
            </w:r>
            <w:r w:rsidR="00F52F1E" w:rsidRPr="00351FC4">
              <w:rPr>
                <w:rFonts w:ascii="Times New Roman" w:hAnsi="Times New Roman" w:cs="Times New Roman"/>
                <w:sz w:val="24"/>
                <w:szCs w:val="24"/>
                <w:vertAlign w:val="subscript"/>
              </w:rPr>
              <w:t>2</w:t>
            </w:r>
            <w:r w:rsidR="00F52F1E" w:rsidRPr="003609FB">
              <w:rPr>
                <w:rFonts w:ascii="Times New Roman" w:hAnsi="Times New Roman" w:cs="Times New Roman"/>
                <w:sz w:val="24"/>
                <w:szCs w:val="24"/>
              </w:rPr>
              <w:t>O</w:t>
            </w:r>
            <w:r w:rsidR="00F52F1E" w:rsidRPr="00351FC4">
              <w:rPr>
                <w:rFonts w:ascii="Times New Roman" w:hAnsi="Times New Roman" w:cs="Times New Roman"/>
                <w:sz w:val="24"/>
                <w:szCs w:val="24"/>
                <w:vertAlign w:val="subscript"/>
              </w:rPr>
              <w:t>2</w:t>
            </w:r>
            <w:r w:rsidR="00197A8D">
              <w:rPr>
                <w:rFonts w:ascii="Times New Roman" w:hAnsi="Times New Roman" w:cs="Times New Roman"/>
                <w:sz w:val="24"/>
                <w:szCs w:val="24"/>
              </w:rPr>
              <w:t xml:space="preserve"> :</w:t>
            </w:r>
            <w:r w:rsidR="00197A8D" w:rsidRPr="003609FB">
              <w:rPr>
                <w:rFonts w:ascii="Times New Roman" w:hAnsi="Times New Roman" w:cs="Times New Roman"/>
                <w:sz w:val="24"/>
                <w:szCs w:val="24"/>
              </w:rPr>
              <w:t xml:space="preserve"> Equilibria Set 1</w:t>
            </w:r>
          </w:p>
        </w:tc>
      </w:tr>
      <w:tr w:rsidR="00197A8D" w:rsidRPr="003609FB" w14:paraId="1F4BBC1B" w14:textId="77777777" w:rsidTr="004C2C2A">
        <w:trPr>
          <w:trHeight w:val="1084"/>
        </w:trPr>
        <w:tc>
          <w:tcPr>
            <w:tcW w:w="9540" w:type="dxa"/>
            <w:gridSpan w:val="2"/>
            <w:vAlign w:val="center"/>
          </w:tcPr>
          <w:p w14:paraId="08097EB1" w14:textId="5112A524" w:rsidR="00197A8D" w:rsidRPr="00197A8D" w:rsidRDefault="00197A8D" w:rsidP="00197A8D">
            <w:pPr>
              <w:spacing w:line="360" w:lineRule="auto"/>
              <w:rPr>
                <w:rFonts w:ascii="Times New Roman" w:hAnsi="Times New Roman" w:cs="Times New Roman"/>
                <w:sz w:val="24"/>
                <w:szCs w:val="24"/>
              </w:rPr>
            </w:pPr>
            <m:oMathPara>
              <m:oMath>
                <m:r>
                  <w:rPr>
                    <w:rFonts w:ascii="Cambria Math" w:hAnsi="Cambria Math" w:cs="Times New Roman"/>
                    <w:sz w:val="24"/>
                    <w:szCs w:val="24"/>
                  </w:rPr>
                  <m:t xml:space="preserve">N* = - </m:t>
                </m:r>
                <m:f>
                  <m:fPr>
                    <m:ctrlPr>
                      <w:rPr>
                        <w:rFonts w:ascii="Cambria Math" w:hAnsi="Cambria Math" w:cs="Times New Roman"/>
                        <w:sz w:val="24"/>
                        <w:szCs w:val="24"/>
                      </w:rPr>
                    </m:ctrlPr>
                  </m:fPr>
                  <m:num>
                    <m:d>
                      <m:dPr>
                        <m:ctrlPr>
                          <w:rPr>
                            <w:rFonts w:ascii="Cambria Math" w:hAnsi="Cambria Math" w:cs="Times New Roman"/>
                            <w:i/>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r>
                          <m:rPr>
                            <m:sty m:val="p"/>
                          </m:rPr>
                          <w:rPr>
                            <w:rFonts w:ascii="Cambria Math" w:hAnsi="Cambria Math" w:cs="Times New Roman"/>
                            <w:sz w:val="24"/>
                            <w:szCs w:val="24"/>
                          </w:rPr>
                          <m:t>H*</m:t>
                        </m:r>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e>
                    </m:d>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1</m:t>
                        </m:r>
                      </m:sub>
                    </m:sSub>
                    <m:d>
                      <m:dPr>
                        <m:ctrlPr>
                          <w:rPr>
                            <w:rFonts w:ascii="Cambria Math" w:hAnsi="Cambria Math" w:cs="Times New Roman"/>
                            <w:i/>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r>
                          <m:rPr>
                            <m:sty m:val="p"/>
                          </m:rPr>
                          <w:rPr>
                            <w:rFonts w:ascii="Cambria Math" w:hAnsi="Cambria Math" w:cs="Times New Roman"/>
                            <w:sz w:val="24"/>
                            <w:szCs w:val="24"/>
                          </w:rPr>
                          <m:t>H*</m:t>
                        </m:r>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e>
                    </m:d>
                  </m:den>
                </m:f>
              </m:oMath>
            </m:oMathPara>
          </w:p>
          <w:p w14:paraId="6F4E0611" w14:textId="4086D1F7" w:rsidR="00197A8D" w:rsidRPr="003609FB" w:rsidRDefault="00197A8D" w:rsidP="00AB2160">
            <w:pPr>
              <w:spacing w:line="360" w:lineRule="auto"/>
              <w:rPr>
                <w:rFonts w:ascii="Times New Roman" w:hAnsi="Times New Roman" w:cs="Times New Roman"/>
                <w:sz w:val="24"/>
                <w:szCs w:val="24"/>
                <w:highlight w:val="yellow"/>
              </w:rPr>
            </w:pPr>
          </w:p>
        </w:tc>
      </w:tr>
      <w:tr w:rsidR="00197A8D" w:rsidRPr="003609FB" w14:paraId="6E9EAFF0" w14:textId="77777777" w:rsidTr="004C2C2A">
        <w:trPr>
          <w:trHeight w:val="1084"/>
        </w:trPr>
        <w:tc>
          <w:tcPr>
            <w:tcW w:w="9540" w:type="dxa"/>
            <w:gridSpan w:val="2"/>
            <w:vAlign w:val="center"/>
          </w:tcPr>
          <w:p w14:paraId="2C9BC343" w14:textId="7584A53B" w:rsidR="00197A8D" w:rsidRPr="003609FB" w:rsidRDefault="00197A8D" w:rsidP="00AB2160">
            <w:pPr>
              <w:spacing w:line="360" w:lineRule="auto"/>
              <w:rPr>
                <w:rFonts w:ascii="Times New Roman" w:hAnsi="Times New Roman" w:cs="Times New Roman"/>
                <w:sz w:val="24"/>
                <w:szCs w:val="24"/>
                <w:highlight w:val="yellow"/>
              </w:rPr>
            </w:pPr>
            <m:oMathPara>
              <m:oMath>
                <m:r>
                  <w:rPr>
                    <w:rFonts w:ascii="Cambria Math" w:hAnsi="Cambria Math" w:cs="Times New Roman"/>
                    <w:sz w:val="24"/>
                    <w:szCs w:val="24"/>
                  </w:rPr>
                  <m:t xml:space="preserve"> P* = </m:t>
                </m:r>
                <m:f>
                  <m:fPr>
                    <m:ctrlPr>
                      <w:rPr>
                        <w:rFonts w:ascii="Cambria Math" w:hAnsi="Cambria Math" w:cs="Times New Roman"/>
                        <w:sz w:val="24"/>
                        <w:szCs w:val="24"/>
                      </w:rPr>
                    </m:ctrlPr>
                  </m:fPr>
                  <m:num>
                    <m:r>
                      <m:rPr>
                        <m:sty m:val="p"/>
                      </m:rPr>
                      <w:rPr>
                        <w:rFonts w:ascii="Cambria Math" w:hAnsi="Cambria Math" w:cs="Times New Roman"/>
                        <w:sz w:val="24"/>
                        <w:szCs w:val="24"/>
                      </w:rPr>
                      <m:t>N*</m:t>
                    </m:r>
                    <m:sSub>
                      <m:sSubPr>
                        <m:ctrlPr>
                          <w:rPr>
                            <w:rFonts w:ascii="Cambria Math" w:hAnsi="Cambria Math" w:cs="Times New Roman"/>
                            <w:i/>
                            <w:iCs/>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num>
                  <m:den>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r>
                      <m:rPr>
                        <m:sty m:val="p"/>
                      </m:rPr>
                      <w:rPr>
                        <w:rFonts w:ascii="Cambria Math" w:hAnsi="Cambria Math" w:cs="Times New Roman"/>
                        <w:sz w:val="24"/>
                        <w:szCs w:val="24"/>
                      </w:rPr>
                      <m:t>H*</m:t>
                    </m:r>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den>
                </m:f>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r>
                      <w:rPr>
                        <w:rFonts w:ascii="Cambria Math" w:hAnsi="Cambria Math" w:cs="Times New Roman"/>
                        <w:sz w:val="24"/>
                        <w:szCs w:val="24"/>
                      </w:rPr>
                      <m:t>ρ</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d>
                      <m:dPr>
                        <m:ctrlPr>
                          <w:rPr>
                            <w:rFonts w:ascii="Cambria Math" w:hAnsi="Cambria Math" w:cs="Times New Roman"/>
                            <w:i/>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S</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 xml:space="preserve"> 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e>
                    </m:d>
                  </m:den>
                </m:f>
              </m:oMath>
            </m:oMathPara>
          </w:p>
        </w:tc>
      </w:tr>
      <w:tr w:rsidR="00197A8D" w:rsidRPr="003609FB" w14:paraId="01B5D516" w14:textId="77777777" w:rsidTr="004C2C2A">
        <w:trPr>
          <w:trHeight w:val="1084"/>
        </w:trPr>
        <w:tc>
          <w:tcPr>
            <w:tcW w:w="9540" w:type="dxa"/>
            <w:gridSpan w:val="2"/>
            <w:vAlign w:val="center"/>
          </w:tcPr>
          <w:p w14:paraId="50B66E64" w14:textId="3162D9FD" w:rsidR="00197A8D" w:rsidRPr="003609FB" w:rsidRDefault="00197A8D" w:rsidP="00AB2160">
            <w:pPr>
              <w:spacing w:line="360" w:lineRule="auto"/>
              <w:rPr>
                <w:rFonts w:ascii="Times New Roman" w:hAnsi="Times New Roman" w:cs="Times New Roman"/>
                <w:sz w:val="24"/>
                <w:szCs w:val="24"/>
                <w:highlight w:val="yellow"/>
              </w:rPr>
            </w:pPr>
            <m:oMathPara>
              <m:oMath>
                <m:r>
                  <w:rPr>
                    <w:rFonts w:ascii="Cambria Math" w:hAnsi="Cambria Math" w:cs="Times New Roman"/>
                    <w:sz w:val="24"/>
                    <w:szCs w:val="24"/>
                  </w:rPr>
                  <m:t xml:space="preserve">S* =0 ; H* = </m:t>
                </m:r>
                <m:r>
                  <m:rPr>
                    <m:sty m:val="p"/>
                  </m:rPr>
                  <w:rPr>
                    <w:rFonts w:ascii="Cambria Math" w:hAnsi="Cambria Math" w:cs="Times New Roman"/>
                    <w:sz w:val="24"/>
                    <w:szCs w:val="24"/>
                  </w:rPr>
                  <m:t>0</m:t>
                </m:r>
              </m:oMath>
            </m:oMathPara>
          </w:p>
        </w:tc>
      </w:tr>
      <w:tr w:rsidR="00B33870" w:rsidRPr="003609FB" w14:paraId="3B6881B0" w14:textId="77777777" w:rsidTr="004C2C2A">
        <w:trPr>
          <w:gridAfter w:val="1"/>
          <w:wAfter w:w="180" w:type="dxa"/>
          <w:trHeight w:val="680"/>
        </w:trPr>
        <w:tc>
          <w:tcPr>
            <w:tcW w:w="9360" w:type="dxa"/>
          </w:tcPr>
          <w:p w14:paraId="5D594A62" w14:textId="77777777" w:rsidR="000F66B1" w:rsidRDefault="000F66B1" w:rsidP="004C2C2A">
            <w:pPr>
              <w:spacing w:line="360" w:lineRule="auto"/>
              <w:jc w:val="center"/>
              <w:rPr>
                <w:rFonts w:ascii="Times New Roman" w:hAnsi="Times New Roman" w:cs="Times New Roman"/>
                <w:sz w:val="24"/>
                <w:szCs w:val="24"/>
              </w:rPr>
            </w:pPr>
          </w:p>
          <w:p w14:paraId="6786DA10" w14:textId="7241B212" w:rsidR="00B33870" w:rsidRPr="003609FB" w:rsidRDefault="00B33870" w:rsidP="004C2C2A">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 xml:space="preserve">Steady States calculated for </w:t>
            </w:r>
            <w:proofErr w:type="spellStart"/>
            <w:r w:rsidR="00691B65" w:rsidRPr="00691B65">
              <w:rPr>
                <w:rFonts w:ascii="Times New Roman" w:hAnsi="Times New Roman" w:cs="Times New Roman"/>
                <w:i/>
                <w:iCs/>
                <w:sz w:val="24"/>
                <w:szCs w:val="24"/>
              </w:rPr>
              <w:t>Synechococcus</w:t>
            </w:r>
            <w:proofErr w:type="spellEnd"/>
            <w:r w:rsidRPr="003609FB">
              <w:rPr>
                <w:rFonts w:ascii="Times New Roman" w:hAnsi="Times New Roman" w:cs="Times New Roman"/>
                <w:sz w:val="24"/>
                <w:szCs w:val="24"/>
              </w:rPr>
              <w:t xml:space="preserve"> winning completion for N</w:t>
            </w:r>
            <w:r w:rsidR="00197A8D">
              <w:rPr>
                <w:rFonts w:ascii="Times New Roman" w:hAnsi="Times New Roman" w:cs="Times New Roman"/>
                <w:sz w:val="24"/>
                <w:szCs w:val="24"/>
              </w:rPr>
              <w:t>: Equilibria case 2</w:t>
            </w:r>
          </w:p>
        </w:tc>
      </w:tr>
      <w:tr w:rsidR="000F66B1" w:rsidRPr="003609FB" w14:paraId="5A71F741" w14:textId="77777777" w:rsidTr="002E2AE4">
        <w:trPr>
          <w:gridAfter w:val="1"/>
          <w:wAfter w:w="180" w:type="dxa"/>
          <w:trHeight w:val="680"/>
        </w:trPr>
        <w:tc>
          <w:tcPr>
            <w:tcW w:w="9360" w:type="dxa"/>
          </w:tcPr>
          <w:p w14:paraId="54339899" w14:textId="317578FB" w:rsidR="000F66B1" w:rsidRPr="003609FB" w:rsidRDefault="000F66B1" w:rsidP="00AB2160">
            <w:pPr>
              <w:spacing w:line="360" w:lineRule="auto"/>
              <w:rPr>
                <w:rFonts w:ascii="Times New Roman" w:hAnsi="Times New Roman" w:cs="Times New Roman"/>
                <w:sz w:val="24"/>
                <w:szCs w:val="24"/>
              </w:rPr>
            </w:pPr>
            <m:oMathPara>
              <m:oMath>
                <m:r>
                  <w:rPr>
                    <w:rFonts w:ascii="Cambria Math" w:hAnsi="Cambria Math" w:cs="Times New Roman"/>
                    <w:sz w:val="24"/>
                    <w:szCs w:val="24"/>
                  </w:rPr>
                  <m:t>N*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2</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2</m:t>
                            </m:r>
                          </m:sub>
                        </m:sSub>
                      </m:e>
                    </m:d>
                  </m:den>
                </m:f>
              </m:oMath>
            </m:oMathPara>
          </w:p>
        </w:tc>
      </w:tr>
      <w:tr w:rsidR="000F66B1" w:rsidRPr="003609FB" w14:paraId="5879729B" w14:textId="77777777" w:rsidTr="009C53C3">
        <w:trPr>
          <w:gridAfter w:val="1"/>
          <w:wAfter w:w="180" w:type="dxa"/>
          <w:trHeight w:val="1008"/>
        </w:trPr>
        <w:tc>
          <w:tcPr>
            <w:tcW w:w="9360" w:type="dxa"/>
          </w:tcPr>
          <w:p w14:paraId="3C81BE97" w14:textId="1640E9D8" w:rsidR="000F66B1" w:rsidRPr="003609FB" w:rsidRDefault="000F66B1" w:rsidP="00AB2160">
            <w:pPr>
              <w:spacing w:line="360" w:lineRule="auto"/>
              <w:rPr>
                <w:rFonts w:ascii="Times New Roman" w:hAnsi="Times New Roman" w:cs="Times New Roman"/>
                <w:sz w:val="24"/>
                <w:szCs w:val="24"/>
              </w:rPr>
            </w:pPr>
            <m:oMathPara>
              <m:oMath>
                <m:r>
                  <w:rPr>
                    <w:rFonts w:ascii="Cambria Math" w:hAnsi="Cambria Math" w:cs="Times New Roman"/>
                    <w:sz w:val="24"/>
                    <w:szCs w:val="24"/>
                  </w:rPr>
                  <m:t xml:space="preserve">S* = </m:t>
                </m:r>
                <m:f>
                  <m:fPr>
                    <m:ctrlPr>
                      <w:rPr>
                        <w:rFonts w:ascii="Cambria Math" w:hAnsi="Cambria Math" w:cs="Times New Roman"/>
                        <w:sz w:val="24"/>
                        <w:szCs w:val="24"/>
                      </w:rPr>
                    </m:ctrlPr>
                  </m:fPr>
                  <m:num>
                    <m:r>
                      <m:rPr>
                        <m:sty m:val="p"/>
                      </m:rPr>
                      <w:rPr>
                        <w:rFonts w:ascii="Cambria Math" w:hAnsi="Cambria Math" w:cs="Times New Roman"/>
                        <w:sz w:val="24"/>
                        <w:szCs w:val="24"/>
                      </w:rPr>
                      <m:t>N*</m:t>
                    </m:r>
                  </m:num>
                  <m:den>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den>
                </m:f>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ρ</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en>
                </m:f>
              </m:oMath>
            </m:oMathPara>
          </w:p>
        </w:tc>
      </w:tr>
      <w:tr w:rsidR="000F66B1" w:rsidRPr="003609FB" w14:paraId="4464F63A" w14:textId="77777777" w:rsidTr="007655BE">
        <w:trPr>
          <w:gridAfter w:val="1"/>
          <w:wAfter w:w="180" w:type="dxa"/>
          <w:trHeight w:val="1008"/>
        </w:trPr>
        <w:tc>
          <w:tcPr>
            <w:tcW w:w="9360" w:type="dxa"/>
          </w:tcPr>
          <w:p w14:paraId="21C5AC01" w14:textId="77777777" w:rsidR="000F66B1" w:rsidRPr="003609FB" w:rsidRDefault="000F66B1" w:rsidP="00197A8D">
            <w:pPr>
              <w:spacing w:line="360" w:lineRule="auto"/>
              <w:rPr>
                <w:rFonts w:ascii="Times New Roman" w:hAnsi="Times New Roman" w:cs="Times New Roman"/>
                <w:sz w:val="24"/>
                <w:szCs w:val="24"/>
              </w:rPr>
            </w:pPr>
            <m:oMathPara>
              <m:oMath>
                <m:r>
                  <w:rPr>
                    <w:rFonts w:ascii="Cambria Math" w:hAnsi="Cambria Math" w:cs="Times New Roman"/>
                    <w:sz w:val="24"/>
                    <w:szCs w:val="24"/>
                  </w:rPr>
                  <m:t xml:space="preserve">H*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num>
                  <m:den>
                    <m:r>
                      <w:rPr>
                        <w:rFonts w:ascii="Cambria Math" w:hAnsi="Cambria Math" w:cs="Times New Roman"/>
                        <w:sz w:val="24"/>
                        <w:szCs w:val="24"/>
                      </w:rPr>
                      <m:t>ρ</m:t>
                    </m:r>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
                      <m:dPr>
                        <m:ctrlPr>
                          <w:rPr>
                            <w:rFonts w:ascii="Cambria Math" w:hAnsi="Cambria Math" w:cs="Times New Roman"/>
                            <w:i/>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N</m:t>
                            </m:r>
                          </m:sub>
                        </m:sSub>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s</m:t>
                            </m:r>
                          </m:sub>
                        </m:sSub>
                      </m:e>
                    </m:d>
                  </m:den>
                </m:f>
              </m:oMath>
            </m:oMathPara>
          </w:p>
          <w:p w14:paraId="5980FC89" w14:textId="37645D68" w:rsidR="000F66B1" w:rsidRPr="003609FB" w:rsidRDefault="000F66B1" w:rsidP="00AB2160">
            <w:pPr>
              <w:spacing w:line="360" w:lineRule="auto"/>
              <w:rPr>
                <w:rFonts w:ascii="Times New Roman" w:hAnsi="Times New Roman" w:cs="Times New Roman"/>
                <w:sz w:val="24"/>
                <w:szCs w:val="24"/>
                <w:highlight w:val="yellow"/>
              </w:rPr>
            </w:pPr>
            <m:oMathPara>
              <m:oMath>
                <m:r>
                  <w:rPr>
                    <w:rFonts w:ascii="Cambria Math" w:hAnsi="Cambria Math" w:cs="Times New Roman"/>
                    <w:sz w:val="24"/>
                    <w:szCs w:val="24"/>
                  </w:rPr>
                  <m:t xml:space="preserve">    P* =0</m:t>
                </m:r>
              </m:oMath>
            </m:oMathPara>
          </w:p>
        </w:tc>
      </w:tr>
    </w:tbl>
    <w:p w14:paraId="7046EADB" w14:textId="77777777" w:rsidR="00B33870" w:rsidRDefault="00B33870" w:rsidP="00AB2160">
      <w:pPr>
        <w:spacing w:line="360" w:lineRule="auto"/>
        <w:rPr>
          <w:rFonts w:ascii="Times New Roman" w:hAnsi="Times New Roman" w:cs="Times New Roman"/>
          <w:sz w:val="24"/>
          <w:szCs w:val="24"/>
        </w:rPr>
      </w:pPr>
    </w:p>
    <w:p w14:paraId="7B98EDA2" w14:textId="77777777" w:rsidR="00197A8D" w:rsidRPr="003609FB" w:rsidRDefault="00197A8D" w:rsidP="00AB2160">
      <w:pPr>
        <w:spacing w:line="360" w:lineRule="auto"/>
        <w:rPr>
          <w:rFonts w:ascii="Times New Roman" w:hAnsi="Times New Roman" w:cs="Times New Roman"/>
          <w:sz w:val="24"/>
          <w:szCs w:val="24"/>
        </w:rPr>
      </w:pPr>
    </w:p>
    <w:tbl>
      <w:tblPr>
        <w:tblStyle w:val="TableGrid"/>
        <w:tblW w:w="9900"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0"/>
      </w:tblGrid>
      <w:tr w:rsidR="00B33870" w:rsidRPr="003609FB" w14:paraId="5D7331F9" w14:textId="77777777" w:rsidTr="009F64F4">
        <w:trPr>
          <w:trHeight w:val="742"/>
        </w:trPr>
        <w:tc>
          <w:tcPr>
            <w:tcW w:w="9900" w:type="dxa"/>
          </w:tcPr>
          <w:p w14:paraId="6BACC0F4" w14:textId="629662FB" w:rsidR="00B33870" w:rsidRPr="003609FB" w:rsidRDefault="00B33870"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Steady States equilibria values calculated for P, S, H, and N in ‘leaky case</w:t>
            </w:r>
            <w:r w:rsidR="00197A8D">
              <w:rPr>
                <w:rFonts w:ascii="Times New Roman" w:hAnsi="Times New Roman" w:cs="Times New Roman"/>
                <w:sz w:val="24"/>
                <w:szCs w:val="24"/>
              </w:rPr>
              <w:t xml:space="preserve">: </w:t>
            </w:r>
            <w:r w:rsidR="00197A8D" w:rsidRPr="003609FB">
              <w:rPr>
                <w:rFonts w:ascii="Times New Roman" w:hAnsi="Times New Roman" w:cs="Times New Roman"/>
                <w:sz w:val="24"/>
                <w:szCs w:val="24"/>
              </w:rPr>
              <w:t>Equilibria set 3</w:t>
            </w:r>
          </w:p>
        </w:tc>
      </w:tr>
      <w:tr w:rsidR="00197A8D" w:rsidRPr="003609FB" w14:paraId="2213E62C" w14:textId="77777777" w:rsidTr="00C350BF">
        <w:trPr>
          <w:trHeight w:val="742"/>
        </w:trPr>
        <w:tc>
          <w:tcPr>
            <w:tcW w:w="9900" w:type="dxa"/>
          </w:tcPr>
          <w:p w14:paraId="67E6F362" w14:textId="3F6A14F8" w:rsidR="00197A8D" w:rsidRPr="003609FB" w:rsidRDefault="00197A8D" w:rsidP="00AB2160">
            <w:pPr>
              <w:spacing w:line="360" w:lineRule="auto"/>
              <w:rPr>
                <w:rFonts w:ascii="Times New Roman" w:hAnsi="Times New Roman" w:cs="Times New Roman"/>
                <w:sz w:val="24"/>
                <w:szCs w:val="24"/>
              </w:rPr>
            </w:pPr>
            <m:oMathPara>
              <m:oMath>
                <m:r>
                  <w:rPr>
                    <w:rFonts w:ascii="Cambria Math" w:hAnsi="Cambria Math" w:cs="Times New Roman"/>
                    <w:sz w:val="24"/>
                    <w:szCs w:val="24"/>
                  </w:rPr>
                  <m:t>N*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en>
                </m:f>
              </m:oMath>
            </m:oMathPara>
          </w:p>
        </w:tc>
      </w:tr>
      <w:tr w:rsidR="00197A8D" w:rsidRPr="003609FB" w14:paraId="50FE70AF" w14:textId="77777777" w:rsidTr="00A958A9">
        <w:trPr>
          <w:trHeight w:val="1199"/>
        </w:trPr>
        <w:tc>
          <w:tcPr>
            <w:tcW w:w="9900" w:type="dxa"/>
          </w:tcPr>
          <w:p w14:paraId="5D5996E3" w14:textId="5FBE7740" w:rsidR="00197A8D" w:rsidRPr="003609FB" w:rsidRDefault="00197A8D" w:rsidP="00AB2160">
            <w:pPr>
              <w:spacing w:line="360" w:lineRule="auto"/>
              <w:rPr>
                <w:rFonts w:ascii="Times New Roman" w:hAnsi="Times New Roman" w:cs="Times New Roman"/>
                <w:sz w:val="24"/>
                <w:szCs w:val="24"/>
              </w:rPr>
            </w:pPr>
            <m:oMathPara>
              <m:oMath>
                <m:r>
                  <w:rPr>
                    <w:rFonts w:ascii="Cambria Math" w:hAnsi="Cambria Math" w:cs="Times New Roman"/>
                    <w:sz w:val="24"/>
                    <w:szCs w:val="24"/>
                  </w:rPr>
                  <m:t>H*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e>
                    </m:d>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num>
                  <m:den>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en>
                </m:f>
              </m:oMath>
            </m:oMathPara>
          </w:p>
        </w:tc>
      </w:tr>
      <w:tr w:rsidR="00197A8D" w:rsidRPr="003609FB" w14:paraId="22C5E0BF" w14:textId="77777777" w:rsidTr="001B6FB5">
        <w:trPr>
          <w:trHeight w:val="856"/>
        </w:trPr>
        <w:tc>
          <w:tcPr>
            <w:tcW w:w="9900" w:type="dxa"/>
          </w:tcPr>
          <w:p w14:paraId="3570250F" w14:textId="64DC5B8A" w:rsidR="00197A8D" w:rsidRPr="003609FB" w:rsidRDefault="00197A8D" w:rsidP="00197A8D">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S*=</m:t>
                </m:r>
                <m:f>
                  <m:fPr>
                    <m:ctrlPr>
                      <w:rPr>
                        <w:rFonts w:ascii="Cambria Math" w:hAnsi="Cambria Math" w:cs="Times New Roman"/>
                        <w:sz w:val="24"/>
                        <w:szCs w:val="24"/>
                      </w:rPr>
                    </m:ctrlPr>
                  </m:fPr>
                  <m:num>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S</m:t>
                        </m:r>
                      </m:e>
                      <m:sub>
                        <m:r>
                          <w:rPr>
                            <w:rFonts w:ascii="Cambria Math" w:hAnsi="Cambria Math" w:cs="Times New Roman"/>
                            <w:sz w:val="24"/>
                            <w:szCs w:val="24"/>
                          </w:rPr>
                          <m:t>H</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H</m:t>
                        </m:r>
                      </m:sub>
                    </m:sSub>
                    <m:d>
                      <m:dPr>
                        <m:ctrlPr>
                          <w:rPr>
                            <w:rFonts w:ascii="Cambria Math" w:hAnsi="Cambria Math" w:cs="Times New Roman"/>
                            <w:i/>
                            <w:sz w:val="24"/>
                            <w:szCs w:val="24"/>
                          </w:rPr>
                        </m:ctrlPr>
                      </m:dPr>
                      <m:e>
                        <m:r>
                          <w:rPr>
                            <w:rFonts w:ascii="Cambria Math" w:hAnsi="Cambria Math" w:cs="Times New Roman"/>
                            <w:sz w:val="24"/>
                            <w:szCs w:val="24"/>
                          </w:rPr>
                          <m:t>H*</m:t>
                        </m:r>
                      </m:e>
                    </m:d>
                    <m:r>
                      <w:rPr>
                        <w:rFonts w:ascii="Cambria Math" w:hAnsi="Cambria Math" w:cs="Times New Roman"/>
                        <w:sz w:val="24"/>
                        <w:szCs w:val="24"/>
                      </w:rPr>
                      <m:t>)</m:t>
                    </m:r>
                  </m:num>
                  <m:den>
                    <m:d>
                      <m:dPr>
                        <m:ctrlPr>
                          <w:rPr>
                            <w:rFonts w:ascii="Cambria Math" w:hAnsi="Cambria Math" w:cs="Times New Roman"/>
                            <w:i/>
                            <w:sz w:val="24"/>
                            <w:szCs w:val="24"/>
                          </w:rPr>
                        </m:ctrlPr>
                      </m:dPr>
                      <m:e>
                        <m:r>
                          <m:rPr>
                            <m:sty m:val="p"/>
                          </m:rPr>
                          <w:rPr>
                            <w:rFonts w:ascii="Cambria Math" w:hAnsi="Cambria Math" w:cs="Times New Roman"/>
                            <w:sz w:val="24"/>
                            <w:szCs w:val="24"/>
                          </w:rPr>
                          <m:t>H</m:t>
                        </m:r>
                        <m:r>
                          <w:rPr>
                            <w:rFonts w:ascii="Cambria Math" w:hAnsi="Cambria Math" w:cs="Times New Roman"/>
                            <w:sz w:val="24"/>
                            <w:szCs w:val="24"/>
                          </w:rPr>
                          <m:t>*</m:t>
                        </m:r>
                      </m:e>
                    </m:d>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S</m:t>
                        </m:r>
                      </m:sub>
                    </m:sSub>
                  </m:den>
                </m:f>
              </m:oMath>
            </m:oMathPara>
          </w:p>
          <w:p w14:paraId="60A13046" w14:textId="04E6F306" w:rsidR="00197A8D" w:rsidRPr="003609FB" w:rsidRDefault="00197A8D" w:rsidP="00197A8D">
            <w:pPr>
              <w:spacing w:line="360" w:lineRule="auto"/>
              <w:jc w:val="center"/>
              <w:rPr>
                <w:rFonts w:ascii="Times New Roman" w:hAnsi="Times New Roman" w:cs="Times New Roman"/>
                <w:sz w:val="24"/>
                <w:szCs w:val="24"/>
              </w:rPr>
            </w:pPr>
            <w:r w:rsidRPr="003609FB">
              <w:rPr>
                <w:rFonts w:ascii="Times New Roman" w:hAnsi="Times New Roman" w:cs="Times New Roman"/>
                <w:sz w:val="24"/>
                <w:szCs w:val="24"/>
              </w:rPr>
              <w:t>P* =</w:t>
            </w:r>
            <m:oMath>
              <m:f>
                <m:fPr>
                  <m:ctrlPr>
                    <w:rPr>
                      <w:rFonts w:ascii="Cambria Math" w:hAnsi="Cambria Math" w:cs="Times New Roman"/>
                      <w:sz w:val="24"/>
                      <w:szCs w:val="24"/>
                    </w:rPr>
                  </m:ctrlPr>
                </m:fPr>
                <m:num>
                  <m:d>
                    <m:dPr>
                      <m:ctrlPr>
                        <w:rPr>
                          <w:rFonts w:ascii="Cambria Math" w:hAnsi="Cambria Math" w:cs="Times New Roman"/>
                          <w:i/>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S</m:t>
                          </m:r>
                        </m:e>
                        <m:sub>
                          <m:r>
                            <w:rPr>
                              <w:rFonts w:ascii="Cambria Math" w:hAnsi="Cambria Math" w:cs="Times New Roman"/>
                              <w:sz w:val="24"/>
                              <w:szCs w:val="24"/>
                            </w:rPr>
                            <m:t>N</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r>
                                    <w:rPr>
                                      <w:rFonts w:ascii="Cambria Math" w:hAnsi="Cambria Math" w:cs="Times New Roman"/>
                                      <w:sz w:val="24"/>
                                      <w:szCs w:val="24"/>
                                    </w:rPr>
                                    <m:t>N*</m:t>
                                  </m:r>
                                </m:e>
                              </m:d>
                              <m:ctrlPr>
                                <w:rPr>
                                  <w:rFonts w:ascii="Cambria Math" w:hAnsi="Cambria Math" w:cs="Times New Roman"/>
                                  <w:sz w:val="24"/>
                                  <w:szCs w:val="24"/>
                                </w:rPr>
                              </m:ctrlPr>
                            </m:num>
                            <m:den>
                              <m:sSub>
                                <m:sSubPr>
                                  <m:ctrlPr>
                                    <w:rPr>
                                      <w:rFonts w:ascii="Cambria Math" w:hAnsi="Cambria Math" w:cs="Times New Roman"/>
                                      <w:sz w:val="24"/>
                                      <w:szCs w:val="24"/>
                                    </w:rPr>
                                  </m:ctrlPr>
                                </m:sSubPr>
                                <m:e>
                                  <m:r>
                                    <w:rPr>
                                      <w:rFonts w:ascii="Cambria Math" w:hAnsi="Cambria Math" w:cs="Times New Roman"/>
                                      <w:sz w:val="24"/>
                                      <w:szCs w:val="24"/>
                                    </w:rPr>
                                    <m:t>ks</m:t>
                                  </m:r>
                                </m:e>
                                <m:sub>
                                  <m:r>
                                    <w:rPr>
                                      <w:rFonts w:ascii="Cambria Math" w:hAnsi="Cambria Math" w:cs="Times New Roman"/>
                                      <w:sz w:val="24"/>
                                      <w:szCs w:val="24"/>
                                    </w:rPr>
                                    <m:t>s</m:t>
                                  </m:r>
                                </m:sub>
                              </m:sSub>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N*</m:t>
                                  </m:r>
                                </m:e>
                              </m:d>
                            </m:den>
                          </m:f>
                          <m:ctrlPr>
                            <w:rPr>
                              <w:rFonts w:ascii="Cambria Math" w:hAnsi="Cambria Math" w:cs="Times New Roman"/>
                              <w:i/>
                              <w:sz w:val="24"/>
                              <w:szCs w:val="24"/>
                            </w:rPr>
                          </m:ctrlPr>
                        </m:e>
                      </m:d>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-ρ</m:t>
                      </m:r>
                      <m:d>
                        <m:dPr>
                          <m:ctrlPr>
                            <w:rPr>
                              <w:rFonts w:ascii="Cambria Math" w:hAnsi="Cambria Math" w:cs="Times New Roman"/>
                              <w:i/>
                              <w:sz w:val="24"/>
                              <w:szCs w:val="24"/>
                            </w:rPr>
                          </m:ctrlPr>
                        </m:dPr>
                        <m:e>
                          <m:r>
                            <w:rPr>
                              <w:rFonts w:ascii="Cambria Math" w:hAnsi="Cambria Math" w:cs="Times New Roman"/>
                              <w:sz w:val="24"/>
                              <w:szCs w:val="24"/>
                            </w:rPr>
                            <m:t>N*</m:t>
                          </m:r>
                        </m:e>
                      </m:d>
                    </m:e>
                  </m:d>
                </m:num>
                <m:den>
                  <m:d>
                    <m:dPr>
                      <m:ctrlPr>
                        <w:rPr>
                          <w:rFonts w:ascii="Cambria Math" w:hAnsi="Cambria Math" w:cs="Times New Roman"/>
                          <w:sz w:val="24"/>
                          <w:szCs w:val="24"/>
                        </w:rPr>
                      </m:ctrlPr>
                    </m:dPr>
                    <m:e>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r>
                                <w:rPr>
                                  <w:rFonts w:ascii="Cambria Math" w:hAnsi="Cambria Math" w:cs="Times New Roman"/>
                                  <w:sz w:val="24"/>
                                  <w:szCs w:val="24"/>
                                </w:rPr>
                                <m:t>N*</m:t>
                              </m:r>
                            </m:e>
                          </m:d>
                          <m:ctrlPr>
                            <w:rPr>
                              <w:rFonts w:ascii="Cambria Math" w:hAnsi="Cambria Math" w:cs="Times New Roman"/>
                              <w:sz w:val="24"/>
                              <w:szCs w:val="24"/>
                            </w:rPr>
                          </m:ctrlPr>
                        </m:num>
                        <m:den>
                          <m:sSub>
                            <m:sSubPr>
                              <m:ctrlPr>
                                <w:rPr>
                                  <w:rFonts w:ascii="Cambria Math" w:hAnsi="Cambria Math" w:cs="Times New Roman"/>
                                  <w:sz w:val="24"/>
                                  <w:szCs w:val="24"/>
                                </w:rPr>
                              </m:ctrlPr>
                            </m:sSubPr>
                            <m:e>
                              <m:r>
                                <w:rPr>
                                  <w:rFonts w:ascii="Cambria Math" w:hAnsi="Cambria Math" w:cs="Times New Roman"/>
                                  <w:sz w:val="24"/>
                                  <w:szCs w:val="24"/>
                                </w:rPr>
                                <m:t>ks</m:t>
                              </m:r>
                            </m:e>
                            <m:sub>
                              <m:r>
                                <w:rPr>
                                  <w:rFonts w:ascii="Cambria Math" w:hAnsi="Cambria Math" w:cs="Times New Roman"/>
                                  <w:sz w:val="24"/>
                                  <w:szCs w:val="24"/>
                                </w:rPr>
                                <m:t>p</m:t>
                              </m:r>
                            </m:sub>
                          </m:sSub>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N*</m:t>
                              </m:r>
                            </m:e>
                          </m:d>
                        </m:den>
                      </m:f>
                      <m:ctrlPr>
                        <w:rPr>
                          <w:rFonts w:ascii="Cambria Math" w:hAnsi="Cambria Math" w:cs="Times New Roman"/>
                          <w:i/>
                          <w:sz w:val="24"/>
                          <w:szCs w:val="24"/>
                        </w:rPr>
                      </m:ctrlPr>
                    </m:e>
                  </m:d>
                </m:den>
              </m:f>
            </m:oMath>
          </w:p>
        </w:tc>
      </w:tr>
    </w:tbl>
    <w:p w14:paraId="67B6CA7C" w14:textId="77777777" w:rsidR="00B33870" w:rsidRPr="003609FB" w:rsidRDefault="00B33870" w:rsidP="00AB2160">
      <w:pPr>
        <w:spacing w:line="360" w:lineRule="auto"/>
        <w:rPr>
          <w:rFonts w:ascii="Times New Roman" w:hAnsi="Times New Roman" w:cs="Times New Roman"/>
          <w:sz w:val="24"/>
          <w:szCs w:val="24"/>
        </w:rPr>
      </w:pPr>
    </w:p>
    <w:p w14:paraId="6A82F812" w14:textId="63C090E3" w:rsidR="00B33870" w:rsidRPr="003609FB" w:rsidRDefault="00197A8D"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Steady States equilibria values calculated for P, S, H, and N in ‘leaky case</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Equilibria set </w:t>
      </w:r>
      <w:r>
        <w:rPr>
          <w:rFonts w:ascii="Times New Roman" w:hAnsi="Times New Roman" w:cs="Times New Roman"/>
          <w:sz w:val="24"/>
          <w:szCs w:val="24"/>
        </w:rPr>
        <w:t>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97A8D" w:rsidRPr="003609FB" w14:paraId="1012BB3B" w14:textId="77777777" w:rsidTr="00197A8D">
        <w:trPr>
          <w:trHeight w:val="753"/>
        </w:trPr>
        <w:tc>
          <w:tcPr>
            <w:tcW w:w="5000" w:type="pct"/>
          </w:tcPr>
          <w:p w14:paraId="29ED8215" w14:textId="534864EB" w:rsidR="00197A8D" w:rsidRPr="003609FB" w:rsidRDefault="00197A8D" w:rsidP="00197A8D">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N* =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num>
                  <m:den>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en>
                </m:f>
              </m:oMath>
            </m:oMathPara>
          </w:p>
        </w:tc>
      </w:tr>
      <w:tr w:rsidR="00197A8D" w:rsidRPr="003609FB" w14:paraId="2C442374" w14:textId="77777777" w:rsidTr="00197A8D">
        <w:trPr>
          <w:trHeight w:val="1217"/>
        </w:trPr>
        <w:tc>
          <w:tcPr>
            <w:tcW w:w="5000" w:type="pct"/>
          </w:tcPr>
          <w:p w14:paraId="39A56F32" w14:textId="328D7E3C" w:rsidR="00197A8D" w:rsidRPr="003609FB" w:rsidRDefault="00197A8D" w:rsidP="00197A8D">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H* =</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e>
                    </m:d>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num>
                  <m:den>
                    <m:sSub>
                      <m:sSubPr>
                        <m:ctrlPr>
                          <w:rPr>
                            <w:rFonts w:ascii="Cambria Math" w:hAnsi="Cambria Math" w:cs="Times New Roman"/>
                            <w:sz w:val="24"/>
                            <w:szCs w:val="24"/>
                          </w:rPr>
                        </m:ctrlPr>
                      </m:sSubPr>
                      <m:e>
                        <m:r>
                          <w:rPr>
                            <w:rFonts w:ascii="Cambria Math" w:hAnsi="Cambria Math" w:cs="Times New Roman"/>
                            <w:sz w:val="24"/>
                            <w:szCs w:val="24"/>
                          </w:rPr>
                          <m:t>κ</m:t>
                        </m:r>
                      </m:e>
                      <m:sub>
                        <m:r>
                          <w:rPr>
                            <w:rFonts w:ascii="Cambria Math" w:hAnsi="Cambria Math" w:cs="Times New Roman"/>
                            <w:sz w:val="24"/>
                            <w:szCs w:val="24"/>
                          </w:rPr>
                          <m:t>dam,p</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hAnsi="Cambria Math" w:cs="Times New Roman"/>
                                <w:i/>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p</m:t>
                            </m:r>
                          </m:sub>
                        </m:sSub>
                        <m:sSub>
                          <m:sSubPr>
                            <m:ctrlPr>
                              <w:rPr>
                                <w:rFonts w:ascii="Cambria Math" w:hAnsi="Cambria Math"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s</m:t>
                            </m:r>
                          </m:sub>
                        </m:sSub>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s</m:t>
                            </m:r>
                          </m:sub>
                        </m:sSub>
                      </m:e>
                    </m:d>
                  </m:den>
                </m:f>
              </m:oMath>
            </m:oMathPara>
          </w:p>
        </w:tc>
      </w:tr>
      <w:tr w:rsidR="00197A8D" w:rsidRPr="003609FB" w14:paraId="017EE9EB" w14:textId="77777777" w:rsidTr="00197A8D">
        <w:trPr>
          <w:trHeight w:val="869"/>
        </w:trPr>
        <w:tc>
          <w:tcPr>
            <w:tcW w:w="5000" w:type="pct"/>
          </w:tcPr>
          <w:p w14:paraId="4D10D828" w14:textId="21B45A87" w:rsidR="00197A8D" w:rsidRPr="003609FB" w:rsidRDefault="00197A8D" w:rsidP="00197A8D">
            <w:pPr>
              <w:spacing w:line="360" w:lineRule="auto"/>
              <w:jc w:val="center"/>
              <w:rPr>
                <w:rFonts w:ascii="Times New Roman" w:hAnsi="Times New Roman" w:cs="Times New Roman"/>
                <w:sz w:val="24"/>
                <w:szCs w:val="24"/>
              </w:rPr>
            </w:pPr>
            <m:oMathPara>
              <m:oMath>
                <m:r>
                  <w:rPr>
                    <w:rFonts w:ascii="Cambria Math" w:hAnsi="Cambria Math" w:cs="Times New Roman"/>
                    <w:sz w:val="18"/>
                    <w:szCs w:val="18"/>
                  </w:rPr>
                  <m:t xml:space="preserve">S* = </m:t>
                </m:r>
                <m:f>
                  <m:fPr>
                    <m:ctrlPr>
                      <w:rPr>
                        <w:rFonts w:ascii="Cambria Math" w:hAnsi="Cambria Math" w:cs="Times New Roman"/>
                        <w:sz w:val="18"/>
                        <w:szCs w:val="18"/>
                      </w:rPr>
                    </m:ctrlPr>
                  </m:fPr>
                  <m:num>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d>
                      <m:dPr>
                        <m:ctrlPr>
                          <w:rPr>
                            <w:rFonts w:ascii="Cambria Math" w:hAnsi="Cambria Math" w:cs="Times New Roman"/>
                            <w:i/>
                            <w:sz w:val="18"/>
                            <w:szCs w:val="18"/>
                          </w:rPr>
                        </m:ctrlPr>
                      </m:dPr>
                      <m:e>
                        <m:r>
                          <m:rPr>
                            <m:sty m:val="p"/>
                          </m:rPr>
                          <w:rPr>
                            <w:rFonts w:ascii="Cambria Math" w:hAnsi="Cambria Math" w:cs="Times New Roman"/>
                            <w:sz w:val="18"/>
                            <w:szCs w:val="18"/>
                          </w:rPr>
                          <m:t>Hsupply</m:t>
                        </m:r>
                        <m:sSub>
                          <m:sSubPr>
                            <m:ctrlPr>
                              <w:rPr>
                                <w:rFonts w:ascii="Cambria Math" w:hAnsi="Cambria Math" w:cs="Times New Roman"/>
                                <w:sz w:val="18"/>
                                <w:szCs w:val="18"/>
                              </w:rPr>
                            </m:ctrlPr>
                          </m:sSubPr>
                          <m:e>
                            <m:r>
                              <w:rPr>
                                <w:rFonts w:ascii="Cambria Math" w:hAnsi="Cambria Math" w:cs="Times New Roman"/>
                                <w:sz w:val="18"/>
                                <w:szCs w:val="18"/>
                              </w:rPr>
                              <m:t>κ</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e>
                    </m:d>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d>
                      <m:dPr>
                        <m:ctrlPr>
                          <w:rPr>
                            <w:rFonts w:ascii="Cambria Math" w:hAnsi="Cambria Math" w:cs="Times New Roman"/>
                            <w:i/>
                            <w:sz w:val="18"/>
                            <w:szCs w:val="18"/>
                          </w:rPr>
                        </m:ctrlPr>
                      </m:dPr>
                      <m:e>
                        <m:r>
                          <m:rPr>
                            <m:sty m:val="p"/>
                          </m:rPr>
                          <w:rPr>
                            <w:rFonts w:ascii="Cambria Math" w:hAnsi="Cambria Math" w:cs="Times New Roman"/>
                            <w:sz w:val="18"/>
                            <w:szCs w:val="18"/>
                          </w:rPr>
                          <m:t>Hsupply</m:t>
                        </m:r>
                        <m:sSub>
                          <m:sSubPr>
                            <m:ctrlPr>
                              <w:rPr>
                                <w:rFonts w:ascii="Cambria Math" w:hAnsi="Cambria Math" w:cs="Times New Roman"/>
                                <w:sz w:val="18"/>
                                <w:szCs w:val="18"/>
                              </w:rPr>
                            </m:ctrlPr>
                          </m:sSubPr>
                          <m:e>
                            <m:r>
                              <w:rPr>
                                <w:rFonts w:ascii="Cambria Math" w:hAnsi="Cambria Math" w:cs="Times New Roman"/>
                                <w:sz w:val="18"/>
                                <w:szCs w:val="18"/>
                              </w:rPr>
                              <m:t>κ</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e>
                    </m:d>
                  </m:num>
                  <m:den>
                    <m:d>
                      <m:dPr>
                        <m:ctrlPr>
                          <w:rPr>
                            <w:rFonts w:ascii="Cambria Math" w:hAnsi="Cambria Math" w:cs="Times New Roman"/>
                            <w:i/>
                            <w:sz w:val="18"/>
                            <w:szCs w:val="18"/>
                          </w:rPr>
                        </m:ctrlPr>
                      </m:dPr>
                      <m:e>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e>
                        </m:d>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den>
                </m:f>
              </m:oMath>
            </m:oMathPara>
          </w:p>
          <w:p w14:paraId="1A414728" w14:textId="77777777" w:rsidR="00197A8D" w:rsidRPr="003609FB" w:rsidRDefault="00197A8D" w:rsidP="00197A8D">
            <w:pPr>
              <w:spacing w:line="360" w:lineRule="auto"/>
              <w:jc w:val="center"/>
              <w:rPr>
                <w:rFonts w:ascii="Times New Roman" w:hAnsi="Times New Roman" w:cs="Times New Roman"/>
                <w:sz w:val="24"/>
                <w:szCs w:val="24"/>
              </w:rPr>
            </w:pPr>
          </w:p>
        </w:tc>
      </w:tr>
    </w:tbl>
    <w:p w14:paraId="12526CE9" w14:textId="517BD8C8" w:rsidR="0037788D" w:rsidRPr="0037788D" w:rsidRDefault="00806893" w:rsidP="00AB2160">
      <w:pPr>
        <w:spacing w:line="360" w:lineRule="auto"/>
        <w:rPr>
          <w:sz w:val="18"/>
          <w:szCs w:val="18"/>
        </w:rPr>
      </w:pPr>
      <m:oMathPara>
        <m:oMath>
          <m:r>
            <m:rPr>
              <m:sty m:val="p"/>
            </m:rPr>
            <w:rPr>
              <w:rFonts w:ascii="Cambria Math" w:hAnsi="Cambria Math" w:cs="Times New Roman"/>
              <w:sz w:val="18"/>
              <w:szCs w:val="18"/>
            </w:rPr>
            <w:br/>
          </m:r>
        </m:oMath>
        <m:oMath>
          <m:r>
            <m:rPr>
              <m:sty m:val="p"/>
            </m:rPr>
            <w:rPr>
              <w:rFonts w:ascii="Cambria Math" w:hAnsi="Cambria Math" w:cs="Times New Roman"/>
              <w:sz w:val="18"/>
              <w:szCs w:val="18"/>
            </w:rPr>
            <m:t>P*=</m:t>
          </m:r>
          <m:d>
            <m:dPr>
              <m:ctrlPr>
                <w:rPr>
                  <w:rFonts w:ascii="Cambria Math" w:hAnsi="Cambria Math" w:cs="Times New Roman"/>
                  <w:i/>
                  <w:sz w:val="18"/>
                  <w:szCs w:val="18"/>
                </w:rPr>
              </m:ctrlPr>
            </m:dPr>
            <m:e>
              <m:eqArr>
                <m:eqArrPr>
                  <m:ctrlPr>
                    <w:rPr>
                      <w:rFonts w:ascii="Cambria Math" w:hAnsi="Cambria Math" w:cs="Times New Roman"/>
                      <w:i/>
                      <w:sz w:val="18"/>
                      <w:szCs w:val="18"/>
                    </w:rPr>
                  </m:ctrlPr>
                </m:eqArrPr>
                <m:e>
                  <m:d>
                    <m:dPr>
                      <m:ctrlPr>
                        <w:rPr>
                          <w:rFonts w:ascii="Cambria Math" w:hAnsi="Cambria Math" w:cs="Times New Roman"/>
                          <w:i/>
                          <w:sz w:val="18"/>
                          <w:szCs w:val="18"/>
                        </w:rPr>
                      </m:ctrlPr>
                    </m:dPr>
                    <m:e>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e>
                <m:e>
                  <m:d>
                    <m:dPr>
                      <m:ctrlPr>
                        <w:rPr>
                          <w:rFonts w:ascii="Cambria Math" w:hAnsi="Cambria Math" w:cs="Times New Roman"/>
                          <w:i/>
                          <w:sz w:val="18"/>
                          <w:szCs w:val="18"/>
                        </w:rPr>
                      </m:ctrlPr>
                    </m:dPr>
                    <m:e>
                      <m:eqArr>
                        <m:eqArrPr>
                          <m:ctrlPr>
                            <w:rPr>
                              <w:rFonts w:ascii="Cambria Math" w:hAnsi="Cambria Math" w:cs="Times New Roman"/>
                              <w:i/>
                              <w:sz w:val="18"/>
                              <w:szCs w:val="18"/>
                            </w:rPr>
                          </m:ctrlPr>
                        </m:eqArrPr>
                        <m:e>
                          <m:r>
                            <w:rPr>
                              <w:rFonts w:ascii="Cambria Math" w:hAnsi="Cambria Math" w:cs="Times New Roman"/>
                              <w:sz w:val="18"/>
                              <w:szCs w:val="18"/>
                            </w:rPr>
                            <m:t>ρ</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sSubSup>
                            <m:sSubSupPr>
                              <m:ctrlPr>
                                <w:rPr>
                                  <w:rFonts w:ascii="Cambria Math" w:hAnsi="Cambria Math" w:cs="Times New Roman"/>
                                  <w:sz w:val="18"/>
                                  <w:szCs w:val="18"/>
                                </w:rPr>
                              </m:ctrlPr>
                            </m:sSubSupPr>
                            <m:e>
                              <m:r>
                                <w:rPr>
                                  <w:rFonts w:ascii="Cambria Math" w:hAnsi="Cambria Math" w:cs="Times New Roman"/>
                                  <w:sz w:val="18"/>
                                  <w:szCs w:val="18"/>
                                </w:rPr>
                                <m:t>δ</m:t>
                              </m:r>
                            </m:e>
                            <m:sub>
                              <m:r>
                                <w:rPr>
                                  <w:rFonts w:ascii="Cambria Math" w:hAnsi="Cambria Math" w:cs="Times New Roman"/>
                                  <w:sz w:val="18"/>
                                  <w:szCs w:val="18"/>
                                </w:rPr>
                                <m:t>2</m:t>
                              </m:r>
                            </m:sub>
                            <m:sup>
                              <m:r>
                                <w:rPr>
                                  <w:rFonts w:ascii="Cambria Math" w:hAnsi="Cambria Math" w:cs="Times New Roman"/>
                                  <w:sz w:val="18"/>
                                  <w:szCs w:val="18"/>
                                </w:rPr>
                                <m:t>2</m:t>
                              </m:r>
                            </m:sup>
                          </m:sSubSup>
                          <m:d>
                            <m:dPr>
                              <m:ctrlPr>
                                <w:rPr>
                                  <w:rFonts w:ascii="Cambria Math" w:hAnsi="Cambria Math" w:cs="Times New Roman"/>
                                  <w:i/>
                                  <w:sz w:val="18"/>
                                  <w:szCs w:val="18"/>
                                </w:rPr>
                              </m:ctrlPr>
                            </m:dPr>
                            <m:e>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e>
                          </m:d>
                          <m:sSubSup>
                            <m:sSubSupPr>
                              <m:ctrlPr>
                                <w:rPr>
                                  <w:rFonts w:ascii="Cambria Math" w:hAnsi="Cambria Math" w:cs="Times New Roman"/>
                                  <w:sz w:val="18"/>
                                  <w:szCs w:val="18"/>
                                </w:rPr>
                              </m:ctrlPr>
                            </m:sSubSupPr>
                            <m:e>
                              <m:r>
                                <w:rPr>
                                  <w:rFonts w:ascii="Cambria Math" w:hAnsi="Cambria Math" w:cs="Times New Roman"/>
                                  <w:sz w:val="18"/>
                                  <w:szCs w:val="18"/>
                                </w:rPr>
                                <m:t>μ</m:t>
                              </m:r>
                            </m:e>
                            <m:sub>
                              <m:r>
                                <w:rPr>
                                  <w:rFonts w:ascii="Cambria Math" w:hAnsi="Cambria Math" w:cs="Times New Roman"/>
                                  <w:sz w:val="18"/>
                                  <w:szCs w:val="18"/>
                                </w:rPr>
                                <m:t>2</m:t>
                              </m:r>
                            </m:sub>
                            <m:sup>
                              <m:r>
                                <w:rPr>
                                  <w:rFonts w:ascii="Cambria Math" w:hAnsi="Cambria Math" w:cs="Times New Roman"/>
                                  <w:sz w:val="18"/>
                                  <w:szCs w:val="18"/>
                                </w:rPr>
                                <m:t>2</m:t>
                              </m:r>
                            </m:sup>
                          </m:sSubSup>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r>
                            <w:rPr>
                              <w:rFonts w:ascii="Cambria Math" w:hAnsi="Cambria Math" w:cs="Times New Roman"/>
                              <w:sz w:val="18"/>
                              <w:szCs w:val="18"/>
                            </w:rPr>
                            <m:t>+</m:t>
                          </m:r>
                          <m:sSubSup>
                            <m:sSubSupPr>
                              <m:ctrlPr>
                                <w:rPr>
                                  <w:rFonts w:ascii="Cambria Math" w:hAnsi="Cambria Math" w:cs="Times New Roman"/>
                                  <w:sz w:val="18"/>
                                  <w:szCs w:val="18"/>
                                </w:rPr>
                              </m:ctrlPr>
                            </m:sSubSupPr>
                            <m:e>
                              <m:r>
                                <m:rPr>
                                  <m:sty m:val="p"/>
                                </m:rPr>
                                <w:rPr>
                                  <w:rFonts w:ascii="Cambria Math" w:hAnsi="Cambria Math" w:cs="Times New Roman"/>
                                  <w:sz w:val="18"/>
                                  <w:szCs w:val="18"/>
                                </w:rPr>
                                <m:t>k1</m:t>
                              </m:r>
                            </m:e>
                            <m:sub>
                              <m:r>
                                <w:rPr>
                                  <w:rFonts w:ascii="Cambria Math" w:hAnsi="Cambria Math" w:cs="Times New Roman"/>
                                  <w:sz w:val="18"/>
                                  <w:szCs w:val="18"/>
                                </w:rPr>
                                <m:t>2</m:t>
                              </m:r>
                            </m:sub>
                            <m:sup>
                              <m:r>
                                <w:rPr>
                                  <w:rFonts w:ascii="Cambria Math" w:hAnsi="Cambria Math" w:cs="Times New Roman"/>
                                  <w:sz w:val="18"/>
                                  <w:szCs w:val="18"/>
                                </w:rPr>
                                <m:t>2</m:t>
                              </m:r>
                            </m:sup>
                          </m:sSubSup>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sSup>
                            <m:sSupPr>
                              <m:ctrlPr>
                                <w:rPr>
                                  <w:rFonts w:ascii="Cambria Math" w:hAnsi="Cambria Math" w:cs="Times New Roman"/>
                                  <w:sz w:val="18"/>
                                  <w:szCs w:val="18"/>
                                </w:rPr>
                              </m:ctrlPr>
                            </m:sSupPr>
                            <m:e>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e>
                            <m:sup>
                              <m:r>
                                <w:rPr>
                                  <w:rFonts w:ascii="Cambria Math" w:hAnsi="Cambria Math" w:cs="Times New Roman"/>
                                  <w:sz w:val="18"/>
                                  <w:szCs w:val="18"/>
                                </w:rPr>
                                <m:t>2</m:t>
                              </m:r>
                            </m:sup>
                          </m:sSup>
                          <m:d>
                            <m:dPr>
                              <m:ctrlPr>
                                <w:rPr>
                                  <w:rFonts w:ascii="Cambria Math" w:hAnsi="Cambria Math" w:cs="Times New Roman"/>
                                  <w:i/>
                                  <w:sz w:val="18"/>
                                  <w:szCs w:val="18"/>
                                </w:rPr>
                              </m:ctrlPr>
                            </m:dPr>
                            <m:e>
                              <m:r>
                                <m:rPr>
                                  <m:sty m:val="p"/>
                                </m:rPr>
                                <w:rPr>
                                  <w:rFonts w:ascii="Cambria Math" w:hAnsi="Cambria Math" w:cs="Times New Roman"/>
                                  <w:sz w:val="18"/>
                                  <w:szCs w:val="18"/>
                                </w:rPr>
                                <m:t>Hsupply</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κ</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d>
                                <m:dPr>
                                  <m:ctrlPr>
                                    <w:rPr>
                                      <w:rFonts w:ascii="Cambria Math" w:hAnsi="Cambria Math" w:cs="Times New Roman"/>
                                      <w:i/>
                                      <w:sz w:val="18"/>
                                      <w:szCs w:val="18"/>
                                    </w:rPr>
                                  </m:ctrlPr>
                                </m:dPr>
                                <m:e>
                                  <m:r>
                                    <m:rPr>
                                      <m:sty m:val="p"/>
                                    </m:rPr>
                                    <w:rPr>
                                      <w:rFonts w:ascii="Cambria Math" w:hAnsi="Cambria Math" w:cs="Times New Roman"/>
                                      <w:sz w:val="18"/>
                                      <w:szCs w:val="18"/>
                                    </w:rPr>
                                    <m:t>Nsupply</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e>
                              </m:d>
                            </m:e>
                          </m:d>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e>
                          <m:d>
                            <m:dPr>
                              <m:ctrlPr>
                                <w:rPr>
                                  <w:rFonts w:ascii="Cambria Math" w:hAnsi="Cambria Math" w:cs="Times New Roman"/>
                                  <w:i/>
                                  <w:sz w:val="18"/>
                                  <w:szCs w:val="18"/>
                                </w:rPr>
                              </m:ctrlPr>
                            </m:dPr>
                            <m:e>
                              <m:r>
                                <w:rPr>
                                  <w:rFonts w:ascii="Cambria Math" w:hAnsi="Cambria Math" w:cs="Times New Roman"/>
                                  <w:sz w:val="18"/>
                                  <w:szCs w:val="18"/>
                                </w:rPr>
                                <m:t>-ρ</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d>
                                <m:dPr>
                                  <m:ctrlPr>
                                    <w:rPr>
                                      <w:rFonts w:ascii="Cambria Math" w:hAnsi="Cambria Math" w:cs="Times New Roman"/>
                                      <w:i/>
                                      <w:sz w:val="18"/>
                                      <w:szCs w:val="18"/>
                                    </w:rPr>
                                  </m:ctrlPr>
                                </m:dPr>
                                <m:e>
                                  <m:r>
                                    <w:rPr>
                                      <w:rFonts w:ascii="Cambria Math" w:hAnsi="Cambria Math" w:cs="Times New Roman"/>
                                      <w:sz w:val="18"/>
                                      <w:szCs w:val="18"/>
                                    </w:rPr>
                                    <m:t>-</m:t>
                                  </m:r>
                                  <m:r>
                                    <m:rPr>
                                      <m:sty m:val="p"/>
                                    </m:rPr>
                                    <w:rPr>
                                      <w:rFonts w:ascii="Cambria Math" w:hAnsi="Cambria Math" w:cs="Times New Roman"/>
                                      <w:sz w:val="18"/>
                                      <w:szCs w:val="18"/>
                                    </w:rPr>
                                    <m:t>Nsupply</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d>
                                    <m:dPr>
                                      <m:ctrlPr>
                                        <w:rPr>
                                          <w:rFonts w:ascii="Cambria Math" w:hAnsi="Cambria Math" w:cs="Times New Roman"/>
                                          <w:i/>
                                          <w:sz w:val="18"/>
                                          <w:szCs w:val="18"/>
                                        </w:rPr>
                                      </m:ctrlPr>
                                    </m:dPr>
                                    <m:e>
                                      <m:r>
                                        <m:rPr>
                                          <m:sty m:val="p"/>
                                        </m:rPr>
                                        <w:rPr>
                                          <w:rFonts w:ascii="Cambria Math" w:hAnsi="Cambria Math" w:cs="Times New Roman"/>
                                          <w:sz w:val="18"/>
                                          <w:szCs w:val="18"/>
                                        </w:rPr>
                                        <m:t>Nsupply</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e>
                                  </m:d>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r>
                                        <m:rPr>
                                          <m:sty m:val="p"/>
                                        </m:rPr>
                                        <w:rPr>
                                          <w:rFonts w:ascii="Cambria Math" w:hAnsi="Cambria Math" w:cs="Times New Roman"/>
                                          <w:sz w:val="18"/>
                                          <w:szCs w:val="18"/>
                                        </w:rPr>
                                        <m:t>Hsupply</m:t>
                                      </m:r>
                                      <m:sSub>
                                        <m:sSubPr>
                                          <m:ctrlPr>
                                            <w:rPr>
                                              <w:rFonts w:ascii="Cambria Math" w:hAnsi="Cambria Math" w:cs="Times New Roman"/>
                                              <w:sz w:val="18"/>
                                              <w:szCs w:val="18"/>
                                            </w:rPr>
                                          </m:ctrlPr>
                                        </m:sSubPr>
                                        <m:e>
                                          <m:r>
                                            <w:rPr>
                                              <w:rFonts w:ascii="Cambria Math" w:hAnsi="Cambria Math" w:cs="Times New Roman"/>
                                              <w:sz w:val="18"/>
                                              <w:szCs w:val="18"/>
                                            </w:rPr>
                                            <m:t>κ</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r>
                                            <w:rPr>
                                              <w:rFonts w:ascii="Cambria Math" w:hAnsi="Cambria Math" w:cs="Times New Roman"/>
                                              <w:sz w:val="18"/>
                                              <w:szCs w:val="18"/>
                                            </w:rPr>
                                            <m:t>ζ+1000</m:t>
                                          </m:r>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3</m:t>
                                              </m:r>
                                            </m:sub>
                                          </m:sSub>
                                        </m:e>
                                      </m:d>
                                    </m:e>
                                  </m:d>
                                </m:e>
                              </m:d>
                            </m:e>
                          </m:d>
                        </m:e>
                      </m:eqArr>
                    </m:e>
                  </m:d>
                </m:e>
              </m:eqArr>
            </m:e>
          </m:d>
        </m:oMath>
      </m:oMathPara>
    </w:p>
    <w:p w14:paraId="13C0876B" w14:textId="7A1ABB9A" w:rsidR="004136C8" w:rsidRPr="003609FB" w:rsidRDefault="00806893" w:rsidP="00AB2160">
      <w:pPr>
        <w:spacing w:line="360" w:lineRule="auto"/>
        <w:rPr>
          <w:rFonts w:ascii="Cambria Math" w:hAnsi="Cambria Math" w:cs="Times New Roman"/>
          <w:sz w:val="24"/>
          <w:szCs w:val="24"/>
          <w:highlight w:val="magenta"/>
          <w:oMath/>
        </w:rPr>
        <w:sectPr w:rsidR="004136C8" w:rsidRPr="003609FB" w:rsidSect="00F17DAA">
          <w:footerReference w:type="default" r:id="rId90"/>
          <w:type w:val="continuous"/>
          <w:pgSz w:w="12240" w:h="15840"/>
          <w:pgMar w:top="1440" w:right="1440" w:bottom="1440" w:left="1440" w:header="720" w:footer="720" w:gutter="0"/>
          <w:pgNumType w:start="0"/>
          <w:cols w:space="720"/>
          <w:titlePg/>
          <w:docGrid w:linePitch="360"/>
        </w:sectPr>
      </w:pPr>
      <m:oMathPara>
        <m:oMath>
          <m:r>
            <m:rPr>
              <m:sty m:val="p"/>
            </m:rPr>
            <w:rPr>
              <w:rFonts w:ascii="Cambria Math" w:hAnsi="Cambria Math" w:cs="Times New Roman"/>
              <w:sz w:val="18"/>
              <w:szCs w:val="18"/>
            </w:rPr>
            <w:br/>
          </m:r>
        </m:oMath>
        <m:oMath>
          <m:d>
            <m:dPr>
              <m:ctrlPr>
                <w:rPr>
                  <w:rFonts w:ascii="Cambria Math" w:hAnsi="Cambria Math" w:cs="Times New Roman"/>
                  <w:i/>
                  <w:sz w:val="18"/>
                  <w:szCs w:val="18"/>
                </w:rPr>
              </m:ctrlPr>
            </m:dPr>
            <m:e>
              <m:sSub>
                <m:sSubPr>
                  <m:ctrlPr>
                    <w:rPr>
                      <w:rFonts w:ascii="Cambria Math" w:hAnsi="Cambria Math" w:cs="Times New Roman"/>
                      <w:sz w:val="18"/>
                      <w:szCs w:val="18"/>
                    </w:rPr>
                  </m:ctrlPr>
                </m:sSubPr>
                <m:e>
                  <m:r>
                    <m:rPr>
                      <m:sty m:val="p"/>
                    </m:rPr>
                    <w:rPr>
                      <w:rFonts w:ascii="Cambria Math" w:hAnsi="Cambria Math" w:cs="Times New Roman"/>
                      <w:sz w:val="18"/>
                      <w:szCs w:val="18"/>
                    </w:rPr>
                    <m:t>/ (k1</m:t>
                  </m:r>
                </m:e>
                <m:sub>
                  <m:r>
                    <w:rPr>
                      <w:rFonts w:ascii="Cambria Math" w:hAnsi="Cambria Math" w:cs="Times New Roman"/>
                      <w:sz w:val="18"/>
                      <w:szCs w:val="18"/>
                    </w:rPr>
                    <m:t>1</m:t>
                  </m:r>
                </m:sub>
              </m:sSub>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μ</m:t>
                  </m:r>
                </m:e>
                <m:sub>
                  <m:eqArr>
                    <m:eqArrPr>
                      <m:ctrlPr>
                        <w:rPr>
                          <w:rFonts w:ascii="Cambria Math" w:hAnsi="Cambria Math" w:cs="Times New Roman"/>
                          <w:i/>
                          <w:sz w:val="18"/>
                          <w:szCs w:val="18"/>
                        </w:rPr>
                      </m:ctrlPr>
                    </m:eqArrPr>
                    <m:e>
                      <m:r>
                        <w:rPr>
                          <w:rFonts w:ascii="Cambria Math" w:hAnsi="Cambria Math" w:cs="Times New Roman"/>
                          <w:sz w:val="18"/>
                          <w:szCs w:val="18"/>
                        </w:rPr>
                        <m:t>2</m:t>
                      </m:r>
                    </m:e>
                    <m:e/>
                  </m:eqArr>
                </m:sub>
              </m:sSub>
              <m:d>
                <m:dPr>
                  <m:ctrlPr>
                    <w:rPr>
                      <w:rFonts w:ascii="Cambria Math" w:hAnsi="Cambria Math" w:cs="Times New Roman"/>
                      <w:i/>
                      <w:sz w:val="18"/>
                      <w:szCs w:val="18"/>
                    </w:rPr>
                  </m:ctrlPr>
                </m:dPr>
                <m:e>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d>
                <m:dPr>
                  <m:ctrlPr>
                    <w:rPr>
                      <w:rFonts w:ascii="Cambria Math" w:hAnsi="Cambria Math" w:cs="Times New Roman"/>
                      <w:i/>
                      <w:sz w:val="18"/>
                      <w:szCs w:val="18"/>
                    </w:rPr>
                  </m:ctrlPr>
                </m:dPr>
                <m:e>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2</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d>
                    <m:dPr>
                      <m:ctrlPr>
                        <w:rPr>
                          <w:rFonts w:ascii="Cambria Math" w:hAnsi="Cambria Math" w:cs="Times New Roman"/>
                          <w:i/>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r>
                    <w:rPr>
                      <w:rFonts w:ascii="Cambria Math" w:hAnsi="Cambria Math" w:cs="Times New Roman"/>
                      <w:sz w:val="18"/>
                      <w:szCs w:val="18"/>
                    </w:rPr>
                    <m:t>+</m:t>
                  </m:r>
                  <m:sSub>
                    <m:sSubPr>
                      <m:ctrlPr>
                        <w:rPr>
                          <w:rFonts w:ascii="Cambria Math" w:hAnsi="Cambria Math" w:cs="Times New Roman"/>
                          <w:sz w:val="18"/>
                          <w:szCs w:val="18"/>
                        </w:rPr>
                      </m:ctrlPr>
                    </m:sSubPr>
                    <m:e>
                      <m:r>
                        <m:rPr>
                          <m:sty m:val="p"/>
                        </m:rPr>
                        <w:rPr>
                          <w:rFonts w:ascii="Cambria Math" w:hAnsi="Cambria Math" w:cs="Times New Roman"/>
                          <w:sz w:val="18"/>
                          <w:szCs w:val="18"/>
                        </w:rPr>
                        <m:t>k1</m:t>
                      </m:r>
                    </m:e>
                    <m:sub>
                      <m:r>
                        <w:rPr>
                          <w:rFonts w:ascii="Cambria Math" w:hAnsi="Cambria Math" w:cs="Times New Roman"/>
                          <w:sz w:val="18"/>
                          <w:szCs w:val="18"/>
                        </w:rPr>
                        <m:t>1</m:t>
                      </m:r>
                    </m:sub>
                  </m:sSub>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2</m:t>
                      </m:r>
                    </m:sub>
                  </m:sSub>
                  <m:d>
                    <m:dPr>
                      <m:ctrlPr>
                        <w:rPr>
                          <w:rFonts w:ascii="Cambria Math" w:hAnsi="Cambria Math" w:cs="Times New Roman"/>
                          <w:i/>
                          <w:sz w:val="18"/>
                          <w:szCs w:val="18"/>
                        </w:rPr>
                      </m:ctrlPr>
                    </m:dPr>
                    <m:e>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δ</m:t>
                          </m:r>
                        </m:e>
                        <m:sub>
                          <m:r>
                            <w:rPr>
                              <w:rFonts w:ascii="Cambria Math" w:hAnsi="Cambria Math" w:cs="Times New Roman"/>
                              <w:sz w:val="18"/>
                              <w:szCs w:val="18"/>
                            </w:rPr>
                            <m:t>1</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1</m:t>
                          </m:r>
                        </m:sub>
                      </m:sSub>
                    </m:e>
                  </m:d>
                  <m:sSub>
                    <m:sSubPr>
                      <m:ctrlPr>
                        <w:rPr>
                          <w:rFonts w:ascii="Cambria Math" w:hAnsi="Cambria Math" w:cs="Times New Roman"/>
                          <w:sz w:val="18"/>
                          <w:szCs w:val="18"/>
                        </w:rPr>
                      </m:ctrlPr>
                    </m:sSubPr>
                    <m:e>
                      <m:r>
                        <w:rPr>
                          <w:rFonts w:ascii="Cambria Math" w:hAnsi="Cambria Math" w:cs="Times New Roman"/>
                          <w:sz w:val="18"/>
                          <w:szCs w:val="18"/>
                        </w:rPr>
                        <m:t>μ</m:t>
                      </m:r>
                    </m:e>
                    <m:sub>
                      <m:r>
                        <w:rPr>
                          <w:rFonts w:ascii="Cambria Math" w:hAnsi="Cambria Math" w:cs="Times New Roman"/>
                          <w:sz w:val="18"/>
                          <w:szCs w:val="18"/>
                        </w:rPr>
                        <m:t>2</m:t>
                      </m:r>
                    </m:sub>
                  </m:sSub>
                </m:e>
              </m:d>
              <m:sSub>
                <m:sSubPr>
                  <m:ctrlPr>
                    <w:rPr>
                      <w:rFonts w:ascii="Cambria Math" w:hAnsi="Cambria Math" w:cs="Times New Roman"/>
                      <w:sz w:val="18"/>
                      <w:szCs w:val="18"/>
                    </w:rPr>
                  </m:ctrlPr>
                </m:sSubPr>
                <m:e>
                  <m:r>
                    <w:rPr>
                      <w:rFonts w:ascii="Cambria Math" w:hAnsi="Cambria Math" w:cs="Times New Roman"/>
                      <w:sz w:val="18"/>
                      <w:szCs w:val="18"/>
                    </w:rPr>
                    <m:t>ϕ</m:t>
                  </m:r>
                </m:e>
                <m:sub>
                  <m:r>
                    <w:rPr>
                      <w:rFonts w:ascii="Cambria Math" w:hAnsi="Cambria Math" w:cs="Times New Roman"/>
                      <w:sz w:val="18"/>
                      <w:szCs w:val="18"/>
                    </w:rPr>
                    <m:t>2)</m:t>
                  </m:r>
                </m:sub>
              </m:sSub>
            </m:e>
          </m:d>
        </m:oMath>
      </m:oMathPara>
    </w:p>
    <w:p w14:paraId="50854B03" w14:textId="7915BF97" w:rsidR="006458CC" w:rsidRDefault="00401746" w:rsidP="00AB2160">
      <w:pPr>
        <w:pStyle w:val="Heading3"/>
        <w:spacing w:line="360" w:lineRule="auto"/>
      </w:pPr>
      <w:bookmarkStart w:id="108" w:name="_Toc173250067"/>
      <w:r>
        <w:lastRenderedPageBreak/>
        <w:t xml:space="preserve">B3. Equilibria and </w:t>
      </w:r>
      <w:r w:rsidR="00B43938">
        <w:t>d</w:t>
      </w:r>
      <w:r>
        <w:t xml:space="preserve">ynamic </w:t>
      </w:r>
      <w:r w:rsidR="00B43938">
        <w:t>c</w:t>
      </w:r>
      <w:r>
        <w:t xml:space="preserve">ontour </w:t>
      </w:r>
      <w:r w:rsidR="00B43938">
        <w:t>p</w:t>
      </w:r>
      <w:r>
        <w:t>lot</w:t>
      </w:r>
      <w:r w:rsidR="00B43938">
        <w:t>s</w:t>
      </w:r>
      <w:bookmarkEnd w:id="108"/>
      <w:r>
        <w:t xml:space="preserve"> </w:t>
      </w:r>
    </w:p>
    <w:p w14:paraId="452C1329" w14:textId="1E74EA16" w:rsidR="00470BBE" w:rsidRPr="004A76CB" w:rsidRDefault="00470BBE" w:rsidP="00AB2160">
      <w:pPr>
        <w:spacing w:line="360" w:lineRule="auto"/>
        <w:ind w:firstLine="720"/>
        <w:rPr>
          <w:rFonts w:asciiTheme="majorBidi" w:hAnsiTheme="majorBidi"/>
          <w:sz w:val="24"/>
          <w:szCs w:val="24"/>
        </w:rPr>
      </w:pPr>
      <w:r w:rsidRPr="004A76CB">
        <w:rPr>
          <w:rFonts w:asciiTheme="majorBidi" w:hAnsiTheme="majorBidi"/>
          <w:sz w:val="24"/>
          <w:szCs w:val="24"/>
        </w:rPr>
        <w:t xml:space="preserve">Figure </w:t>
      </w:r>
      <w:r w:rsidR="00234308" w:rsidRPr="004A76CB">
        <w:rPr>
          <w:rFonts w:asciiTheme="majorBidi" w:hAnsiTheme="majorBidi"/>
          <w:sz w:val="24"/>
          <w:szCs w:val="24"/>
        </w:rPr>
        <w:t>B1</w:t>
      </w:r>
      <w:r w:rsidR="00970A0F">
        <w:rPr>
          <w:rFonts w:asciiTheme="majorBidi" w:hAnsiTheme="majorBidi"/>
          <w:sz w:val="24"/>
          <w:szCs w:val="24"/>
        </w:rPr>
        <w:t>0</w:t>
      </w:r>
      <w:r w:rsidR="00234308" w:rsidRPr="004A76CB">
        <w:rPr>
          <w:rFonts w:asciiTheme="majorBidi" w:hAnsiTheme="majorBidi"/>
          <w:sz w:val="24"/>
          <w:szCs w:val="24"/>
        </w:rPr>
        <w:t xml:space="preserve"> </w:t>
      </w:r>
      <w:r w:rsidR="00DC77FC" w:rsidRPr="004A76CB">
        <w:rPr>
          <w:rFonts w:asciiTheme="majorBidi" w:hAnsiTheme="majorBidi"/>
          <w:sz w:val="24"/>
          <w:szCs w:val="24"/>
        </w:rPr>
        <w:t>below represents d</w:t>
      </w:r>
      <w:r w:rsidRPr="004A76CB">
        <w:rPr>
          <w:rFonts w:asciiTheme="majorBidi" w:hAnsiTheme="majorBidi"/>
          <w:sz w:val="24"/>
          <w:szCs w:val="24"/>
        </w:rPr>
        <w:t>ynamics ODEs (left) or equilibrium * equations (right) are projected for various H</w:t>
      </w:r>
      <w:r w:rsidRPr="004A76CB">
        <w:rPr>
          <w:rFonts w:asciiTheme="majorBidi" w:hAnsiTheme="majorBidi"/>
          <w:sz w:val="24"/>
          <w:szCs w:val="24"/>
          <w:vertAlign w:val="subscript"/>
        </w:rPr>
        <w:t>2</w:t>
      </w:r>
      <w:r w:rsidRPr="004A76CB">
        <w:rPr>
          <w:rFonts w:asciiTheme="majorBidi" w:hAnsiTheme="majorBidi"/>
          <w:sz w:val="24"/>
          <w:szCs w:val="24"/>
        </w:rPr>
        <w:t>O</w:t>
      </w:r>
      <w:r w:rsidRPr="004A76CB">
        <w:rPr>
          <w:rFonts w:asciiTheme="majorBidi" w:hAnsiTheme="majorBidi"/>
          <w:sz w:val="24"/>
          <w:szCs w:val="24"/>
          <w:vertAlign w:val="subscript"/>
        </w:rPr>
        <w:t>2</w:t>
      </w:r>
      <w:r w:rsidRPr="004A76CB">
        <w:rPr>
          <w:rFonts w:asciiTheme="majorBidi" w:hAnsiTheme="majorBidi"/>
          <w:sz w:val="24"/>
          <w:szCs w:val="24"/>
        </w:rPr>
        <w:t xml:space="preserve"> detoxification parameterizations of </w:t>
      </w:r>
      <w:proofErr w:type="spellStart"/>
      <w:r w:rsidRPr="004A76CB">
        <w:rPr>
          <w:rFonts w:asciiTheme="majorBidi" w:hAnsiTheme="majorBidi"/>
          <w:i/>
          <w:iCs/>
          <w:sz w:val="24"/>
          <w:szCs w:val="24"/>
        </w:rPr>
        <w:t>Synechococcus</w:t>
      </w:r>
      <w:proofErr w:type="spellEnd"/>
      <w:r w:rsidRPr="004A76CB">
        <w:rPr>
          <w:rFonts w:asciiTheme="majorBidi" w:hAnsiTheme="majorBidi"/>
          <w:sz w:val="24"/>
          <w:szCs w:val="24"/>
        </w:rPr>
        <w:t xml:space="preserve">. The non-zero value of  </w:t>
      </w:r>
      <m:oMath>
        <m:sSub>
          <m:sSubPr>
            <m:ctrlPr>
              <w:rPr>
                <w:rFonts w:ascii="Cambria Math" w:hAnsi="Cambria Math"/>
                <w:sz w:val="24"/>
                <w:szCs w:val="24"/>
              </w:rPr>
            </m:ctrlPr>
          </m:sSubPr>
          <m:e>
            <m:r>
              <w:rPr>
                <w:rFonts w:ascii="Cambria Math" w:hAnsi="Cambria Math"/>
                <w:sz w:val="24"/>
                <w:szCs w:val="24"/>
              </w:rPr>
              <m:t>ϕ</m:t>
            </m:r>
          </m:e>
          <m:sub>
            <m:r>
              <w:rPr>
                <w:rFonts w:ascii="Cambria Math" w:hAnsi="Cambria Math"/>
                <w:sz w:val="24"/>
                <w:szCs w:val="24"/>
              </w:rPr>
              <m:t>max,S</m:t>
            </m:r>
          </m:sub>
        </m:sSub>
      </m:oMath>
      <w:r w:rsidRPr="004A76CB">
        <w:rPr>
          <w:rFonts w:asciiTheme="majorBidi" w:hAnsiTheme="majorBidi"/>
          <w:sz w:val="24"/>
          <w:szCs w:val="24"/>
        </w:rPr>
        <w:t xml:space="preserve"> allows coexistence and controls the extent to which it can occur along a continuum of S</w:t>
      </w:r>
      <w:r w:rsidRPr="004A76CB">
        <w:rPr>
          <w:rFonts w:asciiTheme="majorBidi" w:hAnsiTheme="majorBidi"/>
          <w:sz w:val="24"/>
          <w:szCs w:val="24"/>
          <w:vertAlign w:val="subscript"/>
        </w:rPr>
        <w:t xml:space="preserve">N </w:t>
      </w:r>
      <w:r w:rsidRPr="004A76CB">
        <w:rPr>
          <w:rFonts w:asciiTheme="majorBidi" w:hAnsiTheme="majorBidi"/>
          <w:sz w:val="24"/>
          <w:szCs w:val="24"/>
        </w:rPr>
        <w:t>and S</w:t>
      </w:r>
      <w:r w:rsidRPr="004A76CB">
        <w:rPr>
          <w:rFonts w:asciiTheme="majorBidi" w:hAnsiTheme="majorBidi"/>
          <w:sz w:val="24"/>
          <w:szCs w:val="24"/>
          <w:vertAlign w:val="subscript"/>
        </w:rPr>
        <w:t>H</w:t>
      </w:r>
      <w:r w:rsidRPr="004A76CB">
        <w:rPr>
          <w:rFonts w:asciiTheme="majorBidi" w:hAnsiTheme="majorBidi"/>
          <w:sz w:val="24"/>
          <w:szCs w:val="24"/>
        </w:rPr>
        <w:t xml:space="preserve"> values. The average recovered </w:t>
      </w:r>
      <w:proofErr w:type="spellStart"/>
      <w:r w:rsidRPr="004A76CB">
        <w:rPr>
          <w:rFonts w:asciiTheme="majorBidi" w:hAnsiTheme="majorBidi"/>
          <w:i/>
          <w:iCs/>
          <w:sz w:val="24"/>
          <w:szCs w:val="24"/>
        </w:rPr>
        <w:t>Synechococcus</w:t>
      </w:r>
      <w:proofErr w:type="spellEnd"/>
      <w:r w:rsidRPr="004A76CB">
        <w:rPr>
          <w:rFonts w:asciiTheme="majorBidi" w:hAnsiTheme="majorBidi"/>
          <w:sz w:val="24"/>
          <w:szCs w:val="24"/>
        </w:rPr>
        <w:t xml:space="preserve">  </w:t>
      </w:r>
      <m:oMath>
        <m:sSub>
          <m:sSubPr>
            <m:ctrlPr>
              <w:rPr>
                <w:rFonts w:ascii="Cambria Math" w:hAnsi="Cambria Math"/>
                <w:sz w:val="24"/>
                <w:szCs w:val="24"/>
              </w:rPr>
            </m:ctrlPr>
          </m:sSubPr>
          <m:e>
            <m:r>
              <w:rPr>
                <w:rFonts w:ascii="Cambria Math" w:hAnsi="Cambria Math"/>
                <w:sz w:val="24"/>
                <w:szCs w:val="24"/>
              </w:rPr>
              <m:t>ϕ</m:t>
            </m:r>
          </m:e>
          <m:sub>
            <m:r>
              <w:rPr>
                <w:rFonts w:ascii="Cambria Math" w:hAnsi="Cambria Math"/>
                <w:sz w:val="24"/>
                <w:szCs w:val="24"/>
              </w:rPr>
              <m:t>max,S</m:t>
            </m:r>
          </m:sub>
        </m:sSub>
      </m:oMath>
      <w:r w:rsidRPr="004A76CB">
        <w:rPr>
          <w:rFonts w:asciiTheme="majorBidi" w:hAnsiTheme="majorBidi"/>
          <w:sz w:val="24"/>
          <w:szCs w:val="24"/>
        </w:rPr>
        <w:t xml:space="preserve"> from Chapter 2 is represented by the middle  </w:t>
      </w:r>
      <m:oMath>
        <m:sSub>
          <m:sSubPr>
            <m:ctrlPr>
              <w:rPr>
                <w:rFonts w:ascii="Cambria Math" w:hAnsi="Cambria Math"/>
                <w:sz w:val="24"/>
                <w:szCs w:val="24"/>
              </w:rPr>
            </m:ctrlPr>
          </m:sSubPr>
          <m:e>
            <m:r>
              <w:rPr>
                <w:rFonts w:ascii="Cambria Math" w:hAnsi="Cambria Math"/>
                <w:sz w:val="24"/>
                <w:szCs w:val="24"/>
              </w:rPr>
              <m:t>ϕ</m:t>
            </m:r>
          </m:e>
          <m:sub>
            <m:r>
              <w:rPr>
                <w:rFonts w:ascii="Cambria Math" w:hAnsi="Cambria Math"/>
                <w:sz w:val="24"/>
                <w:szCs w:val="24"/>
              </w:rPr>
              <m:t>max,S</m:t>
            </m:r>
          </m:sub>
        </m:sSub>
      </m:oMath>
      <w:r w:rsidRPr="004A76CB">
        <w:rPr>
          <w:rFonts w:asciiTheme="majorBidi" w:hAnsiTheme="majorBidi"/>
          <w:sz w:val="24"/>
          <w:szCs w:val="24"/>
        </w:rPr>
        <w:t xml:space="preserve"> (2.0 x10</w:t>
      </w:r>
      <w:r w:rsidRPr="004A76CB">
        <w:rPr>
          <w:rFonts w:asciiTheme="majorBidi" w:hAnsiTheme="majorBidi"/>
          <w:sz w:val="24"/>
          <w:szCs w:val="24"/>
          <w:vertAlign w:val="superscript"/>
        </w:rPr>
        <w:t>-6</w:t>
      </w:r>
      <w:r w:rsidRPr="004A76CB">
        <w:rPr>
          <w:rFonts w:asciiTheme="majorBidi" w:hAnsiTheme="majorBidi"/>
          <w:sz w:val="24"/>
          <w:szCs w:val="24"/>
        </w:rPr>
        <w:t xml:space="preserve">) value in this figure. Under this regime, (leaky detoxification from only </w:t>
      </w:r>
      <w:proofErr w:type="spellStart"/>
      <w:r w:rsidRPr="004A76CB">
        <w:rPr>
          <w:rFonts w:asciiTheme="majorBidi" w:hAnsiTheme="majorBidi"/>
          <w:i/>
          <w:iCs/>
          <w:sz w:val="24"/>
          <w:szCs w:val="24"/>
        </w:rPr>
        <w:t>Synechococcus</w:t>
      </w:r>
      <w:proofErr w:type="spellEnd"/>
      <w:r w:rsidRPr="004A76CB">
        <w:rPr>
          <w:rFonts w:asciiTheme="majorBidi" w:hAnsiTheme="majorBidi"/>
          <w:sz w:val="24"/>
          <w:szCs w:val="24"/>
        </w:rPr>
        <w:t xml:space="preserve"> cells) coexistence is available only at high N or low H. * equilibria are calculated in Appendix B2.  </w:t>
      </w:r>
    </w:p>
    <w:p w14:paraId="5A6B6562" w14:textId="77777777" w:rsidR="004A76CB" w:rsidRDefault="004A76CB" w:rsidP="00AB2160">
      <w:pPr>
        <w:spacing w:line="360" w:lineRule="auto"/>
        <w:ind w:firstLine="720"/>
      </w:pPr>
    </w:p>
    <w:p w14:paraId="2E158A30" w14:textId="77777777" w:rsidR="004A76CB" w:rsidRDefault="004A76CB" w:rsidP="00AB2160">
      <w:pPr>
        <w:spacing w:line="360" w:lineRule="auto"/>
        <w:ind w:firstLine="720"/>
      </w:pPr>
    </w:p>
    <w:p w14:paraId="76375530" w14:textId="77777777" w:rsidR="004A76CB" w:rsidRDefault="004A76CB" w:rsidP="00AB2160">
      <w:pPr>
        <w:spacing w:line="360" w:lineRule="auto"/>
        <w:ind w:firstLine="720"/>
      </w:pPr>
    </w:p>
    <w:p w14:paraId="04814B86" w14:textId="77777777" w:rsidR="004A76CB" w:rsidRDefault="004A76CB" w:rsidP="00AB2160">
      <w:pPr>
        <w:spacing w:line="360" w:lineRule="auto"/>
        <w:ind w:firstLine="720"/>
      </w:pPr>
    </w:p>
    <w:p w14:paraId="0C7BDFB9" w14:textId="77777777" w:rsidR="004A76CB" w:rsidRDefault="004A76CB" w:rsidP="00AB2160">
      <w:pPr>
        <w:spacing w:line="360" w:lineRule="auto"/>
        <w:ind w:firstLine="720"/>
      </w:pPr>
    </w:p>
    <w:p w14:paraId="1E10783A" w14:textId="77777777" w:rsidR="004A76CB" w:rsidRDefault="004A76CB" w:rsidP="00AB2160">
      <w:pPr>
        <w:spacing w:line="360" w:lineRule="auto"/>
        <w:ind w:firstLine="720"/>
      </w:pPr>
    </w:p>
    <w:p w14:paraId="6C9B3DA1" w14:textId="77777777" w:rsidR="004A76CB" w:rsidRDefault="004A76CB" w:rsidP="00AB2160">
      <w:pPr>
        <w:spacing w:line="360" w:lineRule="auto"/>
        <w:ind w:firstLine="720"/>
      </w:pPr>
    </w:p>
    <w:p w14:paraId="5D4A7453" w14:textId="77777777" w:rsidR="004A76CB" w:rsidRDefault="004A76CB" w:rsidP="00AB2160">
      <w:pPr>
        <w:spacing w:line="360" w:lineRule="auto"/>
        <w:ind w:firstLine="720"/>
      </w:pPr>
    </w:p>
    <w:p w14:paraId="7A39F972" w14:textId="77777777" w:rsidR="004A76CB" w:rsidRDefault="004A76CB" w:rsidP="00AB2160">
      <w:pPr>
        <w:spacing w:line="360" w:lineRule="auto"/>
        <w:ind w:firstLine="720"/>
      </w:pPr>
    </w:p>
    <w:p w14:paraId="787DF613" w14:textId="77777777" w:rsidR="004A76CB" w:rsidRDefault="004A76CB" w:rsidP="00AB2160">
      <w:pPr>
        <w:spacing w:line="360" w:lineRule="auto"/>
        <w:ind w:firstLine="720"/>
      </w:pPr>
    </w:p>
    <w:p w14:paraId="6CBB0212" w14:textId="77777777" w:rsidR="004A76CB" w:rsidRDefault="004A76CB" w:rsidP="00AB2160">
      <w:pPr>
        <w:spacing w:line="360" w:lineRule="auto"/>
        <w:ind w:firstLine="720"/>
      </w:pPr>
    </w:p>
    <w:p w14:paraId="2CF45C42" w14:textId="77777777" w:rsidR="004A76CB" w:rsidRDefault="004A76CB" w:rsidP="00AB2160">
      <w:pPr>
        <w:spacing w:line="360" w:lineRule="auto"/>
        <w:ind w:firstLine="720"/>
      </w:pPr>
    </w:p>
    <w:p w14:paraId="28A43B5A" w14:textId="77777777" w:rsidR="004A76CB" w:rsidRDefault="004A76CB" w:rsidP="00AB2160">
      <w:pPr>
        <w:spacing w:line="360" w:lineRule="auto"/>
        <w:ind w:firstLine="720"/>
      </w:pPr>
    </w:p>
    <w:p w14:paraId="442FD67E" w14:textId="77777777" w:rsidR="004A76CB" w:rsidRPr="00470BBE" w:rsidRDefault="004A76CB" w:rsidP="00AB2160">
      <w:pPr>
        <w:spacing w:line="360" w:lineRule="auto"/>
        <w:ind w:firstLine="720"/>
      </w:pPr>
    </w:p>
    <w:tbl>
      <w:tblPr>
        <w:tblStyle w:val="TableGrid"/>
        <w:tblpPr w:leftFromText="187" w:rightFromText="187" w:vertAnchor="page" w:horzAnchor="margin" w:tblpXSpec="center" w:tblpY="85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61"/>
      </w:tblGrid>
      <w:tr w:rsidR="00401746" w:rsidRPr="003609FB" w14:paraId="20E3E653" w14:textId="77777777" w:rsidTr="00A43D25">
        <w:trPr>
          <w:cantSplit/>
          <w:trHeight w:val="201"/>
        </w:trPr>
        <w:tc>
          <w:tcPr>
            <w:tcW w:w="5000" w:type="pct"/>
            <w:gridSpan w:val="2"/>
            <w:vAlign w:val="center"/>
          </w:tcPr>
          <w:p w14:paraId="670AB58E" w14:textId="647B12A8" w:rsidR="00401746" w:rsidRPr="003609FB" w:rsidRDefault="00401746" w:rsidP="00AB2160">
            <w:pPr>
              <w:spacing w:line="360" w:lineRule="auto"/>
              <w:rPr>
                <w:rFonts w:ascii="Times New Roman" w:hAnsi="Times New Roman" w:cs="Times New Roman"/>
                <w:sz w:val="24"/>
                <w:szCs w:val="24"/>
              </w:rPr>
            </w:pPr>
          </w:p>
        </w:tc>
      </w:tr>
      <w:tr w:rsidR="00B77219" w:rsidRPr="003609FB" w14:paraId="6ADD1A45" w14:textId="77777777" w:rsidTr="004A76CB">
        <w:trPr>
          <w:cantSplit/>
          <w:trHeight w:val="201"/>
        </w:trPr>
        <w:tc>
          <w:tcPr>
            <w:tcW w:w="2510" w:type="pct"/>
            <w:vAlign w:val="center"/>
          </w:tcPr>
          <w:p w14:paraId="6207BA8B" w14:textId="6087ABB1" w:rsidR="00401746" w:rsidRPr="003609FB" w:rsidRDefault="00B77219" w:rsidP="00AB2160">
            <w:pPr>
              <w:spacing w:line="360" w:lineRule="auto"/>
              <w:rPr>
                <w:rFonts w:ascii="Times New Roman" w:hAnsi="Times New Roman" w:cs="Times New Roman"/>
                <w:sz w:val="24"/>
                <w:szCs w:val="24"/>
              </w:rPr>
            </w:pPr>
            <w:r w:rsidRPr="00B77219">
              <w:rPr>
                <w:rFonts w:ascii="Times New Roman" w:hAnsi="Times New Roman" w:cs="Times New Roman"/>
                <w:noProof/>
                <w:sz w:val="24"/>
                <w:szCs w:val="24"/>
              </w:rPr>
              <w:drawing>
                <wp:inline distT="0" distB="0" distL="0" distR="0" wp14:anchorId="4FD29E62" wp14:editId="2B0D2008">
                  <wp:extent cx="2926378" cy="2653748"/>
                  <wp:effectExtent l="0" t="0" r="0" b="635"/>
                  <wp:docPr id="2059388846" name="Picture 205938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5710" t="7136" r="12367"/>
                          <a:stretch/>
                        </pic:blipFill>
                        <pic:spPr bwMode="auto">
                          <a:xfrm>
                            <a:off x="0" y="0"/>
                            <a:ext cx="2957946" cy="2682375"/>
                          </a:xfrm>
                          <a:prstGeom prst="rect">
                            <a:avLst/>
                          </a:prstGeom>
                          <a:ln>
                            <a:noFill/>
                          </a:ln>
                          <a:extLst>
                            <a:ext uri="{53640926-AAD7-44D8-BBD7-CCE9431645EC}">
                              <a14:shadowObscured xmlns:a14="http://schemas.microsoft.com/office/drawing/2010/main"/>
                            </a:ext>
                          </a:extLst>
                        </pic:spPr>
                      </pic:pic>
                    </a:graphicData>
                  </a:graphic>
                </wp:inline>
              </w:drawing>
            </w:r>
          </w:p>
        </w:tc>
        <w:tc>
          <w:tcPr>
            <w:tcW w:w="2490" w:type="pct"/>
            <w:vAlign w:val="center"/>
          </w:tcPr>
          <w:p w14:paraId="5D8C4FC5" w14:textId="7C7A3A9D" w:rsidR="00401746" w:rsidRPr="003609FB" w:rsidRDefault="00B77219" w:rsidP="00AB2160">
            <w:pPr>
              <w:spacing w:line="360" w:lineRule="auto"/>
              <w:rPr>
                <w:rFonts w:ascii="Times New Roman" w:hAnsi="Times New Roman" w:cs="Times New Roman"/>
                <w:sz w:val="24"/>
                <w:szCs w:val="24"/>
              </w:rPr>
            </w:pPr>
            <w:r w:rsidRPr="00D10B08">
              <w:rPr>
                <w:rFonts w:ascii="Times New Roman" w:hAnsi="Times New Roman" w:cs="Times New Roman"/>
                <w:noProof/>
                <w:sz w:val="24"/>
                <w:szCs w:val="24"/>
              </w:rPr>
              <w:drawing>
                <wp:inline distT="0" distB="0" distL="0" distR="0" wp14:anchorId="7827963D" wp14:editId="28EE8A53">
                  <wp:extent cx="2867697" cy="2412365"/>
                  <wp:effectExtent l="0" t="0" r="2540" b="635"/>
                  <wp:docPr id="2059388845" name="Picture 205938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45" name="Picture 2059388845"/>
                          <pic:cNvPicPr/>
                        </pic:nvPicPr>
                        <pic:blipFill rotWithShape="1">
                          <a:blip r:embed="rId92"/>
                          <a:srcRect l="4291" t="7373" r="12053" b="4660"/>
                          <a:stretch/>
                        </pic:blipFill>
                        <pic:spPr bwMode="auto">
                          <a:xfrm>
                            <a:off x="0" y="0"/>
                            <a:ext cx="2891732" cy="2432584"/>
                          </a:xfrm>
                          <a:prstGeom prst="rect">
                            <a:avLst/>
                          </a:prstGeom>
                          <a:ln>
                            <a:noFill/>
                          </a:ln>
                          <a:extLst>
                            <a:ext uri="{53640926-AAD7-44D8-BBD7-CCE9431645EC}">
                              <a14:shadowObscured xmlns:a14="http://schemas.microsoft.com/office/drawing/2010/main"/>
                            </a:ext>
                          </a:extLst>
                        </pic:spPr>
                      </pic:pic>
                    </a:graphicData>
                  </a:graphic>
                </wp:inline>
              </w:drawing>
            </w:r>
          </w:p>
        </w:tc>
      </w:tr>
      <w:tr w:rsidR="00401746" w:rsidRPr="003609FB" w14:paraId="7278371F" w14:textId="77777777" w:rsidTr="00A43D25">
        <w:trPr>
          <w:cantSplit/>
          <w:trHeight w:val="201"/>
        </w:trPr>
        <w:tc>
          <w:tcPr>
            <w:tcW w:w="5000" w:type="pct"/>
            <w:gridSpan w:val="2"/>
            <w:vAlign w:val="center"/>
          </w:tcPr>
          <w:p w14:paraId="3F45C3E0" w14:textId="147166AC" w:rsidR="00401746" w:rsidRPr="003609FB" w:rsidRDefault="00000000" w:rsidP="00AB2160">
            <w:pPr>
              <w:spacing w:line="36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00401746" w:rsidRPr="003609FB">
              <w:rPr>
                <w:rFonts w:ascii="Times New Roman" w:hAnsi="Times New Roman" w:cs="Times New Roman"/>
                <w:sz w:val="24"/>
                <w:szCs w:val="24"/>
              </w:rPr>
              <w:t xml:space="preserve">  = 8.0 x10</w:t>
            </w:r>
            <w:r w:rsidR="00401746" w:rsidRPr="001325AC">
              <w:rPr>
                <w:rFonts w:ascii="Times New Roman" w:hAnsi="Times New Roman" w:cs="Times New Roman"/>
                <w:sz w:val="24"/>
                <w:szCs w:val="24"/>
                <w:vertAlign w:val="superscript"/>
              </w:rPr>
              <w:t>-6</w:t>
            </w:r>
          </w:p>
        </w:tc>
      </w:tr>
      <w:tr w:rsidR="00B77219" w:rsidRPr="003609FB" w14:paraId="457DE068" w14:textId="77777777" w:rsidTr="004A76CB">
        <w:trPr>
          <w:cantSplit/>
          <w:trHeight w:val="3854"/>
        </w:trPr>
        <w:tc>
          <w:tcPr>
            <w:tcW w:w="2510" w:type="pct"/>
            <w:vAlign w:val="center"/>
          </w:tcPr>
          <w:p w14:paraId="08E79CCC" w14:textId="5F27AC6E" w:rsidR="00401746" w:rsidRPr="003609FB" w:rsidRDefault="001466BB" w:rsidP="00AB2160">
            <w:pPr>
              <w:spacing w:line="360" w:lineRule="auto"/>
              <w:rPr>
                <w:rFonts w:ascii="Times New Roman" w:hAnsi="Times New Roman" w:cs="Times New Roman"/>
                <w:sz w:val="24"/>
                <w:szCs w:val="24"/>
                <w:highlight w:val="magenta"/>
              </w:rPr>
            </w:pPr>
            <w:r w:rsidRPr="001466BB">
              <w:rPr>
                <w:rFonts w:ascii="Times New Roman" w:hAnsi="Times New Roman" w:cs="Times New Roman"/>
                <w:noProof/>
                <w:sz w:val="24"/>
                <w:szCs w:val="24"/>
              </w:rPr>
              <w:drawing>
                <wp:inline distT="0" distB="0" distL="0" distR="0" wp14:anchorId="100EF3D2" wp14:editId="1F28CCBD">
                  <wp:extent cx="2915285" cy="2476517"/>
                  <wp:effectExtent l="0" t="0" r="5715" b="0"/>
                  <wp:docPr id="2059388835" name="Picture 205938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4681" t="7021" r="10441" b="2850"/>
                          <a:stretch/>
                        </pic:blipFill>
                        <pic:spPr bwMode="auto">
                          <a:xfrm>
                            <a:off x="0" y="0"/>
                            <a:ext cx="2950746" cy="2506641"/>
                          </a:xfrm>
                          <a:prstGeom prst="rect">
                            <a:avLst/>
                          </a:prstGeom>
                          <a:ln>
                            <a:noFill/>
                          </a:ln>
                          <a:extLst>
                            <a:ext uri="{53640926-AAD7-44D8-BBD7-CCE9431645EC}">
                              <a14:shadowObscured xmlns:a14="http://schemas.microsoft.com/office/drawing/2010/main"/>
                            </a:ext>
                          </a:extLst>
                        </pic:spPr>
                      </pic:pic>
                    </a:graphicData>
                  </a:graphic>
                </wp:inline>
              </w:drawing>
            </w:r>
          </w:p>
        </w:tc>
        <w:tc>
          <w:tcPr>
            <w:tcW w:w="2490" w:type="pct"/>
            <w:vAlign w:val="center"/>
          </w:tcPr>
          <w:p w14:paraId="3876ED64" w14:textId="68DD359F" w:rsidR="00401746" w:rsidRPr="003609FB" w:rsidRDefault="00464658" w:rsidP="00AB2160">
            <w:pPr>
              <w:spacing w:line="360" w:lineRule="auto"/>
              <w:rPr>
                <w:rFonts w:ascii="Times New Roman" w:hAnsi="Times New Roman" w:cs="Times New Roman"/>
                <w:sz w:val="24"/>
                <w:szCs w:val="24"/>
                <w:highlight w:val="magenta"/>
              </w:rPr>
            </w:pPr>
            <w:r w:rsidRPr="00464658">
              <w:rPr>
                <w:rFonts w:ascii="Times New Roman" w:hAnsi="Times New Roman" w:cs="Times New Roman"/>
                <w:noProof/>
                <w:sz w:val="24"/>
                <w:szCs w:val="24"/>
              </w:rPr>
              <w:drawing>
                <wp:inline distT="0" distB="0" distL="0" distR="0" wp14:anchorId="095F14AB" wp14:editId="1CFC6DB1">
                  <wp:extent cx="2906395" cy="2344601"/>
                  <wp:effectExtent l="0" t="0" r="1905" b="5080"/>
                  <wp:docPr id="2059388842" name="Picture 205938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t="6566" r="11221" b="3911"/>
                          <a:stretch/>
                        </pic:blipFill>
                        <pic:spPr bwMode="auto">
                          <a:xfrm>
                            <a:off x="0" y="0"/>
                            <a:ext cx="2942394" cy="2373641"/>
                          </a:xfrm>
                          <a:prstGeom prst="rect">
                            <a:avLst/>
                          </a:prstGeom>
                          <a:ln>
                            <a:noFill/>
                          </a:ln>
                          <a:extLst>
                            <a:ext uri="{53640926-AAD7-44D8-BBD7-CCE9431645EC}">
                              <a14:shadowObscured xmlns:a14="http://schemas.microsoft.com/office/drawing/2010/main"/>
                            </a:ext>
                          </a:extLst>
                        </pic:spPr>
                      </pic:pic>
                    </a:graphicData>
                  </a:graphic>
                </wp:inline>
              </w:drawing>
            </w:r>
          </w:p>
        </w:tc>
      </w:tr>
      <w:tr w:rsidR="00401746" w:rsidRPr="003609FB" w14:paraId="4B2D982D" w14:textId="77777777" w:rsidTr="00A43D25">
        <w:trPr>
          <w:cantSplit/>
          <w:trHeight w:val="201"/>
        </w:trPr>
        <w:tc>
          <w:tcPr>
            <w:tcW w:w="5000" w:type="pct"/>
            <w:gridSpan w:val="2"/>
            <w:vAlign w:val="center"/>
          </w:tcPr>
          <w:p w14:paraId="117FE960" w14:textId="31261EB6" w:rsidR="00970A0F" w:rsidRPr="00970A0F" w:rsidRDefault="00970A0F" w:rsidP="00970A0F">
            <w:pPr>
              <w:spacing w:after="0" w:line="360" w:lineRule="auto"/>
              <w:rPr>
                <w:rFonts w:ascii="Times New Roman" w:hAnsi="Times New Roman" w:cs="Times New Roman"/>
                <w:sz w:val="24"/>
                <w:szCs w:val="24"/>
              </w:rPr>
            </w:pPr>
            <w:r w:rsidRPr="00970A0F">
              <w:rPr>
                <w:rFonts w:ascii="Times New Roman" w:hAnsi="Times New Roman" w:cs="Times New Roman"/>
                <w:sz w:val="24"/>
                <w:szCs w:val="24"/>
              </w:rPr>
              <w:t xml:space="preserve">Figure B </w:t>
            </w:r>
            <w:r>
              <w:rPr>
                <w:rFonts w:ascii="Times New Roman" w:hAnsi="Times New Roman" w:cs="Times New Roman"/>
                <w:sz w:val="24"/>
                <w:szCs w:val="24"/>
              </w:rPr>
              <w:t>10</w:t>
            </w:r>
            <w:r w:rsidRPr="00970A0F">
              <w:rPr>
                <w:rFonts w:ascii="Times New Roman" w:hAnsi="Times New Roman" w:cs="Times New Roman"/>
                <w:sz w:val="24"/>
                <w:szCs w:val="24"/>
              </w:rPr>
              <w:t xml:space="preserve"> </w:t>
            </w:r>
            <w:proofErr w:type="spellStart"/>
            <w:r w:rsidRPr="00970A0F">
              <w:rPr>
                <w:rFonts w:ascii="Times New Roman" w:hAnsi="Times New Roman" w:cs="Times New Roman"/>
                <w:sz w:val="24"/>
                <w:szCs w:val="24"/>
              </w:rPr>
              <w:t>ϕ</w:t>
            </w:r>
            <w:proofErr w:type="gramStart"/>
            <w:r w:rsidRPr="00970A0F">
              <w:rPr>
                <w:rFonts w:ascii="Times New Roman" w:hAnsi="Times New Roman" w:cs="Times New Roman"/>
                <w:sz w:val="24"/>
                <w:szCs w:val="24"/>
              </w:rPr>
              <w:t>max,s</w:t>
            </w:r>
            <w:proofErr w:type="spellEnd"/>
            <w:proofErr w:type="gramEnd"/>
            <w:r w:rsidRPr="00970A0F">
              <w:rPr>
                <w:rFonts w:ascii="Times New Roman" w:hAnsi="Times New Roman" w:cs="Times New Roman"/>
                <w:sz w:val="24"/>
                <w:szCs w:val="24"/>
              </w:rPr>
              <w:t xml:space="preserve"> effects on Prochlorococcus and </w:t>
            </w:r>
            <w:proofErr w:type="spellStart"/>
            <w:r w:rsidRPr="00970A0F">
              <w:rPr>
                <w:rFonts w:ascii="Times New Roman" w:hAnsi="Times New Roman" w:cs="Times New Roman"/>
                <w:sz w:val="24"/>
                <w:szCs w:val="24"/>
              </w:rPr>
              <w:t>Synechococcus</w:t>
            </w:r>
            <w:proofErr w:type="spellEnd"/>
            <w:r w:rsidRPr="00970A0F">
              <w:rPr>
                <w:rFonts w:ascii="Times New Roman" w:hAnsi="Times New Roman" w:cs="Times New Roman"/>
                <w:sz w:val="24"/>
                <w:szCs w:val="24"/>
              </w:rPr>
              <w:t xml:space="preserve"> coexistence in dynamics and equilibria contours. Dynamics ODEs (left) or equilibrium solution equations (right) are projected along a biomass ratio contour plot indication Syn/(</w:t>
            </w:r>
            <w:proofErr w:type="spellStart"/>
            <w:r w:rsidRPr="00970A0F">
              <w:rPr>
                <w:rFonts w:ascii="Times New Roman" w:hAnsi="Times New Roman" w:cs="Times New Roman"/>
                <w:sz w:val="24"/>
                <w:szCs w:val="24"/>
              </w:rPr>
              <w:t>Pro+Syn</w:t>
            </w:r>
            <w:proofErr w:type="spellEnd"/>
            <w:r w:rsidRPr="00970A0F">
              <w:rPr>
                <w:rFonts w:ascii="Times New Roman" w:hAnsi="Times New Roman" w:cs="Times New Roman"/>
                <w:sz w:val="24"/>
                <w:szCs w:val="24"/>
              </w:rPr>
              <w:t xml:space="preserve">). Each row represents a different parameterization (value) of </w:t>
            </w:r>
            <w:proofErr w:type="spellStart"/>
            <w:r w:rsidRPr="00970A0F">
              <w:rPr>
                <w:rFonts w:ascii="Times New Roman" w:hAnsi="Times New Roman" w:cs="Times New Roman"/>
                <w:sz w:val="24"/>
                <w:szCs w:val="24"/>
              </w:rPr>
              <w:t>Synechococcus</w:t>
            </w:r>
            <w:proofErr w:type="spellEnd"/>
            <w:r w:rsidRPr="00970A0F">
              <w:rPr>
                <w:rFonts w:ascii="Times New Roman" w:hAnsi="Times New Roman" w:cs="Times New Roman"/>
                <w:sz w:val="24"/>
                <w:szCs w:val="24"/>
              </w:rPr>
              <w:t xml:space="preserve"> cell based H2O2 detoxification (</w:t>
            </w:r>
            <w:proofErr w:type="gramStart"/>
            <w:r w:rsidRPr="00970A0F">
              <w:rPr>
                <w:rFonts w:ascii="Cambria Math" w:hAnsi="Cambria Math" w:cs="Cambria Math"/>
                <w:sz w:val="24"/>
                <w:szCs w:val="24"/>
              </w:rPr>
              <w:t>𝜙𝑚𝑎𝑥</w:t>
            </w:r>
            <w:r w:rsidRPr="00970A0F">
              <w:rPr>
                <w:rFonts w:ascii="Times New Roman" w:hAnsi="Times New Roman" w:cs="Times New Roman"/>
                <w:sz w:val="24"/>
                <w:szCs w:val="24"/>
              </w:rPr>
              <w:t>,</w:t>
            </w:r>
            <w:r w:rsidRPr="00970A0F">
              <w:rPr>
                <w:rFonts w:ascii="Cambria Math" w:hAnsi="Cambria Math" w:cs="Cambria Math"/>
                <w:sz w:val="24"/>
                <w:szCs w:val="24"/>
              </w:rPr>
              <w:t>𝑆</w:t>
            </w:r>
            <w:proofErr w:type="gramEnd"/>
            <w:r w:rsidRPr="00970A0F">
              <w:rPr>
                <w:rFonts w:ascii="Times New Roman" w:hAnsi="Times New Roman" w:cs="Times New Roman"/>
                <w:sz w:val="24"/>
                <w:szCs w:val="24"/>
              </w:rPr>
              <w:t>).</w:t>
            </w:r>
          </w:p>
          <w:p w14:paraId="5870D80B" w14:textId="77777777" w:rsidR="00970A0F" w:rsidRPr="00970A0F" w:rsidRDefault="00970A0F" w:rsidP="00970A0F">
            <w:pPr>
              <w:spacing w:after="0" w:line="360" w:lineRule="auto"/>
              <w:rPr>
                <w:rFonts w:ascii="Times New Roman" w:hAnsi="Times New Roman" w:cs="Times New Roman"/>
                <w:sz w:val="24"/>
                <w:szCs w:val="24"/>
              </w:rPr>
            </w:pPr>
          </w:p>
          <w:p w14:paraId="0916CFC6" w14:textId="0BEE84FF" w:rsidR="00401746" w:rsidRPr="00970A0F" w:rsidRDefault="00000000" w:rsidP="00970A0F">
            <w:pPr>
              <w:spacing w:after="0" w:line="360" w:lineRule="auto"/>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00401746" w:rsidRPr="00970A0F">
              <w:rPr>
                <w:rFonts w:ascii="Times New Roman" w:hAnsi="Times New Roman" w:cs="Times New Roman"/>
                <w:sz w:val="24"/>
                <w:szCs w:val="24"/>
              </w:rPr>
              <w:t xml:space="preserve">  = 2.0 x10</w:t>
            </w:r>
            <w:r w:rsidR="00401746" w:rsidRPr="00970A0F">
              <w:rPr>
                <w:rFonts w:ascii="Times New Roman" w:hAnsi="Times New Roman" w:cs="Times New Roman"/>
                <w:sz w:val="24"/>
                <w:szCs w:val="24"/>
                <w:vertAlign w:val="superscript"/>
              </w:rPr>
              <w:t>-6</w:t>
            </w:r>
          </w:p>
        </w:tc>
      </w:tr>
      <w:tr w:rsidR="00B77219" w:rsidRPr="003609FB" w14:paraId="721E773E" w14:textId="77777777" w:rsidTr="004A76CB">
        <w:trPr>
          <w:cantSplit/>
          <w:trHeight w:val="201"/>
        </w:trPr>
        <w:tc>
          <w:tcPr>
            <w:tcW w:w="2510" w:type="pct"/>
            <w:vAlign w:val="center"/>
          </w:tcPr>
          <w:p w14:paraId="2F33C77F" w14:textId="0D27CF9F" w:rsidR="00401746" w:rsidRPr="003609FB" w:rsidRDefault="00D10B08" w:rsidP="00AB2160">
            <w:pPr>
              <w:spacing w:line="360" w:lineRule="auto"/>
              <w:rPr>
                <w:rFonts w:ascii="Times New Roman" w:hAnsi="Times New Roman" w:cs="Times New Roman"/>
                <w:sz w:val="24"/>
                <w:szCs w:val="24"/>
              </w:rPr>
            </w:pPr>
            <w:r w:rsidRPr="00464658">
              <w:rPr>
                <w:rFonts w:ascii="Times New Roman" w:hAnsi="Times New Roman" w:cs="Times New Roman"/>
                <w:noProof/>
                <w:sz w:val="24"/>
                <w:szCs w:val="24"/>
              </w:rPr>
              <w:lastRenderedPageBreak/>
              <w:drawing>
                <wp:inline distT="0" distB="0" distL="0" distR="0" wp14:anchorId="4B54C733" wp14:editId="7C77ADD6">
                  <wp:extent cx="2948319" cy="2454965"/>
                  <wp:effectExtent l="0" t="0" r="0" b="0"/>
                  <wp:docPr id="2059388843" name="Picture 205938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t="6726" r="10386"/>
                          <a:stretch/>
                        </pic:blipFill>
                        <pic:spPr bwMode="auto">
                          <a:xfrm>
                            <a:off x="0" y="0"/>
                            <a:ext cx="2990201" cy="2489839"/>
                          </a:xfrm>
                          <a:prstGeom prst="rect">
                            <a:avLst/>
                          </a:prstGeom>
                          <a:ln>
                            <a:noFill/>
                          </a:ln>
                          <a:extLst>
                            <a:ext uri="{53640926-AAD7-44D8-BBD7-CCE9431645EC}">
                              <a14:shadowObscured xmlns:a14="http://schemas.microsoft.com/office/drawing/2010/main"/>
                            </a:ext>
                          </a:extLst>
                        </pic:spPr>
                      </pic:pic>
                    </a:graphicData>
                  </a:graphic>
                </wp:inline>
              </w:drawing>
            </w:r>
          </w:p>
        </w:tc>
        <w:tc>
          <w:tcPr>
            <w:tcW w:w="2490" w:type="pct"/>
            <w:vAlign w:val="center"/>
          </w:tcPr>
          <w:p w14:paraId="7079221C" w14:textId="12457961" w:rsidR="00401746" w:rsidRPr="003609FB" w:rsidRDefault="00D10B08" w:rsidP="00AB2160">
            <w:pPr>
              <w:spacing w:line="360" w:lineRule="auto"/>
              <w:rPr>
                <w:rFonts w:ascii="Times New Roman" w:hAnsi="Times New Roman" w:cs="Times New Roman"/>
                <w:sz w:val="24"/>
                <w:szCs w:val="24"/>
              </w:rPr>
            </w:pPr>
            <w:r w:rsidRPr="00D10B08">
              <w:rPr>
                <w:rFonts w:ascii="Times New Roman" w:hAnsi="Times New Roman" w:cs="Times New Roman"/>
                <w:noProof/>
                <w:sz w:val="24"/>
                <w:szCs w:val="24"/>
              </w:rPr>
              <w:drawing>
                <wp:inline distT="0" distB="0" distL="0" distR="0" wp14:anchorId="0E4E37B6" wp14:editId="0332878B">
                  <wp:extent cx="2923126" cy="2425093"/>
                  <wp:effectExtent l="0" t="0" r="0" b="635"/>
                  <wp:docPr id="2059388844" name="Picture 205938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t="6957" r="10279"/>
                          <a:stretch/>
                        </pic:blipFill>
                        <pic:spPr bwMode="auto">
                          <a:xfrm>
                            <a:off x="0" y="0"/>
                            <a:ext cx="2943607" cy="2442084"/>
                          </a:xfrm>
                          <a:prstGeom prst="rect">
                            <a:avLst/>
                          </a:prstGeom>
                          <a:ln>
                            <a:noFill/>
                          </a:ln>
                          <a:extLst>
                            <a:ext uri="{53640926-AAD7-44D8-BBD7-CCE9431645EC}">
                              <a14:shadowObscured xmlns:a14="http://schemas.microsoft.com/office/drawing/2010/main"/>
                            </a:ext>
                          </a:extLst>
                        </pic:spPr>
                      </pic:pic>
                    </a:graphicData>
                  </a:graphic>
                </wp:inline>
              </w:drawing>
            </w:r>
          </w:p>
        </w:tc>
      </w:tr>
      <w:tr w:rsidR="00401746" w:rsidRPr="003609FB" w14:paraId="1F85DF08" w14:textId="77777777" w:rsidTr="00A43D25">
        <w:trPr>
          <w:cantSplit/>
          <w:trHeight w:val="201"/>
        </w:trPr>
        <w:tc>
          <w:tcPr>
            <w:tcW w:w="5000" w:type="pct"/>
            <w:gridSpan w:val="2"/>
            <w:vAlign w:val="center"/>
          </w:tcPr>
          <w:p w14:paraId="3C7A9549" w14:textId="77777777" w:rsidR="00970A0F" w:rsidRPr="00970A0F" w:rsidRDefault="00970A0F" w:rsidP="00970A0F">
            <w:pPr>
              <w:spacing w:line="360" w:lineRule="auto"/>
              <w:rPr>
                <w:rFonts w:ascii="Times New Roman" w:hAnsi="Times New Roman" w:cs="Times New Roman"/>
                <w:sz w:val="24"/>
                <w:szCs w:val="24"/>
              </w:rPr>
            </w:pPr>
            <w:r w:rsidRPr="00970A0F">
              <w:rPr>
                <w:rFonts w:ascii="Times New Roman" w:hAnsi="Times New Roman" w:cs="Times New Roman"/>
                <w:sz w:val="24"/>
                <w:szCs w:val="24"/>
              </w:rPr>
              <w:t xml:space="preserve">Figure B10 Continued </w:t>
            </w:r>
          </w:p>
          <w:p w14:paraId="15D17518" w14:textId="32BA9F35" w:rsidR="00401746" w:rsidRPr="003609FB" w:rsidRDefault="00000000" w:rsidP="00AB2160">
            <w:pPr>
              <w:spacing w:line="36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ϕ</m:t>
                  </m:r>
                </m:e>
                <m:sub>
                  <m:r>
                    <w:rPr>
                      <w:rFonts w:ascii="Cambria Math" w:hAnsi="Cambria Math" w:cs="Times New Roman"/>
                      <w:sz w:val="24"/>
                      <w:szCs w:val="24"/>
                    </w:rPr>
                    <m:t>max,S</m:t>
                  </m:r>
                </m:sub>
              </m:sSub>
            </m:oMath>
            <w:r w:rsidR="00401746" w:rsidRPr="003609FB">
              <w:rPr>
                <w:rFonts w:ascii="Times New Roman" w:hAnsi="Times New Roman" w:cs="Times New Roman"/>
                <w:sz w:val="24"/>
                <w:szCs w:val="24"/>
              </w:rPr>
              <w:t xml:space="preserve">   = 0.5 x10</w:t>
            </w:r>
            <w:r w:rsidR="00401746" w:rsidRPr="001325AC">
              <w:rPr>
                <w:rFonts w:ascii="Times New Roman" w:hAnsi="Times New Roman" w:cs="Times New Roman"/>
                <w:sz w:val="24"/>
                <w:szCs w:val="24"/>
                <w:vertAlign w:val="superscript"/>
              </w:rPr>
              <w:t>-6</w:t>
            </w:r>
          </w:p>
        </w:tc>
      </w:tr>
    </w:tbl>
    <w:p w14:paraId="77938CD2" w14:textId="1BE87BF9" w:rsidR="004A76CB" w:rsidRPr="003609FB" w:rsidRDefault="004A76CB" w:rsidP="004A76CB">
      <w:pPr>
        <w:pStyle w:val="Caption"/>
      </w:pPr>
    </w:p>
    <w:p w14:paraId="220F1DD8" w14:textId="256AFFC9" w:rsidR="007C3BAF" w:rsidRDefault="007C3BAF" w:rsidP="00511118">
      <w:pPr>
        <w:pStyle w:val="Caption"/>
      </w:pPr>
    </w:p>
    <w:p w14:paraId="7FE948E5" w14:textId="339E7353" w:rsidR="006458CC" w:rsidRPr="003609FB" w:rsidRDefault="006458CC" w:rsidP="00AB2160">
      <w:pPr>
        <w:spacing w:line="360" w:lineRule="auto"/>
        <w:rPr>
          <w:rFonts w:ascii="Times New Roman" w:hAnsi="Times New Roman" w:cs="Times New Roman"/>
          <w:sz w:val="24"/>
          <w:szCs w:val="24"/>
        </w:rPr>
      </w:pPr>
    </w:p>
    <w:p w14:paraId="60BB13FD" w14:textId="03FAACC7" w:rsidR="006458CC" w:rsidRPr="003609FB" w:rsidRDefault="006458CC" w:rsidP="00AB2160">
      <w:pPr>
        <w:spacing w:line="360" w:lineRule="auto"/>
        <w:rPr>
          <w:rFonts w:ascii="Times New Roman" w:hAnsi="Times New Roman" w:cs="Times New Roman"/>
          <w:sz w:val="24"/>
          <w:szCs w:val="24"/>
        </w:rPr>
      </w:pPr>
    </w:p>
    <w:p w14:paraId="66E30BFF" w14:textId="2F502595" w:rsidR="006458CC" w:rsidRPr="003609FB" w:rsidRDefault="006458CC" w:rsidP="00AB2160">
      <w:pPr>
        <w:spacing w:line="360" w:lineRule="auto"/>
        <w:rPr>
          <w:rFonts w:ascii="Times New Roman" w:hAnsi="Times New Roman" w:cs="Times New Roman"/>
          <w:sz w:val="24"/>
          <w:szCs w:val="24"/>
        </w:rPr>
      </w:pPr>
    </w:p>
    <w:p w14:paraId="30BE86D8" w14:textId="3B8D16D7" w:rsidR="006458CC" w:rsidRDefault="006458CC" w:rsidP="00AB2160">
      <w:pPr>
        <w:spacing w:line="360" w:lineRule="auto"/>
        <w:rPr>
          <w:rFonts w:ascii="Times New Roman" w:hAnsi="Times New Roman" w:cs="Times New Roman"/>
          <w:sz w:val="24"/>
          <w:szCs w:val="24"/>
        </w:rPr>
      </w:pPr>
    </w:p>
    <w:p w14:paraId="2EB1FDAA" w14:textId="7D5D2823" w:rsidR="003633D5" w:rsidRDefault="003633D5" w:rsidP="00AB2160">
      <w:pPr>
        <w:spacing w:line="360" w:lineRule="auto"/>
        <w:rPr>
          <w:rFonts w:ascii="Times New Roman" w:hAnsi="Times New Roman" w:cs="Times New Roman"/>
          <w:sz w:val="24"/>
          <w:szCs w:val="24"/>
        </w:rPr>
      </w:pPr>
    </w:p>
    <w:p w14:paraId="3F0285DA" w14:textId="5ED5D429" w:rsidR="003633D5" w:rsidRDefault="003633D5" w:rsidP="00AB2160">
      <w:pPr>
        <w:spacing w:line="360" w:lineRule="auto"/>
        <w:rPr>
          <w:rFonts w:ascii="Times New Roman" w:hAnsi="Times New Roman" w:cs="Times New Roman"/>
          <w:sz w:val="24"/>
          <w:szCs w:val="24"/>
        </w:rPr>
      </w:pPr>
    </w:p>
    <w:tbl>
      <w:tblPr>
        <w:tblStyle w:val="TableGrid"/>
        <w:tblpPr w:leftFromText="187" w:rightFromText="187" w:vertAnchor="page" w:horzAnchor="margin" w:tblpXSpec="center" w:tblpY="85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571"/>
      </w:tblGrid>
      <w:tr w:rsidR="003633D5" w:rsidRPr="003609FB" w14:paraId="63A32EAC" w14:textId="77777777" w:rsidTr="00203337">
        <w:trPr>
          <w:cantSplit/>
          <w:trHeight w:val="184"/>
        </w:trPr>
        <w:tc>
          <w:tcPr>
            <w:tcW w:w="5000" w:type="pct"/>
            <w:gridSpan w:val="2"/>
            <w:vAlign w:val="center"/>
          </w:tcPr>
          <w:p w14:paraId="0DF0A2D3" w14:textId="77777777" w:rsidR="003633D5" w:rsidRPr="003609FB" w:rsidRDefault="003633D5" w:rsidP="00AB2160">
            <w:pPr>
              <w:spacing w:line="360" w:lineRule="auto"/>
              <w:rPr>
                <w:rFonts w:ascii="Times New Roman" w:hAnsi="Times New Roman" w:cs="Times New Roman"/>
                <w:sz w:val="24"/>
                <w:szCs w:val="24"/>
              </w:rPr>
            </w:pPr>
          </w:p>
        </w:tc>
      </w:tr>
      <w:tr w:rsidR="00A40F60" w:rsidRPr="003609FB" w14:paraId="1E2C8724" w14:textId="77777777" w:rsidTr="00203337">
        <w:trPr>
          <w:cantSplit/>
          <w:trHeight w:val="184"/>
        </w:trPr>
        <w:tc>
          <w:tcPr>
            <w:tcW w:w="2542" w:type="pct"/>
            <w:vAlign w:val="center"/>
          </w:tcPr>
          <w:p w14:paraId="06427B44" w14:textId="6E4287B4" w:rsidR="003633D5" w:rsidRPr="003609FB" w:rsidRDefault="00512863" w:rsidP="00AB2160">
            <w:pPr>
              <w:spacing w:line="360" w:lineRule="auto"/>
              <w:rPr>
                <w:rFonts w:ascii="Times New Roman" w:hAnsi="Times New Roman" w:cs="Times New Roman"/>
                <w:sz w:val="24"/>
                <w:szCs w:val="24"/>
              </w:rPr>
            </w:pPr>
            <w:r w:rsidRPr="00512863">
              <w:rPr>
                <w:rFonts w:ascii="Times New Roman" w:hAnsi="Times New Roman" w:cs="Times New Roman"/>
                <w:noProof/>
                <w:sz w:val="24"/>
                <w:szCs w:val="24"/>
              </w:rPr>
              <w:drawing>
                <wp:inline distT="0" distB="0" distL="0" distR="0" wp14:anchorId="095D07AB" wp14:editId="5F573A71">
                  <wp:extent cx="2951922" cy="2487760"/>
                  <wp:effectExtent l="0" t="0" r="0" b="1905"/>
                  <wp:docPr id="2059388847" name="Picture 205938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4606" t="6773" r="11139" b="4470"/>
                          <a:stretch/>
                        </pic:blipFill>
                        <pic:spPr bwMode="auto">
                          <a:xfrm>
                            <a:off x="0" y="0"/>
                            <a:ext cx="2970945" cy="2503792"/>
                          </a:xfrm>
                          <a:prstGeom prst="rect">
                            <a:avLst/>
                          </a:prstGeom>
                          <a:ln>
                            <a:noFill/>
                          </a:ln>
                          <a:extLst>
                            <a:ext uri="{53640926-AAD7-44D8-BBD7-CCE9431645EC}">
                              <a14:shadowObscured xmlns:a14="http://schemas.microsoft.com/office/drawing/2010/main"/>
                            </a:ext>
                          </a:extLst>
                        </pic:spPr>
                      </pic:pic>
                    </a:graphicData>
                  </a:graphic>
                </wp:inline>
              </w:drawing>
            </w:r>
          </w:p>
        </w:tc>
        <w:tc>
          <w:tcPr>
            <w:tcW w:w="2458" w:type="pct"/>
            <w:vAlign w:val="center"/>
          </w:tcPr>
          <w:p w14:paraId="3F7FA011" w14:textId="3AA21B9C" w:rsidR="003633D5" w:rsidRPr="003609FB" w:rsidRDefault="000F3E1C" w:rsidP="00AB2160">
            <w:pPr>
              <w:spacing w:line="360" w:lineRule="auto"/>
              <w:rPr>
                <w:rFonts w:ascii="Times New Roman" w:hAnsi="Times New Roman" w:cs="Times New Roman"/>
                <w:sz w:val="24"/>
                <w:szCs w:val="24"/>
              </w:rPr>
            </w:pPr>
            <w:r w:rsidRPr="000F3E1C">
              <w:rPr>
                <w:rFonts w:ascii="Times New Roman" w:hAnsi="Times New Roman" w:cs="Times New Roman"/>
                <w:noProof/>
                <w:sz w:val="24"/>
                <w:szCs w:val="24"/>
              </w:rPr>
              <w:drawing>
                <wp:inline distT="0" distB="0" distL="0" distR="0" wp14:anchorId="7809F068" wp14:editId="5D515DF7">
                  <wp:extent cx="2822216" cy="2307132"/>
                  <wp:effectExtent l="0" t="0" r="0" b="4445"/>
                  <wp:docPr id="2059388849" name="Picture 205938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l="4702" t="8816" r="10921" b="4962"/>
                          <a:stretch/>
                        </pic:blipFill>
                        <pic:spPr bwMode="auto">
                          <a:xfrm>
                            <a:off x="0" y="0"/>
                            <a:ext cx="2845090" cy="2325831"/>
                          </a:xfrm>
                          <a:prstGeom prst="rect">
                            <a:avLst/>
                          </a:prstGeom>
                          <a:ln>
                            <a:noFill/>
                          </a:ln>
                          <a:extLst>
                            <a:ext uri="{53640926-AAD7-44D8-BBD7-CCE9431645EC}">
                              <a14:shadowObscured xmlns:a14="http://schemas.microsoft.com/office/drawing/2010/main"/>
                            </a:ext>
                          </a:extLst>
                        </pic:spPr>
                      </pic:pic>
                    </a:graphicData>
                  </a:graphic>
                </wp:inline>
              </w:drawing>
            </w:r>
          </w:p>
        </w:tc>
      </w:tr>
      <w:tr w:rsidR="003633D5" w:rsidRPr="003609FB" w14:paraId="6CD6EE5F" w14:textId="77777777" w:rsidTr="00203337">
        <w:trPr>
          <w:cantSplit/>
          <w:trHeight w:val="184"/>
        </w:trPr>
        <w:tc>
          <w:tcPr>
            <w:tcW w:w="5000" w:type="pct"/>
            <w:gridSpan w:val="2"/>
            <w:vAlign w:val="center"/>
          </w:tcPr>
          <w:p w14:paraId="2D493730" w14:textId="49E3587F" w:rsidR="003633D5" w:rsidRPr="003609FB" w:rsidRDefault="003633D5" w:rsidP="00AB2160">
            <w:pPr>
              <w:spacing w:line="360" w:lineRule="auto"/>
              <w:jc w:val="center"/>
              <w:rPr>
                <w:rFonts w:ascii="Times New Roman" w:hAnsi="Times New Roman" w:cs="Times New Roman"/>
                <w:sz w:val="24"/>
                <w:szCs w:val="24"/>
              </w:rPr>
            </w:pPr>
            <m:oMath>
              <m:r>
                <w:rPr>
                  <w:rFonts w:ascii="Cambria Math" w:hAnsi="Cambria Math" w:cs="Times New Roman"/>
                  <w:sz w:val="24"/>
                  <w:szCs w:val="24"/>
                </w:rPr>
                <m:t>ϕ</m:t>
              </m:r>
            </m:oMath>
            <w:r w:rsidR="001325AC">
              <w:rPr>
                <w:rFonts w:ascii="Times New Roman" w:hAnsi="Times New Roman" w:cs="Times New Roman"/>
                <w:sz w:val="24"/>
                <w:szCs w:val="24"/>
                <w:vertAlign w:val="subscript"/>
              </w:rPr>
              <w:t>max,B</w:t>
            </w:r>
            <w:r w:rsidRPr="003609FB">
              <w:rPr>
                <w:rFonts w:ascii="Times New Roman" w:hAnsi="Times New Roman" w:cs="Times New Roman"/>
                <w:sz w:val="24"/>
                <w:szCs w:val="24"/>
              </w:rPr>
              <w:t xml:space="preserve">   = 2.0 x10</w:t>
            </w:r>
            <w:r w:rsidRPr="001466BB">
              <w:rPr>
                <w:rFonts w:ascii="Times New Roman" w:hAnsi="Times New Roman" w:cs="Times New Roman"/>
                <w:sz w:val="24"/>
                <w:szCs w:val="24"/>
                <w:vertAlign w:val="superscript"/>
              </w:rPr>
              <w:t>-5</w:t>
            </w:r>
          </w:p>
        </w:tc>
      </w:tr>
      <w:tr w:rsidR="00A40F60" w:rsidRPr="003609FB" w14:paraId="57B7C22D" w14:textId="77777777" w:rsidTr="00203337">
        <w:trPr>
          <w:cantSplit/>
          <w:trHeight w:val="184"/>
        </w:trPr>
        <w:tc>
          <w:tcPr>
            <w:tcW w:w="2542" w:type="pct"/>
            <w:vAlign w:val="center"/>
          </w:tcPr>
          <w:p w14:paraId="0C83ACB9" w14:textId="1AE81DC0" w:rsidR="003633D5" w:rsidRPr="003609FB" w:rsidRDefault="001422DB" w:rsidP="00AB2160">
            <w:pPr>
              <w:spacing w:line="360" w:lineRule="auto"/>
              <w:rPr>
                <w:rFonts w:ascii="Times New Roman" w:hAnsi="Times New Roman" w:cs="Times New Roman"/>
                <w:sz w:val="24"/>
                <w:szCs w:val="24"/>
              </w:rPr>
            </w:pPr>
            <w:r w:rsidRPr="001422DB">
              <w:rPr>
                <w:rFonts w:ascii="Times New Roman" w:hAnsi="Times New Roman" w:cs="Times New Roman"/>
                <w:noProof/>
                <w:sz w:val="24"/>
                <w:szCs w:val="24"/>
              </w:rPr>
              <w:drawing>
                <wp:inline distT="0" distB="0" distL="0" distR="0" wp14:anchorId="55CA036C" wp14:editId="1883CED3">
                  <wp:extent cx="2872408" cy="2478874"/>
                  <wp:effectExtent l="0" t="0" r="0" b="0"/>
                  <wp:docPr id="2059388850" name="Picture 205938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5529" t="7896" r="12093" b="3239"/>
                          <a:stretch/>
                        </pic:blipFill>
                        <pic:spPr bwMode="auto">
                          <a:xfrm>
                            <a:off x="0" y="0"/>
                            <a:ext cx="2885547" cy="2490213"/>
                          </a:xfrm>
                          <a:prstGeom prst="rect">
                            <a:avLst/>
                          </a:prstGeom>
                          <a:ln>
                            <a:noFill/>
                          </a:ln>
                          <a:extLst>
                            <a:ext uri="{53640926-AAD7-44D8-BBD7-CCE9431645EC}">
                              <a14:shadowObscured xmlns:a14="http://schemas.microsoft.com/office/drawing/2010/main"/>
                            </a:ext>
                          </a:extLst>
                        </pic:spPr>
                      </pic:pic>
                    </a:graphicData>
                  </a:graphic>
                </wp:inline>
              </w:drawing>
            </w:r>
          </w:p>
        </w:tc>
        <w:tc>
          <w:tcPr>
            <w:tcW w:w="2458" w:type="pct"/>
            <w:vAlign w:val="center"/>
          </w:tcPr>
          <w:p w14:paraId="3285F293" w14:textId="1AD28297" w:rsidR="003633D5" w:rsidRPr="003609FB" w:rsidRDefault="0000728E" w:rsidP="00AB2160">
            <w:pPr>
              <w:spacing w:line="360" w:lineRule="auto"/>
              <w:rPr>
                <w:rFonts w:ascii="Times New Roman" w:hAnsi="Times New Roman" w:cs="Times New Roman"/>
                <w:sz w:val="24"/>
                <w:szCs w:val="24"/>
              </w:rPr>
            </w:pPr>
            <w:r w:rsidRPr="0000728E">
              <w:rPr>
                <w:rFonts w:ascii="Times New Roman" w:hAnsi="Times New Roman" w:cs="Times New Roman"/>
                <w:noProof/>
                <w:sz w:val="24"/>
                <w:szCs w:val="24"/>
              </w:rPr>
              <w:drawing>
                <wp:inline distT="0" distB="0" distL="0" distR="0" wp14:anchorId="18E88CE9" wp14:editId="71781550">
                  <wp:extent cx="2821940" cy="2419697"/>
                  <wp:effectExtent l="0" t="0" r="0" b="6350"/>
                  <wp:docPr id="2059388851" name="Picture 205938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5484" t="6869" r="12093" b="4789"/>
                          <a:stretch/>
                        </pic:blipFill>
                        <pic:spPr bwMode="auto">
                          <a:xfrm>
                            <a:off x="0" y="0"/>
                            <a:ext cx="2830893" cy="2427374"/>
                          </a:xfrm>
                          <a:prstGeom prst="rect">
                            <a:avLst/>
                          </a:prstGeom>
                          <a:ln>
                            <a:noFill/>
                          </a:ln>
                          <a:extLst>
                            <a:ext uri="{53640926-AAD7-44D8-BBD7-CCE9431645EC}">
                              <a14:shadowObscured xmlns:a14="http://schemas.microsoft.com/office/drawing/2010/main"/>
                            </a:ext>
                          </a:extLst>
                        </pic:spPr>
                      </pic:pic>
                    </a:graphicData>
                  </a:graphic>
                </wp:inline>
              </w:drawing>
            </w:r>
          </w:p>
        </w:tc>
      </w:tr>
      <w:tr w:rsidR="003633D5" w:rsidRPr="003609FB" w14:paraId="2029D9C9" w14:textId="77777777" w:rsidTr="00203337">
        <w:trPr>
          <w:cantSplit/>
          <w:trHeight w:val="184"/>
        </w:trPr>
        <w:tc>
          <w:tcPr>
            <w:tcW w:w="5000" w:type="pct"/>
            <w:gridSpan w:val="2"/>
            <w:vAlign w:val="center"/>
          </w:tcPr>
          <w:p w14:paraId="68F85886" w14:textId="123EB3AB" w:rsidR="00970A0F" w:rsidRPr="004A76CB" w:rsidRDefault="00970A0F" w:rsidP="00970A0F">
            <w:pPr>
              <w:pStyle w:val="Caption"/>
            </w:pPr>
            <w:r>
              <w:t xml:space="preserve">Figure B 11 </w:t>
            </w:r>
            <w:r w:rsidRPr="004F2C8B">
              <w:t xml:space="preserve"> </w:t>
            </w:r>
            <m:oMath>
              <m:r>
                <w:rPr>
                  <w:rFonts w:ascii="Cambria Math" w:hAnsi="Cambria Math"/>
                </w:rPr>
                <m:t>ϕ</m:t>
              </m:r>
            </m:oMath>
            <w:proofErr w:type="gramStart"/>
            <w:r>
              <w:rPr>
                <w:vertAlign w:val="subscript"/>
              </w:rPr>
              <w:t>max,B</w:t>
            </w:r>
            <w:proofErr w:type="gramEnd"/>
            <w:r w:rsidRPr="003609FB">
              <w:t xml:space="preserve"> </w:t>
            </w:r>
            <w:r w:rsidRPr="00234308">
              <w:t xml:space="preserve"> effects on Prochlorococcus and </w:t>
            </w:r>
            <w:proofErr w:type="spellStart"/>
            <w:r w:rsidRPr="00234308">
              <w:t>Synechococcus</w:t>
            </w:r>
            <w:proofErr w:type="spellEnd"/>
            <w:r w:rsidRPr="00234308">
              <w:t xml:space="preserve"> coexistence in dynamics and equilibria contours.</w:t>
            </w:r>
            <w:r>
              <w:t xml:space="preserve"> </w:t>
            </w:r>
            <w:r w:rsidRPr="004A76CB">
              <w:t>Dynamic ODEs (left) or equilibrium solution equations (right) solutions are projected along a heat map of S</w:t>
            </w:r>
            <w:r w:rsidRPr="004A76CB">
              <w:rPr>
                <w:vertAlign w:val="subscript"/>
              </w:rPr>
              <w:t>H</w:t>
            </w:r>
            <w:r w:rsidRPr="004A76CB">
              <w:t xml:space="preserve"> and S</w:t>
            </w:r>
            <w:r w:rsidRPr="004A76CB">
              <w:rPr>
                <w:vertAlign w:val="subscript"/>
              </w:rPr>
              <w:t>N</w:t>
            </w:r>
            <w:r w:rsidRPr="004A76CB">
              <w:t xml:space="preserve"> inputs. Color represents the biomass ratio of Syn/(</w:t>
            </w:r>
            <w:proofErr w:type="spellStart"/>
            <w:r w:rsidRPr="004A76CB">
              <w:t>Pro+Syn</w:t>
            </w:r>
            <w:proofErr w:type="spellEnd"/>
            <w:r w:rsidRPr="004A76CB">
              <w:t>). Each row represents a different parameterization (value) of a stationary phase heterotrophic bacterial (B) culture’s H</w:t>
            </w:r>
            <w:r w:rsidRPr="004A76CB">
              <w:rPr>
                <w:vertAlign w:val="subscript"/>
              </w:rPr>
              <w:t>2</w:t>
            </w:r>
            <w:r w:rsidRPr="004A76CB">
              <w:t>O</w:t>
            </w:r>
            <w:r w:rsidRPr="004A76CB">
              <w:rPr>
                <w:vertAlign w:val="subscript"/>
              </w:rPr>
              <w:t>2</w:t>
            </w:r>
            <w:r w:rsidRPr="004A76CB">
              <w:t xml:space="preserve"> detoxification rate (</w:t>
            </w:r>
            <m:oMath>
              <m:r>
                <w:rPr>
                  <w:rFonts w:ascii="Cambria Math" w:hAnsi="Cambria Math"/>
                </w:rPr>
                <m:t>ϕ</m:t>
              </m:r>
            </m:oMath>
            <w:proofErr w:type="gramStart"/>
            <w:r w:rsidRPr="004A76CB">
              <w:rPr>
                <w:vertAlign w:val="subscript"/>
              </w:rPr>
              <w:t>max,B</w:t>
            </w:r>
            <w:proofErr w:type="gramEnd"/>
            <w:r w:rsidRPr="004A76CB">
              <w:t xml:space="preserve">). </w:t>
            </w:r>
            <w:proofErr w:type="spellStart"/>
            <w:r w:rsidRPr="004A76CB">
              <w:rPr>
                <w:i/>
                <w:iCs/>
              </w:rPr>
              <w:t>Synechococcus</w:t>
            </w:r>
            <w:proofErr w:type="spellEnd"/>
            <w:r w:rsidRPr="004A76CB">
              <w:t xml:space="preserve"> detoxification rate (</w:t>
            </w:r>
            <m:oMath>
              <m:r>
                <w:rPr>
                  <w:rFonts w:ascii="Cambria Math" w:hAnsi="Cambria Math"/>
                </w:rPr>
                <m:t>ϕ</m:t>
              </m:r>
            </m:oMath>
            <w:proofErr w:type="gramStart"/>
            <w:r w:rsidRPr="004A76CB">
              <w:rPr>
                <w:vertAlign w:val="subscript"/>
              </w:rPr>
              <w:t>max,B</w:t>
            </w:r>
            <w:proofErr w:type="gramEnd"/>
            <w:r w:rsidRPr="004A76CB">
              <w:t>) is held constant at 2.0 x10</w:t>
            </w:r>
            <w:r w:rsidRPr="004A76CB">
              <w:rPr>
                <w:vertAlign w:val="superscript"/>
              </w:rPr>
              <w:t>-6</w:t>
            </w:r>
            <w:r w:rsidRPr="004A76CB">
              <w:t xml:space="preserve">.  </w:t>
            </w:r>
            <w:r>
              <w:rPr>
                <w:rFonts w:ascii="Cambria Math" w:hAnsi="Cambria Math" w:cs="Times New Roman"/>
                <w:i/>
              </w:rPr>
              <w:t xml:space="preserve"> </w:t>
            </w:r>
            <m:oMath>
              <m:r>
                <w:rPr>
                  <w:rFonts w:ascii="Cambria Math" w:hAnsi="Cambria Math" w:cs="Times New Roman"/>
                </w:rPr>
                <m:t>ϕ</m:t>
              </m:r>
            </m:oMath>
            <w:proofErr w:type="gramStart"/>
            <w:r>
              <w:rPr>
                <w:rFonts w:ascii="Times New Roman" w:hAnsi="Times New Roman" w:cs="Times New Roman"/>
                <w:vertAlign w:val="subscript"/>
              </w:rPr>
              <w:t>max,B</w:t>
            </w:r>
            <w:proofErr w:type="gramEnd"/>
            <w:r w:rsidRPr="003609FB">
              <w:rPr>
                <w:rFonts w:ascii="Times New Roman" w:hAnsi="Times New Roman" w:cs="Times New Roman"/>
              </w:rPr>
              <w:t xml:space="preserve">     = 8 x10</w:t>
            </w:r>
            <w:r w:rsidRPr="001466BB">
              <w:rPr>
                <w:rFonts w:ascii="Times New Roman" w:hAnsi="Times New Roman" w:cs="Times New Roman"/>
                <w:vertAlign w:val="superscript"/>
              </w:rPr>
              <w:t>-5</w:t>
            </w:r>
          </w:p>
          <w:p w14:paraId="3FA10AD8" w14:textId="48E40582" w:rsidR="003633D5" w:rsidRPr="003609FB" w:rsidRDefault="003633D5" w:rsidP="00AB2160">
            <w:pPr>
              <w:spacing w:line="360" w:lineRule="auto"/>
              <w:jc w:val="center"/>
              <w:rPr>
                <w:rFonts w:ascii="Times New Roman" w:hAnsi="Times New Roman" w:cs="Times New Roman"/>
                <w:sz w:val="24"/>
                <w:szCs w:val="24"/>
              </w:rPr>
            </w:pPr>
          </w:p>
        </w:tc>
      </w:tr>
      <w:tr w:rsidR="00A40F60" w:rsidRPr="003609FB" w14:paraId="359305BA" w14:textId="77777777" w:rsidTr="00203337">
        <w:trPr>
          <w:cantSplit/>
          <w:trHeight w:val="184"/>
        </w:trPr>
        <w:tc>
          <w:tcPr>
            <w:tcW w:w="2542" w:type="pct"/>
            <w:vAlign w:val="center"/>
          </w:tcPr>
          <w:p w14:paraId="0094BB48" w14:textId="7D84C6FA" w:rsidR="003633D5" w:rsidRPr="003609FB" w:rsidRDefault="00A40F60" w:rsidP="00AB2160">
            <w:pPr>
              <w:spacing w:line="360" w:lineRule="auto"/>
              <w:rPr>
                <w:rFonts w:ascii="Times New Roman" w:hAnsi="Times New Roman" w:cs="Times New Roman"/>
                <w:sz w:val="24"/>
                <w:szCs w:val="24"/>
              </w:rPr>
            </w:pPr>
            <w:r w:rsidRPr="00A40F60">
              <w:rPr>
                <w:rFonts w:ascii="Times New Roman" w:hAnsi="Times New Roman" w:cs="Times New Roman"/>
                <w:noProof/>
                <w:sz w:val="24"/>
                <w:szCs w:val="24"/>
              </w:rPr>
              <w:lastRenderedPageBreak/>
              <w:drawing>
                <wp:inline distT="0" distB="0" distL="0" distR="0" wp14:anchorId="69D255F6" wp14:editId="5993659F">
                  <wp:extent cx="2963294" cy="2513950"/>
                  <wp:effectExtent l="0" t="0" r="0" b="1270"/>
                  <wp:docPr id="2059388853" name="Picture 205938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4510" t="7201" r="11329" b="3549"/>
                          <a:stretch/>
                        </pic:blipFill>
                        <pic:spPr bwMode="auto">
                          <a:xfrm>
                            <a:off x="0" y="0"/>
                            <a:ext cx="2984612" cy="2532035"/>
                          </a:xfrm>
                          <a:prstGeom prst="rect">
                            <a:avLst/>
                          </a:prstGeom>
                          <a:ln>
                            <a:noFill/>
                          </a:ln>
                          <a:extLst>
                            <a:ext uri="{53640926-AAD7-44D8-BBD7-CCE9431645EC}">
                              <a14:shadowObscured xmlns:a14="http://schemas.microsoft.com/office/drawing/2010/main"/>
                            </a:ext>
                          </a:extLst>
                        </pic:spPr>
                      </pic:pic>
                    </a:graphicData>
                  </a:graphic>
                </wp:inline>
              </w:drawing>
            </w:r>
          </w:p>
        </w:tc>
        <w:tc>
          <w:tcPr>
            <w:tcW w:w="2458" w:type="pct"/>
            <w:vAlign w:val="center"/>
          </w:tcPr>
          <w:p w14:paraId="64E162AA" w14:textId="0AEB102D" w:rsidR="003633D5" w:rsidRPr="003609FB" w:rsidRDefault="005B3389" w:rsidP="00AB2160">
            <w:pPr>
              <w:spacing w:line="360" w:lineRule="auto"/>
              <w:rPr>
                <w:rFonts w:ascii="Times New Roman" w:hAnsi="Times New Roman" w:cs="Times New Roman"/>
                <w:sz w:val="24"/>
                <w:szCs w:val="24"/>
              </w:rPr>
            </w:pPr>
            <w:r w:rsidRPr="005B3389">
              <w:rPr>
                <w:rFonts w:ascii="Times New Roman" w:hAnsi="Times New Roman" w:cs="Times New Roman"/>
                <w:noProof/>
                <w:sz w:val="24"/>
                <w:szCs w:val="24"/>
              </w:rPr>
              <w:drawing>
                <wp:inline distT="0" distB="0" distL="0" distR="0" wp14:anchorId="76D855D4" wp14:editId="42EC4B79">
                  <wp:extent cx="2788397" cy="2365513"/>
                  <wp:effectExtent l="0" t="0" r="5715" b="0"/>
                  <wp:docPr id="2059388854" name="Picture 205938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5369" t="7419" r="12416" b="5398"/>
                          <a:stretch/>
                        </pic:blipFill>
                        <pic:spPr bwMode="auto">
                          <a:xfrm>
                            <a:off x="0" y="0"/>
                            <a:ext cx="2798247" cy="2373869"/>
                          </a:xfrm>
                          <a:prstGeom prst="rect">
                            <a:avLst/>
                          </a:prstGeom>
                          <a:ln>
                            <a:noFill/>
                          </a:ln>
                          <a:extLst>
                            <a:ext uri="{53640926-AAD7-44D8-BBD7-CCE9431645EC}">
                              <a14:shadowObscured xmlns:a14="http://schemas.microsoft.com/office/drawing/2010/main"/>
                            </a:ext>
                          </a:extLst>
                        </pic:spPr>
                      </pic:pic>
                    </a:graphicData>
                  </a:graphic>
                </wp:inline>
              </w:drawing>
            </w:r>
          </w:p>
        </w:tc>
      </w:tr>
      <w:tr w:rsidR="003633D5" w:rsidRPr="003609FB" w14:paraId="3AD89227" w14:textId="77777777" w:rsidTr="00203337">
        <w:trPr>
          <w:cantSplit/>
          <w:trHeight w:val="184"/>
        </w:trPr>
        <w:tc>
          <w:tcPr>
            <w:tcW w:w="5000" w:type="pct"/>
            <w:gridSpan w:val="2"/>
            <w:vAlign w:val="center"/>
          </w:tcPr>
          <w:p w14:paraId="174DCABF" w14:textId="26444934" w:rsidR="00970A0F" w:rsidRPr="00970A0F" w:rsidRDefault="00970A0F" w:rsidP="00970A0F">
            <w:pPr>
              <w:spacing w:line="360" w:lineRule="auto"/>
              <w:rPr>
                <w:rFonts w:ascii="Times New Roman" w:hAnsi="Times New Roman" w:cs="Times New Roman"/>
                <w:sz w:val="24"/>
                <w:szCs w:val="24"/>
              </w:rPr>
            </w:pPr>
            <w:r w:rsidRPr="00970A0F">
              <w:rPr>
                <w:rFonts w:ascii="Times New Roman" w:hAnsi="Times New Roman" w:cs="Times New Roman"/>
                <w:sz w:val="24"/>
                <w:szCs w:val="24"/>
              </w:rPr>
              <w:t>Figure B11 Continued</w:t>
            </w:r>
          </w:p>
          <w:p w14:paraId="580B0C02" w14:textId="1FBFAC9D" w:rsidR="003633D5" w:rsidRPr="003609FB" w:rsidRDefault="001325AC" w:rsidP="000F3E1C">
            <w:pPr>
              <w:spacing w:line="360" w:lineRule="auto"/>
              <w:jc w:val="center"/>
              <w:rPr>
                <w:rFonts w:ascii="Times New Roman" w:hAnsi="Times New Roman" w:cs="Times New Roman"/>
                <w:sz w:val="24"/>
                <w:szCs w:val="24"/>
              </w:rPr>
            </w:pPr>
            <m:oMath>
              <m:r>
                <w:rPr>
                  <w:rFonts w:ascii="Cambria Math" w:hAnsi="Cambria Math" w:cs="Times New Roman"/>
                  <w:sz w:val="24"/>
                  <w:szCs w:val="24"/>
                </w:rPr>
                <m:t>ϕ</m:t>
              </m:r>
            </m:oMath>
            <w:proofErr w:type="gramStart"/>
            <w:r>
              <w:rPr>
                <w:rFonts w:ascii="Times New Roman" w:hAnsi="Times New Roman" w:cs="Times New Roman"/>
                <w:sz w:val="24"/>
                <w:szCs w:val="24"/>
                <w:vertAlign w:val="subscript"/>
              </w:rPr>
              <w:t>max,B</w:t>
            </w:r>
            <w:proofErr w:type="gramEnd"/>
            <w:r w:rsidRPr="003609FB">
              <w:rPr>
                <w:rFonts w:ascii="Times New Roman" w:hAnsi="Times New Roman" w:cs="Times New Roman"/>
                <w:sz w:val="24"/>
                <w:szCs w:val="24"/>
              </w:rPr>
              <w:t xml:space="preserve">   </w:t>
            </w:r>
            <w:r w:rsidR="003633D5" w:rsidRPr="003609FB">
              <w:rPr>
                <w:rFonts w:ascii="Times New Roman" w:hAnsi="Times New Roman" w:cs="Times New Roman"/>
                <w:sz w:val="24"/>
                <w:szCs w:val="24"/>
              </w:rPr>
              <w:t>= 2.0 x10</w:t>
            </w:r>
            <w:r w:rsidR="003633D5" w:rsidRPr="001466BB">
              <w:rPr>
                <w:rFonts w:ascii="Times New Roman" w:hAnsi="Times New Roman" w:cs="Times New Roman"/>
                <w:sz w:val="24"/>
                <w:szCs w:val="24"/>
                <w:vertAlign w:val="superscript"/>
              </w:rPr>
              <w:t>-4</w:t>
            </w:r>
          </w:p>
        </w:tc>
      </w:tr>
    </w:tbl>
    <w:p w14:paraId="4C390C2D" w14:textId="42889CB5" w:rsidR="003633D5" w:rsidRPr="003609FB" w:rsidRDefault="003633D5" w:rsidP="00AB2160">
      <w:pPr>
        <w:spacing w:line="360" w:lineRule="auto"/>
        <w:rPr>
          <w:rFonts w:ascii="Times New Roman" w:hAnsi="Times New Roman" w:cs="Times New Roman"/>
          <w:sz w:val="24"/>
          <w:szCs w:val="24"/>
        </w:rPr>
      </w:pPr>
    </w:p>
    <w:p w14:paraId="155344CD" w14:textId="3601B627" w:rsidR="006458CC" w:rsidRDefault="006458CC" w:rsidP="00AB2160">
      <w:pPr>
        <w:spacing w:line="360" w:lineRule="auto"/>
        <w:rPr>
          <w:rFonts w:ascii="Times New Roman" w:hAnsi="Times New Roman" w:cs="Times New Roman"/>
          <w:sz w:val="24"/>
          <w:szCs w:val="24"/>
        </w:rPr>
      </w:pPr>
    </w:p>
    <w:p w14:paraId="7AB5CEE1" w14:textId="3492C129" w:rsidR="000C2A3E" w:rsidRDefault="000C2A3E" w:rsidP="00AB2160">
      <w:pPr>
        <w:spacing w:line="360" w:lineRule="auto"/>
        <w:rPr>
          <w:rFonts w:ascii="Times New Roman" w:hAnsi="Times New Roman" w:cs="Times New Roman"/>
          <w:sz w:val="24"/>
          <w:szCs w:val="24"/>
        </w:rPr>
      </w:pPr>
    </w:p>
    <w:p w14:paraId="7D091E47" w14:textId="61DB8892" w:rsidR="00234308" w:rsidRDefault="00234308" w:rsidP="00AB2160">
      <w:pPr>
        <w:spacing w:line="360" w:lineRule="auto"/>
        <w:rPr>
          <w:rFonts w:ascii="Times New Roman" w:hAnsi="Times New Roman" w:cs="Times New Roman"/>
          <w:sz w:val="24"/>
          <w:szCs w:val="24"/>
        </w:rPr>
      </w:pPr>
    </w:p>
    <w:p w14:paraId="3E132FC4" w14:textId="011C4D2C" w:rsidR="00234308" w:rsidRDefault="00234308" w:rsidP="00AB2160">
      <w:pPr>
        <w:spacing w:line="360" w:lineRule="auto"/>
        <w:rPr>
          <w:rFonts w:ascii="Times New Roman" w:hAnsi="Times New Roman" w:cs="Times New Roman"/>
          <w:sz w:val="24"/>
          <w:szCs w:val="24"/>
        </w:rPr>
      </w:pPr>
    </w:p>
    <w:p w14:paraId="35C931BB" w14:textId="028594E0" w:rsidR="00234308" w:rsidRDefault="00234308" w:rsidP="00AB2160">
      <w:pPr>
        <w:spacing w:line="360" w:lineRule="auto"/>
        <w:rPr>
          <w:rFonts w:ascii="Times New Roman" w:hAnsi="Times New Roman" w:cs="Times New Roman"/>
          <w:sz w:val="24"/>
          <w:szCs w:val="24"/>
        </w:rPr>
      </w:pPr>
    </w:p>
    <w:p w14:paraId="59AD0E52" w14:textId="181D1363" w:rsidR="00234308" w:rsidRDefault="00234308" w:rsidP="00AB2160">
      <w:pPr>
        <w:spacing w:line="360" w:lineRule="auto"/>
        <w:rPr>
          <w:rFonts w:ascii="Times New Roman" w:hAnsi="Times New Roman" w:cs="Times New Roman"/>
          <w:sz w:val="24"/>
          <w:szCs w:val="24"/>
        </w:rPr>
      </w:pPr>
    </w:p>
    <w:p w14:paraId="237882FA" w14:textId="77777777" w:rsidR="004D37BC" w:rsidRDefault="004D37BC" w:rsidP="00AB2160">
      <w:pPr>
        <w:spacing w:line="360" w:lineRule="auto"/>
        <w:rPr>
          <w:rFonts w:ascii="Times New Roman" w:hAnsi="Times New Roman" w:cs="Times New Roman"/>
          <w:sz w:val="24"/>
          <w:szCs w:val="24"/>
        </w:rPr>
      </w:pPr>
    </w:p>
    <w:p w14:paraId="40D1AA80" w14:textId="77777777" w:rsidR="004D37BC" w:rsidRDefault="004D37BC" w:rsidP="00AB2160">
      <w:pPr>
        <w:spacing w:line="360" w:lineRule="auto"/>
        <w:rPr>
          <w:rFonts w:ascii="Times New Roman" w:hAnsi="Times New Roman" w:cs="Times New Roman"/>
          <w:sz w:val="24"/>
          <w:szCs w:val="24"/>
        </w:rPr>
      </w:pPr>
    </w:p>
    <w:p w14:paraId="3E7A2158" w14:textId="77777777" w:rsidR="004D37BC" w:rsidRDefault="004D37BC" w:rsidP="00AB2160">
      <w:pPr>
        <w:spacing w:line="360" w:lineRule="auto"/>
        <w:rPr>
          <w:rFonts w:ascii="Times New Roman" w:hAnsi="Times New Roman" w:cs="Times New Roman"/>
          <w:sz w:val="24"/>
          <w:szCs w:val="24"/>
        </w:rPr>
      </w:pPr>
    </w:p>
    <w:p w14:paraId="26FBD319" w14:textId="77777777" w:rsidR="004D37BC" w:rsidRDefault="004D37BC" w:rsidP="00AB2160">
      <w:pPr>
        <w:spacing w:line="360" w:lineRule="auto"/>
        <w:rPr>
          <w:rFonts w:ascii="Times New Roman" w:hAnsi="Times New Roman" w:cs="Times New Roman"/>
          <w:sz w:val="24"/>
          <w:szCs w:val="24"/>
        </w:rPr>
      </w:pPr>
    </w:p>
    <w:p w14:paraId="13AC4229" w14:textId="26BEFBF0" w:rsidR="006458CC" w:rsidRPr="000C2A3E" w:rsidRDefault="007C0BE8" w:rsidP="00BD48A0">
      <w:pPr>
        <w:pStyle w:val="Heading2"/>
        <w:numPr>
          <w:ilvl w:val="0"/>
          <w:numId w:val="0"/>
        </w:numPr>
        <w:spacing w:line="360" w:lineRule="auto"/>
      </w:pPr>
      <w:bookmarkStart w:id="109" w:name="_Toc173250068"/>
      <w:r w:rsidRPr="000C2A3E">
        <w:lastRenderedPageBreak/>
        <w:t>Appendi</w:t>
      </w:r>
      <w:r w:rsidR="000C2A3E" w:rsidRPr="000C2A3E">
        <w:t xml:space="preserve">x </w:t>
      </w:r>
      <w:r w:rsidR="00A6458C">
        <w:t>C</w:t>
      </w:r>
      <w:r w:rsidR="000C2A3E" w:rsidRPr="000C2A3E">
        <w:t xml:space="preserve"> </w:t>
      </w:r>
      <w:r w:rsidR="006458CC" w:rsidRPr="000C2A3E">
        <w:t>Supplementary Information:  Chapter 4</w:t>
      </w:r>
      <w:bookmarkEnd w:id="109"/>
    </w:p>
    <w:p w14:paraId="5B410609" w14:textId="77777777" w:rsidR="006458CC" w:rsidRPr="003609FB" w:rsidRDefault="006458CC" w:rsidP="00AB2160">
      <w:pPr>
        <w:spacing w:line="360" w:lineRule="auto"/>
        <w:rPr>
          <w:rFonts w:ascii="Times New Roman" w:hAnsi="Times New Roman" w:cs="Times New Roman"/>
          <w:sz w:val="24"/>
          <w:szCs w:val="24"/>
        </w:rPr>
      </w:pPr>
    </w:p>
    <w:p w14:paraId="689176C3" w14:textId="77777777" w:rsidR="006458CC" w:rsidRPr="003609FB" w:rsidRDefault="006458CC"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t>Global maps of individual H, P, and S, tracers in Cases 1-4 are shown below.</w:t>
      </w:r>
    </w:p>
    <w:p w14:paraId="2F85FB78" w14:textId="77777777" w:rsidR="006458CC" w:rsidRDefault="006458CC" w:rsidP="00AB2160">
      <w:pPr>
        <w:spacing w:line="360" w:lineRule="auto"/>
        <w:rPr>
          <w:rFonts w:ascii="Times New Roman" w:hAnsi="Times New Roman" w:cs="Times New Roman"/>
          <w:sz w:val="24"/>
          <w:szCs w:val="24"/>
        </w:rPr>
      </w:pPr>
    </w:p>
    <w:p w14:paraId="2D06A7C7" w14:textId="77777777" w:rsidR="00275CAA" w:rsidRDefault="00275CAA" w:rsidP="00AB2160">
      <w:pPr>
        <w:spacing w:line="360" w:lineRule="auto"/>
        <w:rPr>
          <w:rFonts w:ascii="Times New Roman" w:hAnsi="Times New Roman" w:cs="Times New Roman"/>
          <w:sz w:val="24"/>
          <w:szCs w:val="24"/>
        </w:rPr>
      </w:pPr>
    </w:p>
    <w:p w14:paraId="2720B8C1" w14:textId="77777777" w:rsidR="00275CAA" w:rsidRDefault="00275CAA" w:rsidP="00AB2160">
      <w:pPr>
        <w:spacing w:line="360" w:lineRule="auto"/>
        <w:rPr>
          <w:rFonts w:ascii="Times New Roman" w:hAnsi="Times New Roman" w:cs="Times New Roman"/>
          <w:sz w:val="24"/>
          <w:szCs w:val="24"/>
        </w:rPr>
      </w:pPr>
    </w:p>
    <w:p w14:paraId="54EAEDE6" w14:textId="77777777" w:rsidR="00275CAA" w:rsidRDefault="00275CAA" w:rsidP="00AB2160">
      <w:pPr>
        <w:spacing w:line="360" w:lineRule="auto"/>
        <w:rPr>
          <w:rFonts w:ascii="Times New Roman" w:hAnsi="Times New Roman" w:cs="Times New Roman"/>
          <w:sz w:val="24"/>
          <w:szCs w:val="24"/>
        </w:rPr>
      </w:pPr>
    </w:p>
    <w:p w14:paraId="7288AD4F" w14:textId="77777777" w:rsidR="00275CAA" w:rsidRDefault="00275CAA" w:rsidP="00AB2160">
      <w:pPr>
        <w:spacing w:line="360" w:lineRule="auto"/>
        <w:rPr>
          <w:rFonts w:ascii="Times New Roman" w:hAnsi="Times New Roman" w:cs="Times New Roman"/>
          <w:sz w:val="24"/>
          <w:szCs w:val="24"/>
        </w:rPr>
      </w:pPr>
    </w:p>
    <w:p w14:paraId="07F425D8" w14:textId="77777777" w:rsidR="00275CAA" w:rsidRDefault="00275CAA" w:rsidP="00AB2160">
      <w:pPr>
        <w:spacing w:line="360" w:lineRule="auto"/>
        <w:rPr>
          <w:rFonts w:ascii="Times New Roman" w:hAnsi="Times New Roman" w:cs="Times New Roman"/>
          <w:sz w:val="24"/>
          <w:szCs w:val="24"/>
        </w:rPr>
      </w:pPr>
    </w:p>
    <w:p w14:paraId="4654615A" w14:textId="77777777" w:rsidR="00275CAA" w:rsidRDefault="00275CAA" w:rsidP="00AB2160">
      <w:pPr>
        <w:spacing w:line="360" w:lineRule="auto"/>
        <w:rPr>
          <w:rFonts w:ascii="Times New Roman" w:hAnsi="Times New Roman" w:cs="Times New Roman"/>
          <w:sz w:val="24"/>
          <w:szCs w:val="24"/>
        </w:rPr>
      </w:pPr>
    </w:p>
    <w:p w14:paraId="3F4B20D4" w14:textId="77777777" w:rsidR="00275CAA" w:rsidRDefault="00275CAA" w:rsidP="00AB2160">
      <w:pPr>
        <w:spacing w:line="360" w:lineRule="auto"/>
        <w:rPr>
          <w:rFonts w:ascii="Times New Roman" w:hAnsi="Times New Roman" w:cs="Times New Roman"/>
          <w:sz w:val="24"/>
          <w:szCs w:val="24"/>
        </w:rPr>
      </w:pPr>
    </w:p>
    <w:p w14:paraId="243C34AB" w14:textId="77777777" w:rsidR="00275CAA" w:rsidRDefault="00275CAA" w:rsidP="00AB2160">
      <w:pPr>
        <w:spacing w:line="360" w:lineRule="auto"/>
        <w:rPr>
          <w:rFonts w:ascii="Times New Roman" w:hAnsi="Times New Roman" w:cs="Times New Roman"/>
          <w:sz w:val="24"/>
          <w:szCs w:val="24"/>
        </w:rPr>
      </w:pPr>
    </w:p>
    <w:p w14:paraId="5F435E1E" w14:textId="77777777" w:rsidR="00275CAA" w:rsidRDefault="00275CAA" w:rsidP="00AB2160">
      <w:pPr>
        <w:spacing w:line="360" w:lineRule="auto"/>
        <w:rPr>
          <w:rFonts w:ascii="Times New Roman" w:hAnsi="Times New Roman" w:cs="Times New Roman"/>
          <w:sz w:val="24"/>
          <w:szCs w:val="24"/>
        </w:rPr>
      </w:pPr>
    </w:p>
    <w:p w14:paraId="2E0787E0" w14:textId="77777777" w:rsidR="00275CAA" w:rsidRDefault="00275CAA" w:rsidP="00AB2160">
      <w:pPr>
        <w:spacing w:line="360" w:lineRule="auto"/>
        <w:rPr>
          <w:rFonts w:ascii="Times New Roman" w:hAnsi="Times New Roman" w:cs="Times New Roman"/>
          <w:sz w:val="24"/>
          <w:szCs w:val="24"/>
        </w:rPr>
      </w:pPr>
    </w:p>
    <w:p w14:paraId="4A1A5125" w14:textId="77777777" w:rsidR="00275CAA" w:rsidRDefault="00275CAA" w:rsidP="00AB2160">
      <w:pPr>
        <w:spacing w:line="360" w:lineRule="auto"/>
        <w:rPr>
          <w:rFonts w:ascii="Times New Roman" w:hAnsi="Times New Roman" w:cs="Times New Roman"/>
          <w:sz w:val="24"/>
          <w:szCs w:val="24"/>
        </w:rPr>
      </w:pPr>
    </w:p>
    <w:p w14:paraId="39844FD8" w14:textId="77777777" w:rsidR="004D37BC" w:rsidRDefault="004D37BC" w:rsidP="00AB2160">
      <w:pPr>
        <w:spacing w:line="360" w:lineRule="auto"/>
        <w:rPr>
          <w:rFonts w:ascii="Times New Roman" w:hAnsi="Times New Roman" w:cs="Times New Roman"/>
          <w:sz w:val="24"/>
          <w:szCs w:val="24"/>
        </w:rPr>
      </w:pPr>
    </w:p>
    <w:p w14:paraId="7ACB7331" w14:textId="77777777" w:rsidR="004D37BC" w:rsidRDefault="004D37BC" w:rsidP="00AB2160">
      <w:pPr>
        <w:spacing w:line="360" w:lineRule="auto"/>
        <w:rPr>
          <w:rFonts w:ascii="Times New Roman" w:hAnsi="Times New Roman" w:cs="Times New Roman"/>
          <w:sz w:val="24"/>
          <w:szCs w:val="24"/>
        </w:rPr>
      </w:pPr>
    </w:p>
    <w:p w14:paraId="56359B42" w14:textId="77777777" w:rsidR="004D37BC" w:rsidRDefault="004D37BC" w:rsidP="00AB2160">
      <w:pPr>
        <w:spacing w:line="360" w:lineRule="auto"/>
        <w:rPr>
          <w:rFonts w:ascii="Times New Roman" w:hAnsi="Times New Roman" w:cs="Times New Roman"/>
          <w:sz w:val="24"/>
          <w:szCs w:val="24"/>
        </w:rPr>
      </w:pPr>
    </w:p>
    <w:p w14:paraId="60613635" w14:textId="77777777" w:rsidR="004D37BC" w:rsidRDefault="004D37BC" w:rsidP="00AB2160">
      <w:pPr>
        <w:spacing w:line="360" w:lineRule="auto"/>
        <w:rPr>
          <w:rFonts w:ascii="Times New Roman" w:hAnsi="Times New Roman" w:cs="Times New Roman"/>
          <w:sz w:val="24"/>
          <w:szCs w:val="24"/>
        </w:rPr>
      </w:pPr>
    </w:p>
    <w:p w14:paraId="5968E56C" w14:textId="77777777" w:rsidR="004D37BC" w:rsidRDefault="004D37BC" w:rsidP="00AB2160">
      <w:pPr>
        <w:spacing w:line="360" w:lineRule="auto"/>
        <w:rPr>
          <w:rFonts w:ascii="Times New Roman" w:hAnsi="Times New Roman" w:cs="Times New Roman"/>
          <w:sz w:val="24"/>
          <w:szCs w:val="24"/>
        </w:rPr>
      </w:pPr>
    </w:p>
    <w:p w14:paraId="4E7D6978" w14:textId="77777777" w:rsidR="004D37BC" w:rsidRDefault="004D37BC" w:rsidP="00AB2160">
      <w:pPr>
        <w:spacing w:line="360" w:lineRule="auto"/>
        <w:rPr>
          <w:rFonts w:ascii="Times New Roman" w:hAnsi="Times New Roman" w:cs="Times New Roman"/>
          <w:sz w:val="24"/>
          <w:szCs w:val="24"/>
        </w:rPr>
      </w:pPr>
    </w:p>
    <w:p w14:paraId="39C3A3E9" w14:textId="3FB0CB51" w:rsidR="00001DE4" w:rsidRDefault="004E3BEF" w:rsidP="00AB2160">
      <w:pPr>
        <w:keepNext/>
        <w:spacing w:line="360" w:lineRule="auto"/>
      </w:pPr>
      <w:r>
        <w:rPr>
          <w:noProof/>
        </w:rPr>
        <w:lastRenderedPageBreak/>
        <w:drawing>
          <wp:inline distT="0" distB="0" distL="0" distR="0" wp14:anchorId="7C74B6CB" wp14:editId="07772E6B">
            <wp:extent cx="5943600" cy="1914525"/>
            <wp:effectExtent l="0" t="0" r="0" b="3175"/>
            <wp:docPr id="2059388828" name="Picture 2059388828"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28" name="Picture 2059388828" descr="A map of the world&#10;&#10;Description automatically generated"/>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1914525"/>
                    </a:xfrm>
                    <a:prstGeom prst="rect">
                      <a:avLst/>
                    </a:prstGeom>
                  </pic:spPr>
                </pic:pic>
              </a:graphicData>
            </a:graphic>
          </wp:inline>
        </w:drawing>
      </w:r>
    </w:p>
    <w:p w14:paraId="7F9970F6" w14:textId="77777777" w:rsidR="00970A0F" w:rsidRDefault="00970A0F" w:rsidP="00970A0F">
      <w:pPr>
        <w:pStyle w:val="Caption"/>
      </w:pPr>
      <w:bookmarkStart w:id="110" w:name="_Toc172910670"/>
      <w:r>
        <w:t xml:space="preserve">Figure C </w:t>
      </w:r>
      <w:r>
        <w:fldChar w:fldCharType="begin"/>
      </w:r>
      <w:r>
        <w:instrText xml:space="preserve"> SEQ C \* ARABIC </w:instrText>
      </w:r>
      <w:r>
        <w:fldChar w:fldCharType="separate"/>
      </w:r>
      <w:r>
        <w:rPr>
          <w:noProof/>
        </w:rPr>
        <w:t>1</w:t>
      </w:r>
      <w:r>
        <w:rPr>
          <w:noProof/>
        </w:rPr>
        <w:fldChar w:fldCharType="end"/>
      </w:r>
      <w:r>
        <w:t xml:space="preserve"> H</w:t>
      </w:r>
      <w:r w:rsidRPr="004E3BEF">
        <w:rPr>
          <w:vertAlign w:val="subscript"/>
        </w:rPr>
        <w:t>2</w:t>
      </w:r>
      <w:r>
        <w:t>O</w:t>
      </w:r>
      <w:r w:rsidRPr="004E3BEF">
        <w:rPr>
          <w:vertAlign w:val="subscript"/>
        </w:rPr>
        <w:t>2</w:t>
      </w:r>
      <w:r>
        <w:t xml:space="preserve">, </w:t>
      </w:r>
      <w:r w:rsidRPr="00E172CB">
        <w:rPr>
          <w:rFonts w:ascii="Times" w:hAnsi="Times"/>
          <w:i/>
          <w:iCs/>
        </w:rPr>
        <w:t>Prochlorococcus</w:t>
      </w:r>
      <w:r>
        <w:t xml:space="preserve"> and </w:t>
      </w:r>
      <w:proofErr w:type="spellStart"/>
      <w:r w:rsidRPr="00275764">
        <w:rPr>
          <w:rFonts w:ascii="Times" w:hAnsi="Times"/>
          <w:i/>
          <w:iCs/>
        </w:rPr>
        <w:t>Synechococcus</w:t>
      </w:r>
      <w:proofErr w:type="spellEnd"/>
      <w:r>
        <w:t xml:space="preserve"> biogeography in year 9 of </w:t>
      </w:r>
      <w:r w:rsidRPr="00400C6A">
        <w:t xml:space="preserve">Case 1: Non-leaky world, no </w:t>
      </w:r>
      <w:proofErr w:type="spellStart"/>
      <w:proofErr w:type="gramStart"/>
      <w:r w:rsidRPr="00400C6A">
        <w:t>k</w:t>
      </w:r>
      <w:r w:rsidRPr="00001DE4">
        <w:rPr>
          <w:vertAlign w:val="subscript"/>
        </w:rPr>
        <w:t>dam</w:t>
      </w:r>
      <w:r>
        <w:rPr>
          <w:vertAlign w:val="subscript"/>
        </w:rPr>
        <w:t>,p</w:t>
      </w:r>
      <w:proofErr w:type="spellEnd"/>
      <w:r>
        <w:t>.</w:t>
      </w:r>
      <w:bookmarkEnd w:id="110"/>
      <w:proofErr w:type="gramEnd"/>
    </w:p>
    <w:p w14:paraId="1468CB65" w14:textId="77777777" w:rsidR="00275CAA" w:rsidRDefault="00275CAA" w:rsidP="00511118">
      <w:pPr>
        <w:pStyle w:val="Caption"/>
      </w:pPr>
    </w:p>
    <w:p w14:paraId="72507F4E" w14:textId="77777777" w:rsidR="00275CAA" w:rsidRDefault="00275CAA" w:rsidP="00511118">
      <w:pPr>
        <w:pStyle w:val="Caption"/>
      </w:pPr>
    </w:p>
    <w:p w14:paraId="08F75783" w14:textId="77777777" w:rsidR="00275CAA" w:rsidRDefault="00275CAA" w:rsidP="00511118">
      <w:pPr>
        <w:pStyle w:val="Caption"/>
      </w:pPr>
    </w:p>
    <w:p w14:paraId="4E53CAF2" w14:textId="77777777" w:rsidR="00275CAA" w:rsidRDefault="00275CAA" w:rsidP="00511118">
      <w:pPr>
        <w:pStyle w:val="Caption"/>
      </w:pPr>
    </w:p>
    <w:p w14:paraId="5923B64F" w14:textId="77777777" w:rsidR="00275CAA" w:rsidRDefault="00275CAA" w:rsidP="00511118">
      <w:pPr>
        <w:pStyle w:val="Caption"/>
      </w:pPr>
    </w:p>
    <w:p w14:paraId="434AC2AA" w14:textId="77777777" w:rsidR="00275CAA" w:rsidRDefault="00275CAA" w:rsidP="00511118">
      <w:pPr>
        <w:pStyle w:val="Caption"/>
      </w:pPr>
    </w:p>
    <w:p w14:paraId="6DD2724D" w14:textId="77777777" w:rsidR="00275CAA" w:rsidRDefault="00275CAA" w:rsidP="00511118">
      <w:pPr>
        <w:pStyle w:val="Caption"/>
      </w:pPr>
    </w:p>
    <w:p w14:paraId="3E2430FE" w14:textId="77777777" w:rsidR="00275CAA" w:rsidRDefault="00275CAA" w:rsidP="00511118">
      <w:pPr>
        <w:pStyle w:val="Caption"/>
      </w:pPr>
    </w:p>
    <w:p w14:paraId="5ACD173C" w14:textId="77777777" w:rsidR="00275CAA" w:rsidRDefault="00275CAA" w:rsidP="00511118">
      <w:pPr>
        <w:pStyle w:val="Caption"/>
      </w:pPr>
    </w:p>
    <w:p w14:paraId="10872BCB" w14:textId="77777777" w:rsidR="00275CAA" w:rsidRDefault="00275CAA" w:rsidP="00511118">
      <w:pPr>
        <w:pStyle w:val="Caption"/>
      </w:pPr>
    </w:p>
    <w:p w14:paraId="392E0E68" w14:textId="77777777" w:rsidR="00275CAA" w:rsidRDefault="00275CAA" w:rsidP="00511118">
      <w:pPr>
        <w:pStyle w:val="Caption"/>
      </w:pPr>
    </w:p>
    <w:p w14:paraId="045257DC" w14:textId="77777777" w:rsidR="00275CAA" w:rsidRDefault="00275CAA" w:rsidP="00511118">
      <w:pPr>
        <w:pStyle w:val="Caption"/>
      </w:pPr>
    </w:p>
    <w:p w14:paraId="5AF09D79" w14:textId="77777777" w:rsidR="00275CAA" w:rsidRDefault="00275CAA" w:rsidP="00511118">
      <w:pPr>
        <w:pStyle w:val="Caption"/>
      </w:pPr>
    </w:p>
    <w:p w14:paraId="40348D3C" w14:textId="77777777" w:rsidR="00275CAA" w:rsidRDefault="00275CAA" w:rsidP="00511118">
      <w:pPr>
        <w:pStyle w:val="Caption"/>
      </w:pPr>
    </w:p>
    <w:p w14:paraId="1651C64C" w14:textId="77777777" w:rsidR="00275CAA" w:rsidRDefault="00275CAA" w:rsidP="00511118">
      <w:pPr>
        <w:pStyle w:val="Caption"/>
      </w:pPr>
    </w:p>
    <w:p w14:paraId="0D482583" w14:textId="2E60DDC9" w:rsidR="00001DE4" w:rsidRDefault="00CB5596" w:rsidP="00AB2160">
      <w:pPr>
        <w:keepNext/>
        <w:spacing w:line="360" w:lineRule="auto"/>
      </w:pPr>
      <w:r>
        <w:rPr>
          <w:noProof/>
        </w:rPr>
        <w:lastRenderedPageBreak/>
        <w:drawing>
          <wp:inline distT="0" distB="0" distL="0" distR="0" wp14:anchorId="55293771" wp14:editId="38C576DA">
            <wp:extent cx="5910470" cy="2133577"/>
            <wp:effectExtent l="0" t="0" r="0" b="635"/>
            <wp:docPr id="2059388830" name="Picture 2059388830"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0" name="Picture 2059388830" descr="A map of the world&#10;&#10;Description automatically generated"/>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268" cy="2145416"/>
                    </a:xfrm>
                    <a:prstGeom prst="rect">
                      <a:avLst/>
                    </a:prstGeom>
                  </pic:spPr>
                </pic:pic>
              </a:graphicData>
            </a:graphic>
          </wp:inline>
        </w:drawing>
      </w:r>
    </w:p>
    <w:p w14:paraId="5A5AB509" w14:textId="77777777" w:rsidR="00970A0F" w:rsidRPr="003609FB" w:rsidRDefault="00970A0F" w:rsidP="00970A0F">
      <w:pPr>
        <w:pStyle w:val="Caption"/>
      </w:pPr>
      <w:bookmarkStart w:id="111" w:name="_Toc172910671"/>
      <w:r>
        <w:t xml:space="preserve">Figure C </w:t>
      </w:r>
      <w:r>
        <w:fldChar w:fldCharType="begin"/>
      </w:r>
      <w:r>
        <w:instrText xml:space="preserve"> SEQ C \* ARABIC </w:instrText>
      </w:r>
      <w:r>
        <w:fldChar w:fldCharType="separate"/>
      </w:r>
      <w:r>
        <w:rPr>
          <w:noProof/>
        </w:rPr>
        <w:t>2</w:t>
      </w:r>
      <w:r>
        <w:rPr>
          <w:noProof/>
        </w:rPr>
        <w:fldChar w:fldCharType="end"/>
      </w:r>
      <w:r>
        <w:t xml:space="preserve"> H</w:t>
      </w:r>
      <w:r w:rsidRPr="004E3BEF">
        <w:rPr>
          <w:vertAlign w:val="subscript"/>
        </w:rPr>
        <w:t>2</w:t>
      </w:r>
      <w:r>
        <w:t>O</w:t>
      </w:r>
      <w:r w:rsidRPr="004E3BEF">
        <w:rPr>
          <w:vertAlign w:val="subscript"/>
        </w:rPr>
        <w:t>2</w:t>
      </w:r>
      <w:r>
        <w:t xml:space="preserve">, </w:t>
      </w:r>
      <w:r w:rsidRPr="00E172CB">
        <w:rPr>
          <w:rFonts w:ascii="Times" w:hAnsi="Times"/>
          <w:i/>
          <w:iCs/>
        </w:rPr>
        <w:t>Prochlorococcus</w:t>
      </w:r>
      <w:r>
        <w:t xml:space="preserve"> and </w:t>
      </w:r>
      <w:proofErr w:type="spellStart"/>
      <w:r w:rsidRPr="00275764">
        <w:rPr>
          <w:rFonts w:ascii="Times" w:hAnsi="Times"/>
          <w:i/>
          <w:iCs/>
        </w:rPr>
        <w:t>Synechococcus</w:t>
      </w:r>
      <w:proofErr w:type="spellEnd"/>
      <w:r>
        <w:t xml:space="preserve"> biogeography in year 9 of </w:t>
      </w:r>
      <w:r w:rsidRPr="00DB6AD5">
        <w:t xml:space="preserve">Case 2: Non-leaky, no </w:t>
      </w:r>
      <w:r>
        <w:t>biotic detoxification (</w:t>
      </w:r>
      <m:oMath>
        <m:sSub>
          <m:sSubPr>
            <m:ctrlPr>
              <w:rPr>
                <w:rFonts w:ascii="Cambria Math" w:hAnsi="Cambria Math"/>
                <w:i/>
              </w:rPr>
            </m:ctrlPr>
          </m:sSubPr>
          <m:e>
            <m:r>
              <w:rPr>
                <w:rFonts w:ascii="Cambria Math" w:hAnsi="Cambria Math"/>
                <w:i/>
              </w:rPr>
              <w:sym w:font="Symbol" w:char="F066"/>
            </m:r>
          </m:e>
          <m:sub>
            <m:r>
              <w:rPr>
                <w:rFonts w:ascii="Cambria Math" w:hAnsi="Cambria Math"/>
              </w:rPr>
              <m:t>max,i</m:t>
            </m:r>
          </m:sub>
        </m:sSub>
        <m:r>
          <w:rPr>
            <w:rFonts w:ascii="Cambria Math" w:hAnsi="Cambria Math"/>
          </w:rPr>
          <m:t>).</m:t>
        </m:r>
      </m:oMath>
      <w:bookmarkEnd w:id="111"/>
    </w:p>
    <w:p w14:paraId="3E128A16" w14:textId="77777777" w:rsidR="00275CAA" w:rsidRDefault="00275CAA" w:rsidP="00511118">
      <w:pPr>
        <w:pStyle w:val="Caption"/>
      </w:pPr>
    </w:p>
    <w:p w14:paraId="3990B5B0" w14:textId="77777777" w:rsidR="00275CAA" w:rsidRDefault="00275CAA" w:rsidP="00511118">
      <w:pPr>
        <w:pStyle w:val="Caption"/>
      </w:pPr>
    </w:p>
    <w:p w14:paraId="5C98878D" w14:textId="77777777" w:rsidR="00275CAA" w:rsidRDefault="00275CAA" w:rsidP="00511118">
      <w:pPr>
        <w:pStyle w:val="Caption"/>
      </w:pPr>
    </w:p>
    <w:p w14:paraId="0D8BBDA8" w14:textId="77777777" w:rsidR="00275CAA" w:rsidRDefault="00275CAA" w:rsidP="00511118">
      <w:pPr>
        <w:pStyle w:val="Caption"/>
      </w:pPr>
    </w:p>
    <w:p w14:paraId="66D3585D" w14:textId="77777777" w:rsidR="00275CAA" w:rsidRDefault="00275CAA" w:rsidP="00511118">
      <w:pPr>
        <w:pStyle w:val="Caption"/>
      </w:pPr>
    </w:p>
    <w:p w14:paraId="5BAED100" w14:textId="77777777" w:rsidR="00275CAA" w:rsidRDefault="00275CAA" w:rsidP="00511118">
      <w:pPr>
        <w:pStyle w:val="Caption"/>
      </w:pPr>
    </w:p>
    <w:p w14:paraId="53E4A909" w14:textId="77777777" w:rsidR="00275CAA" w:rsidRDefault="00275CAA" w:rsidP="00511118">
      <w:pPr>
        <w:pStyle w:val="Caption"/>
      </w:pPr>
    </w:p>
    <w:p w14:paraId="4F9DCCEA" w14:textId="77777777" w:rsidR="00275CAA" w:rsidRDefault="00275CAA" w:rsidP="00511118">
      <w:pPr>
        <w:pStyle w:val="Caption"/>
      </w:pPr>
    </w:p>
    <w:p w14:paraId="4FC9B962" w14:textId="77777777" w:rsidR="00275CAA" w:rsidRDefault="00275CAA" w:rsidP="00511118">
      <w:pPr>
        <w:pStyle w:val="Caption"/>
      </w:pPr>
    </w:p>
    <w:p w14:paraId="22FBD747" w14:textId="77777777" w:rsidR="00275CAA" w:rsidRDefault="00275CAA" w:rsidP="00511118">
      <w:pPr>
        <w:pStyle w:val="Caption"/>
      </w:pPr>
    </w:p>
    <w:p w14:paraId="3C3121DB" w14:textId="77777777" w:rsidR="00275CAA" w:rsidRDefault="00275CAA" w:rsidP="00511118">
      <w:pPr>
        <w:pStyle w:val="Caption"/>
      </w:pPr>
    </w:p>
    <w:p w14:paraId="6578CB97" w14:textId="77777777" w:rsidR="00275CAA" w:rsidRDefault="00275CAA" w:rsidP="00511118">
      <w:pPr>
        <w:pStyle w:val="Caption"/>
      </w:pPr>
    </w:p>
    <w:p w14:paraId="0F3B3585" w14:textId="77777777" w:rsidR="00275CAA" w:rsidRDefault="00275CAA" w:rsidP="00511118">
      <w:pPr>
        <w:pStyle w:val="Caption"/>
      </w:pPr>
    </w:p>
    <w:p w14:paraId="08382D01" w14:textId="77777777" w:rsidR="00275CAA" w:rsidRDefault="00275CAA" w:rsidP="00511118">
      <w:pPr>
        <w:pStyle w:val="Caption"/>
      </w:pPr>
    </w:p>
    <w:p w14:paraId="55FDC3D0" w14:textId="77777777" w:rsidR="00275CAA" w:rsidRDefault="00275CAA" w:rsidP="00511118">
      <w:pPr>
        <w:pStyle w:val="Caption"/>
      </w:pPr>
    </w:p>
    <w:p w14:paraId="6731FE9E" w14:textId="3099C02F" w:rsidR="002E37E9" w:rsidRDefault="0082355B" w:rsidP="0082355B">
      <w:pPr>
        <w:keepNext/>
        <w:spacing w:line="360" w:lineRule="auto"/>
        <w:jc w:val="center"/>
      </w:pPr>
      <w:r>
        <w:rPr>
          <w:noProof/>
        </w:rPr>
        <w:lastRenderedPageBreak/>
        <w:drawing>
          <wp:inline distT="0" distB="0" distL="0" distR="0" wp14:anchorId="156E99F0" wp14:editId="43F4549B">
            <wp:extent cx="5883965" cy="2073910"/>
            <wp:effectExtent l="0" t="0" r="2540" b="2540"/>
            <wp:docPr id="2059388834" name="Picture 2059388834"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4" name="Picture 2059388834" descr="A map of the world&#10;&#10;Description automatically generated"/>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09670" cy="2082970"/>
                    </a:xfrm>
                    <a:prstGeom prst="rect">
                      <a:avLst/>
                    </a:prstGeom>
                  </pic:spPr>
                </pic:pic>
              </a:graphicData>
            </a:graphic>
          </wp:inline>
        </w:drawing>
      </w:r>
    </w:p>
    <w:p w14:paraId="54CED967" w14:textId="77777777" w:rsidR="00970A0F" w:rsidRPr="003609FB" w:rsidRDefault="00970A0F" w:rsidP="00970A0F">
      <w:pPr>
        <w:pStyle w:val="Caption"/>
      </w:pPr>
      <w:bookmarkStart w:id="112" w:name="_Toc172910672"/>
      <w:r>
        <w:t xml:space="preserve">Figure C </w:t>
      </w:r>
      <w:r>
        <w:fldChar w:fldCharType="begin"/>
      </w:r>
      <w:r>
        <w:instrText xml:space="preserve"> SEQ C \* ARABIC </w:instrText>
      </w:r>
      <w:r>
        <w:fldChar w:fldCharType="separate"/>
      </w:r>
      <w:r>
        <w:rPr>
          <w:noProof/>
        </w:rPr>
        <w:t>3</w:t>
      </w:r>
      <w:r>
        <w:rPr>
          <w:noProof/>
        </w:rPr>
        <w:fldChar w:fldCharType="end"/>
      </w:r>
      <w:r>
        <w:t xml:space="preserve"> Projected H</w:t>
      </w:r>
      <w:r w:rsidRPr="004E3BEF">
        <w:rPr>
          <w:vertAlign w:val="subscript"/>
        </w:rPr>
        <w:t>2</w:t>
      </w:r>
      <w:r>
        <w:t>O</w:t>
      </w:r>
      <w:r w:rsidRPr="004E3BEF">
        <w:rPr>
          <w:vertAlign w:val="subscript"/>
        </w:rPr>
        <w:t>2</w:t>
      </w:r>
      <w:r>
        <w:t xml:space="preserve">, </w:t>
      </w:r>
      <w:r w:rsidRPr="00E172CB">
        <w:rPr>
          <w:rFonts w:ascii="Times" w:hAnsi="Times"/>
          <w:i/>
          <w:iCs/>
        </w:rPr>
        <w:t>Prochlorococcus</w:t>
      </w:r>
      <w:r>
        <w:t xml:space="preserve"> and </w:t>
      </w:r>
      <w:proofErr w:type="spellStart"/>
      <w:r w:rsidRPr="00275764">
        <w:rPr>
          <w:rFonts w:ascii="Times" w:hAnsi="Times"/>
          <w:i/>
          <w:iCs/>
        </w:rPr>
        <w:t>Synechococcus</w:t>
      </w:r>
      <w:proofErr w:type="spellEnd"/>
      <w:r>
        <w:t xml:space="preserve"> </w:t>
      </w:r>
      <w:proofErr w:type="spellStart"/>
      <w:r>
        <w:t>biogeographies</w:t>
      </w:r>
      <w:proofErr w:type="spellEnd"/>
      <w:r>
        <w:t xml:space="preserve"> in year 9 of </w:t>
      </w:r>
      <w:r w:rsidRPr="00D11613">
        <w:t xml:space="preserve">Case 3: Leaky world, </w:t>
      </w:r>
      <w:proofErr w:type="spellStart"/>
      <w:r w:rsidRPr="00275764">
        <w:rPr>
          <w:rFonts w:ascii="Times" w:hAnsi="Times"/>
          <w:i/>
          <w:iCs/>
        </w:rPr>
        <w:t>Synechococcus</w:t>
      </w:r>
      <w:proofErr w:type="spellEnd"/>
      <w:r>
        <w:t xml:space="preserve"> H</w:t>
      </w:r>
      <w:r w:rsidRPr="004E3BEF">
        <w:rPr>
          <w:vertAlign w:val="subscript"/>
        </w:rPr>
        <w:t>2</w:t>
      </w:r>
      <w:r>
        <w:t>O</w:t>
      </w:r>
      <w:r w:rsidRPr="004E3BEF">
        <w:rPr>
          <w:vertAlign w:val="subscript"/>
        </w:rPr>
        <w:t>2</w:t>
      </w:r>
      <w:r>
        <w:rPr>
          <w:vertAlign w:val="subscript"/>
        </w:rPr>
        <w:t xml:space="preserve"> </w:t>
      </w:r>
      <w:r>
        <w:t>detoxification (</w:t>
      </w:r>
      <m:oMath>
        <m:sSub>
          <m:sSubPr>
            <m:ctrlPr>
              <w:rPr>
                <w:rFonts w:ascii="Cambria Math" w:hAnsi="Cambria Math"/>
                <w:i/>
              </w:rPr>
            </m:ctrlPr>
          </m:sSubPr>
          <m:e>
            <m:r>
              <w:rPr>
                <w:rFonts w:ascii="Cambria Math" w:hAnsi="Cambria Math"/>
                <w:i/>
              </w:rPr>
              <w:sym w:font="Symbol" w:char="F066"/>
            </m:r>
          </m:e>
          <m:sub>
            <m:r>
              <w:rPr>
                <w:rFonts w:ascii="Cambria Math" w:hAnsi="Cambria Math"/>
              </w:rPr>
              <m:t>max,s</m:t>
            </m:r>
          </m:sub>
        </m:sSub>
      </m:oMath>
      <w:r>
        <w:t xml:space="preserve"> ) alone is implemented in the model.</w:t>
      </w:r>
      <w:bookmarkEnd w:id="112"/>
    </w:p>
    <w:p w14:paraId="3DEF5674" w14:textId="77777777" w:rsidR="00275CAA" w:rsidRDefault="00275CAA" w:rsidP="00511118">
      <w:pPr>
        <w:pStyle w:val="Caption"/>
      </w:pPr>
    </w:p>
    <w:p w14:paraId="6ED149EE" w14:textId="77777777" w:rsidR="00275CAA" w:rsidRDefault="00275CAA" w:rsidP="00511118">
      <w:pPr>
        <w:pStyle w:val="Caption"/>
      </w:pPr>
    </w:p>
    <w:p w14:paraId="317DFC20" w14:textId="77777777" w:rsidR="00275CAA" w:rsidRDefault="00275CAA" w:rsidP="00511118">
      <w:pPr>
        <w:pStyle w:val="Caption"/>
      </w:pPr>
    </w:p>
    <w:p w14:paraId="6E08A16C" w14:textId="77777777" w:rsidR="00275CAA" w:rsidRDefault="00275CAA" w:rsidP="00511118">
      <w:pPr>
        <w:pStyle w:val="Caption"/>
      </w:pPr>
    </w:p>
    <w:p w14:paraId="2B2FE3A1" w14:textId="77777777" w:rsidR="00275CAA" w:rsidRDefault="00275CAA" w:rsidP="00511118">
      <w:pPr>
        <w:pStyle w:val="Caption"/>
      </w:pPr>
    </w:p>
    <w:p w14:paraId="0FCF8F00" w14:textId="77777777" w:rsidR="00275CAA" w:rsidRDefault="00275CAA" w:rsidP="00511118">
      <w:pPr>
        <w:pStyle w:val="Caption"/>
      </w:pPr>
    </w:p>
    <w:p w14:paraId="28E1079B" w14:textId="77777777" w:rsidR="00275CAA" w:rsidRDefault="00275CAA" w:rsidP="00511118">
      <w:pPr>
        <w:pStyle w:val="Caption"/>
      </w:pPr>
    </w:p>
    <w:p w14:paraId="4413BC97" w14:textId="77777777" w:rsidR="00275CAA" w:rsidRDefault="00275CAA" w:rsidP="00511118">
      <w:pPr>
        <w:pStyle w:val="Caption"/>
      </w:pPr>
    </w:p>
    <w:p w14:paraId="067F74AC" w14:textId="77777777" w:rsidR="00275CAA" w:rsidRDefault="00275CAA" w:rsidP="00511118">
      <w:pPr>
        <w:pStyle w:val="Caption"/>
      </w:pPr>
    </w:p>
    <w:p w14:paraId="6EBD822E" w14:textId="77777777" w:rsidR="00275CAA" w:rsidRDefault="00275CAA" w:rsidP="00511118">
      <w:pPr>
        <w:pStyle w:val="Caption"/>
      </w:pPr>
    </w:p>
    <w:p w14:paraId="3E1273D3" w14:textId="77777777" w:rsidR="00275CAA" w:rsidRDefault="00275CAA" w:rsidP="00511118">
      <w:pPr>
        <w:pStyle w:val="Caption"/>
      </w:pPr>
    </w:p>
    <w:p w14:paraId="3983B897" w14:textId="77777777" w:rsidR="00275CAA" w:rsidRDefault="00275CAA" w:rsidP="00511118">
      <w:pPr>
        <w:pStyle w:val="Caption"/>
      </w:pPr>
    </w:p>
    <w:p w14:paraId="66AA3387" w14:textId="77777777" w:rsidR="00275CAA" w:rsidRDefault="00275CAA" w:rsidP="00511118">
      <w:pPr>
        <w:pStyle w:val="Caption"/>
      </w:pPr>
    </w:p>
    <w:p w14:paraId="3470455B" w14:textId="77777777" w:rsidR="00275CAA" w:rsidRDefault="00275CAA" w:rsidP="00511118">
      <w:pPr>
        <w:pStyle w:val="Caption"/>
      </w:pPr>
    </w:p>
    <w:p w14:paraId="683CF10A" w14:textId="77777777" w:rsidR="00275CAA" w:rsidRDefault="00275CAA" w:rsidP="00511118">
      <w:pPr>
        <w:pStyle w:val="Caption"/>
      </w:pPr>
    </w:p>
    <w:p w14:paraId="0E06EEFE" w14:textId="789A0293" w:rsidR="003039D7" w:rsidRDefault="0082355B" w:rsidP="00AB2160">
      <w:pPr>
        <w:keepNext/>
        <w:spacing w:line="360" w:lineRule="auto"/>
      </w:pPr>
      <w:r>
        <w:rPr>
          <w:noProof/>
        </w:rPr>
        <w:lastRenderedPageBreak/>
        <w:drawing>
          <wp:inline distT="0" distB="0" distL="0" distR="0" wp14:anchorId="4761AE6C" wp14:editId="4D834466">
            <wp:extent cx="5976730" cy="2165985"/>
            <wp:effectExtent l="0" t="0" r="5080" b="5715"/>
            <wp:docPr id="2059388833" name="Picture 2059388833" descr="A close-up of 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3" name="Picture 2059388833" descr="A close-up of a map of the world&#10;&#10;Description automatically generated"/>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96548" cy="2173167"/>
                    </a:xfrm>
                    <a:prstGeom prst="rect">
                      <a:avLst/>
                    </a:prstGeom>
                  </pic:spPr>
                </pic:pic>
              </a:graphicData>
            </a:graphic>
          </wp:inline>
        </w:drawing>
      </w:r>
    </w:p>
    <w:p w14:paraId="52CC0329" w14:textId="77777777" w:rsidR="00970A0F" w:rsidRPr="003609FB" w:rsidRDefault="00970A0F" w:rsidP="00970A0F">
      <w:pPr>
        <w:pStyle w:val="Caption"/>
      </w:pPr>
      <w:bookmarkStart w:id="113" w:name="_Toc172910673"/>
      <w:r>
        <w:t xml:space="preserve">C </w:t>
      </w:r>
      <w:r>
        <w:fldChar w:fldCharType="begin"/>
      </w:r>
      <w:r>
        <w:instrText xml:space="preserve"> SEQ C \* ARABIC </w:instrText>
      </w:r>
      <w:r>
        <w:fldChar w:fldCharType="separate"/>
      </w:r>
      <w:r>
        <w:rPr>
          <w:noProof/>
        </w:rPr>
        <w:t>4</w:t>
      </w:r>
      <w:r>
        <w:rPr>
          <w:noProof/>
        </w:rPr>
        <w:fldChar w:fldCharType="end"/>
      </w:r>
      <w:r>
        <w:t xml:space="preserve"> Projected H</w:t>
      </w:r>
      <w:r w:rsidRPr="004E3BEF">
        <w:rPr>
          <w:vertAlign w:val="subscript"/>
        </w:rPr>
        <w:t>2</w:t>
      </w:r>
      <w:r>
        <w:t>O</w:t>
      </w:r>
      <w:r w:rsidRPr="004E3BEF">
        <w:rPr>
          <w:vertAlign w:val="subscript"/>
        </w:rPr>
        <w:t>2</w:t>
      </w:r>
      <w:r>
        <w:t xml:space="preserve">, </w:t>
      </w:r>
      <w:r w:rsidRPr="00E172CB">
        <w:rPr>
          <w:rFonts w:ascii="Times" w:hAnsi="Times"/>
          <w:i/>
          <w:iCs/>
        </w:rPr>
        <w:t>Prochlorococcus</w:t>
      </w:r>
      <w:r>
        <w:t xml:space="preserve"> and </w:t>
      </w:r>
      <w:proofErr w:type="spellStart"/>
      <w:r w:rsidRPr="00275764">
        <w:rPr>
          <w:rFonts w:ascii="Times" w:hAnsi="Times"/>
          <w:i/>
          <w:iCs/>
        </w:rPr>
        <w:t>Synechococcus</w:t>
      </w:r>
      <w:proofErr w:type="spellEnd"/>
      <w:r>
        <w:t xml:space="preserve"> </w:t>
      </w:r>
      <w:proofErr w:type="spellStart"/>
      <w:r>
        <w:t>biogeographies</w:t>
      </w:r>
      <w:proofErr w:type="spellEnd"/>
      <w:r>
        <w:t xml:space="preserve"> in year 9 of </w:t>
      </w:r>
      <w:r w:rsidRPr="008305DF">
        <w:t xml:space="preserve">Case 3: Leaky world, heterotrophic </w:t>
      </w:r>
      <w:r>
        <w:t>detoxification (</w:t>
      </w:r>
      <m:oMath>
        <m:sSub>
          <m:sSubPr>
            <m:ctrlPr>
              <w:rPr>
                <w:rFonts w:ascii="Cambria Math" w:hAnsi="Cambria Math"/>
                <w:i/>
              </w:rPr>
            </m:ctrlPr>
          </m:sSubPr>
          <m:e>
            <m:r>
              <w:rPr>
                <w:rFonts w:ascii="Cambria Math" w:hAnsi="Cambria Math"/>
                <w:i/>
              </w:rPr>
              <w:sym w:font="Symbol" w:char="F066"/>
            </m:r>
          </m:e>
          <m:sub>
            <m:r>
              <w:rPr>
                <w:rFonts w:ascii="Cambria Math" w:hAnsi="Cambria Math"/>
              </w:rPr>
              <m:t xml:space="preserve">max,B </m:t>
            </m:r>
          </m:sub>
        </m:sSub>
        <m:r>
          <w:rPr>
            <w:rFonts w:ascii="Cambria Math" w:hAnsi="Cambria Math"/>
          </w:rPr>
          <m:t xml:space="preserve">) </m:t>
        </m:r>
      </m:oMath>
      <w:r w:rsidRPr="008305DF">
        <w:t>alone</w:t>
      </w:r>
      <w:r>
        <w:t>.</w:t>
      </w:r>
      <w:bookmarkEnd w:id="113"/>
    </w:p>
    <w:p w14:paraId="6B851840" w14:textId="77777777" w:rsidR="00275CAA" w:rsidRDefault="00275CAA" w:rsidP="00511118">
      <w:pPr>
        <w:pStyle w:val="Caption"/>
      </w:pPr>
    </w:p>
    <w:p w14:paraId="297D8863" w14:textId="77777777" w:rsidR="00275CAA" w:rsidRDefault="00275CAA" w:rsidP="00511118">
      <w:pPr>
        <w:pStyle w:val="Caption"/>
      </w:pPr>
    </w:p>
    <w:p w14:paraId="488B12C0" w14:textId="77777777" w:rsidR="00275CAA" w:rsidRDefault="00275CAA" w:rsidP="00511118">
      <w:pPr>
        <w:pStyle w:val="Caption"/>
      </w:pPr>
    </w:p>
    <w:p w14:paraId="365D1745" w14:textId="77777777" w:rsidR="00275CAA" w:rsidRDefault="00275CAA" w:rsidP="00511118">
      <w:pPr>
        <w:pStyle w:val="Caption"/>
      </w:pPr>
    </w:p>
    <w:p w14:paraId="7480A3F4" w14:textId="77777777" w:rsidR="00275CAA" w:rsidRDefault="00275CAA" w:rsidP="00511118">
      <w:pPr>
        <w:pStyle w:val="Caption"/>
      </w:pPr>
    </w:p>
    <w:p w14:paraId="62BADFAF" w14:textId="77777777" w:rsidR="00275CAA" w:rsidRDefault="00275CAA" w:rsidP="00511118">
      <w:pPr>
        <w:pStyle w:val="Caption"/>
      </w:pPr>
    </w:p>
    <w:p w14:paraId="2425F388" w14:textId="77777777" w:rsidR="00275CAA" w:rsidRDefault="00275CAA" w:rsidP="00511118">
      <w:pPr>
        <w:pStyle w:val="Caption"/>
      </w:pPr>
    </w:p>
    <w:p w14:paraId="1568BBBB" w14:textId="77777777" w:rsidR="00275CAA" w:rsidRDefault="00275CAA" w:rsidP="00511118">
      <w:pPr>
        <w:pStyle w:val="Caption"/>
      </w:pPr>
    </w:p>
    <w:p w14:paraId="29F27DF7" w14:textId="77777777" w:rsidR="00275CAA" w:rsidRDefault="00275CAA" w:rsidP="00511118">
      <w:pPr>
        <w:pStyle w:val="Caption"/>
      </w:pPr>
    </w:p>
    <w:p w14:paraId="1A56B0C0" w14:textId="77777777" w:rsidR="00275CAA" w:rsidRDefault="00275CAA" w:rsidP="00511118">
      <w:pPr>
        <w:pStyle w:val="Caption"/>
      </w:pPr>
    </w:p>
    <w:p w14:paraId="20E2D350" w14:textId="77777777" w:rsidR="00275CAA" w:rsidRDefault="00275CAA" w:rsidP="00511118">
      <w:pPr>
        <w:pStyle w:val="Caption"/>
      </w:pPr>
    </w:p>
    <w:p w14:paraId="522F19C5" w14:textId="77777777" w:rsidR="00275CAA" w:rsidRDefault="00275CAA" w:rsidP="00511118">
      <w:pPr>
        <w:pStyle w:val="Caption"/>
      </w:pPr>
    </w:p>
    <w:p w14:paraId="37C842EB" w14:textId="77777777" w:rsidR="00275CAA" w:rsidRDefault="00275CAA" w:rsidP="00511118">
      <w:pPr>
        <w:pStyle w:val="Caption"/>
      </w:pPr>
    </w:p>
    <w:p w14:paraId="00716F05" w14:textId="77777777" w:rsidR="00275CAA" w:rsidRDefault="00275CAA" w:rsidP="00511118">
      <w:pPr>
        <w:pStyle w:val="Caption"/>
      </w:pPr>
    </w:p>
    <w:p w14:paraId="549D591C" w14:textId="77777777" w:rsidR="00275CAA" w:rsidRDefault="00275CAA" w:rsidP="00511118">
      <w:pPr>
        <w:pStyle w:val="Caption"/>
      </w:pPr>
    </w:p>
    <w:p w14:paraId="2C31FC3B" w14:textId="1D9A99D8" w:rsidR="00001DE4" w:rsidRDefault="0026752B" w:rsidP="00AB2160">
      <w:pPr>
        <w:spacing w:line="360" w:lineRule="auto"/>
        <w:rPr>
          <w:rFonts w:ascii="Times New Roman" w:hAnsi="Times New Roman" w:cs="Times New Roman"/>
          <w:sz w:val="24"/>
          <w:szCs w:val="24"/>
        </w:rPr>
      </w:pPr>
      <w:r w:rsidRPr="003609FB">
        <w:rPr>
          <w:rFonts w:ascii="Times New Roman" w:hAnsi="Times New Roman" w:cs="Times New Roman"/>
          <w:sz w:val="24"/>
          <w:szCs w:val="24"/>
        </w:rPr>
        <w:lastRenderedPageBreak/>
        <w:t xml:space="preserve">a </w:t>
      </w:r>
      <w:r>
        <w:rPr>
          <w:rFonts w:ascii="Times New Roman" w:hAnsi="Times New Roman" w:cs="Times New Roman"/>
          <w:sz w:val="24"/>
          <w:szCs w:val="24"/>
        </w:rPr>
        <w:t xml:space="preserve">      </w:t>
      </w:r>
      <w:r w:rsidRPr="003609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09FB">
        <w:rPr>
          <w:rFonts w:ascii="Times New Roman" w:hAnsi="Times New Roman" w:cs="Times New Roman"/>
          <w:sz w:val="24"/>
          <w:szCs w:val="24"/>
        </w:rPr>
        <w:t>H</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O</w:t>
      </w:r>
      <w:r w:rsidRPr="00351FC4">
        <w:rPr>
          <w:rFonts w:ascii="Times New Roman" w:hAnsi="Times New Roman" w:cs="Times New Roman"/>
          <w:sz w:val="24"/>
          <w:szCs w:val="24"/>
          <w:vertAlign w:val="subscript"/>
        </w:rPr>
        <w:t>2</w:t>
      </w:r>
      <w:r w:rsidRPr="003609FB">
        <w:rPr>
          <w:rFonts w:ascii="Times New Roman" w:hAnsi="Times New Roman" w:cs="Times New Roman"/>
          <w:sz w:val="24"/>
          <w:szCs w:val="24"/>
        </w:rPr>
        <w:t xml:space="preserve"> M                            </w:t>
      </w:r>
      <w:r w:rsidR="00D27E6C">
        <w:rPr>
          <w:rFonts w:ascii="Times New Roman" w:hAnsi="Times New Roman" w:cs="Times New Roman"/>
          <w:sz w:val="24"/>
          <w:szCs w:val="24"/>
        </w:rPr>
        <w:t xml:space="preserve">        </w:t>
      </w:r>
      <w:r w:rsidRPr="003609FB">
        <w:rPr>
          <w:rFonts w:ascii="Times New Roman" w:hAnsi="Times New Roman" w:cs="Times New Roman"/>
          <w:sz w:val="24"/>
          <w:szCs w:val="24"/>
        </w:rPr>
        <w:t xml:space="preserve"> b </w:t>
      </w:r>
      <w:r>
        <w:rPr>
          <w:rFonts w:ascii="Times New Roman" w:hAnsi="Times New Roman" w:cs="Times New Roman"/>
          <w:sz w:val="24"/>
          <w:szCs w:val="24"/>
        </w:rPr>
        <w:t xml:space="preserve">                      </w:t>
      </w:r>
      <w:r w:rsidRPr="003609FB">
        <w:rPr>
          <w:rFonts w:ascii="Times New Roman" w:hAnsi="Times New Roman" w:cs="Times New Roman"/>
          <w:sz w:val="24"/>
          <w:szCs w:val="24"/>
        </w:rPr>
        <w:t>Syn/ (Pro+ Syn)</w:t>
      </w:r>
    </w:p>
    <w:p w14:paraId="4B82CE41" w14:textId="61409C39" w:rsidR="0043775F" w:rsidRDefault="00D27E6C" w:rsidP="00AB2160">
      <w:pPr>
        <w:keepNext/>
        <w:spacing w:line="360" w:lineRule="auto"/>
      </w:pPr>
      <w:r>
        <w:rPr>
          <w:noProof/>
        </w:rPr>
        <w:drawing>
          <wp:inline distT="0" distB="0" distL="0" distR="0" wp14:anchorId="06B629CD" wp14:editId="222F9058">
            <wp:extent cx="6052930" cy="2309943"/>
            <wp:effectExtent l="0" t="0" r="5080" b="1905"/>
            <wp:docPr id="2059388832" name="Picture 2059388832"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2" name="Picture 2059388832" descr="A close-up of a map&#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060494" cy="2312830"/>
                    </a:xfrm>
                    <a:prstGeom prst="rect">
                      <a:avLst/>
                    </a:prstGeom>
                  </pic:spPr>
                </pic:pic>
              </a:graphicData>
            </a:graphic>
          </wp:inline>
        </w:drawing>
      </w:r>
    </w:p>
    <w:p w14:paraId="4738DD66" w14:textId="77777777" w:rsidR="00970A0F" w:rsidRPr="003609FB" w:rsidRDefault="00970A0F" w:rsidP="00970A0F">
      <w:pPr>
        <w:pStyle w:val="Caption"/>
      </w:pPr>
      <w:bookmarkStart w:id="114" w:name="_Toc172910674"/>
      <w:r>
        <w:t xml:space="preserve">Figure C </w:t>
      </w:r>
      <w:r>
        <w:fldChar w:fldCharType="begin"/>
      </w:r>
      <w:r>
        <w:instrText xml:space="preserve"> SEQ C \* ARABIC </w:instrText>
      </w:r>
      <w:r>
        <w:fldChar w:fldCharType="separate"/>
      </w:r>
      <w:r>
        <w:rPr>
          <w:noProof/>
        </w:rPr>
        <w:t>5</w:t>
      </w:r>
      <w:r>
        <w:rPr>
          <w:noProof/>
        </w:rPr>
        <w:fldChar w:fldCharType="end"/>
      </w:r>
      <w:r>
        <w:t xml:space="preserve"> </w:t>
      </w:r>
      <w:r w:rsidRPr="003D7E38">
        <w:t>H</w:t>
      </w:r>
      <w:r w:rsidRPr="004E3BEF">
        <w:rPr>
          <w:vertAlign w:val="subscript"/>
        </w:rPr>
        <w:t>2</w:t>
      </w:r>
      <w:r w:rsidRPr="003D7E38">
        <w:t>O</w:t>
      </w:r>
      <w:r w:rsidRPr="004E3BEF">
        <w:rPr>
          <w:vertAlign w:val="subscript"/>
        </w:rPr>
        <w:t>2</w:t>
      </w:r>
      <w:r w:rsidRPr="003D7E38">
        <w:t xml:space="preserve"> </w:t>
      </w:r>
      <w:r>
        <w:t xml:space="preserve">biogeographical </w:t>
      </w:r>
      <w:r w:rsidRPr="003D7E38">
        <w:t>plot and ratio plot of (Syn) / (Syn + Pro))</w:t>
      </w:r>
      <w:r>
        <w:t xml:space="preserve"> biogeography in </w:t>
      </w:r>
      <w:r w:rsidRPr="003D7E38">
        <w:t>Case 3</w:t>
      </w:r>
      <w:r>
        <w:t xml:space="preserve">: </w:t>
      </w:r>
      <w:r w:rsidRPr="008305DF">
        <w:t xml:space="preserve">Leaky world, heterotrophic </w:t>
      </w:r>
      <w:r>
        <w:t>detoxification (</w:t>
      </w:r>
      <m:oMath>
        <m:sSub>
          <m:sSubPr>
            <m:ctrlPr>
              <w:rPr>
                <w:rFonts w:ascii="Cambria Math" w:hAnsi="Cambria Math"/>
                <w:i/>
              </w:rPr>
            </m:ctrlPr>
          </m:sSubPr>
          <m:e>
            <m:r>
              <w:rPr>
                <w:rFonts w:ascii="Cambria Math" w:hAnsi="Cambria Math"/>
                <w:i/>
              </w:rPr>
              <w:sym w:font="Symbol" w:char="F066"/>
            </m:r>
          </m:e>
          <m:sub>
            <m:r>
              <w:rPr>
                <w:rFonts w:ascii="Cambria Math" w:hAnsi="Cambria Math"/>
              </w:rPr>
              <m:t>max,B</m:t>
            </m:r>
          </m:sub>
        </m:sSub>
      </m:oMath>
      <w:r>
        <w:t xml:space="preserve">) </w:t>
      </w:r>
      <w:r w:rsidRPr="008305DF">
        <w:t>alone</w:t>
      </w:r>
      <w:r>
        <w:t>.</w:t>
      </w:r>
      <w:bookmarkEnd w:id="114"/>
    </w:p>
    <w:p w14:paraId="3F65F6CD" w14:textId="77777777" w:rsidR="00275CAA" w:rsidRDefault="00275CAA" w:rsidP="00511118">
      <w:pPr>
        <w:pStyle w:val="Caption"/>
      </w:pPr>
    </w:p>
    <w:p w14:paraId="081CEC0F" w14:textId="77777777" w:rsidR="00275CAA" w:rsidRDefault="00275CAA" w:rsidP="00511118">
      <w:pPr>
        <w:pStyle w:val="Caption"/>
      </w:pPr>
    </w:p>
    <w:p w14:paraId="74C92846" w14:textId="77777777" w:rsidR="00275CAA" w:rsidRDefault="00275CAA" w:rsidP="00511118">
      <w:pPr>
        <w:pStyle w:val="Caption"/>
      </w:pPr>
    </w:p>
    <w:p w14:paraId="7C3543B3" w14:textId="77777777" w:rsidR="00275CAA" w:rsidRDefault="00275CAA" w:rsidP="00511118">
      <w:pPr>
        <w:pStyle w:val="Caption"/>
      </w:pPr>
    </w:p>
    <w:p w14:paraId="380B010A" w14:textId="77777777" w:rsidR="00275CAA" w:rsidRDefault="00275CAA" w:rsidP="00511118">
      <w:pPr>
        <w:pStyle w:val="Caption"/>
      </w:pPr>
    </w:p>
    <w:p w14:paraId="6F25BA8D" w14:textId="77777777" w:rsidR="00275CAA" w:rsidRDefault="00275CAA" w:rsidP="00511118">
      <w:pPr>
        <w:pStyle w:val="Caption"/>
      </w:pPr>
    </w:p>
    <w:p w14:paraId="68E7B5F8" w14:textId="77777777" w:rsidR="00275CAA" w:rsidRDefault="00275CAA" w:rsidP="00511118">
      <w:pPr>
        <w:pStyle w:val="Caption"/>
      </w:pPr>
    </w:p>
    <w:p w14:paraId="67EAB67A" w14:textId="77777777" w:rsidR="00275CAA" w:rsidRDefault="00275CAA" w:rsidP="00511118">
      <w:pPr>
        <w:pStyle w:val="Caption"/>
      </w:pPr>
    </w:p>
    <w:p w14:paraId="42C3E0A3" w14:textId="77777777" w:rsidR="00275CAA" w:rsidRDefault="00275CAA" w:rsidP="00511118">
      <w:pPr>
        <w:pStyle w:val="Caption"/>
      </w:pPr>
    </w:p>
    <w:p w14:paraId="296B28F5" w14:textId="77777777" w:rsidR="00275CAA" w:rsidRDefault="00275CAA" w:rsidP="00511118">
      <w:pPr>
        <w:pStyle w:val="Caption"/>
      </w:pPr>
    </w:p>
    <w:p w14:paraId="4D8452D1" w14:textId="77777777" w:rsidR="00275CAA" w:rsidRDefault="00275CAA" w:rsidP="00511118">
      <w:pPr>
        <w:pStyle w:val="Caption"/>
      </w:pPr>
    </w:p>
    <w:p w14:paraId="468A14E8" w14:textId="77777777" w:rsidR="00275CAA" w:rsidRDefault="00275CAA" w:rsidP="00511118">
      <w:pPr>
        <w:pStyle w:val="Caption"/>
      </w:pPr>
    </w:p>
    <w:p w14:paraId="4B9255D9" w14:textId="77777777" w:rsidR="00275CAA" w:rsidRDefault="00275CAA" w:rsidP="00511118">
      <w:pPr>
        <w:pStyle w:val="Caption"/>
      </w:pPr>
    </w:p>
    <w:p w14:paraId="30D500E3" w14:textId="0C17B438" w:rsidR="00275CAA" w:rsidRDefault="00D85FE8" w:rsidP="00511118">
      <w:pPr>
        <w:pStyle w:val="Caption"/>
      </w:pPr>
      <w:r>
        <w:rPr>
          <w:noProof/>
        </w:rPr>
        <w:lastRenderedPageBreak/>
        <w:drawing>
          <wp:inline distT="0" distB="0" distL="0" distR="0" wp14:anchorId="04697E12" wp14:editId="705210FB">
            <wp:extent cx="5943600" cy="1893282"/>
            <wp:effectExtent l="0" t="0" r="0" b="0"/>
            <wp:docPr id="2059388831" name="Picture 205938883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88831" name="Picture 2059388831" descr="A map of the world&#10;&#10;Description automatically generated"/>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43600" cy="1893282"/>
                    </a:xfrm>
                    <a:prstGeom prst="rect">
                      <a:avLst/>
                    </a:prstGeom>
                  </pic:spPr>
                </pic:pic>
              </a:graphicData>
            </a:graphic>
          </wp:inline>
        </w:drawing>
      </w:r>
    </w:p>
    <w:p w14:paraId="65A55647" w14:textId="77777777" w:rsidR="00970A0F" w:rsidRPr="003609FB" w:rsidRDefault="00970A0F" w:rsidP="00970A0F">
      <w:pPr>
        <w:pStyle w:val="Caption"/>
      </w:pPr>
      <w:bookmarkStart w:id="115" w:name="_Toc172910675"/>
      <w:r>
        <w:t xml:space="preserve">Figure C </w:t>
      </w:r>
      <w:r>
        <w:fldChar w:fldCharType="begin"/>
      </w:r>
      <w:r>
        <w:instrText xml:space="preserve"> SEQ C \* ARABIC </w:instrText>
      </w:r>
      <w:r>
        <w:fldChar w:fldCharType="separate"/>
      </w:r>
      <w:r>
        <w:rPr>
          <w:noProof/>
        </w:rPr>
        <w:t>6</w:t>
      </w:r>
      <w:r>
        <w:rPr>
          <w:noProof/>
        </w:rPr>
        <w:fldChar w:fldCharType="end"/>
      </w:r>
      <w:r>
        <w:t xml:space="preserve"> Projected H</w:t>
      </w:r>
      <w:r w:rsidRPr="004E3BEF">
        <w:rPr>
          <w:vertAlign w:val="subscript"/>
        </w:rPr>
        <w:t>2</w:t>
      </w:r>
      <w:r>
        <w:t>O</w:t>
      </w:r>
      <w:r w:rsidRPr="004E3BEF">
        <w:rPr>
          <w:vertAlign w:val="subscript"/>
        </w:rPr>
        <w:t>2</w:t>
      </w:r>
      <w:r>
        <w:t xml:space="preserve">, </w:t>
      </w:r>
      <w:r w:rsidRPr="00E172CB">
        <w:rPr>
          <w:rFonts w:ascii="Times" w:hAnsi="Times"/>
          <w:i/>
          <w:iCs/>
        </w:rPr>
        <w:t>Prochlorococcus</w:t>
      </w:r>
      <w:r>
        <w:t xml:space="preserve"> and </w:t>
      </w:r>
      <w:proofErr w:type="spellStart"/>
      <w:r w:rsidRPr="00275764">
        <w:rPr>
          <w:rFonts w:ascii="Times" w:hAnsi="Times"/>
          <w:i/>
          <w:iCs/>
        </w:rPr>
        <w:t>Synechococcus</w:t>
      </w:r>
      <w:proofErr w:type="spellEnd"/>
      <w:r>
        <w:t xml:space="preserve"> </w:t>
      </w:r>
      <w:proofErr w:type="spellStart"/>
      <w:r>
        <w:t>biogeographies</w:t>
      </w:r>
      <w:proofErr w:type="spellEnd"/>
      <w:r>
        <w:t xml:space="preserve"> in year 9 of </w:t>
      </w:r>
      <w:r w:rsidRPr="00E212F0">
        <w:t xml:space="preserve">Case </w:t>
      </w:r>
      <w:r>
        <w:t>4 with both</w:t>
      </w:r>
      <w:r w:rsidRPr="00E212F0">
        <w:t xml:space="preserve"> heterotrophic bacteria</w:t>
      </w:r>
      <w:r>
        <w:t xml:space="preserve">l and </w:t>
      </w:r>
      <w:proofErr w:type="spellStart"/>
      <w:r w:rsidRPr="00275764">
        <w:rPr>
          <w:rFonts w:ascii="Times" w:hAnsi="Times"/>
          <w:i/>
          <w:iCs/>
        </w:rPr>
        <w:t>Synechococcus</w:t>
      </w:r>
      <w:proofErr w:type="spellEnd"/>
      <w:r>
        <w:t xml:space="preserve"> H</w:t>
      </w:r>
      <w:r w:rsidRPr="004E3BEF">
        <w:rPr>
          <w:vertAlign w:val="subscript"/>
        </w:rPr>
        <w:t>2</w:t>
      </w:r>
      <w:r>
        <w:t>O</w:t>
      </w:r>
      <w:r w:rsidRPr="004E3BEF">
        <w:rPr>
          <w:vertAlign w:val="subscript"/>
        </w:rPr>
        <w:t>2</w:t>
      </w:r>
      <w:r>
        <w:rPr>
          <w:vertAlign w:val="subscript"/>
        </w:rPr>
        <w:t xml:space="preserve"> </w:t>
      </w:r>
      <w:r>
        <w:t>detoxification (</w:t>
      </w:r>
      <w:r w:rsidRPr="00E212F0">
        <w:t xml:space="preserve"> </w:t>
      </w:r>
      <m:oMath>
        <m:sSub>
          <m:sSubPr>
            <m:ctrlPr>
              <w:rPr>
                <w:rFonts w:ascii="Cambria Math" w:hAnsi="Cambria Math"/>
                <w:i/>
              </w:rPr>
            </m:ctrlPr>
          </m:sSubPr>
          <m:e>
            <m:r>
              <w:rPr>
                <w:rFonts w:ascii="Cambria Math" w:hAnsi="Cambria Math"/>
                <w:i/>
              </w:rPr>
              <w:sym w:font="Symbol" w:char="F066"/>
            </m:r>
          </m:e>
          <m:sub>
            <m:r>
              <w:rPr>
                <w:rFonts w:ascii="Cambria Math" w:hAnsi="Cambria Math"/>
              </w:rPr>
              <m:t xml:space="preserve">max,S </m:t>
            </m:r>
          </m:sub>
        </m:sSub>
      </m:oMath>
      <w:r>
        <w:t xml:space="preserve"> and </w:t>
      </w:r>
      <m:oMath>
        <m:sSub>
          <m:sSubPr>
            <m:ctrlPr>
              <w:rPr>
                <w:rFonts w:ascii="Cambria Math" w:hAnsi="Cambria Math"/>
                <w:i/>
              </w:rPr>
            </m:ctrlPr>
          </m:sSubPr>
          <m:e>
            <m:r>
              <w:rPr>
                <w:rFonts w:ascii="Cambria Math" w:hAnsi="Cambria Math"/>
                <w:i/>
              </w:rPr>
              <w:sym w:font="Symbol" w:char="F066"/>
            </m:r>
          </m:e>
          <m:sub>
            <m:r>
              <w:rPr>
                <w:rFonts w:ascii="Cambria Math" w:hAnsi="Cambria Math"/>
              </w:rPr>
              <m:t xml:space="preserve">max,B </m:t>
            </m:r>
          </m:sub>
        </m:sSub>
      </m:oMath>
      <w:r>
        <w:t>) incorporated in the model.</w:t>
      </w:r>
      <w:bookmarkEnd w:id="115"/>
      <w:r>
        <w:t xml:space="preserve"> </w:t>
      </w:r>
    </w:p>
    <w:p w14:paraId="42A398EE" w14:textId="77777777" w:rsidR="00D85FE8" w:rsidRDefault="00D85FE8" w:rsidP="00511118">
      <w:pPr>
        <w:pStyle w:val="Caption"/>
      </w:pPr>
    </w:p>
    <w:p w14:paraId="0B90EC82" w14:textId="77777777" w:rsidR="00B726B5" w:rsidRPr="003609FB" w:rsidRDefault="00B726B5" w:rsidP="00AB2160">
      <w:pPr>
        <w:spacing w:line="360" w:lineRule="auto"/>
        <w:rPr>
          <w:rFonts w:ascii="Times New Roman" w:hAnsi="Times New Roman" w:cs="Times New Roman"/>
          <w:sz w:val="24"/>
          <w:szCs w:val="24"/>
        </w:rPr>
        <w:sectPr w:rsidR="00B726B5" w:rsidRPr="003609FB" w:rsidSect="00230D4E">
          <w:type w:val="continuous"/>
          <w:pgSz w:w="12240" w:h="15840"/>
          <w:pgMar w:top="1440" w:right="1440" w:bottom="1440" w:left="1440" w:header="720" w:footer="720" w:gutter="0"/>
          <w:cols w:space="720"/>
          <w:titlePg/>
          <w:docGrid w:linePitch="360"/>
        </w:sectPr>
      </w:pPr>
    </w:p>
    <w:p w14:paraId="7AF86F98" w14:textId="1D0A1C6F" w:rsidR="00555BCF" w:rsidRPr="003609FB" w:rsidRDefault="001D4242" w:rsidP="00C67801">
      <w:pPr>
        <w:pStyle w:val="Heading2"/>
        <w:numPr>
          <w:ilvl w:val="0"/>
          <w:numId w:val="0"/>
        </w:numPr>
        <w:spacing w:line="360" w:lineRule="auto"/>
        <w:jc w:val="center"/>
        <w:rPr>
          <w:sz w:val="24"/>
          <w:szCs w:val="24"/>
        </w:rPr>
      </w:pPr>
      <w:bookmarkStart w:id="116" w:name="_Toc173250069"/>
      <w:r w:rsidRPr="003609FB">
        <w:rPr>
          <w:sz w:val="24"/>
          <w:szCs w:val="24"/>
        </w:rPr>
        <w:lastRenderedPageBreak/>
        <w:t>Vita</w:t>
      </w:r>
      <w:bookmarkEnd w:id="116"/>
    </w:p>
    <w:p w14:paraId="2627D164" w14:textId="0A3BFBE3" w:rsidR="00AB04D4" w:rsidRPr="003609FB" w:rsidRDefault="00AB04D4" w:rsidP="00AB2160">
      <w:pPr>
        <w:spacing w:line="360" w:lineRule="auto"/>
        <w:ind w:firstLine="720"/>
        <w:rPr>
          <w:rFonts w:ascii="Times New Roman" w:hAnsi="Times New Roman" w:cs="Times New Roman"/>
          <w:sz w:val="24"/>
          <w:szCs w:val="24"/>
        </w:rPr>
      </w:pPr>
      <w:r w:rsidRPr="003609FB">
        <w:rPr>
          <w:rFonts w:ascii="Times New Roman" w:hAnsi="Times New Roman" w:cs="Times New Roman"/>
          <w:sz w:val="24"/>
          <w:szCs w:val="24"/>
        </w:rPr>
        <w:t xml:space="preserve">Donna Kathleen “Katie” McCullough was born in Huntsville, Alabama in 1994, two days before a tornado rattled the whole town. </w:t>
      </w:r>
      <w:r w:rsidR="00434271">
        <w:rPr>
          <w:rFonts w:ascii="Times New Roman" w:hAnsi="Times New Roman" w:cs="Times New Roman"/>
          <w:sz w:val="24"/>
          <w:szCs w:val="24"/>
        </w:rPr>
        <w:t>She is n</w:t>
      </w:r>
      <w:r w:rsidR="00B215E7" w:rsidRPr="003609FB">
        <w:rPr>
          <w:rFonts w:ascii="Times New Roman" w:hAnsi="Times New Roman" w:cs="Times New Roman"/>
          <w:sz w:val="24"/>
          <w:szCs w:val="24"/>
        </w:rPr>
        <w:t xml:space="preserve">amed after Donna Barnes, </w:t>
      </w:r>
      <w:r w:rsidR="00434271">
        <w:rPr>
          <w:rFonts w:ascii="Times New Roman" w:hAnsi="Times New Roman" w:cs="Times New Roman"/>
          <w:sz w:val="24"/>
          <w:szCs w:val="24"/>
        </w:rPr>
        <w:t xml:space="preserve">the </w:t>
      </w:r>
      <w:r w:rsidR="00B215E7" w:rsidRPr="003609FB">
        <w:rPr>
          <w:rFonts w:ascii="Times New Roman" w:hAnsi="Times New Roman" w:cs="Times New Roman"/>
          <w:sz w:val="24"/>
          <w:szCs w:val="24"/>
        </w:rPr>
        <w:t xml:space="preserve">first female head of the Mississippi Appellate State Court and biggest fan of Disney ever born. </w:t>
      </w:r>
      <w:r w:rsidR="00194253" w:rsidRPr="003609FB">
        <w:rPr>
          <w:rFonts w:ascii="Times New Roman" w:hAnsi="Times New Roman" w:cs="Times New Roman"/>
          <w:sz w:val="24"/>
          <w:szCs w:val="24"/>
        </w:rPr>
        <w:t xml:space="preserve">As the 3rd child to Claire and Calvin McCullough, an electrical and nuclear engineer respectively, she enjoyed a </w:t>
      </w:r>
      <w:r w:rsidR="00B215E7" w:rsidRPr="003609FB">
        <w:rPr>
          <w:rFonts w:ascii="Times New Roman" w:hAnsi="Times New Roman" w:cs="Times New Roman"/>
          <w:sz w:val="24"/>
          <w:szCs w:val="24"/>
        </w:rPr>
        <w:t>curiosity and educational upbringing. Her</w:t>
      </w:r>
      <w:r w:rsidRPr="003609FB">
        <w:rPr>
          <w:rFonts w:ascii="Times New Roman" w:hAnsi="Times New Roman" w:cs="Times New Roman"/>
          <w:sz w:val="24"/>
          <w:szCs w:val="24"/>
        </w:rPr>
        <w:t xml:space="preserve"> eventful childhood with older twin siblings, Charles and Sarah Mc</w:t>
      </w:r>
      <w:r w:rsidR="0082766D" w:rsidRPr="003609FB">
        <w:rPr>
          <w:rFonts w:ascii="Times New Roman" w:hAnsi="Times New Roman" w:cs="Times New Roman"/>
          <w:sz w:val="24"/>
          <w:szCs w:val="24"/>
        </w:rPr>
        <w:t>C</w:t>
      </w:r>
      <w:r w:rsidRPr="003609FB">
        <w:rPr>
          <w:rFonts w:ascii="Times New Roman" w:hAnsi="Times New Roman" w:cs="Times New Roman"/>
          <w:sz w:val="24"/>
          <w:szCs w:val="24"/>
        </w:rPr>
        <w:t xml:space="preserve">ullough, </w:t>
      </w:r>
      <w:r w:rsidR="00B215E7" w:rsidRPr="003609FB">
        <w:rPr>
          <w:rFonts w:ascii="Times New Roman" w:hAnsi="Times New Roman" w:cs="Times New Roman"/>
          <w:sz w:val="24"/>
          <w:szCs w:val="24"/>
        </w:rPr>
        <w:t xml:space="preserve">was first located </w:t>
      </w:r>
      <w:r w:rsidR="00E43A90">
        <w:rPr>
          <w:rFonts w:ascii="Times New Roman" w:hAnsi="Times New Roman" w:cs="Times New Roman"/>
          <w:sz w:val="24"/>
          <w:szCs w:val="24"/>
        </w:rPr>
        <w:t>i</w:t>
      </w:r>
      <w:r w:rsidRPr="003609FB">
        <w:rPr>
          <w:rFonts w:ascii="Times New Roman" w:hAnsi="Times New Roman" w:cs="Times New Roman"/>
          <w:sz w:val="24"/>
          <w:szCs w:val="24"/>
        </w:rPr>
        <w:t>n Huntsville</w:t>
      </w:r>
      <w:r w:rsidR="0082766D" w:rsidRPr="003609FB">
        <w:rPr>
          <w:rFonts w:ascii="Times New Roman" w:hAnsi="Times New Roman" w:cs="Times New Roman"/>
          <w:sz w:val="24"/>
          <w:szCs w:val="24"/>
        </w:rPr>
        <w:t>, AL</w:t>
      </w:r>
      <w:r w:rsidRPr="003609FB">
        <w:rPr>
          <w:rFonts w:ascii="Times New Roman" w:hAnsi="Times New Roman" w:cs="Times New Roman"/>
          <w:sz w:val="24"/>
          <w:szCs w:val="24"/>
        </w:rPr>
        <w:t xml:space="preserve"> and then Ringgold, Georgia. Katie first attended school at Graysville Elementary and then </w:t>
      </w:r>
      <w:r w:rsidR="00B215E7" w:rsidRPr="003609FB">
        <w:rPr>
          <w:rFonts w:ascii="Times New Roman" w:hAnsi="Times New Roman" w:cs="Times New Roman"/>
          <w:sz w:val="24"/>
          <w:szCs w:val="24"/>
        </w:rPr>
        <w:t xml:space="preserve">finished her K-12 education </w:t>
      </w:r>
      <w:r w:rsidRPr="003609FB">
        <w:rPr>
          <w:rFonts w:ascii="Times New Roman" w:hAnsi="Times New Roman" w:cs="Times New Roman"/>
          <w:sz w:val="24"/>
          <w:szCs w:val="24"/>
        </w:rPr>
        <w:t xml:space="preserve">at Ringgold Middle and High school. Katie attended the </w:t>
      </w:r>
      <w:r w:rsidR="009768C7">
        <w:rPr>
          <w:rFonts w:ascii="Times New Roman" w:hAnsi="Times New Roman" w:cs="Times New Roman"/>
          <w:sz w:val="24"/>
          <w:szCs w:val="24"/>
        </w:rPr>
        <w:t>U</w:t>
      </w:r>
      <w:r w:rsidRPr="003609FB">
        <w:rPr>
          <w:rFonts w:ascii="Times New Roman" w:hAnsi="Times New Roman" w:cs="Times New Roman"/>
          <w:sz w:val="24"/>
          <w:szCs w:val="24"/>
        </w:rPr>
        <w:t>niversity</w:t>
      </w:r>
      <w:r w:rsidR="00E43A90">
        <w:rPr>
          <w:rFonts w:ascii="Times New Roman" w:hAnsi="Times New Roman" w:cs="Times New Roman"/>
          <w:sz w:val="24"/>
          <w:szCs w:val="24"/>
        </w:rPr>
        <w:t xml:space="preserve"> </w:t>
      </w:r>
      <w:r w:rsidRPr="003609FB">
        <w:rPr>
          <w:rFonts w:ascii="Times New Roman" w:hAnsi="Times New Roman" w:cs="Times New Roman"/>
          <w:sz w:val="24"/>
          <w:szCs w:val="24"/>
        </w:rPr>
        <w:t xml:space="preserve">of North Georgia (Formally North Georgia College and State University) with both academic and music scholarship support. </w:t>
      </w:r>
      <w:r w:rsidR="00B215E7" w:rsidRPr="003609FB">
        <w:rPr>
          <w:rFonts w:ascii="Times New Roman" w:hAnsi="Times New Roman" w:cs="Times New Roman"/>
          <w:sz w:val="24"/>
          <w:szCs w:val="24"/>
        </w:rPr>
        <w:t xml:space="preserve">After volunteering at Lumpkin Country Animal Shelter in Dahlonega, Ga and memories of an unfortunate fetal pig dissection, D. Katie changed her major from veterinary sciences to biology. </w:t>
      </w:r>
      <w:r w:rsidR="007827F4" w:rsidRPr="003609FB">
        <w:rPr>
          <w:rFonts w:ascii="Times New Roman" w:hAnsi="Times New Roman" w:cs="Times New Roman"/>
          <w:sz w:val="24"/>
          <w:szCs w:val="24"/>
        </w:rPr>
        <w:t>After a year of field reef ecology research parried with a microbiology laboratory prep assistant job, D. Katie found herself fully entrenched in biological research.</w:t>
      </w:r>
      <w:r w:rsidR="0078003C">
        <w:rPr>
          <w:rFonts w:ascii="Times New Roman" w:hAnsi="Times New Roman" w:cs="Times New Roman"/>
          <w:sz w:val="24"/>
          <w:szCs w:val="24"/>
        </w:rPr>
        <w:t xml:space="preserve"> UNG faculty were instrumental in this growth. </w:t>
      </w:r>
      <w:r w:rsidR="00E9562E" w:rsidRPr="003609FB">
        <w:rPr>
          <w:rFonts w:ascii="Times New Roman" w:hAnsi="Times New Roman" w:cs="Times New Roman"/>
          <w:sz w:val="24"/>
          <w:szCs w:val="24"/>
        </w:rPr>
        <w:t xml:space="preserve">After a year </w:t>
      </w:r>
      <w:r w:rsidR="00BD33E7" w:rsidRPr="003609FB">
        <w:rPr>
          <w:rFonts w:ascii="Times New Roman" w:hAnsi="Times New Roman" w:cs="Times New Roman"/>
          <w:sz w:val="24"/>
          <w:szCs w:val="24"/>
        </w:rPr>
        <w:t>sabbatical</w:t>
      </w:r>
      <w:r w:rsidR="00E9562E" w:rsidRPr="003609FB">
        <w:rPr>
          <w:rFonts w:ascii="Times New Roman" w:hAnsi="Times New Roman" w:cs="Times New Roman"/>
          <w:sz w:val="24"/>
          <w:szCs w:val="24"/>
        </w:rPr>
        <w:t xml:space="preserve"> studying </w:t>
      </w:r>
      <w:r w:rsidR="00BD33E7" w:rsidRPr="003609FB">
        <w:rPr>
          <w:rFonts w:ascii="Times New Roman" w:hAnsi="Times New Roman" w:cs="Times New Roman"/>
          <w:sz w:val="24"/>
          <w:szCs w:val="24"/>
        </w:rPr>
        <w:t xml:space="preserve">the genetics of yeast subpopulation differentiation </w:t>
      </w:r>
      <w:r w:rsidR="00E9562E" w:rsidRPr="003609FB">
        <w:rPr>
          <w:rFonts w:ascii="Times New Roman" w:hAnsi="Times New Roman" w:cs="Times New Roman"/>
          <w:sz w:val="24"/>
          <w:szCs w:val="24"/>
        </w:rPr>
        <w:t xml:space="preserve">Poland under a Fulbright scholarship, Katie </w:t>
      </w:r>
      <w:r w:rsidR="00660B6E" w:rsidRPr="003609FB">
        <w:rPr>
          <w:rFonts w:ascii="Times New Roman" w:hAnsi="Times New Roman" w:cs="Times New Roman"/>
          <w:sz w:val="24"/>
          <w:szCs w:val="24"/>
        </w:rPr>
        <w:t xml:space="preserve">enrolled in the University of Tennessee in Knoxville for a PhD in Microbiology. Joining the </w:t>
      </w:r>
      <w:proofErr w:type="spellStart"/>
      <w:r w:rsidR="00660B6E" w:rsidRPr="003609FB">
        <w:rPr>
          <w:rFonts w:ascii="Times New Roman" w:hAnsi="Times New Roman" w:cs="Times New Roman"/>
          <w:sz w:val="24"/>
          <w:szCs w:val="24"/>
        </w:rPr>
        <w:t>Talmy</w:t>
      </w:r>
      <w:proofErr w:type="spellEnd"/>
      <w:r w:rsidR="00660B6E" w:rsidRPr="003609FB">
        <w:rPr>
          <w:rFonts w:ascii="Times New Roman" w:hAnsi="Times New Roman" w:cs="Times New Roman"/>
          <w:sz w:val="24"/>
          <w:szCs w:val="24"/>
        </w:rPr>
        <w:t xml:space="preserve"> lab, </w:t>
      </w:r>
      <w:r w:rsidR="00BD33E7" w:rsidRPr="003609FB">
        <w:rPr>
          <w:rFonts w:ascii="Times New Roman" w:hAnsi="Times New Roman" w:cs="Times New Roman"/>
          <w:sz w:val="24"/>
          <w:szCs w:val="24"/>
        </w:rPr>
        <w:t xml:space="preserve">she delved into ocean microbiology with </w:t>
      </w:r>
      <w:r w:rsidR="00495C71" w:rsidRPr="003609FB">
        <w:rPr>
          <w:rFonts w:ascii="Times New Roman" w:hAnsi="Times New Roman" w:cs="Times New Roman"/>
          <w:sz w:val="24"/>
          <w:szCs w:val="24"/>
        </w:rPr>
        <w:t xml:space="preserve">computer science and mathematical modeling tools informed by laboratory and </w:t>
      </w:r>
      <w:r w:rsidR="00825514" w:rsidRPr="00825514">
        <w:rPr>
          <w:rFonts w:ascii="Times New Roman" w:hAnsi="Times New Roman" w:cs="Times New Roman"/>
          <w:i/>
          <w:iCs/>
          <w:sz w:val="24"/>
          <w:szCs w:val="24"/>
        </w:rPr>
        <w:t>in situ</w:t>
      </w:r>
      <w:r w:rsidR="00825514">
        <w:rPr>
          <w:rFonts w:ascii="Times New Roman" w:hAnsi="Times New Roman" w:cs="Times New Roman"/>
          <w:sz w:val="24"/>
          <w:szCs w:val="24"/>
        </w:rPr>
        <w:t xml:space="preserve"> </w:t>
      </w:r>
      <w:r w:rsidR="00495C71" w:rsidRPr="003609FB">
        <w:rPr>
          <w:rFonts w:ascii="Times New Roman" w:hAnsi="Times New Roman" w:cs="Times New Roman"/>
          <w:sz w:val="24"/>
          <w:szCs w:val="24"/>
        </w:rPr>
        <w:t xml:space="preserve">data. </w:t>
      </w:r>
    </w:p>
    <w:p w14:paraId="16397D4B" w14:textId="77777777" w:rsidR="0082766D" w:rsidRPr="003609FB" w:rsidRDefault="0082766D" w:rsidP="00AB2160">
      <w:pPr>
        <w:spacing w:line="360" w:lineRule="auto"/>
      </w:pPr>
    </w:p>
    <w:p w14:paraId="79F0F238" w14:textId="77777777" w:rsidR="00C83E41" w:rsidRPr="003609FB" w:rsidRDefault="00C83E41" w:rsidP="00AB2160">
      <w:pPr>
        <w:spacing w:line="360" w:lineRule="auto"/>
      </w:pPr>
    </w:p>
    <w:sectPr w:rsidR="00C83E41" w:rsidRPr="003609FB" w:rsidSect="0049772E">
      <w:pgSz w:w="12240" w:h="15840"/>
      <w:pgMar w:top="1440" w:right="1440" w:bottom="1440" w:left="1440" w:header="720" w:footer="720" w:gutter="0"/>
      <w:pgNumType w:start="18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FAC73" w14:textId="77777777" w:rsidR="007D5F3A" w:rsidRDefault="007D5F3A" w:rsidP="001A2D6A">
      <w:r>
        <w:separator/>
      </w:r>
    </w:p>
    <w:p w14:paraId="3CC76E1A" w14:textId="77777777" w:rsidR="007D5F3A" w:rsidRDefault="007D5F3A" w:rsidP="001A2D6A"/>
  </w:endnote>
  <w:endnote w:type="continuationSeparator" w:id="0">
    <w:p w14:paraId="71898EC1" w14:textId="77777777" w:rsidR="007D5F3A" w:rsidRDefault="007D5F3A" w:rsidP="001A2D6A">
      <w:r>
        <w:continuationSeparator/>
      </w:r>
    </w:p>
    <w:p w14:paraId="45367BDF" w14:textId="77777777" w:rsidR="007D5F3A" w:rsidRDefault="007D5F3A" w:rsidP="001A2D6A"/>
  </w:endnote>
  <w:endnote w:type="continuationNotice" w:id="1">
    <w:p w14:paraId="2FA0F8BF" w14:textId="77777777" w:rsidR="007D5F3A" w:rsidRDefault="007D5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Book">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abda">
    <w:altName w:val="Cambria"/>
    <w:panose1 w:val="00000000000000000000"/>
    <w:charset w:val="00"/>
    <w:family w:val="roman"/>
    <w:notTrueType/>
    <w:pitch w:val="default"/>
  </w:font>
  <w:font w:name="gree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1382976"/>
      <w:docPartObj>
        <w:docPartGallery w:val="Page Numbers (Bottom of Page)"/>
        <w:docPartUnique/>
      </w:docPartObj>
    </w:sdtPr>
    <w:sdtContent>
      <w:p w14:paraId="35219D0B" w14:textId="0AE39764" w:rsidR="00B726B5" w:rsidRDefault="00B726B5" w:rsidP="009F64F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208</w:t>
        </w:r>
        <w:r>
          <w:rPr>
            <w:rStyle w:val="PageNumber"/>
          </w:rPr>
          <w:fldChar w:fldCharType="end"/>
        </w:r>
      </w:p>
    </w:sdtContent>
  </w:sdt>
  <w:p w14:paraId="2FA66A1D" w14:textId="77777777" w:rsidR="00366DBC" w:rsidRDefault="00366DBC" w:rsidP="001A2D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7925E" w14:textId="7C7095AE" w:rsidR="003D069F" w:rsidRDefault="003D069F">
    <w:pPr>
      <w:pStyle w:val="Footer"/>
      <w:jc w:val="right"/>
    </w:pPr>
  </w:p>
  <w:p w14:paraId="0DE21F05" w14:textId="77777777" w:rsidR="003D069F" w:rsidRDefault="003D06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2076087"/>
      <w:docPartObj>
        <w:docPartGallery w:val="Page Numbers (Bottom of Page)"/>
        <w:docPartUnique/>
      </w:docPartObj>
    </w:sdtPr>
    <w:sdtEndPr>
      <w:rPr>
        <w:rFonts w:ascii="Times New Roman" w:hAnsi="Times New Roman" w:cs="Times New Roman"/>
        <w:noProof/>
      </w:rPr>
    </w:sdtEndPr>
    <w:sdtContent>
      <w:p w14:paraId="6BDB55D8" w14:textId="2B0F7C4D" w:rsidR="00797D57" w:rsidRPr="00970A0F" w:rsidRDefault="00970A0F" w:rsidP="00970A0F">
        <w:pPr>
          <w:pStyle w:val="Footer"/>
          <w:jc w:val="right"/>
          <w:rPr>
            <w:rFonts w:ascii="Times New Roman" w:hAnsi="Times New Roman" w:cs="Times New Roman"/>
          </w:rPr>
        </w:pPr>
        <w:r w:rsidRPr="00970A0F">
          <w:rPr>
            <w:rFonts w:ascii="Times New Roman" w:hAnsi="Times New Roman" w:cs="Times New Roman"/>
          </w:rPr>
          <w:fldChar w:fldCharType="begin"/>
        </w:r>
        <w:r w:rsidRPr="00970A0F">
          <w:rPr>
            <w:rFonts w:ascii="Times New Roman" w:hAnsi="Times New Roman" w:cs="Times New Roman"/>
          </w:rPr>
          <w:instrText xml:space="preserve"> PAGE   \* MERGEFORMAT </w:instrText>
        </w:r>
        <w:r w:rsidRPr="00970A0F">
          <w:rPr>
            <w:rFonts w:ascii="Times New Roman" w:hAnsi="Times New Roman" w:cs="Times New Roman"/>
          </w:rPr>
          <w:fldChar w:fldCharType="separate"/>
        </w:r>
        <w:r w:rsidRPr="00970A0F">
          <w:rPr>
            <w:rFonts w:ascii="Times New Roman" w:hAnsi="Times New Roman" w:cs="Times New Roman"/>
            <w:noProof/>
          </w:rPr>
          <w:t>2</w:t>
        </w:r>
        <w:r w:rsidRPr="00970A0F">
          <w:rPr>
            <w:rFonts w:ascii="Times New Roman" w:hAnsi="Times New Roman" w:cs="Times New Roman"/>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5703962"/>
      <w:docPartObj>
        <w:docPartGallery w:val="Page Numbers (Bottom of Page)"/>
        <w:docPartUnique/>
      </w:docPartObj>
    </w:sdtPr>
    <w:sdtEndPr>
      <w:rPr>
        <w:rFonts w:ascii="Times New Roman" w:hAnsi="Times New Roman" w:cs="Times New Roman"/>
        <w:noProof/>
      </w:rPr>
    </w:sdtEndPr>
    <w:sdtContent>
      <w:p w14:paraId="57A18ADA" w14:textId="0CA89236" w:rsidR="00797D57" w:rsidRPr="00797D57" w:rsidRDefault="00797D57" w:rsidP="00797D57">
        <w:pPr>
          <w:pStyle w:val="Footer"/>
          <w:jc w:val="right"/>
          <w:rPr>
            <w:rFonts w:ascii="Times New Roman" w:hAnsi="Times New Roman" w:cs="Times New Roman"/>
          </w:rPr>
        </w:pPr>
        <w:r w:rsidRPr="00797D57">
          <w:rPr>
            <w:rFonts w:ascii="Times New Roman" w:hAnsi="Times New Roman" w:cs="Times New Roman"/>
          </w:rPr>
          <w:fldChar w:fldCharType="begin"/>
        </w:r>
        <w:r w:rsidRPr="00797D57">
          <w:rPr>
            <w:rFonts w:ascii="Times New Roman" w:hAnsi="Times New Roman" w:cs="Times New Roman"/>
          </w:rPr>
          <w:instrText xml:space="preserve"> PAGE   \* MERGEFORMAT </w:instrText>
        </w:r>
        <w:r w:rsidRPr="00797D57">
          <w:rPr>
            <w:rFonts w:ascii="Times New Roman" w:hAnsi="Times New Roman" w:cs="Times New Roman"/>
          </w:rPr>
          <w:fldChar w:fldCharType="separate"/>
        </w:r>
        <w:r w:rsidRPr="00797D57">
          <w:rPr>
            <w:rFonts w:ascii="Times New Roman" w:hAnsi="Times New Roman" w:cs="Times New Roman"/>
            <w:noProof/>
          </w:rPr>
          <w:t>2</w:t>
        </w:r>
        <w:r w:rsidRPr="00797D57">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4049978"/>
      <w:docPartObj>
        <w:docPartGallery w:val="Page Numbers (Bottom of Page)"/>
        <w:docPartUnique/>
      </w:docPartObj>
    </w:sdtPr>
    <w:sdtEndPr>
      <w:rPr>
        <w:rFonts w:ascii="Times New Roman" w:hAnsi="Times New Roman" w:cs="Times New Roman"/>
        <w:noProof/>
      </w:rPr>
    </w:sdtEndPr>
    <w:sdtContent>
      <w:p w14:paraId="6D868EFE" w14:textId="103DD785" w:rsidR="00F17DAA" w:rsidRPr="00F17DAA" w:rsidRDefault="00F17DAA">
        <w:pPr>
          <w:pStyle w:val="Footer"/>
          <w:jc w:val="right"/>
          <w:rPr>
            <w:rFonts w:ascii="Times New Roman" w:hAnsi="Times New Roman" w:cs="Times New Roman"/>
          </w:rPr>
        </w:pPr>
        <w:r w:rsidRPr="00F17DAA">
          <w:rPr>
            <w:rFonts w:ascii="Times New Roman" w:hAnsi="Times New Roman" w:cs="Times New Roman"/>
          </w:rPr>
          <w:fldChar w:fldCharType="begin"/>
        </w:r>
        <w:r w:rsidRPr="00F17DAA">
          <w:rPr>
            <w:rFonts w:ascii="Times New Roman" w:hAnsi="Times New Roman" w:cs="Times New Roman"/>
          </w:rPr>
          <w:instrText xml:space="preserve"> PAGE   \* MERGEFORMAT </w:instrText>
        </w:r>
        <w:r w:rsidRPr="00F17DAA">
          <w:rPr>
            <w:rFonts w:ascii="Times New Roman" w:hAnsi="Times New Roman" w:cs="Times New Roman"/>
          </w:rPr>
          <w:fldChar w:fldCharType="separate"/>
        </w:r>
        <w:r w:rsidRPr="00F17DAA">
          <w:rPr>
            <w:rFonts w:ascii="Times New Roman" w:hAnsi="Times New Roman" w:cs="Times New Roman"/>
            <w:noProof/>
          </w:rPr>
          <w:t>2</w:t>
        </w:r>
        <w:r w:rsidRPr="00F17DAA">
          <w:rPr>
            <w:rFonts w:ascii="Times New Roman" w:hAnsi="Times New Roman" w:cs="Times New Roman"/>
            <w:noProof/>
          </w:rPr>
          <w:fldChar w:fldCharType="end"/>
        </w:r>
      </w:p>
    </w:sdtContent>
  </w:sdt>
  <w:p w14:paraId="5B0EFA89" w14:textId="77777777" w:rsidR="00983EBD" w:rsidRDefault="00983EBD" w:rsidP="001A2D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6B71F" w14:textId="77777777" w:rsidR="007D5F3A" w:rsidRDefault="007D5F3A" w:rsidP="001A2D6A">
      <w:r>
        <w:separator/>
      </w:r>
    </w:p>
    <w:p w14:paraId="508BCC65" w14:textId="77777777" w:rsidR="007D5F3A" w:rsidRDefault="007D5F3A" w:rsidP="001A2D6A"/>
  </w:footnote>
  <w:footnote w:type="continuationSeparator" w:id="0">
    <w:p w14:paraId="42FECBFC" w14:textId="77777777" w:rsidR="007D5F3A" w:rsidRDefault="007D5F3A" w:rsidP="001A2D6A">
      <w:r>
        <w:continuationSeparator/>
      </w:r>
    </w:p>
    <w:p w14:paraId="43E4526C" w14:textId="77777777" w:rsidR="007D5F3A" w:rsidRDefault="007D5F3A" w:rsidP="001A2D6A"/>
  </w:footnote>
  <w:footnote w:type="continuationNotice" w:id="1">
    <w:p w14:paraId="4E9E2A25" w14:textId="77777777" w:rsidR="007D5F3A" w:rsidRDefault="007D5F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14CE5"/>
    <w:multiLevelType w:val="multilevel"/>
    <w:tmpl w:val="90F69566"/>
    <w:lvl w:ilvl="0">
      <w:start w:val="1"/>
      <w:numFmt w:val="decimal"/>
      <w:suff w:val="space"/>
      <w:lvlText w:val="Chapter %1"/>
      <w:lvlJc w:val="left"/>
      <w:pPr>
        <w:ind w:left="0" w:firstLine="0"/>
      </w:pPr>
      <w:rPr>
        <w:rFonts w:hint="default"/>
        <w:b/>
        <w:i w:val="0"/>
        <w:color w:val="000000" w:themeColor="text1"/>
        <w:sz w:val="32"/>
      </w:rPr>
    </w:lvl>
    <w:lvl w:ilvl="1">
      <w:start w:val="1"/>
      <w:numFmt w:val="none"/>
      <w:suff w:val="nothing"/>
      <w:lvlText w:val=""/>
      <w:lvlJc w:val="left"/>
      <w:pPr>
        <w:ind w:left="0" w:firstLine="0"/>
      </w:pPr>
      <w:rPr>
        <w:rFonts w:hint="default"/>
        <w:b/>
        <w:i w:val="0"/>
        <w:color w:val="000000" w:themeColor="text1"/>
        <w:sz w:val="28"/>
      </w:rPr>
    </w:lvl>
    <w:lvl w:ilvl="2">
      <w:start w:val="1"/>
      <w:numFmt w:val="none"/>
      <w:suff w:val="nothing"/>
      <w:lvlText w:val=""/>
      <w:lvlJc w:val="left"/>
      <w:pPr>
        <w:ind w:left="0" w:firstLine="0"/>
      </w:pPr>
      <w:rPr>
        <w:rFonts w:hint="default"/>
        <w:b/>
        <w:i w:val="0"/>
        <w:sz w:val="28"/>
      </w:rPr>
    </w:lvl>
    <w:lvl w:ilvl="3">
      <w:start w:val="1"/>
      <w:numFmt w:val="none"/>
      <w:suff w:val="nothing"/>
      <w:lvlText w:val=""/>
      <w:lvlJc w:val="left"/>
      <w:pPr>
        <w:ind w:left="0" w:firstLine="0"/>
      </w:pPr>
      <w:rPr>
        <w:rFonts w:hint="default"/>
        <w:b w:val="0"/>
        <w:i w:val="0"/>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165269BC"/>
    <w:multiLevelType w:val="hybridMultilevel"/>
    <w:tmpl w:val="192AE5A4"/>
    <w:lvl w:ilvl="0" w:tplc="B88C50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140F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845223"/>
    <w:multiLevelType w:val="multilevel"/>
    <w:tmpl w:val="2F680E50"/>
    <w:styleLink w:val="CurrentList2"/>
    <w:lvl w:ilvl="0">
      <w:start w:val="1"/>
      <w:numFmt w:val="decimal"/>
      <w:lvlText w:val="Chapter %1."/>
      <w:lvlJc w:val="left"/>
      <w:pPr>
        <w:ind w:left="0" w:firstLine="0"/>
      </w:pPr>
      <w:rPr>
        <w:rFonts w:asciiTheme="majorBidi" w:hAnsiTheme="majorBidi" w:cstheme="majorBidi" w:hint="default"/>
        <w:b/>
        <w:i w:val="0"/>
        <w:color w:val="000000" w:themeColor="text1"/>
        <w:sz w:val="32"/>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2011B67"/>
    <w:multiLevelType w:val="multilevel"/>
    <w:tmpl w:val="FF561874"/>
    <w:lvl w:ilvl="0">
      <w:start w:val="1"/>
      <w:numFmt w:val="decimal"/>
      <w:pStyle w:val="Heading1"/>
      <w:suff w:val="space"/>
      <w:lvlText w:val="Chapter %1"/>
      <w:lvlJc w:val="left"/>
      <w:pPr>
        <w:ind w:left="1530" w:firstLine="0"/>
      </w:pPr>
      <w:rPr>
        <w:b w:val="0"/>
        <w:bCs w:val="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3C9674D7"/>
    <w:multiLevelType w:val="hybridMultilevel"/>
    <w:tmpl w:val="C73A8A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81AA9"/>
    <w:multiLevelType w:val="hybridMultilevel"/>
    <w:tmpl w:val="F3C43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B8005A"/>
    <w:multiLevelType w:val="hybridMultilevel"/>
    <w:tmpl w:val="AA3EA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785C38"/>
    <w:multiLevelType w:val="multilevel"/>
    <w:tmpl w:val="2B7EEC9A"/>
    <w:styleLink w:val="CurrentList1"/>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BCF4F4B"/>
    <w:multiLevelType w:val="hybridMultilevel"/>
    <w:tmpl w:val="923A25F4"/>
    <w:lvl w:ilvl="0" w:tplc="D4068DE8">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70C21DCE"/>
    <w:multiLevelType w:val="hybridMultilevel"/>
    <w:tmpl w:val="8BE07DA4"/>
    <w:lvl w:ilvl="0" w:tplc="9E44410A">
      <w:start w:val="1"/>
      <w:numFmt w:val="lowerLetter"/>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1" w15:restartNumberingAfterBreak="0">
    <w:nsid w:val="724E7C01"/>
    <w:multiLevelType w:val="multilevel"/>
    <w:tmpl w:val="266A0C28"/>
    <w:styleLink w:val="CurrentList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67505709">
    <w:abstractNumId w:val="0"/>
  </w:num>
  <w:num w:numId="2" w16cid:durableId="158084246">
    <w:abstractNumId w:val="8"/>
  </w:num>
  <w:num w:numId="3" w16cid:durableId="1123377888">
    <w:abstractNumId w:val="3"/>
  </w:num>
  <w:num w:numId="4" w16cid:durableId="2114125874">
    <w:abstractNumId w:val="2"/>
  </w:num>
  <w:num w:numId="5" w16cid:durableId="2127696336">
    <w:abstractNumId w:val="11"/>
  </w:num>
  <w:num w:numId="6" w16cid:durableId="1449199682">
    <w:abstractNumId w:val="9"/>
  </w:num>
  <w:num w:numId="7" w16cid:durableId="822742114">
    <w:abstractNumId w:val="4"/>
  </w:num>
  <w:num w:numId="8" w16cid:durableId="504176731">
    <w:abstractNumId w:val="6"/>
  </w:num>
  <w:num w:numId="9" w16cid:durableId="463085508">
    <w:abstractNumId w:val="5"/>
  </w:num>
  <w:num w:numId="10" w16cid:durableId="1143959725">
    <w:abstractNumId w:val="1"/>
  </w:num>
  <w:num w:numId="11" w16cid:durableId="79527846">
    <w:abstractNumId w:val="10"/>
  </w:num>
  <w:num w:numId="12" w16cid:durableId="40522744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C8"/>
    <w:rsid w:val="000001B2"/>
    <w:rsid w:val="00000A97"/>
    <w:rsid w:val="000017B8"/>
    <w:rsid w:val="00001DE4"/>
    <w:rsid w:val="000021B6"/>
    <w:rsid w:val="0000416B"/>
    <w:rsid w:val="00004F89"/>
    <w:rsid w:val="0000583D"/>
    <w:rsid w:val="00006217"/>
    <w:rsid w:val="0000685D"/>
    <w:rsid w:val="0000728E"/>
    <w:rsid w:val="00010832"/>
    <w:rsid w:val="00010A4D"/>
    <w:rsid w:val="00010BB6"/>
    <w:rsid w:val="00010F64"/>
    <w:rsid w:val="000122E3"/>
    <w:rsid w:val="0001266D"/>
    <w:rsid w:val="00016217"/>
    <w:rsid w:val="00017B92"/>
    <w:rsid w:val="00017F34"/>
    <w:rsid w:val="00021D58"/>
    <w:rsid w:val="0002228A"/>
    <w:rsid w:val="00022557"/>
    <w:rsid w:val="0002347E"/>
    <w:rsid w:val="00023681"/>
    <w:rsid w:val="00023BB4"/>
    <w:rsid w:val="00026033"/>
    <w:rsid w:val="000275C4"/>
    <w:rsid w:val="00031CB0"/>
    <w:rsid w:val="00032621"/>
    <w:rsid w:val="00032C5F"/>
    <w:rsid w:val="00035A2E"/>
    <w:rsid w:val="00036069"/>
    <w:rsid w:val="00036A2C"/>
    <w:rsid w:val="000418C4"/>
    <w:rsid w:val="00042B53"/>
    <w:rsid w:val="0004397B"/>
    <w:rsid w:val="00044C07"/>
    <w:rsid w:val="000505A0"/>
    <w:rsid w:val="00051AA5"/>
    <w:rsid w:val="00051DE1"/>
    <w:rsid w:val="00053F01"/>
    <w:rsid w:val="000551AB"/>
    <w:rsid w:val="00056B91"/>
    <w:rsid w:val="00057901"/>
    <w:rsid w:val="00061CBC"/>
    <w:rsid w:val="00062486"/>
    <w:rsid w:val="000630B4"/>
    <w:rsid w:val="00063859"/>
    <w:rsid w:val="00064D59"/>
    <w:rsid w:val="00067578"/>
    <w:rsid w:val="00067F1C"/>
    <w:rsid w:val="00070702"/>
    <w:rsid w:val="00070B97"/>
    <w:rsid w:val="00071310"/>
    <w:rsid w:val="00072008"/>
    <w:rsid w:val="0007263E"/>
    <w:rsid w:val="00073034"/>
    <w:rsid w:val="00075BDE"/>
    <w:rsid w:val="000771B4"/>
    <w:rsid w:val="000772DA"/>
    <w:rsid w:val="00081DB2"/>
    <w:rsid w:val="00083688"/>
    <w:rsid w:val="00084D89"/>
    <w:rsid w:val="00085BE3"/>
    <w:rsid w:val="00085F39"/>
    <w:rsid w:val="000861A5"/>
    <w:rsid w:val="000863F3"/>
    <w:rsid w:val="000866D7"/>
    <w:rsid w:val="0008676D"/>
    <w:rsid w:val="000904E6"/>
    <w:rsid w:val="00090F92"/>
    <w:rsid w:val="00091184"/>
    <w:rsid w:val="00091F1E"/>
    <w:rsid w:val="00092B45"/>
    <w:rsid w:val="000946FA"/>
    <w:rsid w:val="00094AE4"/>
    <w:rsid w:val="00094B39"/>
    <w:rsid w:val="00095C37"/>
    <w:rsid w:val="00095FF6"/>
    <w:rsid w:val="000967A8"/>
    <w:rsid w:val="00096935"/>
    <w:rsid w:val="00097454"/>
    <w:rsid w:val="00097C09"/>
    <w:rsid w:val="000A1188"/>
    <w:rsid w:val="000A285D"/>
    <w:rsid w:val="000A31D0"/>
    <w:rsid w:val="000A3A1A"/>
    <w:rsid w:val="000A3F17"/>
    <w:rsid w:val="000A3FE5"/>
    <w:rsid w:val="000A4484"/>
    <w:rsid w:val="000A502F"/>
    <w:rsid w:val="000A52CE"/>
    <w:rsid w:val="000A5714"/>
    <w:rsid w:val="000A63DF"/>
    <w:rsid w:val="000B0223"/>
    <w:rsid w:val="000B0B08"/>
    <w:rsid w:val="000B1AE2"/>
    <w:rsid w:val="000B22B0"/>
    <w:rsid w:val="000B2C6B"/>
    <w:rsid w:val="000B582C"/>
    <w:rsid w:val="000B5994"/>
    <w:rsid w:val="000B77BC"/>
    <w:rsid w:val="000C01F3"/>
    <w:rsid w:val="000C0763"/>
    <w:rsid w:val="000C0AAD"/>
    <w:rsid w:val="000C13D9"/>
    <w:rsid w:val="000C1CC1"/>
    <w:rsid w:val="000C216A"/>
    <w:rsid w:val="000C2282"/>
    <w:rsid w:val="000C27DB"/>
    <w:rsid w:val="000C2A3E"/>
    <w:rsid w:val="000C3518"/>
    <w:rsid w:val="000C3883"/>
    <w:rsid w:val="000C397B"/>
    <w:rsid w:val="000C3ADD"/>
    <w:rsid w:val="000C4C5F"/>
    <w:rsid w:val="000C4DF8"/>
    <w:rsid w:val="000D0AF9"/>
    <w:rsid w:val="000D4476"/>
    <w:rsid w:val="000D4C73"/>
    <w:rsid w:val="000D5384"/>
    <w:rsid w:val="000D69C4"/>
    <w:rsid w:val="000D7BCF"/>
    <w:rsid w:val="000E0A99"/>
    <w:rsid w:val="000E1A51"/>
    <w:rsid w:val="000E3F13"/>
    <w:rsid w:val="000E4C6F"/>
    <w:rsid w:val="000E6D9B"/>
    <w:rsid w:val="000E7748"/>
    <w:rsid w:val="000F21D0"/>
    <w:rsid w:val="000F30F5"/>
    <w:rsid w:val="000F375A"/>
    <w:rsid w:val="000F3AFA"/>
    <w:rsid w:val="000F3E1C"/>
    <w:rsid w:val="000F4594"/>
    <w:rsid w:val="000F4C49"/>
    <w:rsid w:val="000F535E"/>
    <w:rsid w:val="000F66B1"/>
    <w:rsid w:val="00103A94"/>
    <w:rsid w:val="00103B81"/>
    <w:rsid w:val="00103F5D"/>
    <w:rsid w:val="00104316"/>
    <w:rsid w:val="0010479D"/>
    <w:rsid w:val="0010521F"/>
    <w:rsid w:val="0010556F"/>
    <w:rsid w:val="001058D9"/>
    <w:rsid w:val="0010593A"/>
    <w:rsid w:val="00106D26"/>
    <w:rsid w:val="0010789D"/>
    <w:rsid w:val="00110B1B"/>
    <w:rsid w:val="00112F33"/>
    <w:rsid w:val="001139D3"/>
    <w:rsid w:val="0011444E"/>
    <w:rsid w:val="00114DCB"/>
    <w:rsid w:val="00115024"/>
    <w:rsid w:val="00115332"/>
    <w:rsid w:val="001168AA"/>
    <w:rsid w:val="001208CE"/>
    <w:rsid w:val="001208F2"/>
    <w:rsid w:val="00121495"/>
    <w:rsid w:val="00121DB0"/>
    <w:rsid w:val="00127243"/>
    <w:rsid w:val="00127D6B"/>
    <w:rsid w:val="001310E0"/>
    <w:rsid w:val="001318AD"/>
    <w:rsid w:val="001322F6"/>
    <w:rsid w:val="00132594"/>
    <w:rsid w:val="001325AC"/>
    <w:rsid w:val="0013369F"/>
    <w:rsid w:val="001345DD"/>
    <w:rsid w:val="001345FD"/>
    <w:rsid w:val="0013473B"/>
    <w:rsid w:val="0013474D"/>
    <w:rsid w:val="00135801"/>
    <w:rsid w:val="00136C0E"/>
    <w:rsid w:val="00140A67"/>
    <w:rsid w:val="00140A9C"/>
    <w:rsid w:val="001422DB"/>
    <w:rsid w:val="0014357D"/>
    <w:rsid w:val="0014413A"/>
    <w:rsid w:val="00145083"/>
    <w:rsid w:val="00145CD1"/>
    <w:rsid w:val="00146002"/>
    <w:rsid w:val="001466BB"/>
    <w:rsid w:val="00146C42"/>
    <w:rsid w:val="00146CEB"/>
    <w:rsid w:val="00146D20"/>
    <w:rsid w:val="0015010E"/>
    <w:rsid w:val="001503BC"/>
    <w:rsid w:val="001509F3"/>
    <w:rsid w:val="001519D6"/>
    <w:rsid w:val="00152B60"/>
    <w:rsid w:val="00153687"/>
    <w:rsid w:val="0015395F"/>
    <w:rsid w:val="00154279"/>
    <w:rsid w:val="00154A84"/>
    <w:rsid w:val="00157289"/>
    <w:rsid w:val="00157C52"/>
    <w:rsid w:val="00157DE3"/>
    <w:rsid w:val="00160AE3"/>
    <w:rsid w:val="00162172"/>
    <w:rsid w:val="00162FC3"/>
    <w:rsid w:val="00163D15"/>
    <w:rsid w:val="00163D31"/>
    <w:rsid w:val="00163D73"/>
    <w:rsid w:val="00164182"/>
    <w:rsid w:val="001648FC"/>
    <w:rsid w:val="001656CF"/>
    <w:rsid w:val="0016636C"/>
    <w:rsid w:val="00166524"/>
    <w:rsid w:val="00166634"/>
    <w:rsid w:val="00167997"/>
    <w:rsid w:val="00170084"/>
    <w:rsid w:val="00170264"/>
    <w:rsid w:val="00170309"/>
    <w:rsid w:val="00170DAA"/>
    <w:rsid w:val="00172648"/>
    <w:rsid w:val="0017368B"/>
    <w:rsid w:val="001745BC"/>
    <w:rsid w:val="0017484D"/>
    <w:rsid w:val="00175721"/>
    <w:rsid w:val="00175D00"/>
    <w:rsid w:val="001823BB"/>
    <w:rsid w:val="00182B51"/>
    <w:rsid w:val="00183222"/>
    <w:rsid w:val="00183F26"/>
    <w:rsid w:val="001848B8"/>
    <w:rsid w:val="00184F02"/>
    <w:rsid w:val="0018798F"/>
    <w:rsid w:val="00187D41"/>
    <w:rsid w:val="001905FA"/>
    <w:rsid w:val="00190C4C"/>
    <w:rsid w:val="00191203"/>
    <w:rsid w:val="00191E9F"/>
    <w:rsid w:val="00194253"/>
    <w:rsid w:val="00194979"/>
    <w:rsid w:val="00194A61"/>
    <w:rsid w:val="001961FF"/>
    <w:rsid w:val="001969A6"/>
    <w:rsid w:val="00197A8D"/>
    <w:rsid w:val="001A0542"/>
    <w:rsid w:val="001A2337"/>
    <w:rsid w:val="001A2D6A"/>
    <w:rsid w:val="001A3D27"/>
    <w:rsid w:val="001A3ECC"/>
    <w:rsid w:val="001A5645"/>
    <w:rsid w:val="001A5F85"/>
    <w:rsid w:val="001A6BC3"/>
    <w:rsid w:val="001A76BC"/>
    <w:rsid w:val="001B06F2"/>
    <w:rsid w:val="001B0D73"/>
    <w:rsid w:val="001B1066"/>
    <w:rsid w:val="001B2AAE"/>
    <w:rsid w:val="001B2EA0"/>
    <w:rsid w:val="001B42DB"/>
    <w:rsid w:val="001B4DC7"/>
    <w:rsid w:val="001B508F"/>
    <w:rsid w:val="001B53D2"/>
    <w:rsid w:val="001B5DA7"/>
    <w:rsid w:val="001B5E44"/>
    <w:rsid w:val="001B610F"/>
    <w:rsid w:val="001B6939"/>
    <w:rsid w:val="001B727F"/>
    <w:rsid w:val="001B74BD"/>
    <w:rsid w:val="001B7CD7"/>
    <w:rsid w:val="001C040E"/>
    <w:rsid w:val="001C0D01"/>
    <w:rsid w:val="001C3650"/>
    <w:rsid w:val="001C3964"/>
    <w:rsid w:val="001C3A25"/>
    <w:rsid w:val="001C5E61"/>
    <w:rsid w:val="001C6B5D"/>
    <w:rsid w:val="001C6F55"/>
    <w:rsid w:val="001C75C1"/>
    <w:rsid w:val="001D007E"/>
    <w:rsid w:val="001D0A57"/>
    <w:rsid w:val="001D0FE1"/>
    <w:rsid w:val="001D32D7"/>
    <w:rsid w:val="001D4242"/>
    <w:rsid w:val="001D64AF"/>
    <w:rsid w:val="001E0C45"/>
    <w:rsid w:val="001E1D65"/>
    <w:rsid w:val="001E20C8"/>
    <w:rsid w:val="001E2C00"/>
    <w:rsid w:val="001E3427"/>
    <w:rsid w:val="001E3CFF"/>
    <w:rsid w:val="001E5983"/>
    <w:rsid w:val="001E6072"/>
    <w:rsid w:val="001E7F57"/>
    <w:rsid w:val="001F0E0F"/>
    <w:rsid w:val="001F1D2A"/>
    <w:rsid w:val="001F20DB"/>
    <w:rsid w:val="001F25DA"/>
    <w:rsid w:val="001F2E51"/>
    <w:rsid w:val="001F5159"/>
    <w:rsid w:val="001F549E"/>
    <w:rsid w:val="001F6343"/>
    <w:rsid w:val="001F6E03"/>
    <w:rsid w:val="001F6E59"/>
    <w:rsid w:val="001F71D1"/>
    <w:rsid w:val="001F7278"/>
    <w:rsid w:val="00201CB0"/>
    <w:rsid w:val="0020225C"/>
    <w:rsid w:val="0020264F"/>
    <w:rsid w:val="0020524F"/>
    <w:rsid w:val="002056D0"/>
    <w:rsid w:val="00205B99"/>
    <w:rsid w:val="00205DA6"/>
    <w:rsid w:val="00206342"/>
    <w:rsid w:val="00206405"/>
    <w:rsid w:val="002064B4"/>
    <w:rsid w:val="002065DF"/>
    <w:rsid w:val="00207616"/>
    <w:rsid w:val="00207971"/>
    <w:rsid w:val="00207C21"/>
    <w:rsid w:val="00207D69"/>
    <w:rsid w:val="00207EA9"/>
    <w:rsid w:val="00207F5E"/>
    <w:rsid w:val="002135A5"/>
    <w:rsid w:val="0021436A"/>
    <w:rsid w:val="00216C13"/>
    <w:rsid w:val="00221BBF"/>
    <w:rsid w:val="002239DF"/>
    <w:rsid w:val="0022618A"/>
    <w:rsid w:val="00226603"/>
    <w:rsid w:val="002267D6"/>
    <w:rsid w:val="00227B85"/>
    <w:rsid w:val="00227DBA"/>
    <w:rsid w:val="00227E20"/>
    <w:rsid w:val="002305BD"/>
    <w:rsid w:val="00230D4E"/>
    <w:rsid w:val="002317E6"/>
    <w:rsid w:val="00232D92"/>
    <w:rsid w:val="00233998"/>
    <w:rsid w:val="00234308"/>
    <w:rsid w:val="00236614"/>
    <w:rsid w:val="00236B62"/>
    <w:rsid w:val="00237866"/>
    <w:rsid w:val="00237A68"/>
    <w:rsid w:val="00240A7C"/>
    <w:rsid w:val="00240AB2"/>
    <w:rsid w:val="0024172C"/>
    <w:rsid w:val="00241988"/>
    <w:rsid w:val="00241E82"/>
    <w:rsid w:val="00241FFA"/>
    <w:rsid w:val="00243100"/>
    <w:rsid w:val="00243D7E"/>
    <w:rsid w:val="00245E0C"/>
    <w:rsid w:val="00247546"/>
    <w:rsid w:val="00250CC6"/>
    <w:rsid w:val="00252B4A"/>
    <w:rsid w:val="002532AA"/>
    <w:rsid w:val="002534B0"/>
    <w:rsid w:val="002543CD"/>
    <w:rsid w:val="002566F4"/>
    <w:rsid w:val="00256F15"/>
    <w:rsid w:val="00257447"/>
    <w:rsid w:val="00257880"/>
    <w:rsid w:val="00257EDB"/>
    <w:rsid w:val="00260472"/>
    <w:rsid w:val="002610A4"/>
    <w:rsid w:val="00261B5C"/>
    <w:rsid w:val="00261BA6"/>
    <w:rsid w:val="00261EA2"/>
    <w:rsid w:val="00262019"/>
    <w:rsid w:val="00263029"/>
    <w:rsid w:val="00263092"/>
    <w:rsid w:val="0026646A"/>
    <w:rsid w:val="00267357"/>
    <w:rsid w:val="0026752B"/>
    <w:rsid w:val="002677CA"/>
    <w:rsid w:val="00267E84"/>
    <w:rsid w:val="002700E8"/>
    <w:rsid w:val="0027098D"/>
    <w:rsid w:val="002716DC"/>
    <w:rsid w:val="0027170D"/>
    <w:rsid w:val="0027223D"/>
    <w:rsid w:val="002725E1"/>
    <w:rsid w:val="00273F63"/>
    <w:rsid w:val="00274E47"/>
    <w:rsid w:val="002751EC"/>
    <w:rsid w:val="00275CAA"/>
    <w:rsid w:val="002760E5"/>
    <w:rsid w:val="00276D32"/>
    <w:rsid w:val="002770F3"/>
    <w:rsid w:val="0028159B"/>
    <w:rsid w:val="00281B17"/>
    <w:rsid w:val="00281FFB"/>
    <w:rsid w:val="00283DAF"/>
    <w:rsid w:val="00284C5A"/>
    <w:rsid w:val="002872C5"/>
    <w:rsid w:val="002905FC"/>
    <w:rsid w:val="00291895"/>
    <w:rsid w:val="0029218E"/>
    <w:rsid w:val="002928F9"/>
    <w:rsid w:val="00293440"/>
    <w:rsid w:val="00294EC1"/>
    <w:rsid w:val="00295519"/>
    <w:rsid w:val="0029554F"/>
    <w:rsid w:val="0029559F"/>
    <w:rsid w:val="00295B14"/>
    <w:rsid w:val="002975B1"/>
    <w:rsid w:val="00297B47"/>
    <w:rsid w:val="00297CC4"/>
    <w:rsid w:val="002A071C"/>
    <w:rsid w:val="002A1786"/>
    <w:rsid w:val="002A1C27"/>
    <w:rsid w:val="002A2E19"/>
    <w:rsid w:val="002A5948"/>
    <w:rsid w:val="002A5F0A"/>
    <w:rsid w:val="002A6959"/>
    <w:rsid w:val="002A6A60"/>
    <w:rsid w:val="002A6BC1"/>
    <w:rsid w:val="002A7CE0"/>
    <w:rsid w:val="002B2322"/>
    <w:rsid w:val="002B2416"/>
    <w:rsid w:val="002B27F8"/>
    <w:rsid w:val="002B4381"/>
    <w:rsid w:val="002B46E1"/>
    <w:rsid w:val="002B6460"/>
    <w:rsid w:val="002B722F"/>
    <w:rsid w:val="002B735E"/>
    <w:rsid w:val="002C0807"/>
    <w:rsid w:val="002C0E97"/>
    <w:rsid w:val="002C1B55"/>
    <w:rsid w:val="002C26B6"/>
    <w:rsid w:val="002C37DA"/>
    <w:rsid w:val="002C5847"/>
    <w:rsid w:val="002C66BD"/>
    <w:rsid w:val="002C6BC2"/>
    <w:rsid w:val="002D09F1"/>
    <w:rsid w:val="002D141A"/>
    <w:rsid w:val="002D167E"/>
    <w:rsid w:val="002D2200"/>
    <w:rsid w:val="002D334C"/>
    <w:rsid w:val="002D3B0B"/>
    <w:rsid w:val="002D415E"/>
    <w:rsid w:val="002D426A"/>
    <w:rsid w:val="002D46BA"/>
    <w:rsid w:val="002D4B1E"/>
    <w:rsid w:val="002D4DD4"/>
    <w:rsid w:val="002D4DEF"/>
    <w:rsid w:val="002D5B5E"/>
    <w:rsid w:val="002D5DA2"/>
    <w:rsid w:val="002D6509"/>
    <w:rsid w:val="002D6E6E"/>
    <w:rsid w:val="002E1C2D"/>
    <w:rsid w:val="002E37E9"/>
    <w:rsid w:val="002E3D17"/>
    <w:rsid w:val="002E4A7A"/>
    <w:rsid w:val="002E51D6"/>
    <w:rsid w:val="002E7260"/>
    <w:rsid w:val="002E7C0B"/>
    <w:rsid w:val="002F0A4D"/>
    <w:rsid w:val="002F14F0"/>
    <w:rsid w:val="002F1D37"/>
    <w:rsid w:val="002F20D8"/>
    <w:rsid w:val="002F4B4A"/>
    <w:rsid w:val="002F6730"/>
    <w:rsid w:val="002F6825"/>
    <w:rsid w:val="002F743D"/>
    <w:rsid w:val="003011C7"/>
    <w:rsid w:val="003012BE"/>
    <w:rsid w:val="00301ACB"/>
    <w:rsid w:val="00301DDE"/>
    <w:rsid w:val="00302541"/>
    <w:rsid w:val="00302950"/>
    <w:rsid w:val="0030309A"/>
    <w:rsid w:val="003035E8"/>
    <w:rsid w:val="0030376F"/>
    <w:rsid w:val="003039D7"/>
    <w:rsid w:val="00303D2A"/>
    <w:rsid w:val="00305A8D"/>
    <w:rsid w:val="00307822"/>
    <w:rsid w:val="00311D2B"/>
    <w:rsid w:val="003121CE"/>
    <w:rsid w:val="00312A75"/>
    <w:rsid w:val="003137ED"/>
    <w:rsid w:val="00313977"/>
    <w:rsid w:val="0031527A"/>
    <w:rsid w:val="0031599F"/>
    <w:rsid w:val="00315C88"/>
    <w:rsid w:val="00316679"/>
    <w:rsid w:val="00317ACA"/>
    <w:rsid w:val="00320758"/>
    <w:rsid w:val="00321D92"/>
    <w:rsid w:val="00322BF4"/>
    <w:rsid w:val="00323897"/>
    <w:rsid w:val="00323E09"/>
    <w:rsid w:val="00324480"/>
    <w:rsid w:val="00325306"/>
    <w:rsid w:val="003253CC"/>
    <w:rsid w:val="003256FA"/>
    <w:rsid w:val="003259BA"/>
    <w:rsid w:val="003275DC"/>
    <w:rsid w:val="00327DB4"/>
    <w:rsid w:val="00330510"/>
    <w:rsid w:val="00330EB7"/>
    <w:rsid w:val="003326F0"/>
    <w:rsid w:val="0033666D"/>
    <w:rsid w:val="003372F1"/>
    <w:rsid w:val="00337469"/>
    <w:rsid w:val="00337E76"/>
    <w:rsid w:val="00340541"/>
    <w:rsid w:val="00341E9C"/>
    <w:rsid w:val="00342269"/>
    <w:rsid w:val="00342842"/>
    <w:rsid w:val="00343E5A"/>
    <w:rsid w:val="00346214"/>
    <w:rsid w:val="00346230"/>
    <w:rsid w:val="00347E7F"/>
    <w:rsid w:val="0035117B"/>
    <w:rsid w:val="003519D0"/>
    <w:rsid w:val="00351FC4"/>
    <w:rsid w:val="003528A9"/>
    <w:rsid w:val="00352BE3"/>
    <w:rsid w:val="00353278"/>
    <w:rsid w:val="003533EA"/>
    <w:rsid w:val="003547B2"/>
    <w:rsid w:val="00354B92"/>
    <w:rsid w:val="00354EDA"/>
    <w:rsid w:val="003564E6"/>
    <w:rsid w:val="00356D9F"/>
    <w:rsid w:val="0035743B"/>
    <w:rsid w:val="00357530"/>
    <w:rsid w:val="00360465"/>
    <w:rsid w:val="003609FB"/>
    <w:rsid w:val="0036138B"/>
    <w:rsid w:val="003618CB"/>
    <w:rsid w:val="00362DE2"/>
    <w:rsid w:val="003633D5"/>
    <w:rsid w:val="00365C35"/>
    <w:rsid w:val="00365D9C"/>
    <w:rsid w:val="003669D7"/>
    <w:rsid w:val="00366B53"/>
    <w:rsid w:val="00366DBC"/>
    <w:rsid w:val="003672A5"/>
    <w:rsid w:val="00370E21"/>
    <w:rsid w:val="00375175"/>
    <w:rsid w:val="0037788D"/>
    <w:rsid w:val="003803E8"/>
    <w:rsid w:val="003804F1"/>
    <w:rsid w:val="003808A7"/>
    <w:rsid w:val="00380FF9"/>
    <w:rsid w:val="00383604"/>
    <w:rsid w:val="00383EB0"/>
    <w:rsid w:val="00383FCD"/>
    <w:rsid w:val="0038500D"/>
    <w:rsid w:val="00386BFD"/>
    <w:rsid w:val="00391688"/>
    <w:rsid w:val="00391D5E"/>
    <w:rsid w:val="00392CC3"/>
    <w:rsid w:val="00393494"/>
    <w:rsid w:val="003934A2"/>
    <w:rsid w:val="00393542"/>
    <w:rsid w:val="00394675"/>
    <w:rsid w:val="0039576C"/>
    <w:rsid w:val="003963D1"/>
    <w:rsid w:val="0039647C"/>
    <w:rsid w:val="00397986"/>
    <w:rsid w:val="003A0D8F"/>
    <w:rsid w:val="003A21AB"/>
    <w:rsid w:val="003A2D2B"/>
    <w:rsid w:val="003A364A"/>
    <w:rsid w:val="003A60C7"/>
    <w:rsid w:val="003A6D1F"/>
    <w:rsid w:val="003A6ECD"/>
    <w:rsid w:val="003B0500"/>
    <w:rsid w:val="003B052F"/>
    <w:rsid w:val="003B07D7"/>
    <w:rsid w:val="003B171F"/>
    <w:rsid w:val="003B284F"/>
    <w:rsid w:val="003B4432"/>
    <w:rsid w:val="003B4EB2"/>
    <w:rsid w:val="003B5DF5"/>
    <w:rsid w:val="003B6488"/>
    <w:rsid w:val="003B760A"/>
    <w:rsid w:val="003B789E"/>
    <w:rsid w:val="003B7E0F"/>
    <w:rsid w:val="003C0845"/>
    <w:rsid w:val="003C27B1"/>
    <w:rsid w:val="003C36D3"/>
    <w:rsid w:val="003C5E84"/>
    <w:rsid w:val="003C78B2"/>
    <w:rsid w:val="003C793E"/>
    <w:rsid w:val="003C7C0B"/>
    <w:rsid w:val="003D069F"/>
    <w:rsid w:val="003D1E8D"/>
    <w:rsid w:val="003D30EF"/>
    <w:rsid w:val="003D3467"/>
    <w:rsid w:val="003D3520"/>
    <w:rsid w:val="003D44AA"/>
    <w:rsid w:val="003D57D3"/>
    <w:rsid w:val="003D57E6"/>
    <w:rsid w:val="003D5991"/>
    <w:rsid w:val="003D6513"/>
    <w:rsid w:val="003D727C"/>
    <w:rsid w:val="003D7834"/>
    <w:rsid w:val="003E19E4"/>
    <w:rsid w:val="003E2FF8"/>
    <w:rsid w:val="003E6330"/>
    <w:rsid w:val="003E6CAB"/>
    <w:rsid w:val="003E76AC"/>
    <w:rsid w:val="003E7F93"/>
    <w:rsid w:val="003F057D"/>
    <w:rsid w:val="003F15F7"/>
    <w:rsid w:val="003F2DAA"/>
    <w:rsid w:val="003F3592"/>
    <w:rsid w:val="003F4324"/>
    <w:rsid w:val="003F47EB"/>
    <w:rsid w:val="003F6462"/>
    <w:rsid w:val="003F7C03"/>
    <w:rsid w:val="004009F9"/>
    <w:rsid w:val="00400A93"/>
    <w:rsid w:val="00401746"/>
    <w:rsid w:val="00401D4E"/>
    <w:rsid w:val="00401F47"/>
    <w:rsid w:val="00403E2A"/>
    <w:rsid w:val="004040C0"/>
    <w:rsid w:val="004042E3"/>
    <w:rsid w:val="00405A50"/>
    <w:rsid w:val="0040620B"/>
    <w:rsid w:val="00406848"/>
    <w:rsid w:val="00406E13"/>
    <w:rsid w:val="004076DE"/>
    <w:rsid w:val="004108B7"/>
    <w:rsid w:val="00411282"/>
    <w:rsid w:val="00411A2E"/>
    <w:rsid w:val="00411E51"/>
    <w:rsid w:val="004129F4"/>
    <w:rsid w:val="00412F5A"/>
    <w:rsid w:val="004136C8"/>
    <w:rsid w:val="004153EE"/>
    <w:rsid w:val="0041543A"/>
    <w:rsid w:val="0041635C"/>
    <w:rsid w:val="00417B8E"/>
    <w:rsid w:val="004202D4"/>
    <w:rsid w:val="0042184B"/>
    <w:rsid w:val="004219EF"/>
    <w:rsid w:val="00421F07"/>
    <w:rsid w:val="00422E3C"/>
    <w:rsid w:val="0042349E"/>
    <w:rsid w:val="00423813"/>
    <w:rsid w:val="004240A5"/>
    <w:rsid w:val="00426563"/>
    <w:rsid w:val="00427428"/>
    <w:rsid w:val="00427515"/>
    <w:rsid w:val="0043136A"/>
    <w:rsid w:val="004318C7"/>
    <w:rsid w:val="004325F1"/>
    <w:rsid w:val="00434271"/>
    <w:rsid w:val="004352F4"/>
    <w:rsid w:val="00435A44"/>
    <w:rsid w:val="00435F76"/>
    <w:rsid w:val="004370D7"/>
    <w:rsid w:val="004374D8"/>
    <w:rsid w:val="0043775F"/>
    <w:rsid w:val="00440553"/>
    <w:rsid w:val="00440981"/>
    <w:rsid w:val="004409D7"/>
    <w:rsid w:val="00442BF0"/>
    <w:rsid w:val="00444443"/>
    <w:rsid w:val="00444C42"/>
    <w:rsid w:val="0044553F"/>
    <w:rsid w:val="00447496"/>
    <w:rsid w:val="00451D29"/>
    <w:rsid w:val="00452007"/>
    <w:rsid w:val="00452410"/>
    <w:rsid w:val="00452E31"/>
    <w:rsid w:val="00453ABE"/>
    <w:rsid w:val="00453FC8"/>
    <w:rsid w:val="00454A1E"/>
    <w:rsid w:val="00454FDB"/>
    <w:rsid w:val="00455C96"/>
    <w:rsid w:val="00455DCC"/>
    <w:rsid w:val="004574FF"/>
    <w:rsid w:val="004579EF"/>
    <w:rsid w:val="00457A4C"/>
    <w:rsid w:val="00461A7E"/>
    <w:rsid w:val="004620C5"/>
    <w:rsid w:val="00462654"/>
    <w:rsid w:val="00462B5D"/>
    <w:rsid w:val="00462FDD"/>
    <w:rsid w:val="004637CB"/>
    <w:rsid w:val="00463F9E"/>
    <w:rsid w:val="00464658"/>
    <w:rsid w:val="00465D53"/>
    <w:rsid w:val="00465E30"/>
    <w:rsid w:val="00470736"/>
    <w:rsid w:val="00470BBE"/>
    <w:rsid w:val="00470FC3"/>
    <w:rsid w:val="004736C0"/>
    <w:rsid w:val="00473938"/>
    <w:rsid w:val="00473A09"/>
    <w:rsid w:val="00475152"/>
    <w:rsid w:val="00476002"/>
    <w:rsid w:val="00476446"/>
    <w:rsid w:val="00476F31"/>
    <w:rsid w:val="00477B22"/>
    <w:rsid w:val="00480BEC"/>
    <w:rsid w:val="00480E03"/>
    <w:rsid w:val="004821FC"/>
    <w:rsid w:val="0048324A"/>
    <w:rsid w:val="00483EA0"/>
    <w:rsid w:val="00487A60"/>
    <w:rsid w:val="00490E61"/>
    <w:rsid w:val="004919F6"/>
    <w:rsid w:val="00491C3A"/>
    <w:rsid w:val="00491E33"/>
    <w:rsid w:val="00492027"/>
    <w:rsid w:val="004921C0"/>
    <w:rsid w:val="00492C16"/>
    <w:rsid w:val="00492FBC"/>
    <w:rsid w:val="0049334F"/>
    <w:rsid w:val="004939C4"/>
    <w:rsid w:val="00493D1A"/>
    <w:rsid w:val="0049530C"/>
    <w:rsid w:val="00495C71"/>
    <w:rsid w:val="00496140"/>
    <w:rsid w:val="0049637C"/>
    <w:rsid w:val="0049642C"/>
    <w:rsid w:val="0049672A"/>
    <w:rsid w:val="0049772E"/>
    <w:rsid w:val="004A079F"/>
    <w:rsid w:val="004A0DAD"/>
    <w:rsid w:val="004A102E"/>
    <w:rsid w:val="004A122C"/>
    <w:rsid w:val="004A26B4"/>
    <w:rsid w:val="004A316C"/>
    <w:rsid w:val="004A4AC6"/>
    <w:rsid w:val="004A5982"/>
    <w:rsid w:val="004A59F6"/>
    <w:rsid w:val="004A76CB"/>
    <w:rsid w:val="004A7AF2"/>
    <w:rsid w:val="004A7D18"/>
    <w:rsid w:val="004B075B"/>
    <w:rsid w:val="004B5410"/>
    <w:rsid w:val="004B7844"/>
    <w:rsid w:val="004B7D49"/>
    <w:rsid w:val="004C0C15"/>
    <w:rsid w:val="004C0DB2"/>
    <w:rsid w:val="004C0F37"/>
    <w:rsid w:val="004C2C2A"/>
    <w:rsid w:val="004C33B3"/>
    <w:rsid w:val="004C377B"/>
    <w:rsid w:val="004C4545"/>
    <w:rsid w:val="004C7D07"/>
    <w:rsid w:val="004C7D7A"/>
    <w:rsid w:val="004D0607"/>
    <w:rsid w:val="004D37BC"/>
    <w:rsid w:val="004D3E64"/>
    <w:rsid w:val="004D4454"/>
    <w:rsid w:val="004D52E5"/>
    <w:rsid w:val="004D57C6"/>
    <w:rsid w:val="004D59A1"/>
    <w:rsid w:val="004D712C"/>
    <w:rsid w:val="004D78F4"/>
    <w:rsid w:val="004E0EF5"/>
    <w:rsid w:val="004E0F72"/>
    <w:rsid w:val="004E0FCB"/>
    <w:rsid w:val="004E132C"/>
    <w:rsid w:val="004E13CB"/>
    <w:rsid w:val="004E1D75"/>
    <w:rsid w:val="004E2431"/>
    <w:rsid w:val="004E2460"/>
    <w:rsid w:val="004E35E9"/>
    <w:rsid w:val="004E3921"/>
    <w:rsid w:val="004E3BEF"/>
    <w:rsid w:val="004E438F"/>
    <w:rsid w:val="004E4B84"/>
    <w:rsid w:val="004E5DDF"/>
    <w:rsid w:val="004E7810"/>
    <w:rsid w:val="004F0998"/>
    <w:rsid w:val="004F0AA5"/>
    <w:rsid w:val="004F0EAB"/>
    <w:rsid w:val="004F1055"/>
    <w:rsid w:val="004F1B2C"/>
    <w:rsid w:val="004F1F85"/>
    <w:rsid w:val="004F2972"/>
    <w:rsid w:val="004F2A03"/>
    <w:rsid w:val="004F41A6"/>
    <w:rsid w:val="004F6786"/>
    <w:rsid w:val="004F6C93"/>
    <w:rsid w:val="004F6E77"/>
    <w:rsid w:val="004F6EB8"/>
    <w:rsid w:val="004F77DE"/>
    <w:rsid w:val="004F7CFA"/>
    <w:rsid w:val="005011C7"/>
    <w:rsid w:val="00501F85"/>
    <w:rsid w:val="00502909"/>
    <w:rsid w:val="00503E92"/>
    <w:rsid w:val="005041AE"/>
    <w:rsid w:val="00504873"/>
    <w:rsid w:val="005058C7"/>
    <w:rsid w:val="00506D44"/>
    <w:rsid w:val="00506D75"/>
    <w:rsid w:val="005078F0"/>
    <w:rsid w:val="00511118"/>
    <w:rsid w:val="0051125E"/>
    <w:rsid w:val="00512863"/>
    <w:rsid w:val="00513835"/>
    <w:rsid w:val="00515DFD"/>
    <w:rsid w:val="005163DC"/>
    <w:rsid w:val="0052142B"/>
    <w:rsid w:val="005214E2"/>
    <w:rsid w:val="005220AF"/>
    <w:rsid w:val="00522873"/>
    <w:rsid w:val="0052379E"/>
    <w:rsid w:val="0052412B"/>
    <w:rsid w:val="00524C0C"/>
    <w:rsid w:val="005252D4"/>
    <w:rsid w:val="005252E9"/>
    <w:rsid w:val="00526CD2"/>
    <w:rsid w:val="00527B5C"/>
    <w:rsid w:val="005313D7"/>
    <w:rsid w:val="00531865"/>
    <w:rsid w:val="005318A3"/>
    <w:rsid w:val="00531D33"/>
    <w:rsid w:val="00533612"/>
    <w:rsid w:val="00535223"/>
    <w:rsid w:val="00537345"/>
    <w:rsid w:val="00537E28"/>
    <w:rsid w:val="00540D1A"/>
    <w:rsid w:val="0054381E"/>
    <w:rsid w:val="00543DC4"/>
    <w:rsid w:val="00546098"/>
    <w:rsid w:val="00546D92"/>
    <w:rsid w:val="0054738F"/>
    <w:rsid w:val="00550BAC"/>
    <w:rsid w:val="00550E86"/>
    <w:rsid w:val="00552363"/>
    <w:rsid w:val="00552406"/>
    <w:rsid w:val="00553190"/>
    <w:rsid w:val="00553F60"/>
    <w:rsid w:val="00554769"/>
    <w:rsid w:val="0055479E"/>
    <w:rsid w:val="00555356"/>
    <w:rsid w:val="00555BCF"/>
    <w:rsid w:val="00556F2D"/>
    <w:rsid w:val="00561A5F"/>
    <w:rsid w:val="00562963"/>
    <w:rsid w:val="00563F0C"/>
    <w:rsid w:val="0056506B"/>
    <w:rsid w:val="005652C6"/>
    <w:rsid w:val="00565BAF"/>
    <w:rsid w:val="00566C97"/>
    <w:rsid w:val="00570815"/>
    <w:rsid w:val="00570B22"/>
    <w:rsid w:val="00570FBA"/>
    <w:rsid w:val="00571E71"/>
    <w:rsid w:val="0057253F"/>
    <w:rsid w:val="005726D4"/>
    <w:rsid w:val="00572C6C"/>
    <w:rsid w:val="00573940"/>
    <w:rsid w:val="00574022"/>
    <w:rsid w:val="005743D3"/>
    <w:rsid w:val="005758E7"/>
    <w:rsid w:val="00575BA9"/>
    <w:rsid w:val="00575BD5"/>
    <w:rsid w:val="0057654C"/>
    <w:rsid w:val="005770D1"/>
    <w:rsid w:val="0057726F"/>
    <w:rsid w:val="00577AFD"/>
    <w:rsid w:val="0058021F"/>
    <w:rsid w:val="0058061C"/>
    <w:rsid w:val="0058180E"/>
    <w:rsid w:val="00583206"/>
    <w:rsid w:val="005832BB"/>
    <w:rsid w:val="00583BE3"/>
    <w:rsid w:val="00584DA2"/>
    <w:rsid w:val="00584E93"/>
    <w:rsid w:val="005853EA"/>
    <w:rsid w:val="0058723D"/>
    <w:rsid w:val="00590653"/>
    <w:rsid w:val="00590F22"/>
    <w:rsid w:val="00591D51"/>
    <w:rsid w:val="00592BB8"/>
    <w:rsid w:val="0059328E"/>
    <w:rsid w:val="005941B1"/>
    <w:rsid w:val="005942BF"/>
    <w:rsid w:val="00594AC0"/>
    <w:rsid w:val="00594DCD"/>
    <w:rsid w:val="005959DE"/>
    <w:rsid w:val="005959E9"/>
    <w:rsid w:val="00596C0F"/>
    <w:rsid w:val="00597112"/>
    <w:rsid w:val="005A011A"/>
    <w:rsid w:val="005A0717"/>
    <w:rsid w:val="005A0A7F"/>
    <w:rsid w:val="005A160D"/>
    <w:rsid w:val="005A2AB5"/>
    <w:rsid w:val="005A31A0"/>
    <w:rsid w:val="005A33E1"/>
    <w:rsid w:val="005A3C4B"/>
    <w:rsid w:val="005A482E"/>
    <w:rsid w:val="005A5C8B"/>
    <w:rsid w:val="005A7F87"/>
    <w:rsid w:val="005B0C34"/>
    <w:rsid w:val="005B2603"/>
    <w:rsid w:val="005B3389"/>
    <w:rsid w:val="005B3C58"/>
    <w:rsid w:val="005B43F7"/>
    <w:rsid w:val="005B5595"/>
    <w:rsid w:val="005B5998"/>
    <w:rsid w:val="005B7487"/>
    <w:rsid w:val="005C1316"/>
    <w:rsid w:val="005C175D"/>
    <w:rsid w:val="005C2314"/>
    <w:rsid w:val="005C3B0A"/>
    <w:rsid w:val="005C3D95"/>
    <w:rsid w:val="005C46B3"/>
    <w:rsid w:val="005C6013"/>
    <w:rsid w:val="005C756D"/>
    <w:rsid w:val="005D0327"/>
    <w:rsid w:val="005D0F1F"/>
    <w:rsid w:val="005D370D"/>
    <w:rsid w:val="005D3E52"/>
    <w:rsid w:val="005D3F06"/>
    <w:rsid w:val="005D4062"/>
    <w:rsid w:val="005E024A"/>
    <w:rsid w:val="005E1378"/>
    <w:rsid w:val="005E185F"/>
    <w:rsid w:val="005E19D5"/>
    <w:rsid w:val="005E20C8"/>
    <w:rsid w:val="005E252B"/>
    <w:rsid w:val="005E2CE4"/>
    <w:rsid w:val="005E3CFE"/>
    <w:rsid w:val="005E50DC"/>
    <w:rsid w:val="005E65B5"/>
    <w:rsid w:val="005E6D20"/>
    <w:rsid w:val="005F17C9"/>
    <w:rsid w:val="005F19FE"/>
    <w:rsid w:val="005F1DB4"/>
    <w:rsid w:val="005F2CDB"/>
    <w:rsid w:val="005F32B0"/>
    <w:rsid w:val="005F3E6B"/>
    <w:rsid w:val="005F3F91"/>
    <w:rsid w:val="005F472A"/>
    <w:rsid w:val="005F4E1A"/>
    <w:rsid w:val="005F5361"/>
    <w:rsid w:val="005F548E"/>
    <w:rsid w:val="005F5AD2"/>
    <w:rsid w:val="005F5B7E"/>
    <w:rsid w:val="005F63BA"/>
    <w:rsid w:val="005F6A4C"/>
    <w:rsid w:val="005F764C"/>
    <w:rsid w:val="006001CD"/>
    <w:rsid w:val="00601195"/>
    <w:rsid w:val="00601287"/>
    <w:rsid w:val="00601F04"/>
    <w:rsid w:val="00602019"/>
    <w:rsid w:val="006025DB"/>
    <w:rsid w:val="00602EF0"/>
    <w:rsid w:val="006038AB"/>
    <w:rsid w:val="00604185"/>
    <w:rsid w:val="006047C4"/>
    <w:rsid w:val="00605309"/>
    <w:rsid w:val="00605E79"/>
    <w:rsid w:val="00605F91"/>
    <w:rsid w:val="0060622C"/>
    <w:rsid w:val="0060738C"/>
    <w:rsid w:val="00607BA4"/>
    <w:rsid w:val="006103D2"/>
    <w:rsid w:val="006121D7"/>
    <w:rsid w:val="00612312"/>
    <w:rsid w:val="00613727"/>
    <w:rsid w:val="006137CF"/>
    <w:rsid w:val="00614E0A"/>
    <w:rsid w:val="006162A1"/>
    <w:rsid w:val="006172D1"/>
    <w:rsid w:val="00617BFB"/>
    <w:rsid w:val="00620109"/>
    <w:rsid w:val="00623341"/>
    <w:rsid w:val="00623AEA"/>
    <w:rsid w:val="00623B2D"/>
    <w:rsid w:val="0062463B"/>
    <w:rsid w:val="006258AA"/>
    <w:rsid w:val="00625953"/>
    <w:rsid w:val="00625D39"/>
    <w:rsid w:val="0062606E"/>
    <w:rsid w:val="00627CB8"/>
    <w:rsid w:val="0063168F"/>
    <w:rsid w:val="00631BEF"/>
    <w:rsid w:val="00632105"/>
    <w:rsid w:val="00633F08"/>
    <w:rsid w:val="006343DE"/>
    <w:rsid w:val="006351F7"/>
    <w:rsid w:val="00635DC8"/>
    <w:rsid w:val="00640366"/>
    <w:rsid w:val="00640FB6"/>
    <w:rsid w:val="00641968"/>
    <w:rsid w:val="00641D84"/>
    <w:rsid w:val="0064416C"/>
    <w:rsid w:val="006441F0"/>
    <w:rsid w:val="006458CC"/>
    <w:rsid w:val="0064746E"/>
    <w:rsid w:val="006475CC"/>
    <w:rsid w:val="00647F33"/>
    <w:rsid w:val="00652D7A"/>
    <w:rsid w:val="00654936"/>
    <w:rsid w:val="00655901"/>
    <w:rsid w:val="006578FF"/>
    <w:rsid w:val="00660B6E"/>
    <w:rsid w:val="006617B6"/>
    <w:rsid w:val="00662BBF"/>
    <w:rsid w:val="006642CE"/>
    <w:rsid w:val="00666701"/>
    <w:rsid w:val="00672225"/>
    <w:rsid w:val="00672862"/>
    <w:rsid w:val="00673F04"/>
    <w:rsid w:val="006753E2"/>
    <w:rsid w:val="006763F7"/>
    <w:rsid w:val="00676C20"/>
    <w:rsid w:val="00680066"/>
    <w:rsid w:val="00680B55"/>
    <w:rsid w:val="006835EA"/>
    <w:rsid w:val="00683B15"/>
    <w:rsid w:val="006852EC"/>
    <w:rsid w:val="006859BD"/>
    <w:rsid w:val="00685FBD"/>
    <w:rsid w:val="00686A82"/>
    <w:rsid w:val="006903CC"/>
    <w:rsid w:val="00691B65"/>
    <w:rsid w:val="00691D75"/>
    <w:rsid w:val="00691E30"/>
    <w:rsid w:val="00692B3D"/>
    <w:rsid w:val="00693ADF"/>
    <w:rsid w:val="00695B13"/>
    <w:rsid w:val="00696537"/>
    <w:rsid w:val="006A064A"/>
    <w:rsid w:val="006A0877"/>
    <w:rsid w:val="006A1E5F"/>
    <w:rsid w:val="006A37AB"/>
    <w:rsid w:val="006A3D94"/>
    <w:rsid w:val="006A3FDC"/>
    <w:rsid w:val="006A6CB9"/>
    <w:rsid w:val="006B18D0"/>
    <w:rsid w:val="006B4B82"/>
    <w:rsid w:val="006B4CBD"/>
    <w:rsid w:val="006B6BD5"/>
    <w:rsid w:val="006B6C45"/>
    <w:rsid w:val="006B70DA"/>
    <w:rsid w:val="006B777E"/>
    <w:rsid w:val="006C0177"/>
    <w:rsid w:val="006C09D1"/>
    <w:rsid w:val="006C1278"/>
    <w:rsid w:val="006C12CF"/>
    <w:rsid w:val="006C13A1"/>
    <w:rsid w:val="006C210E"/>
    <w:rsid w:val="006C2922"/>
    <w:rsid w:val="006C2E14"/>
    <w:rsid w:val="006C3243"/>
    <w:rsid w:val="006C66CE"/>
    <w:rsid w:val="006C6974"/>
    <w:rsid w:val="006C6980"/>
    <w:rsid w:val="006C746E"/>
    <w:rsid w:val="006D06B5"/>
    <w:rsid w:val="006D0CEA"/>
    <w:rsid w:val="006D0E66"/>
    <w:rsid w:val="006D202E"/>
    <w:rsid w:val="006D2652"/>
    <w:rsid w:val="006D27A1"/>
    <w:rsid w:val="006D32A1"/>
    <w:rsid w:val="006D3CA7"/>
    <w:rsid w:val="006D45C3"/>
    <w:rsid w:val="006D49D0"/>
    <w:rsid w:val="006D4A69"/>
    <w:rsid w:val="006D4EED"/>
    <w:rsid w:val="006D5269"/>
    <w:rsid w:val="006D5EA9"/>
    <w:rsid w:val="006D6A7A"/>
    <w:rsid w:val="006D6D63"/>
    <w:rsid w:val="006D6E2A"/>
    <w:rsid w:val="006E0AF0"/>
    <w:rsid w:val="006E222A"/>
    <w:rsid w:val="006E2678"/>
    <w:rsid w:val="006E2DF4"/>
    <w:rsid w:val="006E430F"/>
    <w:rsid w:val="006E4A6E"/>
    <w:rsid w:val="006E6297"/>
    <w:rsid w:val="006E751C"/>
    <w:rsid w:val="006F056C"/>
    <w:rsid w:val="006F0B53"/>
    <w:rsid w:val="006F1122"/>
    <w:rsid w:val="006F1469"/>
    <w:rsid w:val="006F14D7"/>
    <w:rsid w:val="006F2978"/>
    <w:rsid w:val="006F3694"/>
    <w:rsid w:val="006F3E8A"/>
    <w:rsid w:val="006F51FD"/>
    <w:rsid w:val="006F69DF"/>
    <w:rsid w:val="006F6D0C"/>
    <w:rsid w:val="00702B11"/>
    <w:rsid w:val="00704C6F"/>
    <w:rsid w:val="00705EB3"/>
    <w:rsid w:val="00710E64"/>
    <w:rsid w:val="0071241B"/>
    <w:rsid w:val="007130A3"/>
    <w:rsid w:val="007139CB"/>
    <w:rsid w:val="007175B3"/>
    <w:rsid w:val="00717681"/>
    <w:rsid w:val="00720213"/>
    <w:rsid w:val="007207BA"/>
    <w:rsid w:val="00722886"/>
    <w:rsid w:val="00724BE6"/>
    <w:rsid w:val="00725DB0"/>
    <w:rsid w:val="00726897"/>
    <w:rsid w:val="00730126"/>
    <w:rsid w:val="007309A1"/>
    <w:rsid w:val="00731481"/>
    <w:rsid w:val="007320AA"/>
    <w:rsid w:val="00733D7D"/>
    <w:rsid w:val="007343C6"/>
    <w:rsid w:val="00736065"/>
    <w:rsid w:val="00736265"/>
    <w:rsid w:val="00736537"/>
    <w:rsid w:val="00736A88"/>
    <w:rsid w:val="007406B7"/>
    <w:rsid w:val="00741746"/>
    <w:rsid w:val="007418E1"/>
    <w:rsid w:val="00741D26"/>
    <w:rsid w:val="007423B3"/>
    <w:rsid w:val="00743C7C"/>
    <w:rsid w:val="007445C6"/>
    <w:rsid w:val="0074665A"/>
    <w:rsid w:val="0075216C"/>
    <w:rsid w:val="00752857"/>
    <w:rsid w:val="00752C38"/>
    <w:rsid w:val="007533D2"/>
    <w:rsid w:val="007534E9"/>
    <w:rsid w:val="00753A84"/>
    <w:rsid w:val="007555FE"/>
    <w:rsid w:val="0076073E"/>
    <w:rsid w:val="00762CDA"/>
    <w:rsid w:val="00762FB0"/>
    <w:rsid w:val="00764232"/>
    <w:rsid w:val="00765702"/>
    <w:rsid w:val="0076692E"/>
    <w:rsid w:val="00766938"/>
    <w:rsid w:val="00766C95"/>
    <w:rsid w:val="00766CD0"/>
    <w:rsid w:val="007710D0"/>
    <w:rsid w:val="00772674"/>
    <w:rsid w:val="00772765"/>
    <w:rsid w:val="00772CAA"/>
    <w:rsid w:val="00772E55"/>
    <w:rsid w:val="007730C6"/>
    <w:rsid w:val="00774C5E"/>
    <w:rsid w:val="00775A16"/>
    <w:rsid w:val="00775A2B"/>
    <w:rsid w:val="00775C04"/>
    <w:rsid w:val="0077638B"/>
    <w:rsid w:val="007769D0"/>
    <w:rsid w:val="00777063"/>
    <w:rsid w:val="00777AF2"/>
    <w:rsid w:val="0078003C"/>
    <w:rsid w:val="007827F4"/>
    <w:rsid w:val="00782977"/>
    <w:rsid w:val="00783950"/>
    <w:rsid w:val="00783FFF"/>
    <w:rsid w:val="00784A34"/>
    <w:rsid w:val="00784A90"/>
    <w:rsid w:val="00785DAC"/>
    <w:rsid w:val="0078651D"/>
    <w:rsid w:val="00787B54"/>
    <w:rsid w:val="0079081E"/>
    <w:rsid w:val="00792535"/>
    <w:rsid w:val="00792848"/>
    <w:rsid w:val="00792A15"/>
    <w:rsid w:val="00793490"/>
    <w:rsid w:val="0079418A"/>
    <w:rsid w:val="0079661E"/>
    <w:rsid w:val="007968C7"/>
    <w:rsid w:val="00797D20"/>
    <w:rsid w:val="00797D57"/>
    <w:rsid w:val="007A01B3"/>
    <w:rsid w:val="007A04A1"/>
    <w:rsid w:val="007A0C9E"/>
    <w:rsid w:val="007A2937"/>
    <w:rsid w:val="007A3113"/>
    <w:rsid w:val="007A3435"/>
    <w:rsid w:val="007A4B22"/>
    <w:rsid w:val="007A56E4"/>
    <w:rsid w:val="007A7402"/>
    <w:rsid w:val="007A7D5D"/>
    <w:rsid w:val="007B0A8B"/>
    <w:rsid w:val="007B0D8D"/>
    <w:rsid w:val="007B1F3B"/>
    <w:rsid w:val="007B22C3"/>
    <w:rsid w:val="007B2A0D"/>
    <w:rsid w:val="007B56D4"/>
    <w:rsid w:val="007B5D25"/>
    <w:rsid w:val="007B5EB8"/>
    <w:rsid w:val="007B6CD5"/>
    <w:rsid w:val="007B7835"/>
    <w:rsid w:val="007C03F2"/>
    <w:rsid w:val="007C0B81"/>
    <w:rsid w:val="007C0BE8"/>
    <w:rsid w:val="007C19AC"/>
    <w:rsid w:val="007C1F28"/>
    <w:rsid w:val="007C20FB"/>
    <w:rsid w:val="007C2733"/>
    <w:rsid w:val="007C2EF0"/>
    <w:rsid w:val="007C3848"/>
    <w:rsid w:val="007C3AD1"/>
    <w:rsid w:val="007C3BAF"/>
    <w:rsid w:val="007C3D31"/>
    <w:rsid w:val="007C4B07"/>
    <w:rsid w:val="007C4F78"/>
    <w:rsid w:val="007C677F"/>
    <w:rsid w:val="007C74F2"/>
    <w:rsid w:val="007C7590"/>
    <w:rsid w:val="007C798D"/>
    <w:rsid w:val="007C79CE"/>
    <w:rsid w:val="007D0C48"/>
    <w:rsid w:val="007D0EAE"/>
    <w:rsid w:val="007D32A6"/>
    <w:rsid w:val="007D44C1"/>
    <w:rsid w:val="007D4E32"/>
    <w:rsid w:val="007D5556"/>
    <w:rsid w:val="007D55BB"/>
    <w:rsid w:val="007D5E79"/>
    <w:rsid w:val="007D5F3A"/>
    <w:rsid w:val="007D6C10"/>
    <w:rsid w:val="007D6DBF"/>
    <w:rsid w:val="007D7388"/>
    <w:rsid w:val="007D786F"/>
    <w:rsid w:val="007E1DF0"/>
    <w:rsid w:val="007E222B"/>
    <w:rsid w:val="007E2566"/>
    <w:rsid w:val="007E2C21"/>
    <w:rsid w:val="007E3B62"/>
    <w:rsid w:val="007E400C"/>
    <w:rsid w:val="007E46B9"/>
    <w:rsid w:val="007E666D"/>
    <w:rsid w:val="007E7055"/>
    <w:rsid w:val="007E79DE"/>
    <w:rsid w:val="007E7A16"/>
    <w:rsid w:val="007F048D"/>
    <w:rsid w:val="007F1672"/>
    <w:rsid w:val="007F2BAB"/>
    <w:rsid w:val="007F3176"/>
    <w:rsid w:val="007F3FEB"/>
    <w:rsid w:val="007F4B9D"/>
    <w:rsid w:val="007F5309"/>
    <w:rsid w:val="007F712F"/>
    <w:rsid w:val="007F7E41"/>
    <w:rsid w:val="008000BF"/>
    <w:rsid w:val="0080109A"/>
    <w:rsid w:val="00801344"/>
    <w:rsid w:val="00801534"/>
    <w:rsid w:val="0080154B"/>
    <w:rsid w:val="0080280D"/>
    <w:rsid w:val="00802866"/>
    <w:rsid w:val="008033B5"/>
    <w:rsid w:val="008033E9"/>
    <w:rsid w:val="008041DE"/>
    <w:rsid w:val="00805379"/>
    <w:rsid w:val="008053C0"/>
    <w:rsid w:val="00805D2F"/>
    <w:rsid w:val="00806893"/>
    <w:rsid w:val="00806B22"/>
    <w:rsid w:val="00807E12"/>
    <w:rsid w:val="00810416"/>
    <w:rsid w:val="00810B77"/>
    <w:rsid w:val="00811368"/>
    <w:rsid w:val="00811407"/>
    <w:rsid w:val="00812199"/>
    <w:rsid w:val="00813148"/>
    <w:rsid w:val="0081331E"/>
    <w:rsid w:val="00813BB0"/>
    <w:rsid w:val="00813DE0"/>
    <w:rsid w:val="008149F7"/>
    <w:rsid w:val="00814A1F"/>
    <w:rsid w:val="008154B3"/>
    <w:rsid w:val="00815AE2"/>
    <w:rsid w:val="00816FCC"/>
    <w:rsid w:val="008177F1"/>
    <w:rsid w:val="00820EBA"/>
    <w:rsid w:val="00821181"/>
    <w:rsid w:val="0082316B"/>
    <w:rsid w:val="0082355B"/>
    <w:rsid w:val="00824826"/>
    <w:rsid w:val="00824996"/>
    <w:rsid w:val="00825095"/>
    <w:rsid w:val="00825514"/>
    <w:rsid w:val="00825539"/>
    <w:rsid w:val="00825577"/>
    <w:rsid w:val="00825C70"/>
    <w:rsid w:val="0082618B"/>
    <w:rsid w:val="0082766D"/>
    <w:rsid w:val="00830584"/>
    <w:rsid w:val="00830C0F"/>
    <w:rsid w:val="00832919"/>
    <w:rsid w:val="008342A3"/>
    <w:rsid w:val="0083459B"/>
    <w:rsid w:val="00836D65"/>
    <w:rsid w:val="00837369"/>
    <w:rsid w:val="00837C46"/>
    <w:rsid w:val="00842082"/>
    <w:rsid w:val="00842240"/>
    <w:rsid w:val="00842E64"/>
    <w:rsid w:val="00844BBC"/>
    <w:rsid w:val="00844E21"/>
    <w:rsid w:val="0084606B"/>
    <w:rsid w:val="0084620D"/>
    <w:rsid w:val="008466B9"/>
    <w:rsid w:val="008466DA"/>
    <w:rsid w:val="008472BA"/>
    <w:rsid w:val="00847BA9"/>
    <w:rsid w:val="00850088"/>
    <w:rsid w:val="008519E0"/>
    <w:rsid w:val="00852161"/>
    <w:rsid w:val="008537A3"/>
    <w:rsid w:val="00853EA8"/>
    <w:rsid w:val="00854015"/>
    <w:rsid w:val="00855AC7"/>
    <w:rsid w:val="0085637A"/>
    <w:rsid w:val="00856B61"/>
    <w:rsid w:val="00856BE1"/>
    <w:rsid w:val="00857A42"/>
    <w:rsid w:val="008619BB"/>
    <w:rsid w:val="00863289"/>
    <w:rsid w:val="0086358D"/>
    <w:rsid w:val="00864941"/>
    <w:rsid w:val="0086565E"/>
    <w:rsid w:val="0087034E"/>
    <w:rsid w:val="008705A6"/>
    <w:rsid w:val="00870921"/>
    <w:rsid w:val="00870CD1"/>
    <w:rsid w:val="00871425"/>
    <w:rsid w:val="00871FC0"/>
    <w:rsid w:val="00872213"/>
    <w:rsid w:val="008723DD"/>
    <w:rsid w:val="00874AD5"/>
    <w:rsid w:val="00876004"/>
    <w:rsid w:val="0087678D"/>
    <w:rsid w:val="0088074D"/>
    <w:rsid w:val="00881730"/>
    <w:rsid w:val="0088205C"/>
    <w:rsid w:val="0088400F"/>
    <w:rsid w:val="008843F8"/>
    <w:rsid w:val="00884F98"/>
    <w:rsid w:val="008856CE"/>
    <w:rsid w:val="008872C7"/>
    <w:rsid w:val="00887E02"/>
    <w:rsid w:val="00887F24"/>
    <w:rsid w:val="0089219C"/>
    <w:rsid w:val="008924AD"/>
    <w:rsid w:val="0089410F"/>
    <w:rsid w:val="0089493A"/>
    <w:rsid w:val="00894AA3"/>
    <w:rsid w:val="00894F23"/>
    <w:rsid w:val="00895F26"/>
    <w:rsid w:val="008A05F6"/>
    <w:rsid w:val="008A282D"/>
    <w:rsid w:val="008A2D48"/>
    <w:rsid w:val="008A32C0"/>
    <w:rsid w:val="008A50C7"/>
    <w:rsid w:val="008A5ACF"/>
    <w:rsid w:val="008A6423"/>
    <w:rsid w:val="008A6613"/>
    <w:rsid w:val="008A6951"/>
    <w:rsid w:val="008A6CAB"/>
    <w:rsid w:val="008A6D27"/>
    <w:rsid w:val="008A7117"/>
    <w:rsid w:val="008A745C"/>
    <w:rsid w:val="008A7EE8"/>
    <w:rsid w:val="008B0BFC"/>
    <w:rsid w:val="008B21D4"/>
    <w:rsid w:val="008B3536"/>
    <w:rsid w:val="008B4B4E"/>
    <w:rsid w:val="008B5D65"/>
    <w:rsid w:val="008B6270"/>
    <w:rsid w:val="008C30DA"/>
    <w:rsid w:val="008C5D6D"/>
    <w:rsid w:val="008C5F56"/>
    <w:rsid w:val="008C6B01"/>
    <w:rsid w:val="008C6C6E"/>
    <w:rsid w:val="008C7C9F"/>
    <w:rsid w:val="008C7D2B"/>
    <w:rsid w:val="008D079C"/>
    <w:rsid w:val="008D0A00"/>
    <w:rsid w:val="008D1221"/>
    <w:rsid w:val="008D12CA"/>
    <w:rsid w:val="008D210C"/>
    <w:rsid w:val="008D3C98"/>
    <w:rsid w:val="008E065F"/>
    <w:rsid w:val="008E0B4D"/>
    <w:rsid w:val="008E118E"/>
    <w:rsid w:val="008E12CE"/>
    <w:rsid w:val="008E3C69"/>
    <w:rsid w:val="008E3FC4"/>
    <w:rsid w:val="008E63B7"/>
    <w:rsid w:val="008E713D"/>
    <w:rsid w:val="008E7F6B"/>
    <w:rsid w:val="008F1C14"/>
    <w:rsid w:val="008F214C"/>
    <w:rsid w:val="008F3581"/>
    <w:rsid w:val="008F4677"/>
    <w:rsid w:val="008F4C1E"/>
    <w:rsid w:val="008F5024"/>
    <w:rsid w:val="008F62CF"/>
    <w:rsid w:val="008F73D3"/>
    <w:rsid w:val="00900E79"/>
    <w:rsid w:val="00901176"/>
    <w:rsid w:val="0090228A"/>
    <w:rsid w:val="00902D82"/>
    <w:rsid w:val="00903FA8"/>
    <w:rsid w:val="00904B39"/>
    <w:rsid w:val="009051A7"/>
    <w:rsid w:val="00905D6D"/>
    <w:rsid w:val="00907906"/>
    <w:rsid w:val="00910DC8"/>
    <w:rsid w:val="00911DC8"/>
    <w:rsid w:val="00911E64"/>
    <w:rsid w:val="0091225B"/>
    <w:rsid w:val="00912905"/>
    <w:rsid w:val="00913734"/>
    <w:rsid w:val="00913E58"/>
    <w:rsid w:val="00916359"/>
    <w:rsid w:val="0091670F"/>
    <w:rsid w:val="00916B05"/>
    <w:rsid w:val="00916B57"/>
    <w:rsid w:val="00916DA4"/>
    <w:rsid w:val="00917261"/>
    <w:rsid w:val="009175EE"/>
    <w:rsid w:val="00920699"/>
    <w:rsid w:val="0092195A"/>
    <w:rsid w:val="00921AFD"/>
    <w:rsid w:val="00922282"/>
    <w:rsid w:val="00922712"/>
    <w:rsid w:val="00922909"/>
    <w:rsid w:val="00923F9C"/>
    <w:rsid w:val="00924E3B"/>
    <w:rsid w:val="00925B01"/>
    <w:rsid w:val="009263CF"/>
    <w:rsid w:val="00930D39"/>
    <w:rsid w:val="00931B50"/>
    <w:rsid w:val="0093227D"/>
    <w:rsid w:val="00932BF8"/>
    <w:rsid w:val="009342AC"/>
    <w:rsid w:val="00934E3A"/>
    <w:rsid w:val="00935907"/>
    <w:rsid w:val="00936851"/>
    <w:rsid w:val="00936D03"/>
    <w:rsid w:val="00937960"/>
    <w:rsid w:val="00937F49"/>
    <w:rsid w:val="00941176"/>
    <w:rsid w:val="00941AE4"/>
    <w:rsid w:val="00942989"/>
    <w:rsid w:val="00945137"/>
    <w:rsid w:val="00945857"/>
    <w:rsid w:val="009464E9"/>
    <w:rsid w:val="009476C6"/>
    <w:rsid w:val="00947807"/>
    <w:rsid w:val="00947923"/>
    <w:rsid w:val="00951A00"/>
    <w:rsid w:val="00952597"/>
    <w:rsid w:val="0095336C"/>
    <w:rsid w:val="00953A89"/>
    <w:rsid w:val="00953F55"/>
    <w:rsid w:val="00954CC4"/>
    <w:rsid w:val="00956C1A"/>
    <w:rsid w:val="00957B12"/>
    <w:rsid w:val="00957FA8"/>
    <w:rsid w:val="00962926"/>
    <w:rsid w:val="00962A9B"/>
    <w:rsid w:val="00962B59"/>
    <w:rsid w:val="00962F1E"/>
    <w:rsid w:val="00965F2A"/>
    <w:rsid w:val="0096617E"/>
    <w:rsid w:val="0096645A"/>
    <w:rsid w:val="00966C91"/>
    <w:rsid w:val="00966ECD"/>
    <w:rsid w:val="00970657"/>
    <w:rsid w:val="00970A0F"/>
    <w:rsid w:val="009742AE"/>
    <w:rsid w:val="009754CC"/>
    <w:rsid w:val="0097637C"/>
    <w:rsid w:val="009768C7"/>
    <w:rsid w:val="009775B0"/>
    <w:rsid w:val="00977817"/>
    <w:rsid w:val="00980668"/>
    <w:rsid w:val="009819E2"/>
    <w:rsid w:val="00982696"/>
    <w:rsid w:val="009838FC"/>
    <w:rsid w:val="00983EBD"/>
    <w:rsid w:val="00984C03"/>
    <w:rsid w:val="009862EC"/>
    <w:rsid w:val="00986683"/>
    <w:rsid w:val="00992D10"/>
    <w:rsid w:val="00992FF2"/>
    <w:rsid w:val="009945FD"/>
    <w:rsid w:val="009946F5"/>
    <w:rsid w:val="0099481E"/>
    <w:rsid w:val="009958B8"/>
    <w:rsid w:val="009970E2"/>
    <w:rsid w:val="009973C2"/>
    <w:rsid w:val="009A174A"/>
    <w:rsid w:val="009A2029"/>
    <w:rsid w:val="009A246C"/>
    <w:rsid w:val="009A2A0A"/>
    <w:rsid w:val="009A35A3"/>
    <w:rsid w:val="009A4C14"/>
    <w:rsid w:val="009A51FD"/>
    <w:rsid w:val="009A5E98"/>
    <w:rsid w:val="009A6559"/>
    <w:rsid w:val="009A65B1"/>
    <w:rsid w:val="009A6AA8"/>
    <w:rsid w:val="009A7572"/>
    <w:rsid w:val="009A7BCE"/>
    <w:rsid w:val="009A7E8A"/>
    <w:rsid w:val="009A7F6D"/>
    <w:rsid w:val="009B0B95"/>
    <w:rsid w:val="009B1588"/>
    <w:rsid w:val="009B180C"/>
    <w:rsid w:val="009B19B9"/>
    <w:rsid w:val="009B23EA"/>
    <w:rsid w:val="009B2E27"/>
    <w:rsid w:val="009B5792"/>
    <w:rsid w:val="009B597A"/>
    <w:rsid w:val="009C0821"/>
    <w:rsid w:val="009C0985"/>
    <w:rsid w:val="009C2624"/>
    <w:rsid w:val="009C32B7"/>
    <w:rsid w:val="009C3C40"/>
    <w:rsid w:val="009C4E12"/>
    <w:rsid w:val="009C58CA"/>
    <w:rsid w:val="009C5E61"/>
    <w:rsid w:val="009D3D66"/>
    <w:rsid w:val="009D3F01"/>
    <w:rsid w:val="009D575A"/>
    <w:rsid w:val="009D6CDA"/>
    <w:rsid w:val="009D70AC"/>
    <w:rsid w:val="009D7443"/>
    <w:rsid w:val="009D744A"/>
    <w:rsid w:val="009D7560"/>
    <w:rsid w:val="009E012E"/>
    <w:rsid w:val="009E029B"/>
    <w:rsid w:val="009E0DA7"/>
    <w:rsid w:val="009E4729"/>
    <w:rsid w:val="009E4D72"/>
    <w:rsid w:val="009E4E84"/>
    <w:rsid w:val="009E69EA"/>
    <w:rsid w:val="009E7255"/>
    <w:rsid w:val="009E76D2"/>
    <w:rsid w:val="009E76DE"/>
    <w:rsid w:val="009F0F9C"/>
    <w:rsid w:val="009F210E"/>
    <w:rsid w:val="009F2299"/>
    <w:rsid w:val="009F27C2"/>
    <w:rsid w:val="009F40EB"/>
    <w:rsid w:val="009F4376"/>
    <w:rsid w:val="009F49F4"/>
    <w:rsid w:val="009F5245"/>
    <w:rsid w:val="009F64F4"/>
    <w:rsid w:val="009F7DB8"/>
    <w:rsid w:val="00A00462"/>
    <w:rsid w:val="00A00817"/>
    <w:rsid w:val="00A0084A"/>
    <w:rsid w:val="00A01DAA"/>
    <w:rsid w:val="00A02D97"/>
    <w:rsid w:val="00A02F73"/>
    <w:rsid w:val="00A049E7"/>
    <w:rsid w:val="00A05EF5"/>
    <w:rsid w:val="00A06C04"/>
    <w:rsid w:val="00A06C8D"/>
    <w:rsid w:val="00A0793F"/>
    <w:rsid w:val="00A10215"/>
    <w:rsid w:val="00A1088A"/>
    <w:rsid w:val="00A109EA"/>
    <w:rsid w:val="00A11F45"/>
    <w:rsid w:val="00A1265C"/>
    <w:rsid w:val="00A12D85"/>
    <w:rsid w:val="00A13CCC"/>
    <w:rsid w:val="00A1481F"/>
    <w:rsid w:val="00A15353"/>
    <w:rsid w:val="00A16AFB"/>
    <w:rsid w:val="00A20465"/>
    <w:rsid w:val="00A20A71"/>
    <w:rsid w:val="00A22704"/>
    <w:rsid w:val="00A22B14"/>
    <w:rsid w:val="00A2421C"/>
    <w:rsid w:val="00A251E3"/>
    <w:rsid w:val="00A25397"/>
    <w:rsid w:val="00A25435"/>
    <w:rsid w:val="00A2557C"/>
    <w:rsid w:val="00A2561F"/>
    <w:rsid w:val="00A2594D"/>
    <w:rsid w:val="00A26E3D"/>
    <w:rsid w:val="00A27D7A"/>
    <w:rsid w:val="00A3008E"/>
    <w:rsid w:val="00A3147A"/>
    <w:rsid w:val="00A317C1"/>
    <w:rsid w:val="00A354FF"/>
    <w:rsid w:val="00A3728D"/>
    <w:rsid w:val="00A37517"/>
    <w:rsid w:val="00A3754C"/>
    <w:rsid w:val="00A37794"/>
    <w:rsid w:val="00A405CC"/>
    <w:rsid w:val="00A40A11"/>
    <w:rsid w:val="00A40F60"/>
    <w:rsid w:val="00A43D25"/>
    <w:rsid w:val="00A452A9"/>
    <w:rsid w:val="00A45A8D"/>
    <w:rsid w:val="00A45E98"/>
    <w:rsid w:val="00A4609F"/>
    <w:rsid w:val="00A46694"/>
    <w:rsid w:val="00A4670A"/>
    <w:rsid w:val="00A475C0"/>
    <w:rsid w:val="00A50753"/>
    <w:rsid w:val="00A50C4D"/>
    <w:rsid w:val="00A5188A"/>
    <w:rsid w:val="00A5261B"/>
    <w:rsid w:val="00A53B46"/>
    <w:rsid w:val="00A54E93"/>
    <w:rsid w:val="00A551B3"/>
    <w:rsid w:val="00A56201"/>
    <w:rsid w:val="00A6000B"/>
    <w:rsid w:val="00A62374"/>
    <w:rsid w:val="00A636FE"/>
    <w:rsid w:val="00A6372A"/>
    <w:rsid w:val="00A6458C"/>
    <w:rsid w:val="00A64CE5"/>
    <w:rsid w:val="00A65C02"/>
    <w:rsid w:val="00A65CCB"/>
    <w:rsid w:val="00A66485"/>
    <w:rsid w:val="00A66691"/>
    <w:rsid w:val="00A669B2"/>
    <w:rsid w:val="00A66B96"/>
    <w:rsid w:val="00A66DB5"/>
    <w:rsid w:val="00A66FBE"/>
    <w:rsid w:val="00A7029F"/>
    <w:rsid w:val="00A71D63"/>
    <w:rsid w:val="00A72D41"/>
    <w:rsid w:val="00A74060"/>
    <w:rsid w:val="00A75770"/>
    <w:rsid w:val="00A75B3B"/>
    <w:rsid w:val="00A76685"/>
    <w:rsid w:val="00A76E8A"/>
    <w:rsid w:val="00A81034"/>
    <w:rsid w:val="00A8186E"/>
    <w:rsid w:val="00A82F1F"/>
    <w:rsid w:val="00A83408"/>
    <w:rsid w:val="00A834F4"/>
    <w:rsid w:val="00A842C8"/>
    <w:rsid w:val="00A863A2"/>
    <w:rsid w:val="00A86576"/>
    <w:rsid w:val="00A90A32"/>
    <w:rsid w:val="00A90A35"/>
    <w:rsid w:val="00A93211"/>
    <w:rsid w:val="00A932DF"/>
    <w:rsid w:val="00A94163"/>
    <w:rsid w:val="00A9424C"/>
    <w:rsid w:val="00A95E07"/>
    <w:rsid w:val="00A96CE0"/>
    <w:rsid w:val="00A96E23"/>
    <w:rsid w:val="00A97DD8"/>
    <w:rsid w:val="00AA13CD"/>
    <w:rsid w:val="00AA1FF6"/>
    <w:rsid w:val="00AA35BF"/>
    <w:rsid w:val="00AA36FD"/>
    <w:rsid w:val="00AA39D9"/>
    <w:rsid w:val="00AA452F"/>
    <w:rsid w:val="00AA496F"/>
    <w:rsid w:val="00AA4FBA"/>
    <w:rsid w:val="00AA77B8"/>
    <w:rsid w:val="00AA7F3F"/>
    <w:rsid w:val="00AB04D4"/>
    <w:rsid w:val="00AB104F"/>
    <w:rsid w:val="00AB1E6B"/>
    <w:rsid w:val="00AB2160"/>
    <w:rsid w:val="00AB311B"/>
    <w:rsid w:val="00AB32FD"/>
    <w:rsid w:val="00AB35C0"/>
    <w:rsid w:val="00AB67C4"/>
    <w:rsid w:val="00AC13C3"/>
    <w:rsid w:val="00AC17F4"/>
    <w:rsid w:val="00AC35B3"/>
    <w:rsid w:val="00AC5643"/>
    <w:rsid w:val="00AC648F"/>
    <w:rsid w:val="00AC7171"/>
    <w:rsid w:val="00AD1007"/>
    <w:rsid w:val="00AD4233"/>
    <w:rsid w:val="00AD6043"/>
    <w:rsid w:val="00AD751C"/>
    <w:rsid w:val="00AE1296"/>
    <w:rsid w:val="00AE25C7"/>
    <w:rsid w:val="00AE377E"/>
    <w:rsid w:val="00AE3F06"/>
    <w:rsid w:val="00AE566B"/>
    <w:rsid w:val="00AE5795"/>
    <w:rsid w:val="00AE6A48"/>
    <w:rsid w:val="00AE6FDC"/>
    <w:rsid w:val="00AF083B"/>
    <w:rsid w:val="00AF1DEF"/>
    <w:rsid w:val="00AF2179"/>
    <w:rsid w:val="00AF2337"/>
    <w:rsid w:val="00AF4A48"/>
    <w:rsid w:val="00AF4EF2"/>
    <w:rsid w:val="00AF637F"/>
    <w:rsid w:val="00AF7C94"/>
    <w:rsid w:val="00B009F8"/>
    <w:rsid w:val="00B00E90"/>
    <w:rsid w:val="00B018BD"/>
    <w:rsid w:val="00B01918"/>
    <w:rsid w:val="00B019A6"/>
    <w:rsid w:val="00B0232C"/>
    <w:rsid w:val="00B03E43"/>
    <w:rsid w:val="00B05979"/>
    <w:rsid w:val="00B05CAC"/>
    <w:rsid w:val="00B0672D"/>
    <w:rsid w:val="00B067B5"/>
    <w:rsid w:val="00B06B72"/>
    <w:rsid w:val="00B07751"/>
    <w:rsid w:val="00B0792D"/>
    <w:rsid w:val="00B102CB"/>
    <w:rsid w:val="00B10BE7"/>
    <w:rsid w:val="00B115C5"/>
    <w:rsid w:val="00B11A01"/>
    <w:rsid w:val="00B11A2C"/>
    <w:rsid w:val="00B13B4E"/>
    <w:rsid w:val="00B149A9"/>
    <w:rsid w:val="00B170C3"/>
    <w:rsid w:val="00B2092A"/>
    <w:rsid w:val="00B215E7"/>
    <w:rsid w:val="00B21EE0"/>
    <w:rsid w:val="00B222DB"/>
    <w:rsid w:val="00B226B3"/>
    <w:rsid w:val="00B236DA"/>
    <w:rsid w:val="00B23A73"/>
    <w:rsid w:val="00B24C1A"/>
    <w:rsid w:val="00B2510C"/>
    <w:rsid w:val="00B266EA"/>
    <w:rsid w:val="00B2753F"/>
    <w:rsid w:val="00B306CC"/>
    <w:rsid w:val="00B31036"/>
    <w:rsid w:val="00B31536"/>
    <w:rsid w:val="00B31A56"/>
    <w:rsid w:val="00B31D3F"/>
    <w:rsid w:val="00B33870"/>
    <w:rsid w:val="00B33996"/>
    <w:rsid w:val="00B34150"/>
    <w:rsid w:val="00B351A0"/>
    <w:rsid w:val="00B36257"/>
    <w:rsid w:val="00B367D2"/>
    <w:rsid w:val="00B37C8A"/>
    <w:rsid w:val="00B416EE"/>
    <w:rsid w:val="00B41777"/>
    <w:rsid w:val="00B424FF"/>
    <w:rsid w:val="00B43938"/>
    <w:rsid w:val="00B443FC"/>
    <w:rsid w:val="00B44948"/>
    <w:rsid w:val="00B45209"/>
    <w:rsid w:val="00B45E53"/>
    <w:rsid w:val="00B46230"/>
    <w:rsid w:val="00B502B9"/>
    <w:rsid w:val="00B50681"/>
    <w:rsid w:val="00B51157"/>
    <w:rsid w:val="00B52929"/>
    <w:rsid w:val="00B52C65"/>
    <w:rsid w:val="00B5475F"/>
    <w:rsid w:val="00B555B5"/>
    <w:rsid w:val="00B55C54"/>
    <w:rsid w:val="00B57607"/>
    <w:rsid w:val="00B605AA"/>
    <w:rsid w:val="00B61B30"/>
    <w:rsid w:val="00B623F9"/>
    <w:rsid w:val="00B62B86"/>
    <w:rsid w:val="00B62C3E"/>
    <w:rsid w:val="00B6303E"/>
    <w:rsid w:val="00B63368"/>
    <w:rsid w:val="00B63CD0"/>
    <w:rsid w:val="00B64005"/>
    <w:rsid w:val="00B64A61"/>
    <w:rsid w:val="00B64E07"/>
    <w:rsid w:val="00B6526E"/>
    <w:rsid w:val="00B6566C"/>
    <w:rsid w:val="00B6667B"/>
    <w:rsid w:val="00B7203D"/>
    <w:rsid w:val="00B726B5"/>
    <w:rsid w:val="00B765EC"/>
    <w:rsid w:val="00B77219"/>
    <w:rsid w:val="00B77B8F"/>
    <w:rsid w:val="00B77DD2"/>
    <w:rsid w:val="00B77E43"/>
    <w:rsid w:val="00B80D3B"/>
    <w:rsid w:val="00B8176F"/>
    <w:rsid w:val="00B81F2B"/>
    <w:rsid w:val="00B83348"/>
    <w:rsid w:val="00B8437B"/>
    <w:rsid w:val="00B84526"/>
    <w:rsid w:val="00B85C43"/>
    <w:rsid w:val="00B86D22"/>
    <w:rsid w:val="00B87AA7"/>
    <w:rsid w:val="00B936BF"/>
    <w:rsid w:val="00B9399E"/>
    <w:rsid w:val="00B93F7C"/>
    <w:rsid w:val="00B94563"/>
    <w:rsid w:val="00B947CB"/>
    <w:rsid w:val="00B96FC9"/>
    <w:rsid w:val="00B9790D"/>
    <w:rsid w:val="00BA03EE"/>
    <w:rsid w:val="00BA0C68"/>
    <w:rsid w:val="00BA18AE"/>
    <w:rsid w:val="00BA20C8"/>
    <w:rsid w:val="00BA2ABA"/>
    <w:rsid w:val="00BA2DF1"/>
    <w:rsid w:val="00BA342B"/>
    <w:rsid w:val="00BA3C00"/>
    <w:rsid w:val="00BA447E"/>
    <w:rsid w:val="00BA4D29"/>
    <w:rsid w:val="00BA57F3"/>
    <w:rsid w:val="00BA5E3E"/>
    <w:rsid w:val="00BA7661"/>
    <w:rsid w:val="00BB0026"/>
    <w:rsid w:val="00BB04FB"/>
    <w:rsid w:val="00BB0BE8"/>
    <w:rsid w:val="00BB1211"/>
    <w:rsid w:val="00BB2261"/>
    <w:rsid w:val="00BB320F"/>
    <w:rsid w:val="00BB3610"/>
    <w:rsid w:val="00BB3778"/>
    <w:rsid w:val="00BB57F6"/>
    <w:rsid w:val="00BB59BF"/>
    <w:rsid w:val="00BB5BF0"/>
    <w:rsid w:val="00BB6111"/>
    <w:rsid w:val="00BC1918"/>
    <w:rsid w:val="00BC2856"/>
    <w:rsid w:val="00BD08ED"/>
    <w:rsid w:val="00BD15C7"/>
    <w:rsid w:val="00BD1D3D"/>
    <w:rsid w:val="00BD26C1"/>
    <w:rsid w:val="00BD281D"/>
    <w:rsid w:val="00BD2B29"/>
    <w:rsid w:val="00BD33AF"/>
    <w:rsid w:val="00BD33E7"/>
    <w:rsid w:val="00BD48A0"/>
    <w:rsid w:val="00BD4D3E"/>
    <w:rsid w:val="00BD5845"/>
    <w:rsid w:val="00BD5C91"/>
    <w:rsid w:val="00BE0E8F"/>
    <w:rsid w:val="00BE1662"/>
    <w:rsid w:val="00BE17BE"/>
    <w:rsid w:val="00BE3239"/>
    <w:rsid w:val="00BE3951"/>
    <w:rsid w:val="00BE5114"/>
    <w:rsid w:val="00BE5BE4"/>
    <w:rsid w:val="00BE69F6"/>
    <w:rsid w:val="00BE7532"/>
    <w:rsid w:val="00BE76EC"/>
    <w:rsid w:val="00BF0A9F"/>
    <w:rsid w:val="00BF0F29"/>
    <w:rsid w:val="00BF0F96"/>
    <w:rsid w:val="00BF176C"/>
    <w:rsid w:val="00BF1799"/>
    <w:rsid w:val="00BF37F3"/>
    <w:rsid w:val="00BF3E25"/>
    <w:rsid w:val="00BF3E2A"/>
    <w:rsid w:val="00BF43C6"/>
    <w:rsid w:val="00BF4898"/>
    <w:rsid w:val="00BF4A92"/>
    <w:rsid w:val="00BF52EA"/>
    <w:rsid w:val="00BF56EE"/>
    <w:rsid w:val="00BF7255"/>
    <w:rsid w:val="00C03BC0"/>
    <w:rsid w:val="00C03DED"/>
    <w:rsid w:val="00C04688"/>
    <w:rsid w:val="00C066FD"/>
    <w:rsid w:val="00C06FC4"/>
    <w:rsid w:val="00C07F2C"/>
    <w:rsid w:val="00C113B3"/>
    <w:rsid w:val="00C1204A"/>
    <w:rsid w:val="00C14CED"/>
    <w:rsid w:val="00C165B0"/>
    <w:rsid w:val="00C16C01"/>
    <w:rsid w:val="00C17AB1"/>
    <w:rsid w:val="00C22023"/>
    <w:rsid w:val="00C23AE7"/>
    <w:rsid w:val="00C24909"/>
    <w:rsid w:val="00C24915"/>
    <w:rsid w:val="00C256AE"/>
    <w:rsid w:val="00C2706D"/>
    <w:rsid w:val="00C274E7"/>
    <w:rsid w:val="00C31268"/>
    <w:rsid w:val="00C31576"/>
    <w:rsid w:val="00C3414C"/>
    <w:rsid w:val="00C34627"/>
    <w:rsid w:val="00C36C6C"/>
    <w:rsid w:val="00C377B0"/>
    <w:rsid w:val="00C37D6A"/>
    <w:rsid w:val="00C37E74"/>
    <w:rsid w:val="00C40322"/>
    <w:rsid w:val="00C41358"/>
    <w:rsid w:val="00C4164C"/>
    <w:rsid w:val="00C4225C"/>
    <w:rsid w:val="00C433AF"/>
    <w:rsid w:val="00C43EC1"/>
    <w:rsid w:val="00C44B4E"/>
    <w:rsid w:val="00C44EA5"/>
    <w:rsid w:val="00C45061"/>
    <w:rsid w:val="00C4742F"/>
    <w:rsid w:val="00C4752F"/>
    <w:rsid w:val="00C50367"/>
    <w:rsid w:val="00C50A79"/>
    <w:rsid w:val="00C51248"/>
    <w:rsid w:val="00C51455"/>
    <w:rsid w:val="00C51A38"/>
    <w:rsid w:val="00C53240"/>
    <w:rsid w:val="00C56271"/>
    <w:rsid w:val="00C56493"/>
    <w:rsid w:val="00C576AC"/>
    <w:rsid w:val="00C57ACD"/>
    <w:rsid w:val="00C6191D"/>
    <w:rsid w:val="00C62031"/>
    <w:rsid w:val="00C63D0C"/>
    <w:rsid w:val="00C6498C"/>
    <w:rsid w:val="00C6585C"/>
    <w:rsid w:val="00C65F53"/>
    <w:rsid w:val="00C66AAD"/>
    <w:rsid w:val="00C67687"/>
    <w:rsid w:val="00C67801"/>
    <w:rsid w:val="00C700BA"/>
    <w:rsid w:val="00C70AA3"/>
    <w:rsid w:val="00C71BFC"/>
    <w:rsid w:val="00C71DC5"/>
    <w:rsid w:val="00C721E8"/>
    <w:rsid w:val="00C72F34"/>
    <w:rsid w:val="00C73617"/>
    <w:rsid w:val="00C73B8C"/>
    <w:rsid w:val="00C750D8"/>
    <w:rsid w:val="00C75758"/>
    <w:rsid w:val="00C77C84"/>
    <w:rsid w:val="00C838D7"/>
    <w:rsid w:val="00C83E41"/>
    <w:rsid w:val="00C849D9"/>
    <w:rsid w:val="00C84C31"/>
    <w:rsid w:val="00C852E4"/>
    <w:rsid w:val="00C8666C"/>
    <w:rsid w:val="00C86DF8"/>
    <w:rsid w:val="00C86FAD"/>
    <w:rsid w:val="00C87DAF"/>
    <w:rsid w:val="00C87F51"/>
    <w:rsid w:val="00C9032E"/>
    <w:rsid w:val="00C91610"/>
    <w:rsid w:val="00C91B95"/>
    <w:rsid w:val="00C92B4B"/>
    <w:rsid w:val="00C92C36"/>
    <w:rsid w:val="00C93B3D"/>
    <w:rsid w:val="00C950D8"/>
    <w:rsid w:val="00C95546"/>
    <w:rsid w:val="00C968E8"/>
    <w:rsid w:val="00CA0D92"/>
    <w:rsid w:val="00CA0E1C"/>
    <w:rsid w:val="00CA147F"/>
    <w:rsid w:val="00CA3AA8"/>
    <w:rsid w:val="00CA4489"/>
    <w:rsid w:val="00CA5ADA"/>
    <w:rsid w:val="00CA5E38"/>
    <w:rsid w:val="00CA604E"/>
    <w:rsid w:val="00CA6602"/>
    <w:rsid w:val="00CA7076"/>
    <w:rsid w:val="00CB0DDD"/>
    <w:rsid w:val="00CB135E"/>
    <w:rsid w:val="00CB1847"/>
    <w:rsid w:val="00CB26CF"/>
    <w:rsid w:val="00CB3C96"/>
    <w:rsid w:val="00CB5596"/>
    <w:rsid w:val="00CB7914"/>
    <w:rsid w:val="00CB79D8"/>
    <w:rsid w:val="00CB7BD4"/>
    <w:rsid w:val="00CC29A1"/>
    <w:rsid w:val="00CC4832"/>
    <w:rsid w:val="00CC62F7"/>
    <w:rsid w:val="00CC6FC0"/>
    <w:rsid w:val="00CC7D54"/>
    <w:rsid w:val="00CD0208"/>
    <w:rsid w:val="00CD3B6B"/>
    <w:rsid w:val="00CD5348"/>
    <w:rsid w:val="00CD5E40"/>
    <w:rsid w:val="00CD5ED6"/>
    <w:rsid w:val="00CD6A20"/>
    <w:rsid w:val="00CD7572"/>
    <w:rsid w:val="00CE050B"/>
    <w:rsid w:val="00CE160A"/>
    <w:rsid w:val="00CE39FF"/>
    <w:rsid w:val="00CE5667"/>
    <w:rsid w:val="00CE7353"/>
    <w:rsid w:val="00CE7CA1"/>
    <w:rsid w:val="00CF1081"/>
    <w:rsid w:val="00CF489D"/>
    <w:rsid w:val="00CF4D2D"/>
    <w:rsid w:val="00CF5219"/>
    <w:rsid w:val="00CF5DF4"/>
    <w:rsid w:val="00D01595"/>
    <w:rsid w:val="00D042A5"/>
    <w:rsid w:val="00D04A58"/>
    <w:rsid w:val="00D06BF5"/>
    <w:rsid w:val="00D07E3C"/>
    <w:rsid w:val="00D108B5"/>
    <w:rsid w:val="00D10B08"/>
    <w:rsid w:val="00D10C75"/>
    <w:rsid w:val="00D12EDA"/>
    <w:rsid w:val="00D12F43"/>
    <w:rsid w:val="00D13D85"/>
    <w:rsid w:val="00D15565"/>
    <w:rsid w:val="00D157BE"/>
    <w:rsid w:val="00D1687A"/>
    <w:rsid w:val="00D16C8B"/>
    <w:rsid w:val="00D171D6"/>
    <w:rsid w:val="00D17B15"/>
    <w:rsid w:val="00D2078B"/>
    <w:rsid w:val="00D210A8"/>
    <w:rsid w:val="00D24542"/>
    <w:rsid w:val="00D261D5"/>
    <w:rsid w:val="00D267B0"/>
    <w:rsid w:val="00D27E6C"/>
    <w:rsid w:val="00D31B44"/>
    <w:rsid w:val="00D3214C"/>
    <w:rsid w:val="00D32242"/>
    <w:rsid w:val="00D35086"/>
    <w:rsid w:val="00D378FC"/>
    <w:rsid w:val="00D37D87"/>
    <w:rsid w:val="00D413AD"/>
    <w:rsid w:val="00D426E7"/>
    <w:rsid w:val="00D4466B"/>
    <w:rsid w:val="00D450C2"/>
    <w:rsid w:val="00D452DA"/>
    <w:rsid w:val="00D46B1F"/>
    <w:rsid w:val="00D47D28"/>
    <w:rsid w:val="00D50070"/>
    <w:rsid w:val="00D50A63"/>
    <w:rsid w:val="00D5146B"/>
    <w:rsid w:val="00D51A9F"/>
    <w:rsid w:val="00D533D0"/>
    <w:rsid w:val="00D55455"/>
    <w:rsid w:val="00D565FA"/>
    <w:rsid w:val="00D5739B"/>
    <w:rsid w:val="00D579EB"/>
    <w:rsid w:val="00D57BDB"/>
    <w:rsid w:val="00D57C49"/>
    <w:rsid w:val="00D60396"/>
    <w:rsid w:val="00D60A14"/>
    <w:rsid w:val="00D60EB6"/>
    <w:rsid w:val="00D621F0"/>
    <w:rsid w:val="00D6236E"/>
    <w:rsid w:val="00D6306F"/>
    <w:rsid w:val="00D63518"/>
    <w:rsid w:val="00D63520"/>
    <w:rsid w:val="00D635DE"/>
    <w:rsid w:val="00D640F6"/>
    <w:rsid w:val="00D64927"/>
    <w:rsid w:val="00D64BCC"/>
    <w:rsid w:val="00D64D56"/>
    <w:rsid w:val="00D6646E"/>
    <w:rsid w:val="00D67270"/>
    <w:rsid w:val="00D70EAA"/>
    <w:rsid w:val="00D70EBD"/>
    <w:rsid w:val="00D71796"/>
    <w:rsid w:val="00D71B8A"/>
    <w:rsid w:val="00D72242"/>
    <w:rsid w:val="00D7330B"/>
    <w:rsid w:val="00D73D98"/>
    <w:rsid w:val="00D74014"/>
    <w:rsid w:val="00D74211"/>
    <w:rsid w:val="00D74591"/>
    <w:rsid w:val="00D7692E"/>
    <w:rsid w:val="00D77042"/>
    <w:rsid w:val="00D80190"/>
    <w:rsid w:val="00D80A42"/>
    <w:rsid w:val="00D80BF8"/>
    <w:rsid w:val="00D80F2F"/>
    <w:rsid w:val="00D8164D"/>
    <w:rsid w:val="00D82F5D"/>
    <w:rsid w:val="00D83289"/>
    <w:rsid w:val="00D84D43"/>
    <w:rsid w:val="00D85A0E"/>
    <w:rsid w:val="00D85FE8"/>
    <w:rsid w:val="00D860B3"/>
    <w:rsid w:val="00D91A5C"/>
    <w:rsid w:val="00D928E4"/>
    <w:rsid w:val="00D92905"/>
    <w:rsid w:val="00D92BC1"/>
    <w:rsid w:val="00D92E3B"/>
    <w:rsid w:val="00D957FE"/>
    <w:rsid w:val="00D962DC"/>
    <w:rsid w:val="00D97C17"/>
    <w:rsid w:val="00DA1DE3"/>
    <w:rsid w:val="00DA2156"/>
    <w:rsid w:val="00DA22FE"/>
    <w:rsid w:val="00DA29C6"/>
    <w:rsid w:val="00DA2E4A"/>
    <w:rsid w:val="00DA4195"/>
    <w:rsid w:val="00DA51C2"/>
    <w:rsid w:val="00DA5435"/>
    <w:rsid w:val="00DA55EC"/>
    <w:rsid w:val="00DA579E"/>
    <w:rsid w:val="00DA5B62"/>
    <w:rsid w:val="00DB058F"/>
    <w:rsid w:val="00DB0E1D"/>
    <w:rsid w:val="00DB209E"/>
    <w:rsid w:val="00DB31DD"/>
    <w:rsid w:val="00DB333A"/>
    <w:rsid w:val="00DB3997"/>
    <w:rsid w:val="00DB5BE2"/>
    <w:rsid w:val="00DB63A1"/>
    <w:rsid w:val="00DB7567"/>
    <w:rsid w:val="00DB76EE"/>
    <w:rsid w:val="00DB7C3E"/>
    <w:rsid w:val="00DB7CD0"/>
    <w:rsid w:val="00DB7FE8"/>
    <w:rsid w:val="00DC045F"/>
    <w:rsid w:val="00DC0F90"/>
    <w:rsid w:val="00DC220A"/>
    <w:rsid w:val="00DC2948"/>
    <w:rsid w:val="00DC3763"/>
    <w:rsid w:val="00DC50BD"/>
    <w:rsid w:val="00DC5645"/>
    <w:rsid w:val="00DC5780"/>
    <w:rsid w:val="00DC6A47"/>
    <w:rsid w:val="00DC73E3"/>
    <w:rsid w:val="00DC77FC"/>
    <w:rsid w:val="00DD0524"/>
    <w:rsid w:val="00DD0837"/>
    <w:rsid w:val="00DD0E08"/>
    <w:rsid w:val="00DD1E3E"/>
    <w:rsid w:val="00DD2464"/>
    <w:rsid w:val="00DD5063"/>
    <w:rsid w:val="00DD5229"/>
    <w:rsid w:val="00DD7376"/>
    <w:rsid w:val="00DD7621"/>
    <w:rsid w:val="00DE27C3"/>
    <w:rsid w:val="00DE35DD"/>
    <w:rsid w:val="00DE3975"/>
    <w:rsid w:val="00DE3CC5"/>
    <w:rsid w:val="00DE3F08"/>
    <w:rsid w:val="00DE4EFC"/>
    <w:rsid w:val="00DE63DC"/>
    <w:rsid w:val="00DE6657"/>
    <w:rsid w:val="00DE6A6B"/>
    <w:rsid w:val="00DE78C7"/>
    <w:rsid w:val="00DE7A7E"/>
    <w:rsid w:val="00DE7C48"/>
    <w:rsid w:val="00DE7F15"/>
    <w:rsid w:val="00DF37C6"/>
    <w:rsid w:val="00DF38FE"/>
    <w:rsid w:val="00DF5C79"/>
    <w:rsid w:val="00E000A6"/>
    <w:rsid w:val="00E0124F"/>
    <w:rsid w:val="00E012B8"/>
    <w:rsid w:val="00E01C31"/>
    <w:rsid w:val="00E04050"/>
    <w:rsid w:val="00E04A12"/>
    <w:rsid w:val="00E04E48"/>
    <w:rsid w:val="00E05FF8"/>
    <w:rsid w:val="00E06133"/>
    <w:rsid w:val="00E069BF"/>
    <w:rsid w:val="00E10524"/>
    <w:rsid w:val="00E106F8"/>
    <w:rsid w:val="00E12792"/>
    <w:rsid w:val="00E1341D"/>
    <w:rsid w:val="00E138AB"/>
    <w:rsid w:val="00E14BF1"/>
    <w:rsid w:val="00E14CF8"/>
    <w:rsid w:val="00E16883"/>
    <w:rsid w:val="00E172E7"/>
    <w:rsid w:val="00E22072"/>
    <w:rsid w:val="00E2237A"/>
    <w:rsid w:val="00E22D85"/>
    <w:rsid w:val="00E2318A"/>
    <w:rsid w:val="00E237FB"/>
    <w:rsid w:val="00E24F19"/>
    <w:rsid w:val="00E311E0"/>
    <w:rsid w:val="00E31311"/>
    <w:rsid w:val="00E31F71"/>
    <w:rsid w:val="00E323DE"/>
    <w:rsid w:val="00E32A4E"/>
    <w:rsid w:val="00E32DC8"/>
    <w:rsid w:val="00E32E1C"/>
    <w:rsid w:val="00E34767"/>
    <w:rsid w:val="00E34827"/>
    <w:rsid w:val="00E3678E"/>
    <w:rsid w:val="00E370ED"/>
    <w:rsid w:val="00E40454"/>
    <w:rsid w:val="00E40A70"/>
    <w:rsid w:val="00E40AF0"/>
    <w:rsid w:val="00E40C2F"/>
    <w:rsid w:val="00E4113C"/>
    <w:rsid w:val="00E43801"/>
    <w:rsid w:val="00E43A90"/>
    <w:rsid w:val="00E44486"/>
    <w:rsid w:val="00E465A1"/>
    <w:rsid w:val="00E46E12"/>
    <w:rsid w:val="00E4715C"/>
    <w:rsid w:val="00E512BD"/>
    <w:rsid w:val="00E52D9C"/>
    <w:rsid w:val="00E540F3"/>
    <w:rsid w:val="00E541C8"/>
    <w:rsid w:val="00E54269"/>
    <w:rsid w:val="00E54B6F"/>
    <w:rsid w:val="00E57044"/>
    <w:rsid w:val="00E578DE"/>
    <w:rsid w:val="00E60A6A"/>
    <w:rsid w:val="00E60DD8"/>
    <w:rsid w:val="00E64DCC"/>
    <w:rsid w:val="00E6594D"/>
    <w:rsid w:val="00E65D87"/>
    <w:rsid w:val="00E66B82"/>
    <w:rsid w:val="00E67411"/>
    <w:rsid w:val="00E67DBB"/>
    <w:rsid w:val="00E71002"/>
    <w:rsid w:val="00E710E2"/>
    <w:rsid w:val="00E71C62"/>
    <w:rsid w:val="00E727ED"/>
    <w:rsid w:val="00E72854"/>
    <w:rsid w:val="00E74993"/>
    <w:rsid w:val="00E75401"/>
    <w:rsid w:val="00E76CD1"/>
    <w:rsid w:val="00E80F53"/>
    <w:rsid w:val="00E85B1A"/>
    <w:rsid w:val="00E86202"/>
    <w:rsid w:val="00E864C6"/>
    <w:rsid w:val="00E865B1"/>
    <w:rsid w:val="00E86E8C"/>
    <w:rsid w:val="00E90AF3"/>
    <w:rsid w:val="00E90CBD"/>
    <w:rsid w:val="00E91A6E"/>
    <w:rsid w:val="00E9235A"/>
    <w:rsid w:val="00E9562E"/>
    <w:rsid w:val="00E95D25"/>
    <w:rsid w:val="00E96D98"/>
    <w:rsid w:val="00E97C4E"/>
    <w:rsid w:val="00EA4C27"/>
    <w:rsid w:val="00EA58CC"/>
    <w:rsid w:val="00EA5BA0"/>
    <w:rsid w:val="00EA761D"/>
    <w:rsid w:val="00EA774C"/>
    <w:rsid w:val="00EB0991"/>
    <w:rsid w:val="00EB2129"/>
    <w:rsid w:val="00EB2A6E"/>
    <w:rsid w:val="00EB4BB7"/>
    <w:rsid w:val="00EB58F9"/>
    <w:rsid w:val="00EB7379"/>
    <w:rsid w:val="00EC0143"/>
    <w:rsid w:val="00EC189F"/>
    <w:rsid w:val="00EC1C62"/>
    <w:rsid w:val="00EC3238"/>
    <w:rsid w:val="00EC47F3"/>
    <w:rsid w:val="00EC4D3D"/>
    <w:rsid w:val="00EC5227"/>
    <w:rsid w:val="00EC65AE"/>
    <w:rsid w:val="00EC6B86"/>
    <w:rsid w:val="00EC733D"/>
    <w:rsid w:val="00ED04AF"/>
    <w:rsid w:val="00ED1914"/>
    <w:rsid w:val="00ED1F16"/>
    <w:rsid w:val="00ED2F1D"/>
    <w:rsid w:val="00ED4E17"/>
    <w:rsid w:val="00ED5C7A"/>
    <w:rsid w:val="00ED6491"/>
    <w:rsid w:val="00ED723B"/>
    <w:rsid w:val="00ED7373"/>
    <w:rsid w:val="00ED7394"/>
    <w:rsid w:val="00ED75F5"/>
    <w:rsid w:val="00ED7641"/>
    <w:rsid w:val="00ED7C5A"/>
    <w:rsid w:val="00EE00CA"/>
    <w:rsid w:val="00EE1250"/>
    <w:rsid w:val="00EE1B2C"/>
    <w:rsid w:val="00EE48E3"/>
    <w:rsid w:val="00EE4F26"/>
    <w:rsid w:val="00EE62AF"/>
    <w:rsid w:val="00EE6969"/>
    <w:rsid w:val="00EE6EF4"/>
    <w:rsid w:val="00EF1850"/>
    <w:rsid w:val="00EF4B89"/>
    <w:rsid w:val="00EF5727"/>
    <w:rsid w:val="00EF57B2"/>
    <w:rsid w:val="00EF5BB7"/>
    <w:rsid w:val="00EF68D4"/>
    <w:rsid w:val="00EF695C"/>
    <w:rsid w:val="00EF745F"/>
    <w:rsid w:val="00F00CCF"/>
    <w:rsid w:val="00F02A47"/>
    <w:rsid w:val="00F0315B"/>
    <w:rsid w:val="00F036CA"/>
    <w:rsid w:val="00F043CC"/>
    <w:rsid w:val="00F04E93"/>
    <w:rsid w:val="00F05003"/>
    <w:rsid w:val="00F054D3"/>
    <w:rsid w:val="00F06CD7"/>
    <w:rsid w:val="00F07E1C"/>
    <w:rsid w:val="00F114B1"/>
    <w:rsid w:val="00F121FC"/>
    <w:rsid w:val="00F12EB2"/>
    <w:rsid w:val="00F146CF"/>
    <w:rsid w:val="00F1503D"/>
    <w:rsid w:val="00F154FE"/>
    <w:rsid w:val="00F15ED2"/>
    <w:rsid w:val="00F162F6"/>
    <w:rsid w:val="00F17056"/>
    <w:rsid w:val="00F1744B"/>
    <w:rsid w:val="00F17DAA"/>
    <w:rsid w:val="00F20637"/>
    <w:rsid w:val="00F2138B"/>
    <w:rsid w:val="00F216D1"/>
    <w:rsid w:val="00F216DF"/>
    <w:rsid w:val="00F23832"/>
    <w:rsid w:val="00F23DD3"/>
    <w:rsid w:val="00F25349"/>
    <w:rsid w:val="00F253FA"/>
    <w:rsid w:val="00F25A9F"/>
    <w:rsid w:val="00F25FB4"/>
    <w:rsid w:val="00F27D5C"/>
    <w:rsid w:val="00F3047C"/>
    <w:rsid w:val="00F31464"/>
    <w:rsid w:val="00F3148D"/>
    <w:rsid w:val="00F31772"/>
    <w:rsid w:val="00F318DA"/>
    <w:rsid w:val="00F32DE0"/>
    <w:rsid w:val="00F333C6"/>
    <w:rsid w:val="00F35666"/>
    <w:rsid w:val="00F35E3A"/>
    <w:rsid w:val="00F362A6"/>
    <w:rsid w:val="00F369FE"/>
    <w:rsid w:val="00F37BF2"/>
    <w:rsid w:val="00F423EE"/>
    <w:rsid w:val="00F4300C"/>
    <w:rsid w:val="00F4486D"/>
    <w:rsid w:val="00F44CC3"/>
    <w:rsid w:val="00F45062"/>
    <w:rsid w:val="00F456DA"/>
    <w:rsid w:val="00F45C43"/>
    <w:rsid w:val="00F45DD8"/>
    <w:rsid w:val="00F47631"/>
    <w:rsid w:val="00F50188"/>
    <w:rsid w:val="00F52F1E"/>
    <w:rsid w:val="00F550C4"/>
    <w:rsid w:val="00F564A0"/>
    <w:rsid w:val="00F578D6"/>
    <w:rsid w:val="00F5797F"/>
    <w:rsid w:val="00F60AB6"/>
    <w:rsid w:val="00F60BBA"/>
    <w:rsid w:val="00F61023"/>
    <w:rsid w:val="00F61B3D"/>
    <w:rsid w:val="00F62949"/>
    <w:rsid w:val="00F63424"/>
    <w:rsid w:val="00F63A22"/>
    <w:rsid w:val="00F64BF4"/>
    <w:rsid w:val="00F6651C"/>
    <w:rsid w:val="00F70EDE"/>
    <w:rsid w:val="00F71608"/>
    <w:rsid w:val="00F749A3"/>
    <w:rsid w:val="00F7675A"/>
    <w:rsid w:val="00F77273"/>
    <w:rsid w:val="00F802EC"/>
    <w:rsid w:val="00F806F8"/>
    <w:rsid w:val="00F81503"/>
    <w:rsid w:val="00F829B3"/>
    <w:rsid w:val="00F8376C"/>
    <w:rsid w:val="00F83C6E"/>
    <w:rsid w:val="00F84A10"/>
    <w:rsid w:val="00F85E87"/>
    <w:rsid w:val="00F87588"/>
    <w:rsid w:val="00F87806"/>
    <w:rsid w:val="00F8782B"/>
    <w:rsid w:val="00F90428"/>
    <w:rsid w:val="00F911AD"/>
    <w:rsid w:val="00F9147D"/>
    <w:rsid w:val="00F92981"/>
    <w:rsid w:val="00F933C8"/>
    <w:rsid w:val="00F937DC"/>
    <w:rsid w:val="00F94E67"/>
    <w:rsid w:val="00F9730D"/>
    <w:rsid w:val="00FA1D31"/>
    <w:rsid w:val="00FA1F10"/>
    <w:rsid w:val="00FA3362"/>
    <w:rsid w:val="00FA3913"/>
    <w:rsid w:val="00FA3DC1"/>
    <w:rsid w:val="00FA534B"/>
    <w:rsid w:val="00FA7A0B"/>
    <w:rsid w:val="00FB059D"/>
    <w:rsid w:val="00FB11B9"/>
    <w:rsid w:val="00FB1BCE"/>
    <w:rsid w:val="00FB27BE"/>
    <w:rsid w:val="00FB2B16"/>
    <w:rsid w:val="00FB314A"/>
    <w:rsid w:val="00FB3A57"/>
    <w:rsid w:val="00FB53C6"/>
    <w:rsid w:val="00FB5693"/>
    <w:rsid w:val="00FB5A07"/>
    <w:rsid w:val="00FB6016"/>
    <w:rsid w:val="00FB63D9"/>
    <w:rsid w:val="00FB77F4"/>
    <w:rsid w:val="00FC035D"/>
    <w:rsid w:val="00FC06AF"/>
    <w:rsid w:val="00FC07B1"/>
    <w:rsid w:val="00FC0D28"/>
    <w:rsid w:val="00FC13BD"/>
    <w:rsid w:val="00FC3F7E"/>
    <w:rsid w:val="00FC4010"/>
    <w:rsid w:val="00FC4CF3"/>
    <w:rsid w:val="00FC4DD9"/>
    <w:rsid w:val="00FC6C7F"/>
    <w:rsid w:val="00FC701C"/>
    <w:rsid w:val="00FC7227"/>
    <w:rsid w:val="00FC72F8"/>
    <w:rsid w:val="00FD0C60"/>
    <w:rsid w:val="00FD1615"/>
    <w:rsid w:val="00FD1C57"/>
    <w:rsid w:val="00FD2BB2"/>
    <w:rsid w:val="00FD3C44"/>
    <w:rsid w:val="00FD5645"/>
    <w:rsid w:val="00FD7A98"/>
    <w:rsid w:val="00FE23EE"/>
    <w:rsid w:val="00FE273D"/>
    <w:rsid w:val="00FE28E8"/>
    <w:rsid w:val="00FE5F03"/>
    <w:rsid w:val="00FE76D3"/>
    <w:rsid w:val="00FE7F1B"/>
    <w:rsid w:val="00FF0E3D"/>
    <w:rsid w:val="00FF1941"/>
    <w:rsid w:val="00FF2FFA"/>
    <w:rsid w:val="00FF4028"/>
    <w:rsid w:val="00FF50FC"/>
    <w:rsid w:val="00FF71D8"/>
    <w:rsid w:val="0AC1B772"/>
    <w:rsid w:val="1201F9EB"/>
    <w:rsid w:val="19C84EC8"/>
    <w:rsid w:val="287C4A21"/>
    <w:rsid w:val="296E3580"/>
    <w:rsid w:val="2A07DC2E"/>
    <w:rsid w:val="30E0889F"/>
    <w:rsid w:val="314C5B73"/>
    <w:rsid w:val="32E82BD4"/>
    <w:rsid w:val="34B5FC40"/>
    <w:rsid w:val="36032ABC"/>
    <w:rsid w:val="434C1440"/>
    <w:rsid w:val="49757EA8"/>
    <w:rsid w:val="49C77F99"/>
    <w:rsid w:val="4A1BC2E7"/>
    <w:rsid w:val="4B114F09"/>
    <w:rsid w:val="4CC6236B"/>
    <w:rsid w:val="4FA65502"/>
    <w:rsid w:val="59E539E0"/>
    <w:rsid w:val="5EB0E415"/>
    <w:rsid w:val="60323B49"/>
    <w:rsid w:val="66603FB6"/>
    <w:rsid w:val="72ACD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88D42"/>
  <w15:docId w15:val="{3237952E-D3E0-5242-BC08-F0596941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FB6"/>
  </w:style>
  <w:style w:type="paragraph" w:styleId="Heading1">
    <w:name w:val="heading 1"/>
    <w:basedOn w:val="Normal"/>
    <w:next w:val="Normal"/>
    <w:link w:val="Heading1Char"/>
    <w:uiPriority w:val="9"/>
    <w:qFormat/>
    <w:rsid w:val="002C26B6"/>
    <w:pPr>
      <w:numPr>
        <w:numId w:val="7"/>
      </w:numPr>
      <w:spacing w:before="480" w:after="0"/>
      <w:contextualSpacing/>
      <w:outlineLvl w:val="0"/>
    </w:pPr>
    <w:rPr>
      <w:rFonts w:ascii="Times New Roman" w:hAnsi="Times New Roman" w:cs="Times New Roman"/>
      <w:b/>
      <w:bCs/>
      <w:smallCaps/>
      <w:spacing w:val="5"/>
      <w:sz w:val="32"/>
      <w:szCs w:val="32"/>
    </w:rPr>
  </w:style>
  <w:style w:type="paragraph" w:styleId="Heading2">
    <w:name w:val="heading 2"/>
    <w:basedOn w:val="Normal"/>
    <w:next w:val="Normal"/>
    <w:link w:val="Heading2Char"/>
    <w:uiPriority w:val="9"/>
    <w:unhideWhenUsed/>
    <w:qFormat/>
    <w:rsid w:val="008B5D65"/>
    <w:pPr>
      <w:numPr>
        <w:ilvl w:val="1"/>
        <w:numId w:val="7"/>
      </w:numPr>
      <w:spacing w:before="200" w:after="0" w:line="271" w:lineRule="auto"/>
      <w:outlineLvl w:val="1"/>
    </w:pPr>
    <w:rPr>
      <w:rFonts w:ascii="Times New Roman" w:hAnsi="Times New Roman" w:cs="Times New Roman"/>
      <w:b/>
      <w:bCs/>
      <w:smallCaps/>
      <w:sz w:val="28"/>
      <w:szCs w:val="28"/>
    </w:rPr>
  </w:style>
  <w:style w:type="paragraph" w:styleId="Heading3">
    <w:name w:val="heading 3"/>
    <w:basedOn w:val="Normal"/>
    <w:next w:val="Normal"/>
    <w:link w:val="Heading3Char"/>
    <w:uiPriority w:val="9"/>
    <w:unhideWhenUsed/>
    <w:qFormat/>
    <w:rsid w:val="006F69DF"/>
    <w:pPr>
      <w:numPr>
        <w:ilvl w:val="2"/>
        <w:numId w:val="7"/>
      </w:numPr>
      <w:spacing w:before="200" w:after="0" w:line="271" w:lineRule="auto"/>
      <w:outlineLvl w:val="2"/>
    </w:pPr>
    <w:rPr>
      <w:rFonts w:ascii="Times New Roman" w:hAnsi="Times New Roman" w:cs="Times New Roman"/>
      <w:b/>
      <w:bCs/>
      <w:smallCaps/>
      <w:spacing w:val="5"/>
      <w:sz w:val="24"/>
      <w:szCs w:val="24"/>
    </w:rPr>
  </w:style>
  <w:style w:type="paragraph" w:styleId="Heading4">
    <w:name w:val="heading 4"/>
    <w:basedOn w:val="Normal"/>
    <w:next w:val="Normal"/>
    <w:link w:val="Heading4Char"/>
    <w:uiPriority w:val="9"/>
    <w:semiHidden/>
    <w:unhideWhenUsed/>
    <w:qFormat/>
    <w:rsid w:val="00640FB6"/>
    <w:pPr>
      <w:numPr>
        <w:ilvl w:val="3"/>
        <w:numId w:val="7"/>
      </w:num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640FB6"/>
    <w:pPr>
      <w:numPr>
        <w:ilvl w:val="4"/>
        <w:numId w:val="7"/>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640FB6"/>
    <w:pPr>
      <w:numPr>
        <w:ilvl w:val="5"/>
        <w:numId w:val="7"/>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640FB6"/>
    <w:pPr>
      <w:numPr>
        <w:ilvl w:val="6"/>
        <w:numId w:val="7"/>
      </w:num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640FB6"/>
    <w:pPr>
      <w:numPr>
        <w:ilvl w:val="7"/>
        <w:numId w:val="7"/>
      </w:num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640FB6"/>
    <w:pPr>
      <w:numPr>
        <w:ilvl w:val="8"/>
        <w:numId w:val="7"/>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2D6A"/>
    <w:pPr>
      <w:tabs>
        <w:tab w:val="center" w:pos="4680"/>
        <w:tab w:val="right" w:pos="9360"/>
      </w:tabs>
    </w:pPr>
  </w:style>
  <w:style w:type="character" w:customStyle="1" w:styleId="FooterChar">
    <w:name w:val="Footer Char"/>
    <w:basedOn w:val="DefaultParagraphFont"/>
    <w:link w:val="Footer"/>
    <w:uiPriority w:val="99"/>
    <w:qFormat/>
    <w:rsid w:val="001A2D6A"/>
  </w:style>
  <w:style w:type="character" w:styleId="PageNumber">
    <w:name w:val="page number"/>
    <w:basedOn w:val="DefaultParagraphFont"/>
    <w:uiPriority w:val="99"/>
    <w:semiHidden/>
    <w:unhideWhenUsed/>
    <w:rsid w:val="001A2D6A"/>
  </w:style>
  <w:style w:type="paragraph" w:styleId="Header">
    <w:name w:val="header"/>
    <w:basedOn w:val="Normal"/>
    <w:link w:val="HeaderChar"/>
    <w:uiPriority w:val="99"/>
    <w:unhideWhenUsed/>
    <w:rsid w:val="001A2D6A"/>
    <w:pPr>
      <w:tabs>
        <w:tab w:val="center" w:pos="4680"/>
        <w:tab w:val="right" w:pos="9360"/>
      </w:tabs>
    </w:pPr>
  </w:style>
  <w:style w:type="character" w:customStyle="1" w:styleId="HeaderChar">
    <w:name w:val="Header Char"/>
    <w:basedOn w:val="DefaultParagraphFont"/>
    <w:link w:val="Header"/>
    <w:uiPriority w:val="99"/>
    <w:qFormat/>
    <w:rsid w:val="001A2D6A"/>
  </w:style>
  <w:style w:type="paragraph" w:customStyle="1" w:styleId="Default">
    <w:name w:val="Default"/>
    <w:rsid w:val="004F2972"/>
    <w:pPr>
      <w:autoSpaceDE w:val="0"/>
      <w:autoSpaceDN w:val="0"/>
      <w:adjustRightInd w:val="0"/>
    </w:pPr>
    <w:rPr>
      <w:rFonts w:ascii="Gotham Book" w:hAnsi="Gotham Book" w:cs="Gotham Book"/>
      <w:color w:val="000000"/>
    </w:rPr>
  </w:style>
  <w:style w:type="paragraph" w:styleId="ListParagraph">
    <w:name w:val="List Paragraph"/>
    <w:basedOn w:val="Normal"/>
    <w:uiPriority w:val="34"/>
    <w:qFormat/>
    <w:rsid w:val="00640FB6"/>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normaltextrun">
    <w:name w:val="normaltextrun"/>
    <w:basedOn w:val="DefaultParagraphFont"/>
    <w:rsid w:val="00903FA8"/>
  </w:style>
  <w:style w:type="character" w:customStyle="1" w:styleId="eop">
    <w:name w:val="eop"/>
    <w:basedOn w:val="DefaultParagraphFont"/>
    <w:rsid w:val="00903FA8"/>
  </w:style>
  <w:style w:type="paragraph" w:styleId="CommentSubject">
    <w:name w:val="annotation subject"/>
    <w:basedOn w:val="CommentText"/>
    <w:next w:val="CommentText"/>
    <w:link w:val="CommentSubjectChar"/>
    <w:uiPriority w:val="99"/>
    <w:semiHidden/>
    <w:unhideWhenUsed/>
    <w:rsid w:val="00FC7227"/>
    <w:rPr>
      <w:b/>
      <w:bCs/>
    </w:rPr>
  </w:style>
  <w:style w:type="character" w:customStyle="1" w:styleId="CommentSubjectChar">
    <w:name w:val="Comment Subject Char"/>
    <w:basedOn w:val="CommentTextChar"/>
    <w:link w:val="CommentSubject"/>
    <w:uiPriority w:val="99"/>
    <w:semiHidden/>
    <w:rsid w:val="00FC7227"/>
    <w:rPr>
      <w:b/>
      <w:bCs/>
      <w:sz w:val="20"/>
      <w:szCs w:val="20"/>
    </w:rPr>
  </w:style>
  <w:style w:type="paragraph" w:styleId="Bibliography">
    <w:name w:val="Bibliography"/>
    <w:basedOn w:val="Normal"/>
    <w:next w:val="Normal"/>
    <w:uiPriority w:val="37"/>
    <w:unhideWhenUsed/>
    <w:qFormat/>
    <w:rsid w:val="004574FF"/>
    <w:pPr>
      <w:ind w:left="720" w:hanging="720"/>
    </w:pPr>
    <w:rPr>
      <w:rFonts w:asciiTheme="majorBidi" w:hAnsiTheme="majorBidi"/>
      <w:sz w:val="24"/>
      <w:szCs w:val="24"/>
    </w:rPr>
  </w:style>
  <w:style w:type="table" w:styleId="TableGrid">
    <w:name w:val="Table Grid"/>
    <w:basedOn w:val="TableNormal"/>
    <w:uiPriority w:val="39"/>
    <w:rsid w:val="004C3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C33B3"/>
    <w:rPr>
      <w:color w:val="808080"/>
    </w:rPr>
  </w:style>
  <w:style w:type="paragraph" w:styleId="Revision">
    <w:name w:val="Revision"/>
    <w:hidden/>
    <w:uiPriority w:val="99"/>
    <w:semiHidden/>
    <w:qFormat/>
    <w:rsid w:val="004C33B3"/>
  </w:style>
  <w:style w:type="character" w:styleId="Hyperlink">
    <w:name w:val="Hyperlink"/>
    <w:basedOn w:val="DefaultParagraphFont"/>
    <w:uiPriority w:val="99"/>
    <w:unhideWhenUsed/>
    <w:rsid w:val="004C33B3"/>
    <w:rPr>
      <w:color w:val="0563C1" w:themeColor="hyperlink"/>
      <w:u w:val="single"/>
    </w:rPr>
  </w:style>
  <w:style w:type="character" w:styleId="UnresolvedMention">
    <w:name w:val="Unresolved Mention"/>
    <w:basedOn w:val="DefaultParagraphFont"/>
    <w:uiPriority w:val="99"/>
    <w:unhideWhenUsed/>
    <w:rsid w:val="004C33B3"/>
    <w:rPr>
      <w:color w:val="605E5C"/>
      <w:shd w:val="clear" w:color="auto" w:fill="E1DFDD"/>
    </w:rPr>
  </w:style>
  <w:style w:type="character" w:customStyle="1" w:styleId="apple-converted-space">
    <w:name w:val="apple-converted-space"/>
    <w:basedOn w:val="DefaultParagraphFont"/>
    <w:rsid w:val="004C33B3"/>
  </w:style>
  <w:style w:type="table" w:styleId="PlainTable5">
    <w:name w:val="Plain Table 5"/>
    <w:basedOn w:val="TableNormal"/>
    <w:uiPriority w:val="45"/>
    <w:rsid w:val="004C33B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semiHidden/>
    <w:rsid w:val="004C33B3"/>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4C33B3"/>
    <w:rPr>
      <w:rFonts w:ascii="Times New Roman" w:eastAsia="Times New Roman" w:hAnsi="Times New Roman" w:cs="Times New Roman"/>
      <w:sz w:val="20"/>
      <w:szCs w:val="20"/>
    </w:rPr>
  </w:style>
  <w:style w:type="character" w:styleId="FootnoteReference">
    <w:name w:val="footnote reference"/>
    <w:basedOn w:val="DefaultParagraphFont"/>
    <w:semiHidden/>
    <w:rsid w:val="004C33B3"/>
    <w:rPr>
      <w:vertAlign w:val="superscript"/>
    </w:rPr>
  </w:style>
  <w:style w:type="character" w:styleId="LineNumber">
    <w:name w:val="line number"/>
    <w:basedOn w:val="DefaultParagraphFont"/>
    <w:uiPriority w:val="99"/>
    <w:unhideWhenUsed/>
    <w:rsid w:val="004C33B3"/>
  </w:style>
  <w:style w:type="paragraph" w:styleId="NormalWeb">
    <w:name w:val="Normal (Web)"/>
    <w:basedOn w:val="Normal"/>
    <w:uiPriority w:val="99"/>
    <w:unhideWhenUsed/>
    <w:rsid w:val="004C33B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DefaultParagraphFont"/>
    <w:rsid w:val="004C33B3"/>
  </w:style>
  <w:style w:type="character" w:customStyle="1" w:styleId="citation">
    <w:name w:val="citation"/>
    <w:basedOn w:val="DefaultParagraphFont"/>
    <w:rsid w:val="004C33B3"/>
  </w:style>
  <w:style w:type="character" w:customStyle="1" w:styleId="citation-item">
    <w:name w:val="citation-item"/>
    <w:basedOn w:val="DefaultParagraphFont"/>
    <w:rsid w:val="004C33B3"/>
  </w:style>
  <w:style w:type="character" w:customStyle="1" w:styleId="Heading1Char">
    <w:name w:val="Heading 1 Char"/>
    <w:basedOn w:val="DefaultParagraphFont"/>
    <w:link w:val="Heading1"/>
    <w:uiPriority w:val="9"/>
    <w:rsid w:val="002C26B6"/>
    <w:rPr>
      <w:rFonts w:ascii="Times New Roman" w:hAnsi="Times New Roman" w:cs="Times New Roman"/>
      <w:b/>
      <w:bCs/>
      <w:smallCaps/>
      <w:spacing w:val="5"/>
      <w:sz w:val="32"/>
      <w:szCs w:val="32"/>
    </w:rPr>
  </w:style>
  <w:style w:type="character" w:customStyle="1" w:styleId="Heading2Char">
    <w:name w:val="Heading 2 Char"/>
    <w:basedOn w:val="DefaultParagraphFont"/>
    <w:link w:val="Heading2"/>
    <w:uiPriority w:val="9"/>
    <w:rsid w:val="008B5D65"/>
    <w:rPr>
      <w:rFonts w:ascii="Times New Roman" w:hAnsi="Times New Roman" w:cs="Times New Roman"/>
      <w:b/>
      <w:bCs/>
      <w:smallCaps/>
      <w:sz w:val="28"/>
      <w:szCs w:val="28"/>
    </w:rPr>
  </w:style>
  <w:style w:type="character" w:customStyle="1" w:styleId="Heading3Char">
    <w:name w:val="Heading 3 Char"/>
    <w:basedOn w:val="DefaultParagraphFont"/>
    <w:link w:val="Heading3"/>
    <w:uiPriority w:val="9"/>
    <w:rsid w:val="006F69DF"/>
    <w:rPr>
      <w:rFonts w:ascii="Times New Roman" w:hAnsi="Times New Roman" w:cs="Times New Roman"/>
      <w:b/>
      <w:bCs/>
      <w:smallCaps/>
      <w:spacing w:val="5"/>
      <w:sz w:val="24"/>
      <w:szCs w:val="24"/>
    </w:rPr>
  </w:style>
  <w:style w:type="character" w:customStyle="1" w:styleId="Heading4Char">
    <w:name w:val="Heading 4 Char"/>
    <w:basedOn w:val="DefaultParagraphFont"/>
    <w:link w:val="Heading4"/>
    <w:uiPriority w:val="9"/>
    <w:semiHidden/>
    <w:rsid w:val="00640FB6"/>
    <w:rPr>
      <w:b/>
      <w:bCs/>
      <w:spacing w:val="5"/>
      <w:sz w:val="24"/>
      <w:szCs w:val="24"/>
    </w:rPr>
  </w:style>
  <w:style w:type="character" w:customStyle="1" w:styleId="Heading5Char">
    <w:name w:val="Heading 5 Char"/>
    <w:basedOn w:val="DefaultParagraphFont"/>
    <w:link w:val="Heading5"/>
    <w:uiPriority w:val="9"/>
    <w:semiHidden/>
    <w:rsid w:val="00640FB6"/>
    <w:rPr>
      <w:i/>
      <w:iCs/>
      <w:sz w:val="24"/>
      <w:szCs w:val="24"/>
    </w:rPr>
  </w:style>
  <w:style w:type="character" w:customStyle="1" w:styleId="Heading6Char">
    <w:name w:val="Heading 6 Char"/>
    <w:basedOn w:val="DefaultParagraphFont"/>
    <w:link w:val="Heading6"/>
    <w:uiPriority w:val="9"/>
    <w:semiHidden/>
    <w:rsid w:val="00640FB6"/>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640FB6"/>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640FB6"/>
    <w:rPr>
      <w:b/>
      <w:bCs/>
      <w:color w:val="7F7F7F" w:themeColor="text1" w:themeTint="80"/>
      <w:sz w:val="20"/>
      <w:szCs w:val="20"/>
    </w:rPr>
  </w:style>
  <w:style w:type="character" w:customStyle="1" w:styleId="Heading9Char">
    <w:name w:val="Heading 9 Char"/>
    <w:basedOn w:val="DefaultParagraphFont"/>
    <w:link w:val="Heading9"/>
    <w:uiPriority w:val="9"/>
    <w:semiHidden/>
    <w:rsid w:val="00640FB6"/>
    <w:rPr>
      <w:b/>
      <w:bCs/>
      <w:i/>
      <w:iCs/>
      <w:color w:val="7F7F7F" w:themeColor="text1" w:themeTint="80"/>
      <w:sz w:val="18"/>
      <w:szCs w:val="18"/>
    </w:rPr>
  </w:style>
  <w:style w:type="character" w:styleId="EndnoteReference">
    <w:name w:val="endnote reference"/>
    <w:basedOn w:val="DefaultParagraphFont"/>
    <w:uiPriority w:val="99"/>
    <w:semiHidden/>
    <w:unhideWhenUsed/>
    <w:rsid w:val="005E185F"/>
    <w:rPr>
      <w:vertAlign w:val="superscript"/>
    </w:rPr>
  </w:style>
  <w:style w:type="paragraph" w:customStyle="1" w:styleId="FrameContents">
    <w:name w:val="Frame Contents"/>
    <w:basedOn w:val="Normal"/>
    <w:qFormat/>
    <w:rsid w:val="005E185F"/>
    <w:pPr>
      <w:suppressAutoHyphens/>
    </w:pPr>
    <w:rPr>
      <w:rFonts w:ascii="Aptos" w:hAnsi="Aptos" w:cs="Arial"/>
    </w:rPr>
  </w:style>
  <w:style w:type="character" w:customStyle="1" w:styleId="TitleChar">
    <w:name w:val="Title Char"/>
    <w:basedOn w:val="DefaultParagraphFont"/>
    <w:link w:val="Title"/>
    <w:uiPriority w:val="10"/>
    <w:rsid w:val="00640FB6"/>
    <w:rPr>
      <w:smallCaps/>
      <w:sz w:val="52"/>
      <w:szCs w:val="52"/>
    </w:rPr>
  </w:style>
  <w:style w:type="character" w:customStyle="1" w:styleId="SubtitleChar">
    <w:name w:val="Subtitle Char"/>
    <w:basedOn w:val="DefaultParagraphFont"/>
    <w:link w:val="Subtitle"/>
    <w:uiPriority w:val="11"/>
    <w:rsid w:val="00640FB6"/>
    <w:rPr>
      <w:i/>
      <w:iCs/>
      <w:smallCaps/>
      <w:spacing w:val="10"/>
      <w:sz w:val="28"/>
      <w:szCs w:val="28"/>
    </w:rPr>
  </w:style>
  <w:style w:type="character" w:customStyle="1" w:styleId="QuoteChar">
    <w:name w:val="Quote Char"/>
    <w:basedOn w:val="DefaultParagraphFont"/>
    <w:link w:val="Quote"/>
    <w:uiPriority w:val="29"/>
    <w:rsid w:val="00640FB6"/>
    <w:rPr>
      <w:i/>
      <w:iCs/>
    </w:rPr>
  </w:style>
  <w:style w:type="character" w:styleId="IntenseEmphasis">
    <w:name w:val="Intense Emphasis"/>
    <w:uiPriority w:val="21"/>
    <w:qFormat/>
    <w:rsid w:val="00640FB6"/>
    <w:rPr>
      <w:b/>
      <w:bCs/>
      <w:i/>
      <w:iCs/>
    </w:rPr>
  </w:style>
  <w:style w:type="character" w:customStyle="1" w:styleId="IntenseQuoteChar">
    <w:name w:val="Intense Quote Char"/>
    <w:basedOn w:val="DefaultParagraphFont"/>
    <w:link w:val="IntenseQuote"/>
    <w:uiPriority w:val="30"/>
    <w:rsid w:val="00640FB6"/>
    <w:rPr>
      <w:i/>
      <w:iCs/>
    </w:rPr>
  </w:style>
  <w:style w:type="character" w:styleId="IntenseReference">
    <w:name w:val="Intense Reference"/>
    <w:uiPriority w:val="32"/>
    <w:qFormat/>
    <w:rsid w:val="00640FB6"/>
    <w:rPr>
      <w:b/>
      <w:bCs/>
      <w:smallCaps/>
    </w:rPr>
  </w:style>
  <w:style w:type="character" w:styleId="FollowedHyperlink">
    <w:name w:val="FollowedHyperlink"/>
    <w:basedOn w:val="DefaultParagraphFont"/>
    <w:uiPriority w:val="99"/>
    <w:semiHidden/>
    <w:unhideWhenUsed/>
    <w:rsid w:val="005E185F"/>
    <w:rPr>
      <w:color w:val="954F72" w:themeColor="followedHyperlink"/>
      <w:u w:val="single"/>
    </w:rPr>
  </w:style>
  <w:style w:type="character" w:styleId="Strong">
    <w:name w:val="Strong"/>
    <w:uiPriority w:val="22"/>
    <w:qFormat/>
    <w:rsid w:val="00640FB6"/>
    <w:rPr>
      <w:b/>
      <w:bCs/>
    </w:rPr>
  </w:style>
  <w:style w:type="character" w:customStyle="1" w:styleId="linenumber1">
    <w:name w:val="line number1"/>
    <w:rsid w:val="005E185F"/>
  </w:style>
  <w:style w:type="paragraph" w:customStyle="1" w:styleId="Heading">
    <w:name w:val="Heading"/>
    <w:basedOn w:val="Normal"/>
    <w:next w:val="BodyText"/>
    <w:rsid w:val="005E185F"/>
    <w:pPr>
      <w:keepNext/>
      <w:suppressAutoHyphens/>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5E185F"/>
    <w:pPr>
      <w:suppressAutoHyphens/>
      <w:spacing w:after="140"/>
    </w:pPr>
    <w:rPr>
      <w:rFonts w:ascii="Aptos" w:hAnsi="Aptos" w:cs="Arial"/>
    </w:rPr>
  </w:style>
  <w:style w:type="character" w:customStyle="1" w:styleId="BodyTextChar">
    <w:name w:val="Body Text Char"/>
    <w:basedOn w:val="DefaultParagraphFont"/>
    <w:link w:val="BodyText"/>
    <w:rsid w:val="005E185F"/>
    <w:rPr>
      <w:rFonts w:ascii="Aptos" w:hAnsi="Aptos" w:cs="Arial"/>
    </w:rPr>
  </w:style>
  <w:style w:type="paragraph" w:styleId="List">
    <w:name w:val="List"/>
    <w:basedOn w:val="BodyText"/>
    <w:rsid w:val="005E185F"/>
    <w:rPr>
      <w:rFonts w:cs="Lohit Devanagari"/>
    </w:rPr>
  </w:style>
  <w:style w:type="paragraph" w:styleId="Caption">
    <w:name w:val="caption"/>
    <w:basedOn w:val="caption1"/>
    <w:autoRedefine/>
    <w:qFormat/>
    <w:rsid w:val="00511118"/>
    <w:pPr>
      <w:spacing w:line="360" w:lineRule="auto"/>
      <w:jc w:val="both"/>
    </w:pPr>
    <w:rPr>
      <w:rFonts w:asciiTheme="majorBidi" w:hAnsiTheme="majorBidi" w:cstheme="majorBidi"/>
      <w:bCs/>
      <w:i w:val="0"/>
      <w:iCs w:val="0"/>
      <w:color w:val="000000" w:themeColor="text1"/>
      <w:sz w:val="24"/>
      <w:szCs w:val="24"/>
    </w:rPr>
  </w:style>
  <w:style w:type="paragraph" w:customStyle="1" w:styleId="Index">
    <w:name w:val="Index"/>
    <w:basedOn w:val="Normal"/>
    <w:rsid w:val="005E185F"/>
    <w:pPr>
      <w:suppressLineNumbers/>
      <w:suppressAutoHyphens/>
    </w:pPr>
    <w:rPr>
      <w:rFonts w:ascii="Aptos" w:hAnsi="Aptos" w:cs="Lohit Devanagari"/>
    </w:rPr>
  </w:style>
  <w:style w:type="paragraph" w:customStyle="1" w:styleId="caption1">
    <w:name w:val="caption1"/>
    <w:basedOn w:val="Normal"/>
    <w:rsid w:val="005E185F"/>
    <w:pPr>
      <w:suppressLineNumbers/>
      <w:suppressAutoHyphens/>
      <w:spacing w:before="120" w:after="120"/>
    </w:pPr>
    <w:rPr>
      <w:rFonts w:ascii="Aptos" w:hAnsi="Aptos" w:cs="Lohit Devanagari"/>
      <w:i/>
      <w:iCs/>
    </w:rPr>
  </w:style>
  <w:style w:type="paragraph" w:styleId="Title">
    <w:name w:val="Title"/>
    <w:basedOn w:val="Normal"/>
    <w:next w:val="Normal"/>
    <w:link w:val="TitleChar"/>
    <w:uiPriority w:val="10"/>
    <w:qFormat/>
    <w:rsid w:val="00640FB6"/>
    <w:pPr>
      <w:spacing w:after="300" w:line="240" w:lineRule="auto"/>
      <w:contextualSpacing/>
    </w:pPr>
    <w:rPr>
      <w:smallCaps/>
      <w:sz w:val="52"/>
      <w:szCs w:val="52"/>
    </w:rPr>
  </w:style>
  <w:style w:type="character" w:customStyle="1" w:styleId="TitleChar1">
    <w:name w:val="Title Char1"/>
    <w:basedOn w:val="DefaultParagraphFont"/>
    <w:uiPriority w:val="10"/>
    <w:rsid w:val="005E1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FB6"/>
    <w:rPr>
      <w:i/>
      <w:iCs/>
      <w:smallCaps/>
      <w:spacing w:val="10"/>
      <w:sz w:val="28"/>
      <w:szCs w:val="28"/>
    </w:rPr>
  </w:style>
  <w:style w:type="character" w:customStyle="1" w:styleId="SubtitleChar1">
    <w:name w:val="Subtitle Char1"/>
    <w:basedOn w:val="DefaultParagraphFont"/>
    <w:uiPriority w:val="11"/>
    <w:rsid w:val="005E185F"/>
    <w:rPr>
      <w:rFonts w:eastAsiaTheme="minorEastAsia"/>
      <w:color w:val="5A5A5A" w:themeColor="text1" w:themeTint="A5"/>
      <w:spacing w:val="15"/>
      <w:sz w:val="22"/>
      <w:szCs w:val="22"/>
    </w:rPr>
  </w:style>
  <w:style w:type="paragraph" w:styleId="Quote">
    <w:name w:val="Quote"/>
    <w:basedOn w:val="Normal"/>
    <w:next w:val="Normal"/>
    <w:link w:val="QuoteChar"/>
    <w:uiPriority w:val="29"/>
    <w:qFormat/>
    <w:rsid w:val="00640FB6"/>
    <w:rPr>
      <w:i/>
      <w:iCs/>
    </w:rPr>
  </w:style>
  <w:style w:type="character" w:customStyle="1" w:styleId="QuoteChar1">
    <w:name w:val="Quote Char1"/>
    <w:basedOn w:val="DefaultParagraphFont"/>
    <w:uiPriority w:val="29"/>
    <w:rsid w:val="005E185F"/>
    <w:rPr>
      <w:i/>
      <w:iCs/>
      <w:color w:val="404040" w:themeColor="text1" w:themeTint="BF"/>
    </w:rPr>
  </w:style>
  <w:style w:type="paragraph" w:styleId="IntenseQuote">
    <w:name w:val="Intense Quote"/>
    <w:basedOn w:val="Normal"/>
    <w:next w:val="Normal"/>
    <w:link w:val="IntenseQuoteChar"/>
    <w:uiPriority w:val="30"/>
    <w:qFormat/>
    <w:rsid w:val="00640FB6"/>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1">
    <w:name w:val="Intense Quote Char1"/>
    <w:basedOn w:val="DefaultParagraphFont"/>
    <w:uiPriority w:val="30"/>
    <w:rsid w:val="005E185F"/>
    <w:rPr>
      <w:i/>
      <w:iCs/>
      <w:color w:val="4472C4" w:themeColor="accent1"/>
    </w:rPr>
  </w:style>
  <w:style w:type="paragraph" w:customStyle="1" w:styleId="HeaderandFooter">
    <w:name w:val="Header and Footer"/>
    <w:basedOn w:val="Normal"/>
    <w:rsid w:val="005E185F"/>
    <w:pPr>
      <w:suppressAutoHyphens/>
    </w:pPr>
    <w:rPr>
      <w:rFonts w:ascii="Aptos" w:hAnsi="Aptos" w:cs="Arial"/>
    </w:rPr>
  </w:style>
  <w:style w:type="paragraph" w:customStyle="1" w:styleId="Comment">
    <w:name w:val="Comment"/>
    <w:basedOn w:val="Normal"/>
    <w:rsid w:val="005E185F"/>
    <w:pPr>
      <w:suppressAutoHyphens/>
    </w:pPr>
    <w:rPr>
      <w:rFonts w:ascii="Aptos" w:hAnsi="Aptos" w:cs="Arial"/>
      <w:sz w:val="20"/>
      <w:szCs w:val="20"/>
    </w:rPr>
  </w:style>
  <w:style w:type="paragraph" w:styleId="TOCHeading">
    <w:name w:val="TOC Heading"/>
    <w:basedOn w:val="Heading1"/>
    <w:next w:val="Normal"/>
    <w:uiPriority w:val="39"/>
    <w:unhideWhenUsed/>
    <w:qFormat/>
    <w:rsid w:val="00640FB6"/>
    <w:pPr>
      <w:outlineLvl w:val="9"/>
    </w:pPr>
  </w:style>
  <w:style w:type="paragraph" w:styleId="TOC1">
    <w:name w:val="toc 1"/>
    <w:basedOn w:val="Normal"/>
    <w:next w:val="Normal"/>
    <w:autoRedefine/>
    <w:uiPriority w:val="39"/>
    <w:unhideWhenUsed/>
    <w:rsid w:val="006D45C3"/>
    <w:pPr>
      <w:spacing w:before="120"/>
    </w:pPr>
    <w:rPr>
      <w:rFonts w:cstheme="minorHAnsi"/>
      <w:b/>
      <w:bCs/>
      <w:i/>
      <w:iCs/>
      <w:szCs w:val="28"/>
    </w:rPr>
  </w:style>
  <w:style w:type="paragraph" w:styleId="TOC2">
    <w:name w:val="toc 2"/>
    <w:basedOn w:val="Normal"/>
    <w:next w:val="Normal"/>
    <w:autoRedefine/>
    <w:uiPriority w:val="39"/>
    <w:unhideWhenUsed/>
    <w:rsid w:val="007423B3"/>
    <w:pPr>
      <w:spacing w:before="120"/>
      <w:ind w:left="240"/>
    </w:pPr>
    <w:rPr>
      <w:rFonts w:cstheme="minorHAnsi"/>
      <w:b/>
      <w:bCs/>
      <w:szCs w:val="26"/>
    </w:rPr>
  </w:style>
  <w:style w:type="paragraph" w:styleId="TOC3">
    <w:name w:val="toc 3"/>
    <w:basedOn w:val="Normal"/>
    <w:next w:val="Normal"/>
    <w:autoRedefine/>
    <w:uiPriority w:val="39"/>
    <w:unhideWhenUsed/>
    <w:rsid w:val="007423B3"/>
    <w:pPr>
      <w:ind w:left="480"/>
    </w:pPr>
    <w:rPr>
      <w:rFonts w:cstheme="minorHAnsi"/>
      <w:sz w:val="20"/>
    </w:rPr>
  </w:style>
  <w:style w:type="paragraph" w:styleId="TOC4">
    <w:name w:val="toc 4"/>
    <w:basedOn w:val="Normal"/>
    <w:next w:val="Normal"/>
    <w:autoRedefine/>
    <w:uiPriority w:val="39"/>
    <w:semiHidden/>
    <w:unhideWhenUsed/>
    <w:rsid w:val="007423B3"/>
    <w:pPr>
      <w:ind w:left="720"/>
    </w:pPr>
    <w:rPr>
      <w:rFonts w:cstheme="minorHAnsi"/>
      <w:sz w:val="20"/>
    </w:rPr>
  </w:style>
  <w:style w:type="paragraph" w:styleId="TOC5">
    <w:name w:val="toc 5"/>
    <w:basedOn w:val="Normal"/>
    <w:next w:val="Normal"/>
    <w:autoRedefine/>
    <w:uiPriority w:val="39"/>
    <w:semiHidden/>
    <w:unhideWhenUsed/>
    <w:rsid w:val="007423B3"/>
    <w:pPr>
      <w:ind w:left="960"/>
    </w:pPr>
    <w:rPr>
      <w:rFonts w:cstheme="minorHAnsi"/>
      <w:sz w:val="20"/>
    </w:rPr>
  </w:style>
  <w:style w:type="paragraph" w:styleId="TOC6">
    <w:name w:val="toc 6"/>
    <w:basedOn w:val="Normal"/>
    <w:next w:val="Normal"/>
    <w:autoRedefine/>
    <w:uiPriority w:val="39"/>
    <w:semiHidden/>
    <w:unhideWhenUsed/>
    <w:rsid w:val="007423B3"/>
    <w:pPr>
      <w:ind w:left="1200"/>
    </w:pPr>
    <w:rPr>
      <w:rFonts w:cstheme="minorHAnsi"/>
      <w:sz w:val="20"/>
    </w:rPr>
  </w:style>
  <w:style w:type="paragraph" w:styleId="TOC7">
    <w:name w:val="toc 7"/>
    <w:basedOn w:val="Normal"/>
    <w:next w:val="Normal"/>
    <w:autoRedefine/>
    <w:uiPriority w:val="39"/>
    <w:semiHidden/>
    <w:unhideWhenUsed/>
    <w:rsid w:val="007423B3"/>
    <w:pPr>
      <w:ind w:left="1440"/>
    </w:pPr>
    <w:rPr>
      <w:rFonts w:cstheme="minorHAnsi"/>
      <w:sz w:val="20"/>
    </w:rPr>
  </w:style>
  <w:style w:type="paragraph" w:styleId="TOC8">
    <w:name w:val="toc 8"/>
    <w:basedOn w:val="Normal"/>
    <w:next w:val="Normal"/>
    <w:autoRedefine/>
    <w:uiPriority w:val="39"/>
    <w:semiHidden/>
    <w:unhideWhenUsed/>
    <w:rsid w:val="007423B3"/>
    <w:pPr>
      <w:ind w:left="1680"/>
    </w:pPr>
    <w:rPr>
      <w:rFonts w:cstheme="minorHAnsi"/>
      <w:sz w:val="20"/>
    </w:rPr>
  </w:style>
  <w:style w:type="paragraph" w:styleId="TOC9">
    <w:name w:val="toc 9"/>
    <w:basedOn w:val="Normal"/>
    <w:next w:val="Normal"/>
    <w:autoRedefine/>
    <w:uiPriority w:val="39"/>
    <w:semiHidden/>
    <w:unhideWhenUsed/>
    <w:rsid w:val="007423B3"/>
    <w:pPr>
      <w:ind w:left="1920"/>
    </w:pPr>
    <w:rPr>
      <w:rFonts w:cstheme="minorHAnsi"/>
      <w:sz w:val="20"/>
    </w:rPr>
  </w:style>
  <w:style w:type="paragraph" w:styleId="TableofFigures">
    <w:name w:val="table of figures"/>
    <w:basedOn w:val="Normal"/>
    <w:next w:val="Normal"/>
    <w:uiPriority w:val="99"/>
    <w:unhideWhenUsed/>
    <w:rsid w:val="00D24542"/>
  </w:style>
  <w:style w:type="table" w:styleId="GridTable1Light-Accent3">
    <w:name w:val="Grid Table 1 Light Accent 3"/>
    <w:basedOn w:val="TableNormal"/>
    <w:uiPriority w:val="46"/>
    <w:rsid w:val="003D1E8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3D1E8D"/>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5">
    <w:name w:val="Grid Table 2 Accent 5"/>
    <w:basedOn w:val="TableNormal"/>
    <w:uiPriority w:val="47"/>
    <w:rsid w:val="003D1E8D"/>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D1E8D"/>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3D1E8D"/>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3D1E8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4">
    <w:name w:val="Grid Table 4 Accent 4"/>
    <w:basedOn w:val="TableNormal"/>
    <w:uiPriority w:val="49"/>
    <w:rsid w:val="003D1E8D"/>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3">
    <w:name w:val="Grid Table 4 Accent 3"/>
    <w:basedOn w:val="TableNormal"/>
    <w:uiPriority w:val="49"/>
    <w:rsid w:val="003D1E8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ragraph">
    <w:name w:val="paragraph"/>
    <w:basedOn w:val="Normal"/>
    <w:rsid w:val="003D1E8D"/>
    <w:pPr>
      <w:spacing w:before="100" w:beforeAutospacing="1" w:after="100" w:afterAutospacing="1"/>
    </w:pPr>
    <w:rPr>
      <w:rFonts w:ascii="Times New Roman" w:eastAsia="Times New Roman" w:hAnsi="Times New Roman" w:cs="Times New Roman"/>
    </w:rPr>
  </w:style>
  <w:style w:type="character" w:styleId="Emphasis">
    <w:name w:val="Emphasis"/>
    <w:uiPriority w:val="20"/>
    <w:qFormat/>
    <w:rsid w:val="00640FB6"/>
    <w:rPr>
      <w:b/>
      <w:bCs/>
      <w:i/>
      <w:iCs/>
      <w:spacing w:val="10"/>
    </w:rPr>
  </w:style>
  <w:style w:type="paragraph" w:styleId="NoSpacing">
    <w:name w:val="No Spacing"/>
    <w:basedOn w:val="Normal"/>
    <w:uiPriority w:val="1"/>
    <w:qFormat/>
    <w:rsid w:val="00640FB6"/>
    <w:pPr>
      <w:spacing w:after="0" w:line="240" w:lineRule="auto"/>
    </w:pPr>
  </w:style>
  <w:style w:type="character" w:styleId="SubtleEmphasis">
    <w:name w:val="Subtle Emphasis"/>
    <w:uiPriority w:val="19"/>
    <w:qFormat/>
    <w:rsid w:val="00640FB6"/>
    <w:rPr>
      <w:i/>
      <w:iCs/>
    </w:rPr>
  </w:style>
  <w:style w:type="character" w:styleId="SubtleReference">
    <w:name w:val="Subtle Reference"/>
    <w:basedOn w:val="DefaultParagraphFont"/>
    <w:uiPriority w:val="31"/>
    <w:qFormat/>
    <w:rsid w:val="00640FB6"/>
    <w:rPr>
      <w:smallCaps/>
    </w:rPr>
  </w:style>
  <w:style w:type="character" w:styleId="BookTitle">
    <w:name w:val="Book Title"/>
    <w:basedOn w:val="DefaultParagraphFont"/>
    <w:uiPriority w:val="33"/>
    <w:qFormat/>
    <w:rsid w:val="00640FB6"/>
    <w:rPr>
      <w:i/>
      <w:iCs/>
      <w:smallCaps/>
      <w:spacing w:val="5"/>
    </w:rPr>
  </w:style>
  <w:style w:type="numbering" w:customStyle="1" w:styleId="CurrentList1">
    <w:name w:val="Current List1"/>
    <w:uiPriority w:val="99"/>
    <w:rsid w:val="00854015"/>
    <w:pPr>
      <w:numPr>
        <w:numId w:val="2"/>
      </w:numPr>
    </w:pPr>
  </w:style>
  <w:style w:type="numbering" w:customStyle="1" w:styleId="CurrentList2">
    <w:name w:val="Current List2"/>
    <w:uiPriority w:val="99"/>
    <w:rsid w:val="00854015"/>
    <w:pPr>
      <w:numPr>
        <w:numId w:val="3"/>
      </w:numPr>
    </w:pPr>
  </w:style>
  <w:style w:type="numbering" w:styleId="111111">
    <w:name w:val="Outline List 2"/>
    <w:basedOn w:val="NoList"/>
    <w:uiPriority w:val="99"/>
    <w:semiHidden/>
    <w:unhideWhenUsed/>
    <w:rsid w:val="00854015"/>
    <w:pPr>
      <w:numPr>
        <w:numId w:val="4"/>
      </w:numPr>
    </w:pPr>
  </w:style>
  <w:style w:type="numbering" w:customStyle="1" w:styleId="CurrentList3">
    <w:name w:val="Current List3"/>
    <w:uiPriority w:val="99"/>
    <w:rsid w:val="00842240"/>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image" Target="media/image5.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16" Type="http://schemas.openxmlformats.org/officeDocument/2006/relationships/footer" Target="footer4.xml"/><Relationship Id="rId107" Type="http://schemas.openxmlformats.org/officeDocument/2006/relationships/glossaryDocument" Target="glossary/document.xml"/><Relationship Id="rId11" Type="http://schemas.openxmlformats.org/officeDocument/2006/relationships/footer" Target="footer1.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5.png"/><Relationship Id="rId58" Type="http://schemas.openxmlformats.org/officeDocument/2006/relationships/image" Target="media/image39.png"/><Relationship Id="rId74" Type="http://schemas.openxmlformats.org/officeDocument/2006/relationships/image" Target="media/image53.png"/><Relationship Id="rId79" Type="http://schemas.openxmlformats.org/officeDocument/2006/relationships/image" Target="media/image58.png"/><Relationship Id="rId102" Type="http://schemas.openxmlformats.org/officeDocument/2006/relationships/image" Target="media/image80.png"/><Relationship Id="rId5" Type="http://schemas.openxmlformats.org/officeDocument/2006/relationships/numbering" Target="numbering.xml"/><Relationship Id="rId90" Type="http://schemas.openxmlformats.org/officeDocument/2006/relationships/footer" Target="footer5.xml"/><Relationship Id="rId95" Type="http://schemas.openxmlformats.org/officeDocument/2006/relationships/image" Target="media/image73.png"/><Relationship Id="rId22" Type="http://schemas.openxmlformats.org/officeDocument/2006/relationships/image" Target="media/image6.png"/><Relationship Id="rId27" Type="http://schemas.openxmlformats.org/officeDocument/2006/relationships/image" Target="media/image10.wmf"/><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image" Target="media/image43.png"/><Relationship Id="rId69" Type="http://schemas.openxmlformats.org/officeDocument/2006/relationships/image" Target="media/image48.png"/><Relationship Id="rId80" Type="http://schemas.openxmlformats.org/officeDocument/2006/relationships/image" Target="media/image59.png"/><Relationship Id="rId85" Type="http://schemas.openxmlformats.org/officeDocument/2006/relationships/image" Target="media/image64.png"/><Relationship Id="rId12" Type="http://schemas.openxmlformats.org/officeDocument/2006/relationships/footer" Target="footer2.xml"/><Relationship Id="rId17" Type="http://schemas.openxmlformats.org/officeDocument/2006/relationships/image" Target="media/image1.png"/><Relationship Id="rId33" Type="http://schemas.openxmlformats.org/officeDocument/2006/relationships/image" Target="media/image16.png"/><Relationship Id="rId38" Type="http://schemas.openxmlformats.org/officeDocument/2006/relationships/hyperlink" Target="https://github.com/DKMcCullough/Pro_vs_Syn" TargetMode="External"/><Relationship Id="rId59" Type="http://schemas.openxmlformats.org/officeDocument/2006/relationships/image" Target="media/image40.png"/><Relationship Id="rId103" Type="http://schemas.openxmlformats.org/officeDocument/2006/relationships/image" Target="media/image81.png"/><Relationship Id="rId108"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23.png"/><Relationship Id="rId54" Type="http://schemas.openxmlformats.org/officeDocument/2006/relationships/hyperlink" Target="https://darwinproject.mit.edu/research/" TargetMode="External"/><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69.png"/><Relationship Id="rId96" Type="http://schemas.openxmlformats.org/officeDocument/2006/relationships/image" Target="media/image7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image" Target="media/image11.wmf"/><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image" Target="media/image38.png"/><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yperlink" Target="https://gitlab.com/darwinproject/gud/-/tree/gud/verification/monod_eccov3_6+4?ref_type=heads" TargetMode="External"/><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2.png"/><Relationship Id="rId99" Type="http://schemas.openxmlformats.org/officeDocument/2006/relationships/image" Target="media/image77.png"/><Relationship Id="rId101" Type="http://schemas.openxmlformats.org/officeDocument/2006/relationships/image" Target="media/image7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file:////Users/dkm/Documents/Talmy_research/Diss_parts/Thesis-edits-post-defense/Diss_resubmission_3-redo.docx" TargetMode="External"/><Relationship Id="rId18" Type="http://schemas.openxmlformats.org/officeDocument/2006/relationships/image" Target="media/image2.png"/><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image" Target="media/image32.png"/><Relationship Id="rId55" Type="http://schemas.openxmlformats.org/officeDocument/2006/relationships/image" Target="media/image36.png"/><Relationship Id="rId76" Type="http://schemas.openxmlformats.org/officeDocument/2006/relationships/image" Target="media/image55.png"/><Relationship Id="rId97" Type="http://schemas.openxmlformats.org/officeDocument/2006/relationships/image" Target="media/image75.png"/><Relationship Id="rId104" Type="http://schemas.openxmlformats.org/officeDocument/2006/relationships/image" Target="media/image82.png"/><Relationship Id="rId7" Type="http://schemas.openxmlformats.org/officeDocument/2006/relationships/settings" Target="settings.xml"/><Relationship Id="rId71" Type="http://schemas.openxmlformats.org/officeDocument/2006/relationships/image" Target="media/image50.pn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8.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5.png"/><Relationship Id="rId87" Type="http://schemas.openxmlformats.org/officeDocument/2006/relationships/image" Target="media/image66.png"/><Relationship Id="rId61" Type="http://schemas.openxmlformats.org/officeDocument/2006/relationships/hyperlink" Target="https://darwinproject.mit.edu/research/" TargetMode="External"/><Relationship Id="rId82" Type="http://schemas.openxmlformats.org/officeDocument/2006/relationships/image" Target="media/image61.png"/><Relationship Id="rId19" Type="http://schemas.openxmlformats.org/officeDocument/2006/relationships/image" Target="media/image3.png"/><Relationship Id="rId14" Type="http://schemas.openxmlformats.org/officeDocument/2006/relationships/hyperlink" Target="file:////Users/dkm/Documents/Talmy_research/Diss_parts/Thesis-edits-post-defense/Diss_resubmission_3-redo.docx"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7.png"/><Relationship Id="rId77" Type="http://schemas.openxmlformats.org/officeDocument/2006/relationships/image" Target="media/image56.png"/><Relationship Id="rId100" Type="http://schemas.openxmlformats.org/officeDocument/2006/relationships/image" Target="media/image78.png"/><Relationship Id="rId105" Type="http://schemas.openxmlformats.org/officeDocument/2006/relationships/image" Target="media/image83.png"/><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image" Target="media/image51.png"/><Relationship Id="rId93" Type="http://schemas.openxmlformats.org/officeDocument/2006/relationships/image" Target="media/image71.png"/><Relationship Id="rId98" Type="http://schemas.openxmlformats.org/officeDocument/2006/relationships/image" Target="media/image76.png"/><Relationship Id="rId3" Type="http://schemas.openxmlformats.org/officeDocument/2006/relationships/customXml" Target="../customXml/item3.xml"/><Relationship Id="rId25" Type="http://schemas.openxmlformats.org/officeDocument/2006/relationships/hyperlink" Target="https://github.com/DKMcCullough/HOOH_dynamics" TargetMode="External"/><Relationship Id="rId46" Type="http://schemas.openxmlformats.org/officeDocument/2006/relationships/image" Target="media/image28.png"/><Relationship Id="rId67" Type="http://schemas.openxmlformats.org/officeDocument/2006/relationships/image" Target="media/image4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8BF4D35504EEE49BEA7A8B78C3292B5"/>
        <w:category>
          <w:name w:val="General"/>
          <w:gallery w:val="placeholder"/>
        </w:category>
        <w:types>
          <w:type w:val="bbPlcHdr"/>
        </w:types>
        <w:behaviors>
          <w:behavior w:val="content"/>
        </w:behaviors>
        <w:guid w:val="{2071A2CE-F807-1C48-8AE2-8B4565405A4E}"/>
      </w:docPartPr>
      <w:docPartBody>
        <w:p w:rsidR="008443F8" w:rsidRDefault="00EA7403" w:rsidP="00EA7403">
          <w:pPr>
            <w:pStyle w:val="28BF4D35504EEE49BEA7A8B78C3292B5"/>
          </w:pPr>
          <w:r w:rsidRPr="009F4159">
            <w:rPr>
              <w:rStyle w:val="PlaceholderText"/>
            </w:rPr>
            <w:t>Click or tap here to enter text.</w:t>
          </w:r>
        </w:p>
      </w:docPartBody>
    </w:docPart>
    <w:docPart>
      <w:docPartPr>
        <w:name w:val="EA386DD3D127124A8BEB6F35955DD565"/>
        <w:category>
          <w:name w:val="General"/>
          <w:gallery w:val="placeholder"/>
        </w:category>
        <w:types>
          <w:type w:val="bbPlcHdr"/>
        </w:types>
        <w:behaviors>
          <w:behavior w:val="content"/>
        </w:behaviors>
        <w:guid w:val="{456E2877-F7AF-5A49-9C7F-44A1077539C6}"/>
      </w:docPartPr>
      <w:docPartBody>
        <w:p w:rsidR="00586463" w:rsidRDefault="00EC735B" w:rsidP="00EC735B">
          <w:pPr>
            <w:pStyle w:val="EA386DD3D127124A8BEB6F35955DD565"/>
          </w:pPr>
          <w:r w:rsidRPr="009F4159">
            <w:rPr>
              <w:rStyle w:val="PlaceholderText"/>
            </w:rPr>
            <w:t>Click or tap here to enter text.</w:t>
          </w:r>
        </w:p>
      </w:docPartBody>
    </w:docPart>
    <w:docPart>
      <w:docPartPr>
        <w:name w:val="1C35CD502F34F149A0C76A2F8E2D40B3"/>
        <w:category>
          <w:name w:val="General"/>
          <w:gallery w:val="placeholder"/>
        </w:category>
        <w:types>
          <w:type w:val="bbPlcHdr"/>
        </w:types>
        <w:behaviors>
          <w:behavior w:val="content"/>
        </w:behaviors>
        <w:guid w:val="{F8B00DEF-875A-AC44-B152-BEEA5001D31B}"/>
      </w:docPartPr>
      <w:docPartBody>
        <w:p w:rsidR="001A52A6" w:rsidRDefault="00EC73CF" w:rsidP="00EC73CF">
          <w:pPr>
            <w:pStyle w:val="1C35CD502F34F149A0C76A2F8E2D40B3"/>
          </w:pPr>
          <w:r w:rsidRPr="009F41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otham Book">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abda">
    <w:altName w:val="Cambria"/>
    <w:panose1 w:val="00000000000000000000"/>
    <w:charset w:val="00"/>
    <w:family w:val="roman"/>
    <w:notTrueType/>
    <w:pitch w:val="default"/>
  </w:font>
  <w:font w:name="greek">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03"/>
    <w:rsid w:val="00031093"/>
    <w:rsid w:val="00093806"/>
    <w:rsid w:val="00177372"/>
    <w:rsid w:val="001A52A6"/>
    <w:rsid w:val="0028127C"/>
    <w:rsid w:val="0029670B"/>
    <w:rsid w:val="002A1074"/>
    <w:rsid w:val="00331705"/>
    <w:rsid w:val="003C1FE4"/>
    <w:rsid w:val="00481473"/>
    <w:rsid w:val="004D0950"/>
    <w:rsid w:val="004D7E8D"/>
    <w:rsid w:val="004F0998"/>
    <w:rsid w:val="004F58DC"/>
    <w:rsid w:val="00515CFE"/>
    <w:rsid w:val="00586463"/>
    <w:rsid w:val="005A2A83"/>
    <w:rsid w:val="00655EA0"/>
    <w:rsid w:val="00705E27"/>
    <w:rsid w:val="007A1A7F"/>
    <w:rsid w:val="00840432"/>
    <w:rsid w:val="008443F8"/>
    <w:rsid w:val="0087018A"/>
    <w:rsid w:val="00895127"/>
    <w:rsid w:val="008A4435"/>
    <w:rsid w:val="009058A7"/>
    <w:rsid w:val="009346F8"/>
    <w:rsid w:val="00982ECF"/>
    <w:rsid w:val="0099481E"/>
    <w:rsid w:val="009B718A"/>
    <w:rsid w:val="009C766B"/>
    <w:rsid w:val="009F24DB"/>
    <w:rsid w:val="00A01497"/>
    <w:rsid w:val="00A04620"/>
    <w:rsid w:val="00A31274"/>
    <w:rsid w:val="00A50753"/>
    <w:rsid w:val="00A70AB1"/>
    <w:rsid w:val="00A85EA0"/>
    <w:rsid w:val="00B1075F"/>
    <w:rsid w:val="00BF6267"/>
    <w:rsid w:val="00C56935"/>
    <w:rsid w:val="00CA227B"/>
    <w:rsid w:val="00CA69DD"/>
    <w:rsid w:val="00CD60F2"/>
    <w:rsid w:val="00D4409E"/>
    <w:rsid w:val="00D96789"/>
    <w:rsid w:val="00DF70AB"/>
    <w:rsid w:val="00E531EE"/>
    <w:rsid w:val="00E67104"/>
    <w:rsid w:val="00EA7403"/>
    <w:rsid w:val="00EC735B"/>
    <w:rsid w:val="00EC73CF"/>
    <w:rsid w:val="00F30686"/>
    <w:rsid w:val="00F669FE"/>
    <w:rsid w:val="00F70442"/>
    <w:rsid w:val="00F7349B"/>
    <w:rsid w:val="00F8101C"/>
    <w:rsid w:val="00FD1855"/>
    <w:rsid w:val="00FE0B45"/>
    <w:rsid w:val="00FF77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69DD"/>
    <w:rPr>
      <w:color w:val="808080"/>
    </w:rPr>
  </w:style>
  <w:style w:type="paragraph" w:customStyle="1" w:styleId="28BF4D35504EEE49BEA7A8B78C3292B5">
    <w:name w:val="28BF4D35504EEE49BEA7A8B78C3292B5"/>
    <w:rsid w:val="00EA7403"/>
  </w:style>
  <w:style w:type="paragraph" w:customStyle="1" w:styleId="EA386DD3D127124A8BEB6F35955DD565">
    <w:name w:val="EA386DD3D127124A8BEB6F35955DD565"/>
    <w:rsid w:val="00EC735B"/>
  </w:style>
  <w:style w:type="paragraph" w:customStyle="1" w:styleId="1C35CD502F34F149A0C76A2F8E2D40B3">
    <w:name w:val="1C35CD502F34F149A0C76A2F8E2D40B3"/>
    <w:rsid w:val="00EC73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A2E08ABC61734FA34B8D254F290F2F" ma:contentTypeVersion="17" ma:contentTypeDescription="Create a new document." ma:contentTypeScope="" ma:versionID="414548653700a07c3150ee02c818d87e">
  <xsd:schema xmlns:xsd="http://www.w3.org/2001/XMLSchema" xmlns:xs="http://www.w3.org/2001/XMLSchema" xmlns:p="http://schemas.microsoft.com/office/2006/metadata/properties" xmlns:ns2="df700ba8-47c3-45a2-9618-1c2aef5af6eb" xmlns:ns3="ab8e16cc-3d9b-493c-be7e-0211607e0090" targetNamespace="http://schemas.microsoft.com/office/2006/metadata/properties" ma:root="true" ma:fieldsID="839e159f656a0e6b5886c05d7e7e7b26" ns2:_="" ns3:_="">
    <xsd:import namespace="df700ba8-47c3-45a2-9618-1c2aef5af6eb"/>
    <xsd:import namespace="ab8e16cc-3d9b-493c-be7e-0211607e0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00ba8-47c3-45a2-9618-1c2aef5af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e16cc-3d9b-493c-be7e-0211607e009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9090734-b667-46ca-bbd9-f3f92b5eac5f}" ma:internalName="TaxCatchAll" ma:showField="CatchAllData" ma:web="ab8e16cc-3d9b-493c-be7e-0211607e0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8e16cc-3d9b-493c-be7e-0211607e0090" xsi:nil="true"/>
    <lcf76f155ced4ddcb4097134ff3c332f xmlns="df700ba8-47c3-45a2-9618-1c2aef5af6e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EF521-F880-4A9A-85EA-F513DB03D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00ba8-47c3-45a2-9618-1c2aef5af6eb"/>
    <ds:schemaRef ds:uri="ab8e16cc-3d9b-493c-be7e-0211607e0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430AB-00B1-4878-A0FF-1AE54761B3DF}">
  <ds:schemaRefs>
    <ds:schemaRef ds:uri="http://schemas.microsoft.com/office/2006/metadata/properties"/>
    <ds:schemaRef ds:uri="http://schemas.microsoft.com/office/infopath/2007/PartnerControls"/>
    <ds:schemaRef ds:uri="ab8e16cc-3d9b-493c-be7e-0211607e0090"/>
    <ds:schemaRef ds:uri="df700ba8-47c3-45a2-9618-1c2aef5af6eb"/>
  </ds:schemaRefs>
</ds:datastoreItem>
</file>

<file path=customXml/itemProps3.xml><?xml version="1.0" encoding="utf-8"?>
<ds:datastoreItem xmlns:ds="http://schemas.openxmlformats.org/officeDocument/2006/customXml" ds:itemID="{8B86DAAB-2138-D046-A789-CEBF4B1BF37E}">
  <ds:schemaRefs>
    <ds:schemaRef ds:uri="http://schemas.openxmlformats.org/officeDocument/2006/bibliography"/>
  </ds:schemaRefs>
</ds:datastoreItem>
</file>

<file path=customXml/itemProps4.xml><?xml version="1.0" encoding="utf-8"?>
<ds:datastoreItem xmlns:ds="http://schemas.openxmlformats.org/officeDocument/2006/customXml" ds:itemID="{0FE3C43A-4368-4D17-AB4F-9BD79090F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198</Pages>
  <Words>242072</Words>
  <Characters>1573468</Characters>
  <Application>Microsoft Office Word</Application>
  <DocSecurity>0</DocSecurity>
  <Lines>21554</Lines>
  <Paragraphs>797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Mccullough, Donna Kathleen</dc:creator>
  <cp:keywords/>
  <dc:description/>
  <cp:lastModifiedBy>Sherman, Abby L</cp:lastModifiedBy>
  <cp:revision>5</cp:revision>
  <cp:lastPrinted>2024-05-23T18:16:00Z</cp:lastPrinted>
  <dcterms:created xsi:type="dcterms:W3CDTF">2024-07-29T21:23:00Z</dcterms:created>
  <dcterms:modified xsi:type="dcterms:W3CDTF">2024-07-30T20:42:00Z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0x01010085A2E08ABC61734FA34B8D254F290F2F</vt:lpwstr>
  </property>
  <property fmtid="{D5CDD505-2E9C-101B-9397-08002B2CF9AE}" pid="3" name="MediaServiceImageTags">
    <vt:lpwstr/>
  </property>
  <property fmtid="{D5CDD505-2E9C-101B-9397-08002B2CF9AE}" pid="4" name="ZOTERO_PREF_1">
    <vt:lpwstr>&lt;data data-version="3" zotero-version="6.0.37"&gt;&lt;session id="DHAton5A"/&gt;&lt;style id="http://www.zotero.org/styles/chicago-author-date" locale="en-US" hasBibliography="1" bibliographyStyleHasBeenSet="1"/&gt;&lt;prefs&gt;&lt;pref name="fieldType" value="Field"/&gt;&lt;pref name</vt:lpwstr>
  </property>
  <property fmtid="{D5CDD505-2E9C-101B-9397-08002B2CF9AE}" pid="5" name="ZOTERO_PREF_2">
    <vt:lpwstr>="dontAskDelayCitationUpdates" value="true"/&gt;&lt;/prefs&gt;&lt;/data&gt;</vt:lpwstr>
  </property>
</Properties>
</file>