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4F077" w14:textId="0AF9A676" w:rsidR="00446C53" w:rsidRDefault="00497B76" w:rsidP="00446C53">
      <w:pPr>
        <w:jc w:val="center"/>
        <w:rPr>
          <w:b/>
          <w:bCs/>
        </w:rPr>
      </w:pPr>
      <w:r>
        <w:rPr>
          <w:b/>
          <w:bCs/>
        </w:rPr>
        <w:t>Questing and Defense Against Death Anxiety</w:t>
      </w:r>
    </w:p>
    <w:p w14:paraId="44AF0AD5" w14:textId="77777777" w:rsidR="00446C53" w:rsidRDefault="00446C53" w:rsidP="00446C53">
      <w:pPr>
        <w:jc w:val="center"/>
        <w:rPr>
          <w:b/>
          <w:bCs/>
        </w:rPr>
      </w:pPr>
    </w:p>
    <w:p w14:paraId="3D67A104" w14:textId="77777777" w:rsidR="00446C53" w:rsidRDefault="00446C53" w:rsidP="00446C53">
      <w:pPr>
        <w:jc w:val="center"/>
        <w:rPr>
          <w:b/>
          <w:bCs/>
        </w:rPr>
      </w:pPr>
    </w:p>
    <w:p w14:paraId="008D19FD" w14:textId="77777777" w:rsidR="00446C53" w:rsidRDefault="00446C53" w:rsidP="00446C53">
      <w:pPr>
        <w:jc w:val="center"/>
        <w:rPr>
          <w:b/>
          <w:bCs/>
        </w:rPr>
      </w:pPr>
    </w:p>
    <w:p w14:paraId="434937C6" w14:textId="77777777" w:rsidR="00446C53" w:rsidRDefault="00446C53" w:rsidP="00446C53">
      <w:pPr>
        <w:jc w:val="center"/>
        <w:rPr>
          <w:b/>
          <w:bCs/>
        </w:rPr>
      </w:pPr>
    </w:p>
    <w:p w14:paraId="29F6FA3E" w14:textId="77777777" w:rsidR="00446C53" w:rsidRDefault="00446C53" w:rsidP="00446C53">
      <w:pPr>
        <w:jc w:val="center"/>
        <w:rPr>
          <w:b/>
          <w:bCs/>
        </w:rPr>
      </w:pPr>
    </w:p>
    <w:p w14:paraId="071A6C14" w14:textId="77777777" w:rsidR="00446C53" w:rsidRDefault="00446C53" w:rsidP="00446C53">
      <w:pPr>
        <w:jc w:val="center"/>
        <w:rPr>
          <w:b/>
          <w:bCs/>
        </w:rPr>
      </w:pPr>
    </w:p>
    <w:p w14:paraId="6E0BB474" w14:textId="77777777" w:rsidR="00446C53" w:rsidRDefault="00446C53" w:rsidP="00446C53">
      <w:pPr>
        <w:jc w:val="center"/>
        <w:rPr>
          <w:b/>
          <w:bCs/>
        </w:rPr>
      </w:pPr>
    </w:p>
    <w:p w14:paraId="0BAF885C" w14:textId="77777777" w:rsidR="00446C53" w:rsidRDefault="00446C53" w:rsidP="00446C53">
      <w:pPr>
        <w:jc w:val="center"/>
        <w:rPr>
          <w:b/>
          <w:bCs/>
        </w:rPr>
      </w:pPr>
    </w:p>
    <w:p w14:paraId="21CE766E" w14:textId="77777777" w:rsidR="00446C53" w:rsidRDefault="00446C53" w:rsidP="00446C53">
      <w:pPr>
        <w:jc w:val="center"/>
        <w:rPr>
          <w:b/>
          <w:bCs/>
        </w:rPr>
      </w:pPr>
    </w:p>
    <w:p w14:paraId="504B60EC" w14:textId="1B97EB7C" w:rsidR="00446C53" w:rsidRDefault="00446C53" w:rsidP="00446C53">
      <w:pPr>
        <w:jc w:val="center"/>
        <w:rPr>
          <w:b/>
          <w:bCs/>
        </w:rPr>
      </w:pPr>
    </w:p>
    <w:p w14:paraId="2E31A4D4" w14:textId="4D07EE64" w:rsidR="00F3242B" w:rsidRDefault="00F3242B" w:rsidP="00446C53">
      <w:pPr>
        <w:jc w:val="center"/>
        <w:rPr>
          <w:b/>
          <w:bCs/>
        </w:rPr>
      </w:pPr>
    </w:p>
    <w:p w14:paraId="44515948" w14:textId="4AC4E362" w:rsidR="00F3242B" w:rsidRDefault="00F3242B" w:rsidP="00446C53">
      <w:pPr>
        <w:jc w:val="center"/>
        <w:rPr>
          <w:b/>
          <w:bCs/>
        </w:rPr>
      </w:pPr>
    </w:p>
    <w:p w14:paraId="7E5410D9" w14:textId="77777777" w:rsidR="00F3242B" w:rsidRDefault="00F3242B" w:rsidP="00446C53">
      <w:pPr>
        <w:jc w:val="center"/>
        <w:rPr>
          <w:b/>
          <w:bCs/>
        </w:rPr>
      </w:pPr>
    </w:p>
    <w:p w14:paraId="2E9085A9" w14:textId="3181A804" w:rsidR="00F3242B" w:rsidRDefault="00F3242B" w:rsidP="00446C53">
      <w:pPr>
        <w:jc w:val="center"/>
        <w:rPr>
          <w:b/>
          <w:bCs/>
        </w:rPr>
      </w:pPr>
    </w:p>
    <w:p w14:paraId="56176B7B" w14:textId="77777777" w:rsidR="00F3242B" w:rsidRDefault="00F3242B" w:rsidP="00446C53">
      <w:pPr>
        <w:jc w:val="center"/>
        <w:rPr>
          <w:b/>
          <w:bCs/>
        </w:rPr>
      </w:pPr>
    </w:p>
    <w:p w14:paraId="16C5F5ED" w14:textId="2382AC3F" w:rsidR="00446C53" w:rsidRPr="00E82F2E" w:rsidRDefault="00586507" w:rsidP="00446C53">
      <w:pPr>
        <w:jc w:val="center"/>
      </w:pPr>
      <w:r w:rsidRPr="00E82F2E">
        <w:t>A Dissertation Presented for the</w:t>
      </w:r>
    </w:p>
    <w:p w14:paraId="6716A95A" w14:textId="6DA8CCD5" w:rsidR="00586507" w:rsidRPr="00E82F2E" w:rsidRDefault="00586507" w:rsidP="00446C53">
      <w:pPr>
        <w:jc w:val="center"/>
      </w:pPr>
      <w:r w:rsidRPr="00E82F2E">
        <w:t>Doctor of Philosophy</w:t>
      </w:r>
    </w:p>
    <w:p w14:paraId="7FC70721" w14:textId="709C8248" w:rsidR="00586507" w:rsidRPr="00E82F2E" w:rsidRDefault="00586507" w:rsidP="00446C53">
      <w:pPr>
        <w:jc w:val="center"/>
      </w:pPr>
      <w:r w:rsidRPr="00E82F2E">
        <w:t>Degree</w:t>
      </w:r>
    </w:p>
    <w:p w14:paraId="3F3EF560" w14:textId="5BAE32BF" w:rsidR="00586507" w:rsidRPr="00E82F2E" w:rsidRDefault="00586507" w:rsidP="00446C53">
      <w:pPr>
        <w:jc w:val="center"/>
      </w:pPr>
      <w:r w:rsidRPr="00E82F2E">
        <w:t>The University of Tennessee, Knoxville</w:t>
      </w:r>
    </w:p>
    <w:p w14:paraId="7A6C1F8A" w14:textId="77777777" w:rsidR="00446C53" w:rsidRPr="00E82F2E" w:rsidRDefault="00446C53" w:rsidP="00446C53">
      <w:pPr>
        <w:jc w:val="center"/>
      </w:pPr>
    </w:p>
    <w:p w14:paraId="4B631EFE" w14:textId="77777777" w:rsidR="00446C53" w:rsidRPr="00E82F2E" w:rsidRDefault="00446C53" w:rsidP="00446C53">
      <w:pPr>
        <w:jc w:val="center"/>
      </w:pPr>
    </w:p>
    <w:p w14:paraId="1A2BE44E" w14:textId="77777777" w:rsidR="00446C53" w:rsidRPr="00E82F2E" w:rsidRDefault="00446C53" w:rsidP="00446C53">
      <w:pPr>
        <w:jc w:val="center"/>
      </w:pPr>
    </w:p>
    <w:p w14:paraId="631D290F" w14:textId="77777777" w:rsidR="00446C53" w:rsidRPr="00E82F2E" w:rsidRDefault="00446C53" w:rsidP="00446C53">
      <w:pPr>
        <w:jc w:val="center"/>
      </w:pPr>
    </w:p>
    <w:p w14:paraId="1E65A3B2" w14:textId="77777777" w:rsidR="00446C53" w:rsidRPr="00E82F2E" w:rsidRDefault="00446C53" w:rsidP="00446C53">
      <w:pPr>
        <w:jc w:val="center"/>
      </w:pPr>
    </w:p>
    <w:p w14:paraId="549613D1" w14:textId="77777777" w:rsidR="00446C53" w:rsidRPr="00E82F2E" w:rsidRDefault="00446C53" w:rsidP="00446C53">
      <w:pPr>
        <w:jc w:val="center"/>
      </w:pPr>
    </w:p>
    <w:p w14:paraId="2BF783BB" w14:textId="77777777" w:rsidR="00446C53" w:rsidRPr="00E82F2E" w:rsidRDefault="00446C53" w:rsidP="00446C53">
      <w:pPr>
        <w:jc w:val="center"/>
      </w:pPr>
    </w:p>
    <w:p w14:paraId="0378D1AA" w14:textId="77777777" w:rsidR="00446C53" w:rsidRPr="00E82F2E" w:rsidRDefault="00446C53" w:rsidP="00446C53">
      <w:pPr>
        <w:jc w:val="center"/>
      </w:pPr>
    </w:p>
    <w:p w14:paraId="7D2A48B5" w14:textId="77777777" w:rsidR="00446C53" w:rsidRPr="00E82F2E" w:rsidRDefault="00446C53" w:rsidP="00446C53">
      <w:pPr>
        <w:jc w:val="center"/>
      </w:pPr>
    </w:p>
    <w:p w14:paraId="5CF4A654" w14:textId="77777777" w:rsidR="00446C53" w:rsidRPr="00E82F2E" w:rsidRDefault="00446C53" w:rsidP="00446C53">
      <w:pPr>
        <w:jc w:val="center"/>
      </w:pPr>
    </w:p>
    <w:p w14:paraId="305A06B0" w14:textId="77777777" w:rsidR="00446C53" w:rsidRPr="00E82F2E" w:rsidRDefault="00446C53" w:rsidP="00446C53">
      <w:pPr>
        <w:jc w:val="center"/>
      </w:pPr>
    </w:p>
    <w:p w14:paraId="3E85D620" w14:textId="77777777" w:rsidR="00446C53" w:rsidRPr="00E82F2E" w:rsidRDefault="00446C53" w:rsidP="00446C53">
      <w:pPr>
        <w:jc w:val="center"/>
      </w:pPr>
    </w:p>
    <w:p w14:paraId="1BE562C3" w14:textId="77777777" w:rsidR="00446C53" w:rsidRPr="00E82F2E" w:rsidRDefault="00446C53" w:rsidP="00446C53">
      <w:pPr>
        <w:jc w:val="center"/>
      </w:pPr>
    </w:p>
    <w:p w14:paraId="50860B02" w14:textId="77777777" w:rsidR="00446C53" w:rsidRPr="00E82F2E" w:rsidRDefault="00446C53" w:rsidP="007F350E"/>
    <w:p w14:paraId="7A7E508D" w14:textId="04CD0E11" w:rsidR="00586507" w:rsidRPr="00E82F2E" w:rsidRDefault="00446C53" w:rsidP="00F3242B">
      <w:pPr>
        <w:jc w:val="center"/>
      </w:pPr>
      <w:r w:rsidRPr="00E82F2E">
        <w:t>Connor Logan Smith</w:t>
      </w:r>
    </w:p>
    <w:p w14:paraId="00B9795B" w14:textId="5551239D" w:rsidR="00586507" w:rsidRDefault="00CC454B" w:rsidP="00446C53">
      <w:pPr>
        <w:jc w:val="center"/>
      </w:pPr>
      <w:r>
        <w:t>August</w:t>
      </w:r>
      <w:r w:rsidR="00446C53" w:rsidRPr="00E82F2E">
        <w:t xml:space="preserve"> 2022</w:t>
      </w:r>
    </w:p>
    <w:p w14:paraId="243A8F22" w14:textId="77777777" w:rsidR="00586507" w:rsidRDefault="00586507">
      <w:r>
        <w:br w:type="page"/>
      </w:r>
    </w:p>
    <w:p w14:paraId="79AD941D" w14:textId="77777777" w:rsidR="00586507" w:rsidRDefault="00586507" w:rsidP="00446C53">
      <w:pPr>
        <w:jc w:val="center"/>
        <w:rPr>
          <w:b/>
          <w:bCs/>
        </w:rPr>
      </w:pPr>
      <w:r>
        <w:rPr>
          <w:b/>
          <w:bCs/>
        </w:rPr>
        <w:lastRenderedPageBreak/>
        <w:t>Abstract</w:t>
      </w:r>
    </w:p>
    <w:p w14:paraId="2FA9EE74" w14:textId="77777777" w:rsidR="00586507" w:rsidRDefault="00586507" w:rsidP="00446C53">
      <w:pPr>
        <w:jc w:val="center"/>
        <w:rPr>
          <w:b/>
          <w:bCs/>
        </w:rPr>
      </w:pPr>
    </w:p>
    <w:p w14:paraId="6CEC700E" w14:textId="493F3187" w:rsidR="00927D63" w:rsidRDefault="00FB40F4" w:rsidP="00FB40F4">
      <w:pPr>
        <w:spacing w:line="480" w:lineRule="auto"/>
      </w:pPr>
      <w:r>
        <w:tab/>
      </w:r>
      <w:r w:rsidR="00DD167D" w:rsidRPr="00DD167D">
        <w:t>In his seminal work </w:t>
      </w:r>
      <w:r w:rsidR="00DD167D" w:rsidRPr="00DD167D">
        <w:rPr>
          <w:i/>
          <w:iCs/>
        </w:rPr>
        <w:t>The Denial of </w:t>
      </w:r>
      <w:r w:rsidR="00DD167D" w:rsidRPr="00DD167D">
        <w:t>Death, Ernest Becker suggested that the primary motivation behind human behavior is a fear of dying. This claim has been operationalized into an empirically based theory entitled Terror Management Theory (TMT). TMT outlines how self-esteem and cultural worldviews play an important role in how humans manage death anxiety. One especially important cultural worldview is religion. TMT research suggests that religious beliefs help provide protection again death anxiety. Religious orientation research outlines three orientations to religion: extrinsic, intrinsic, and quest. In the present study, I investigate whether a quest-like state of mind may help buffer the effects of death anxiety.</w:t>
      </w:r>
    </w:p>
    <w:p w14:paraId="371A2A89" w14:textId="05E6762E" w:rsidR="00586507" w:rsidRDefault="00927D63" w:rsidP="00FB40F4">
      <w:pPr>
        <w:spacing w:line="480" w:lineRule="auto"/>
      </w:pPr>
      <w:r>
        <w:tab/>
      </w:r>
      <w:r>
        <w:rPr>
          <w:i/>
          <w:iCs/>
        </w:rPr>
        <w:t xml:space="preserve">Keywords: </w:t>
      </w:r>
      <w:r>
        <w:t>death anxiety, mortality salience, terror management theory, TMT, quest, questing</w:t>
      </w:r>
      <w:r w:rsidR="00586507">
        <w:br w:type="page"/>
      </w:r>
    </w:p>
    <w:p w14:paraId="18DC324F" w14:textId="77777777" w:rsidR="00397FBD" w:rsidRPr="008F471F" w:rsidRDefault="00397FBD" w:rsidP="00397FBD">
      <w:pPr>
        <w:jc w:val="center"/>
        <w:rPr>
          <w:b/>
        </w:rPr>
      </w:pPr>
      <w:r w:rsidRPr="008F471F">
        <w:rPr>
          <w:b/>
        </w:rPr>
        <w:lastRenderedPageBreak/>
        <w:t>Table of Contents</w:t>
      </w:r>
    </w:p>
    <w:p w14:paraId="5282C269" w14:textId="77777777" w:rsidR="00397FBD" w:rsidRPr="008F471F" w:rsidRDefault="00397FBD" w:rsidP="00397FBD">
      <w:pPr>
        <w:jc w:val="center"/>
        <w:rPr>
          <w:b/>
        </w:rPr>
      </w:pPr>
    </w:p>
    <w:p w14:paraId="7D691B72" w14:textId="77777777" w:rsidR="00397FBD" w:rsidRPr="008F471F" w:rsidRDefault="00397FBD" w:rsidP="00397FBD">
      <w:pPr>
        <w:tabs>
          <w:tab w:val="right" w:leader="dot" w:pos="8640"/>
        </w:tabs>
        <w:spacing w:line="480" w:lineRule="auto"/>
        <w:jc w:val="right"/>
        <w:rPr>
          <w:b/>
        </w:rPr>
      </w:pPr>
      <w:r w:rsidRPr="008F471F">
        <w:rPr>
          <w:b/>
        </w:rPr>
        <w:t>Chapter I: Introduction</w:t>
      </w:r>
      <w:r w:rsidRPr="008F471F">
        <w:rPr>
          <w:b/>
        </w:rPr>
        <w:tab/>
        <w:t>1</w:t>
      </w:r>
    </w:p>
    <w:p w14:paraId="444ED46F" w14:textId="50FE533F" w:rsidR="00397FBD" w:rsidRPr="008F471F" w:rsidRDefault="00090BB7" w:rsidP="00397FBD">
      <w:pPr>
        <w:tabs>
          <w:tab w:val="right" w:leader="dot" w:pos="8640"/>
        </w:tabs>
        <w:spacing w:line="480" w:lineRule="auto"/>
        <w:ind w:left="720"/>
        <w:jc w:val="right"/>
      </w:pPr>
      <w:r>
        <w:t>Death Anxiety and Ernest Becker</w:t>
      </w:r>
      <w:r w:rsidR="00397FBD">
        <w:tab/>
      </w:r>
      <w:r>
        <w:t>3</w:t>
      </w:r>
    </w:p>
    <w:p w14:paraId="1F386F15" w14:textId="1A653AE9" w:rsidR="00397FBD" w:rsidRPr="008F471F" w:rsidRDefault="00090BB7" w:rsidP="00397FBD">
      <w:pPr>
        <w:tabs>
          <w:tab w:val="right" w:leader="dot" w:pos="8640"/>
        </w:tabs>
        <w:spacing w:line="480" w:lineRule="auto"/>
        <w:ind w:left="720"/>
        <w:jc w:val="right"/>
      </w:pPr>
      <w:r>
        <w:t>Terror Management Theory</w:t>
      </w:r>
      <w:r w:rsidR="00397FBD" w:rsidRPr="008F471F">
        <w:tab/>
      </w:r>
      <w:r w:rsidR="00E805E7">
        <w:t>8</w:t>
      </w:r>
    </w:p>
    <w:p w14:paraId="530A3A6A" w14:textId="5CC91098" w:rsidR="00397FBD" w:rsidRPr="008F471F" w:rsidRDefault="00090BB7" w:rsidP="00397FBD">
      <w:pPr>
        <w:tabs>
          <w:tab w:val="right" w:leader="dot" w:pos="8640"/>
        </w:tabs>
        <w:spacing w:line="480" w:lineRule="auto"/>
        <w:ind w:left="720"/>
        <w:jc w:val="right"/>
      </w:pPr>
      <w:r>
        <w:t>Empirical Assessment of TMT</w:t>
      </w:r>
      <w:r w:rsidR="00397FBD" w:rsidRPr="008F471F">
        <w:tab/>
      </w:r>
      <w:r w:rsidR="00E805E7">
        <w:t>10</w:t>
      </w:r>
    </w:p>
    <w:p w14:paraId="097182FB" w14:textId="003748B7" w:rsidR="00090BB7" w:rsidRDefault="00090BB7" w:rsidP="00090BB7">
      <w:pPr>
        <w:tabs>
          <w:tab w:val="right" w:leader="dot" w:pos="8640"/>
        </w:tabs>
        <w:spacing w:line="480" w:lineRule="auto"/>
        <w:ind w:left="720"/>
        <w:jc w:val="right"/>
      </w:pPr>
      <w:r>
        <w:t>Religion and Terror Management Theory</w:t>
      </w:r>
      <w:r w:rsidR="00397FBD" w:rsidRPr="008F471F">
        <w:tab/>
        <w:t>1</w:t>
      </w:r>
      <w:r w:rsidR="00E805E7">
        <w:t>4</w:t>
      </w:r>
    </w:p>
    <w:p w14:paraId="0E4DC49D" w14:textId="1EC38CA4" w:rsidR="00090BB7" w:rsidRDefault="00090BB7" w:rsidP="00090BB7">
      <w:pPr>
        <w:tabs>
          <w:tab w:val="right" w:leader="dot" w:pos="8640"/>
        </w:tabs>
        <w:spacing w:line="480" w:lineRule="auto"/>
        <w:ind w:left="720"/>
        <w:jc w:val="right"/>
      </w:pPr>
      <w:r>
        <w:t>Religious Orientation and Terror Management Theory</w:t>
      </w:r>
      <w:r w:rsidRPr="008F471F">
        <w:tab/>
        <w:t>1</w:t>
      </w:r>
      <w:r w:rsidR="00E805E7">
        <w:t>5</w:t>
      </w:r>
    </w:p>
    <w:p w14:paraId="1C7248D9" w14:textId="7A957B6B" w:rsidR="00090BB7" w:rsidRPr="008F471F" w:rsidRDefault="00090BB7" w:rsidP="00090BB7">
      <w:pPr>
        <w:tabs>
          <w:tab w:val="right" w:leader="dot" w:pos="8640"/>
        </w:tabs>
        <w:spacing w:line="480" w:lineRule="auto"/>
        <w:ind w:left="720"/>
        <w:jc w:val="right"/>
      </w:pPr>
      <w:r>
        <w:t>Questing</w:t>
      </w:r>
      <w:r w:rsidRPr="008F471F">
        <w:tab/>
        <w:t>1</w:t>
      </w:r>
      <w:r w:rsidR="00E805E7">
        <w:t>8</w:t>
      </w:r>
    </w:p>
    <w:p w14:paraId="410F1E31" w14:textId="0F89532A" w:rsidR="00397FBD" w:rsidRPr="008F471F" w:rsidRDefault="00397FBD" w:rsidP="00397FBD">
      <w:pPr>
        <w:tabs>
          <w:tab w:val="right" w:leader="dot" w:pos="8640"/>
        </w:tabs>
        <w:spacing w:line="480" w:lineRule="auto"/>
        <w:jc w:val="right"/>
        <w:rPr>
          <w:b/>
        </w:rPr>
      </w:pPr>
      <w:r w:rsidRPr="008F471F">
        <w:rPr>
          <w:b/>
        </w:rPr>
        <w:t>Chapter II: Methods</w:t>
      </w:r>
      <w:r w:rsidRPr="008F471F">
        <w:rPr>
          <w:b/>
        </w:rPr>
        <w:tab/>
      </w:r>
      <w:r w:rsidR="00E805E7">
        <w:rPr>
          <w:b/>
        </w:rPr>
        <w:t>20</w:t>
      </w:r>
    </w:p>
    <w:p w14:paraId="7C0606DA" w14:textId="36F0661E" w:rsidR="00397FBD" w:rsidRPr="008F471F" w:rsidRDefault="00090BB7" w:rsidP="00397FBD">
      <w:pPr>
        <w:tabs>
          <w:tab w:val="right" w:leader="dot" w:pos="8640"/>
        </w:tabs>
        <w:spacing w:line="480" w:lineRule="auto"/>
        <w:ind w:left="720"/>
        <w:jc w:val="right"/>
      </w:pPr>
      <w:r>
        <w:t>Study Population</w:t>
      </w:r>
      <w:r w:rsidR="00397FBD" w:rsidRPr="008F471F">
        <w:tab/>
      </w:r>
      <w:r w:rsidR="00E805E7">
        <w:t>20</w:t>
      </w:r>
    </w:p>
    <w:p w14:paraId="0E41DD39" w14:textId="552D4F60" w:rsidR="00397FBD" w:rsidRPr="008F471F" w:rsidRDefault="00397FBD" w:rsidP="00397FBD">
      <w:pPr>
        <w:tabs>
          <w:tab w:val="right" w:leader="dot" w:pos="8640"/>
        </w:tabs>
        <w:spacing w:line="480" w:lineRule="auto"/>
        <w:ind w:left="720"/>
        <w:jc w:val="right"/>
      </w:pPr>
      <w:r w:rsidRPr="008F471F">
        <w:t xml:space="preserve">Materials </w:t>
      </w:r>
      <w:r w:rsidRPr="008F471F">
        <w:tab/>
      </w:r>
      <w:r w:rsidR="00E805E7">
        <w:t>20</w:t>
      </w:r>
    </w:p>
    <w:p w14:paraId="0FD08949" w14:textId="42B2FE79" w:rsidR="00397FBD" w:rsidRDefault="00397FBD" w:rsidP="00397FBD">
      <w:pPr>
        <w:tabs>
          <w:tab w:val="right" w:leader="dot" w:pos="8640"/>
        </w:tabs>
        <w:spacing w:line="480" w:lineRule="auto"/>
        <w:ind w:left="720"/>
        <w:jc w:val="right"/>
      </w:pPr>
      <w:r w:rsidRPr="008F471F">
        <w:t xml:space="preserve">Procedure </w:t>
      </w:r>
      <w:r w:rsidRPr="008F471F">
        <w:tab/>
      </w:r>
      <w:r w:rsidR="007F350E">
        <w:t>2</w:t>
      </w:r>
      <w:r w:rsidR="00E805E7">
        <w:t>5</w:t>
      </w:r>
    </w:p>
    <w:p w14:paraId="0454B60B" w14:textId="150B9D4B" w:rsidR="00090BB7" w:rsidRPr="008F471F" w:rsidRDefault="00090BB7" w:rsidP="00090BB7">
      <w:pPr>
        <w:tabs>
          <w:tab w:val="right" w:leader="dot" w:pos="8640"/>
        </w:tabs>
        <w:spacing w:line="480" w:lineRule="auto"/>
        <w:ind w:left="720"/>
        <w:jc w:val="right"/>
      </w:pPr>
      <w:r>
        <w:t>Hypotheses</w:t>
      </w:r>
      <w:r w:rsidRPr="008F471F">
        <w:tab/>
      </w:r>
      <w:r>
        <w:t>2</w:t>
      </w:r>
      <w:r w:rsidR="00E805E7">
        <w:t>6</w:t>
      </w:r>
    </w:p>
    <w:p w14:paraId="4E2F6420" w14:textId="1A95A948" w:rsidR="00397FBD" w:rsidRDefault="00397FBD" w:rsidP="00397FBD">
      <w:pPr>
        <w:tabs>
          <w:tab w:val="right" w:leader="dot" w:pos="8640"/>
        </w:tabs>
        <w:spacing w:line="480" w:lineRule="auto"/>
        <w:jc w:val="right"/>
        <w:rPr>
          <w:b/>
        </w:rPr>
      </w:pPr>
      <w:r w:rsidRPr="008F471F">
        <w:rPr>
          <w:b/>
        </w:rPr>
        <w:t>Chapter III: Results</w:t>
      </w:r>
      <w:r w:rsidRPr="008F471F">
        <w:rPr>
          <w:b/>
        </w:rPr>
        <w:tab/>
      </w:r>
      <w:r w:rsidR="00090BB7">
        <w:rPr>
          <w:b/>
        </w:rPr>
        <w:t>2</w:t>
      </w:r>
      <w:r w:rsidR="008A07EC">
        <w:rPr>
          <w:b/>
        </w:rPr>
        <w:t>8</w:t>
      </w:r>
    </w:p>
    <w:p w14:paraId="6BD8EC26" w14:textId="305A2C9D" w:rsidR="00090BB7" w:rsidRPr="007F350E" w:rsidRDefault="00090BB7" w:rsidP="007F350E">
      <w:pPr>
        <w:tabs>
          <w:tab w:val="right" w:leader="dot" w:pos="8640"/>
        </w:tabs>
        <w:spacing w:line="480" w:lineRule="auto"/>
        <w:ind w:left="720"/>
        <w:jc w:val="right"/>
      </w:pPr>
      <w:r>
        <w:t>Secondary Analyses</w:t>
      </w:r>
      <w:r w:rsidRPr="008F471F">
        <w:tab/>
      </w:r>
      <w:r w:rsidR="00E805E7">
        <w:t>3</w:t>
      </w:r>
      <w:r w:rsidR="008A07EC">
        <w:t>1</w:t>
      </w:r>
    </w:p>
    <w:p w14:paraId="0B20F8B8" w14:textId="03C787B0" w:rsidR="00397FBD" w:rsidRDefault="00397FBD" w:rsidP="00397FBD">
      <w:pPr>
        <w:tabs>
          <w:tab w:val="right" w:leader="dot" w:pos="8640"/>
        </w:tabs>
        <w:spacing w:line="480" w:lineRule="auto"/>
        <w:jc w:val="right"/>
        <w:rPr>
          <w:b/>
        </w:rPr>
      </w:pPr>
      <w:r w:rsidRPr="008F471F">
        <w:rPr>
          <w:b/>
        </w:rPr>
        <w:t>Chapter IV: Discussion</w:t>
      </w:r>
      <w:r w:rsidRPr="008F471F">
        <w:rPr>
          <w:b/>
        </w:rPr>
        <w:tab/>
      </w:r>
      <w:r w:rsidR="00E805E7">
        <w:rPr>
          <w:b/>
        </w:rPr>
        <w:t>3</w:t>
      </w:r>
      <w:r w:rsidR="008A07EC">
        <w:rPr>
          <w:b/>
        </w:rPr>
        <w:t>2</w:t>
      </w:r>
    </w:p>
    <w:p w14:paraId="626F74F3" w14:textId="45D62A46" w:rsidR="00090BB7" w:rsidRPr="008F471F" w:rsidRDefault="00306F41" w:rsidP="00090BB7">
      <w:pPr>
        <w:tabs>
          <w:tab w:val="right" w:leader="dot" w:pos="8640"/>
        </w:tabs>
        <w:spacing w:line="480" w:lineRule="auto"/>
        <w:ind w:left="720"/>
        <w:jc w:val="right"/>
      </w:pPr>
      <w:r>
        <w:t>COVID-19</w:t>
      </w:r>
      <w:r w:rsidR="00090BB7" w:rsidRPr="008F471F">
        <w:tab/>
      </w:r>
      <w:r w:rsidR="00E805E7">
        <w:t>3</w:t>
      </w:r>
      <w:r w:rsidR="008A07EC">
        <w:t>2</w:t>
      </w:r>
    </w:p>
    <w:p w14:paraId="79C51858" w14:textId="72070D4D" w:rsidR="00090BB7" w:rsidRPr="007F350E" w:rsidRDefault="00306F41" w:rsidP="007F350E">
      <w:pPr>
        <w:tabs>
          <w:tab w:val="right" w:leader="dot" w:pos="8640"/>
        </w:tabs>
        <w:spacing w:line="480" w:lineRule="auto"/>
        <w:ind w:left="720"/>
        <w:jc w:val="right"/>
      </w:pPr>
      <w:r>
        <w:t>Future Directions</w:t>
      </w:r>
      <w:r w:rsidR="00090BB7" w:rsidRPr="008F471F">
        <w:tab/>
      </w:r>
      <w:r>
        <w:t>3</w:t>
      </w:r>
      <w:r w:rsidR="008A07EC">
        <w:t>4</w:t>
      </w:r>
    </w:p>
    <w:p w14:paraId="0AF25D33" w14:textId="31B78231" w:rsidR="00397FBD" w:rsidRPr="008F471F" w:rsidRDefault="00090BB7" w:rsidP="00397FBD">
      <w:pPr>
        <w:tabs>
          <w:tab w:val="right" w:leader="dot" w:pos="8640"/>
        </w:tabs>
        <w:spacing w:line="480" w:lineRule="auto"/>
        <w:ind w:left="720"/>
        <w:jc w:val="right"/>
      </w:pPr>
      <w:r>
        <w:t>Conclusion</w:t>
      </w:r>
      <w:r w:rsidR="00397FBD" w:rsidRPr="008F471F">
        <w:tab/>
      </w:r>
      <w:r w:rsidR="00306F41">
        <w:t>3</w:t>
      </w:r>
      <w:r w:rsidR="008A07EC">
        <w:t>6</w:t>
      </w:r>
    </w:p>
    <w:p w14:paraId="0EEE2367" w14:textId="0D7BF7DB" w:rsidR="00397FBD" w:rsidRPr="008F471F" w:rsidRDefault="00397FBD" w:rsidP="00397FBD">
      <w:pPr>
        <w:tabs>
          <w:tab w:val="right" w:leader="dot" w:pos="8640"/>
        </w:tabs>
        <w:spacing w:line="480" w:lineRule="auto"/>
        <w:jc w:val="right"/>
        <w:rPr>
          <w:b/>
        </w:rPr>
      </w:pPr>
      <w:r w:rsidRPr="00F3242B">
        <w:rPr>
          <w:b/>
        </w:rPr>
        <w:t>References</w:t>
      </w:r>
      <w:r w:rsidRPr="008F471F">
        <w:rPr>
          <w:b/>
        </w:rPr>
        <w:tab/>
      </w:r>
      <w:r w:rsidR="00E805E7">
        <w:rPr>
          <w:b/>
        </w:rPr>
        <w:t>3</w:t>
      </w:r>
      <w:r w:rsidR="008A07EC">
        <w:rPr>
          <w:b/>
        </w:rPr>
        <w:t>8</w:t>
      </w:r>
    </w:p>
    <w:p w14:paraId="60D0F0E5" w14:textId="22B4978B" w:rsidR="00397FBD" w:rsidRPr="008F471F" w:rsidRDefault="00397FBD" w:rsidP="00397FBD">
      <w:pPr>
        <w:tabs>
          <w:tab w:val="right" w:leader="dot" w:pos="8640"/>
        </w:tabs>
        <w:spacing w:line="480" w:lineRule="auto"/>
        <w:jc w:val="right"/>
        <w:rPr>
          <w:b/>
        </w:rPr>
      </w:pPr>
      <w:r w:rsidRPr="008F471F">
        <w:rPr>
          <w:b/>
        </w:rPr>
        <w:t>Appendi</w:t>
      </w:r>
      <w:r w:rsidR="00306F41">
        <w:rPr>
          <w:b/>
        </w:rPr>
        <w:t>ces</w:t>
      </w:r>
      <w:r w:rsidRPr="008F471F">
        <w:rPr>
          <w:b/>
        </w:rPr>
        <w:tab/>
      </w:r>
      <w:r w:rsidR="00306F41">
        <w:rPr>
          <w:b/>
        </w:rPr>
        <w:t>4</w:t>
      </w:r>
      <w:r w:rsidR="008A07EC">
        <w:rPr>
          <w:b/>
        </w:rPr>
        <w:t>6</w:t>
      </w:r>
    </w:p>
    <w:p w14:paraId="505753D0" w14:textId="66BF9207" w:rsidR="00090BB7" w:rsidRPr="00090BB7" w:rsidRDefault="00397FBD" w:rsidP="007F350E">
      <w:pPr>
        <w:tabs>
          <w:tab w:val="right" w:leader="dot" w:pos="8640"/>
        </w:tabs>
        <w:spacing w:line="480" w:lineRule="auto"/>
        <w:jc w:val="right"/>
        <w:rPr>
          <w:b/>
        </w:rPr>
        <w:sectPr w:rsidR="00090BB7" w:rsidRPr="00090BB7" w:rsidSect="00A427D8">
          <w:headerReference w:type="default" r:id="rId8"/>
          <w:pgSz w:w="12240" w:h="15840"/>
          <w:pgMar w:top="1440" w:right="1440" w:bottom="1440" w:left="1440" w:header="1440" w:footer="720" w:gutter="0"/>
          <w:pgNumType w:fmt="lowerRoman" w:start="1"/>
          <w:cols w:space="720"/>
          <w:titlePg/>
          <w:docGrid w:linePitch="360"/>
        </w:sectPr>
      </w:pPr>
      <w:r w:rsidRPr="008F471F">
        <w:rPr>
          <w:b/>
        </w:rPr>
        <w:t>Vita</w:t>
      </w:r>
      <w:r w:rsidRPr="008F471F">
        <w:rPr>
          <w:b/>
        </w:rPr>
        <w:tab/>
      </w:r>
      <w:r w:rsidR="00306F41">
        <w:rPr>
          <w:b/>
        </w:rPr>
        <w:t>5</w:t>
      </w:r>
      <w:r w:rsidR="008A07EC">
        <w:rPr>
          <w:b/>
        </w:rPr>
        <w:t>6</w:t>
      </w:r>
    </w:p>
    <w:p w14:paraId="7A97754A" w14:textId="416E4391" w:rsidR="00A173A7" w:rsidRPr="00106D00" w:rsidRDefault="00A173A7" w:rsidP="000614C9">
      <w:pPr>
        <w:jc w:val="center"/>
        <w:rPr>
          <w:b/>
          <w:bCs/>
        </w:rPr>
      </w:pPr>
      <w:r w:rsidRPr="00106D00">
        <w:rPr>
          <w:b/>
          <w:bCs/>
        </w:rPr>
        <w:lastRenderedPageBreak/>
        <w:t>Chapter I: Introduction</w:t>
      </w:r>
    </w:p>
    <w:p w14:paraId="1F7BA2E1" w14:textId="77777777" w:rsidR="00A173A7" w:rsidRPr="00106D00" w:rsidRDefault="00A173A7" w:rsidP="00A173A7"/>
    <w:p w14:paraId="6524431D" w14:textId="50BBC795" w:rsidR="00A173A7" w:rsidRDefault="00A173A7" w:rsidP="00A173A7">
      <w:pPr>
        <w:spacing w:line="480" w:lineRule="auto"/>
        <w:ind w:firstLine="720"/>
      </w:pPr>
      <w:r w:rsidRPr="00086398">
        <w:t xml:space="preserve">What is it to be a human being? How does one live a truly human life? Create a self? What is the meaning of life? </w:t>
      </w:r>
      <w:r>
        <w:t>These questions have preoccupied philosophers, theologians and psychologists for millennia. Beginning in the 19</w:t>
      </w:r>
      <w:r w:rsidRPr="003D2E41">
        <w:rPr>
          <w:vertAlign w:val="superscript"/>
        </w:rPr>
        <w:t>th</w:t>
      </w:r>
      <w:r>
        <w:t xml:space="preserve"> century, however, a school of thought devoted specifically to addressing these questions began to emerge: existentialism. Though </w:t>
      </w:r>
      <w:r w:rsidRPr="001E0DB8">
        <w:t xml:space="preserve">more a collection of related philosophies than a </w:t>
      </w:r>
      <w:r>
        <w:t>single</w:t>
      </w:r>
      <w:r w:rsidRPr="001E0DB8">
        <w:t xml:space="preserve"> psychological system</w:t>
      </w:r>
      <w:r>
        <w:t xml:space="preserve">, existentialism addresses questions regarding the nature of human existence and offers insights for how </w:t>
      </w:r>
      <w:r w:rsidR="0026338D">
        <w:t xml:space="preserve">to live a fully </w:t>
      </w:r>
      <w:r>
        <w:t>human</w:t>
      </w:r>
      <w:r w:rsidR="0026338D">
        <w:t xml:space="preserve"> life</w:t>
      </w:r>
      <w:r>
        <w:t>.</w:t>
      </w:r>
    </w:p>
    <w:p w14:paraId="3B2FA446" w14:textId="4EE48E79" w:rsidR="00A173A7" w:rsidRDefault="00A173A7" w:rsidP="00A173A7">
      <w:pPr>
        <w:spacing w:line="480" w:lineRule="auto"/>
        <w:ind w:firstLine="720"/>
      </w:pPr>
      <w:r>
        <w:t xml:space="preserve">Although existentialism is often considered an intellectual movement emanating from postwar Europe </w:t>
      </w:r>
      <w:r>
        <w:fldChar w:fldCharType="begin" w:fldLock="1"/>
      </w:r>
      <w:r>
        <w:instrText>ADDIN CSL_CITATION {"citationItems":[{"id":"ITEM-1","itemData":{"author":[{"dropping-particle":"","family":"Crowell","given":"Steven","non-dropping-particle":"","parse-names":false,"suffix":""}],"container-title":"The {Stanford} Encyclopedia of Philosophy","edition":"Summer 202","editor":[{"dropping-particle":"","family":"Zalta","given":"Edward N","non-dropping-particle":"","parse-names":false,"suffix":""}],"id":"ITEM-1","issued":{"date-parts":[["2020"]]},"publisher":"Metaphysics Research Lab, Stanford University","title":"Existentialism","type":"chapter"},"uris":["http://www.mendeley.com/documents/?uuid=6f768741-ec6a-4ef3-a57f-1a5855b4de80"]}],"mendeley":{"formattedCitation":"(Crowell, 2020)","plainTextFormattedCitation":"(Crowell, 2020)","previouslyFormattedCitation":"(Crowell, 2020)"},"properties":{"noteIndex":0},"schema":"https://github.com/citation-style-language/schema/raw/master/csl-citation.json"}</w:instrText>
      </w:r>
      <w:r>
        <w:fldChar w:fldCharType="separate"/>
      </w:r>
      <w:r w:rsidRPr="00685492">
        <w:rPr>
          <w:noProof/>
        </w:rPr>
        <w:t>(Crowell, 2020)</w:t>
      </w:r>
      <w:r>
        <w:fldChar w:fldCharType="end"/>
      </w:r>
      <w:r>
        <w:t>, 19</w:t>
      </w:r>
      <w:r w:rsidRPr="00CC1D06">
        <w:rPr>
          <w:vertAlign w:val="superscript"/>
        </w:rPr>
        <w:t>th</w:t>
      </w:r>
      <w:r>
        <w:t xml:space="preserve"> century philosophers </w:t>
      </w:r>
      <w:proofErr w:type="spellStart"/>
      <w:r>
        <w:t>Søren</w:t>
      </w:r>
      <w:proofErr w:type="spellEnd"/>
      <w:r>
        <w:t xml:space="preserve"> Kierkegaard and </w:t>
      </w:r>
      <w:r w:rsidRPr="00115FAE">
        <w:t xml:space="preserve">Friedrich Nietzsche </w:t>
      </w:r>
      <w:r>
        <w:t>are usually credited as the progenitors of existentialist philosophy. Other philosophers, including Jean-Paul Sartre, Albert Camus, Martin Heidegger, and Maurice Merleau-Ponty, also contributed to prominent existential ideas in the 20</w:t>
      </w:r>
      <w:r w:rsidRPr="002A6A01">
        <w:rPr>
          <w:vertAlign w:val="superscript"/>
        </w:rPr>
        <w:t>th</w:t>
      </w:r>
      <w:r>
        <w:t xml:space="preserve"> century </w:t>
      </w:r>
      <w:r>
        <w:fldChar w:fldCharType="begin" w:fldLock="1"/>
      </w:r>
      <w:r>
        <w:instrText>ADDIN CSL_CITATION {"citationItems":[{"id":"ITEM-1","itemData":{"author":[{"dropping-particle":"","family":"Crowell","given":"Steven","non-dropping-particle":"","parse-names":false,"suffix":""}],"container-title":"The {Stanford} Encyclopedia of Philosophy","edition":"Summer 202","editor":[{"dropping-particle":"","family":"Zalta","given":"Edward N","non-dropping-particle":"","parse-names":false,"suffix":""}],"id":"ITEM-1","issued":{"date-parts":[["2020"]]},"publisher":"Metaphysics Research Lab, Stanford University","title":"Existentialism","type":"chapter"},"uris":["http://www.mendeley.com/documents/?uuid=6f768741-ec6a-4ef3-a57f-1a5855b4de80"]}],"mendeley":{"formattedCitation":"(Crowell, 2020)","plainTextFormattedCitation":"(Crowell, 2020)","previouslyFormattedCitation":"(Crowell, 2020)"},"properties":{"noteIndex":0},"schema":"https://github.com/citation-style-language/schema/raw/master/csl-citation.json"}</w:instrText>
      </w:r>
      <w:r>
        <w:fldChar w:fldCharType="separate"/>
      </w:r>
      <w:r w:rsidRPr="00685492">
        <w:rPr>
          <w:noProof/>
        </w:rPr>
        <w:t>(Crowell, 2020)</w:t>
      </w:r>
      <w:r>
        <w:fldChar w:fldCharType="end"/>
      </w:r>
      <w:r>
        <w:t xml:space="preserve">. These existential writers contend that human nature is not deterministic; rather, individual choice plays a significant role in human life and </w:t>
      </w:r>
      <w:r w:rsidR="0026338D">
        <w:t>meaning is</w:t>
      </w:r>
      <w:r>
        <w:t xml:space="preserve"> born out of the choices we make. </w:t>
      </w:r>
    </w:p>
    <w:p w14:paraId="2DBDEB1F" w14:textId="1F0F4759" w:rsidR="00A173A7" w:rsidRDefault="00A173A7" w:rsidP="00A173A7">
      <w:pPr>
        <w:spacing w:line="480" w:lineRule="auto"/>
        <w:ind w:firstLine="720"/>
      </w:pPr>
      <w:r>
        <w:t>The idea of personal freedom is a foundational aspect of existential philosophy</w:t>
      </w:r>
      <w:r w:rsidR="00014655">
        <w:t>. This</w:t>
      </w:r>
      <w:r>
        <w:t xml:space="preserve"> is most readily apparent in the work of Jean-Paul Sartre. One of Sartre’s most significant contributions is his idea that “existence precedes essence.” He offered this as a counterclaim to the Scholastic position that essence precedes </w:t>
      </w:r>
      <w:r w:rsidR="005D2512">
        <w:t>existence</w:t>
      </w:r>
      <w:r>
        <w:t xml:space="preserve">, claiming that being human does not, of itself, possess any inherent value or meaning. Rather, value and meaning are created by the individual; meaning emerges </w:t>
      </w:r>
      <w:r w:rsidR="00A6537F">
        <w:t>from</w:t>
      </w:r>
      <w:r>
        <w:t xml:space="preserve"> individual experience, especially individual choices </w:t>
      </w:r>
      <w:r>
        <w:fldChar w:fldCharType="begin" w:fldLock="1"/>
      </w:r>
      <w:r>
        <w:instrText>ADDIN CSL_CITATION {"citationItems":[{"id":"ITEM-1","itemData":{"author":[{"dropping-particle":"","family":"Crowell","given":"Steven","non-dropping-particle":"","parse-names":false,"suffix":""}],"container-title":"The {Stanford} Encyclopedia of Philosophy","edition":"Summer 202","editor":[{"dropping-particle":"","family":"Zalta","given":"Edward N","non-dropping-particle":"","parse-names":false,"suffix":""}],"id":"ITEM-1","issued":{"date-parts":[["2020"]]},"publisher":"Metaphysics Research Lab, Stanford University","title":"Existentialism","type":"chapter"},"uris":["http://www.mendeley.com/documents/?uuid=6f768741-ec6a-4ef3-a57f-1a5855b4de80"]},{"id":"ITEM-2","itemData":{"author":[{"dropping-particle":"","family":"Flynn","given":"Thomas","non-dropping-particle":"","parse-names":false,"suffix":""}],"container-title":"The {Stanford} Encyclopedia of Philosophy","edition":"Fall 2013","editor":[{"dropping-particle":"","family":"Zalta","given":"Edward N","non-dropping-particle":"","parse-names":false,"suffix":""}],"id":"ITEM-2","issued":{"date-parts":[["2013"]]},"publisher":"Metaphysics Research Lab, Stanford University","title":"Jean-Paul Sartre","type":"chapter"},"uris":["http://www.mendeley.com/documents/?uuid=dead0710-3c96-4eb5-b191-9b3b6afbca51"]}],"mendeley":{"formattedCitation":"(Crowell, 2020; Flynn, 2013)","plainTextFormattedCitation":"(Crowell, 2020; Flynn, 2013)","previouslyFormattedCitation":"(Crowell, 2020; Flynn, 2013)"},"properties":{"noteIndex":0},"schema":"https://github.com/citation-style-language/schema/raw/master/csl-citation.json"}</w:instrText>
      </w:r>
      <w:r>
        <w:fldChar w:fldCharType="separate"/>
      </w:r>
      <w:r w:rsidRPr="00685492">
        <w:rPr>
          <w:noProof/>
        </w:rPr>
        <w:t>(Crowell, 2020; Flynn, 2013)</w:t>
      </w:r>
      <w:r>
        <w:fldChar w:fldCharType="end"/>
      </w:r>
      <w:r>
        <w:t xml:space="preserve">. Webber captures Sartre’s idea nicely, “A person does not have an inbuilt set </w:t>
      </w:r>
      <w:r>
        <w:lastRenderedPageBreak/>
        <w:t xml:space="preserve">of values they are inherently structured to pursue. Rather, the values that shape a person’s behavior result from the choices they have made” </w:t>
      </w:r>
      <w:r>
        <w:fldChar w:fldCharType="begin" w:fldLock="1"/>
      </w:r>
      <w:r w:rsidR="00197E3A">
        <w:instrText>ADDIN CSL_CITATION {"citationItems":[{"id":"ITEM-1","itemData":{"author":[{"dropping-particle":"","family":"Webber","given":"Jonathan","non-dropping-particle":"","parse-names":false,"suffix":""}],"id":"ITEM-1","issued":{"date-parts":[["2018"]]},"publisher":"Oxford University Press","title":"Rethinking existentialism","type":"book"},"uris":["http://www.mendeley.com/documents/?uuid=ef984066-7767-47cd-9d5b-71fa2c3ee121"]},{"id":"ITEM-2","itemData":{"author":[{"dropping-particle":"","family":"Crowell","given":"Steven","non-dropping-particle":"","parse-names":false,"suffix":""}],"container-title":"The {Stanford} Encyclopedia of Philosophy","edition":"Summer 202","editor":[{"dropping-particle":"","family":"Zalta","given":"Edward N","non-dropping-particle":"","parse-names":false,"suffix":""}],"id":"ITEM-2","issued":{"date-parts":[["2020"]]},"publisher":"Metaphysics Research Lab, Stanford University","title":"Existentialism","type":"chapter"},"uris":["http://www.mendeley.com/documents/?uuid=6f768741-ec6a-4ef3-a57f-1a5855b4de80"]}],"mendeley":{"formattedCitation":"(Crowell, 2020; Webber, 2018)","manualFormatting":"(Webber, 2018, p. 4)","plainTextFormattedCitation":"(Crowell, 2020; Webber, 2018)","previouslyFormattedCitation":"(Crowell, 2020; Webber, 2018)"},"properties":{"noteIndex":0},"schema":"https://github.com/citation-style-language/schema/raw/master/csl-citation.json"}</w:instrText>
      </w:r>
      <w:r>
        <w:fldChar w:fldCharType="separate"/>
      </w:r>
      <w:r w:rsidRPr="00685492">
        <w:rPr>
          <w:noProof/>
        </w:rPr>
        <w:t>(Webber, 2018</w:t>
      </w:r>
      <w:r w:rsidR="00197E3A">
        <w:rPr>
          <w:noProof/>
        </w:rPr>
        <w:t>, p. 4</w:t>
      </w:r>
      <w:r w:rsidRPr="00685492">
        <w:rPr>
          <w:noProof/>
        </w:rPr>
        <w:t>)</w:t>
      </w:r>
      <w:r>
        <w:fldChar w:fldCharType="end"/>
      </w:r>
      <w:r>
        <w:t xml:space="preserve">. Individual choice and the responsibility for those choices are critical to the </w:t>
      </w:r>
      <w:r>
        <w:rPr>
          <w:i/>
          <w:iCs/>
        </w:rPr>
        <w:t>development</w:t>
      </w:r>
      <w:r>
        <w:t xml:space="preserve"> of values</w:t>
      </w:r>
      <w:r w:rsidR="00A06144">
        <w:t>.</w:t>
      </w:r>
      <w:r>
        <w:t xml:space="preserve"> </w:t>
      </w:r>
    </w:p>
    <w:p w14:paraId="69F1C7FF" w14:textId="783A88D9" w:rsidR="00A173A7" w:rsidRDefault="00A173A7" w:rsidP="00FE57BB">
      <w:pPr>
        <w:spacing w:line="480" w:lineRule="auto"/>
        <w:ind w:firstLine="720"/>
      </w:pPr>
      <w:r>
        <w:t xml:space="preserve">Similarly, Albert Camus wrote of the absurdity of the human condition. Summarized succinctly in the introduction of </w:t>
      </w:r>
      <w:r w:rsidRPr="00B23844">
        <w:rPr>
          <w:i/>
          <w:iCs/>
        </w:rPr>
        <w:t>Camus: The Myth of Sisyphus</w:t>
      </w:r>
      <w:r>
        <w:rPr>
          <w:i/>
          <w:iCs/>
        </w:rPr>
        <w:t>,</w:t>
      </w:r>
      <w:r>
        <w:t xml:space="preserve"> he wrote, “The human condition is characterized by the probability of suffering and the certainty of death – a fate which human reason cannot accept as reasonable.” </w:t>
      </w:r>
      <w:r>
        <w:fldChar w:fldCharType="begin" w:fldLock="1"/>
      </w:r>
      <w:r>
        <w:instrText>ADDIN CSL_CITATION {"citationItems":[{"id":"ITEM-1","itemData":{"author":[{"dropping-particle":"","family":"Camus","given":"Albert","non-dropping-particle":"","parse-names":false,"suffix":""}],"id":"ITEM-1","issued":{"date-parts":[["1955"]]},"publisher":"H. Hamilton","title":"The Myth of Sisyphus: Translated from the French by Justin O'Brien","type":"book"},"uris":["http://www.mendeley.com/documents/?uuid=c657168f-1f11-43a7-a2b4-3cba56de6d1f"]}],"mendeley":{"formattedCitation":"(Camus, 1955)","manualFormatting":"(Camus, 1955, p. 1)","plainTextFormattedCitation":"(Camus, 1955)","previouslyFormattedCitation":"(Camus, 1955)"},"properties":{"noteIndex":0},"schema":"https://github.com/citation-style-language/schema/raw/master/csl-citation.json"}</w:instrText>
      </w:r>
      <w:r>
        <w:fldChar w:fldCharType="separate"/>
      </w:r>
      <w:r w:rsidRPr="00685492">
        <w:rPr>
          <w:noProof/>
        </w:rPr>
        <w:t>(Camus, 1955</w:t>
      </w:r>
      <w:r>
        <w:rPr>
          <w:noProof/>
        </w:rPr>
        <w:t>, p. 1</w:t>
      </w:r>
      <w:r w:rsidRPr="00685492">
        <w:rPr>
          <w:noProof/>
        </w:rPr>
        <w:t>)</w:t>
      </w:r>
      <w:r>
        <w:fldChar w:fldCharType="end"/>
      </w:r>
      <w:r>
        <w:t>. He added</w:t>
      </w:r>
      <w:r w:rsidR="00FE57BB">
        <w:t xml:space="preserve"> that one of our biggest challenges is finding meaning and happiness in an irrational world. Absurdity emerges when our need for meaning and order confronts the meaninglessness of the universe (Camus, 1955). </w:t>
      </w:r>
      <w:r w:rsidR="008E4F86">
        <w:t xml:space="preserve"> Camus </w:t>
      </w:r>
      <w:r w:rsidR="00197E3A">
        <w:t xml:space="preserve">contends </w:t>
      </w:r>
      <w:r w:rsidR="008E4F86">
        <w:t>that humans look to the universe to answer the fundamental question of the meaning of existenc</w:t>
      </w:r>
      <w:r w:rsidR="00FE57BB">
        <w:t>e,</w:t>
      </w:r>
      <w:r w:rsidR="008E4F86">
        <w:t xml:space="preserve"> but are met with silence. </w:t>
      </w:r>
      <w:r w:rsidR="00FE57BB">
        <w:t xml:space="preserve">We must </w:t>
      </w:r>
      <w:r w:rsidR="008E4F86">
        <w:t>seek the answer with</w:t>
      </w:r>
      <w:r w:rsidR="00FE57BB">
        <w:t>in</w:t>
      </w:r>
      <w:r w:rsidR="008E4F86">
        <w:t xml:space="preserve"> the vas</w:t>
      </w:r>
      <w:r w:rsidR="00FE57BB">
        <w:t>t</w:t>
      </w:r>
      <w:r w:rsidR="008E4F86">
        <w:t xml:space="preserve"> possibil</w:t>
      </w:r>
      <w:r w:rsidR="001941D4">
        <w:t>it</w:t>
      </w:r>
      <w:r w:rsidR="00FE57BB">
        <w:t>ies</w:t>
      </w:r>
      <w:r w:rsidR="008E4F86">
        <w:t xml:space="preserve"> </w:t>
      </w:r>
      <w:r w:rsidR="001941D4">
        <w:t xml:space="preserve">that </w:t>
      </w:r>
      <w:r w:rsidR="008E4F86">
        <w:t>accompan</w:t>
      </w:r>
      <w:r w:rsidR="00FE57BB">
        <w:t>y</w:t>
      </w:r>
      <w:r w:rsidR="008E4F86">
        <w:t xml:space="preserve"> existence.</w:t>
      </w:r>
    </w:p>
    <w:p w14:paraId="7B926344" w14:textId="5E2563E1" w:rsidR="00A173A7" w:rsidRPr="00000AF5" w:rsidRDefault="00A173A7" w:rsidP="00A173A7">
      <w:pPr>
        <w:spacing w:line="480" w:lineRule="auto"/>
        <w:ind w:firstLine="720"/>
      </w:pPr>
      <w:r>
        <w:t>Sartre’s position that we develop our values via experience and Camus’ concept of absurdity share one of the central ideas of existentialism: radical free</w:t>
      </w:r>
      <w:r w:rsidR="003D39CF">
        <w:t>dom of the</w:t>
      </w:r>
      <w:r>
        <w:t xml:space="preserve"> will. Existentialists believe that </w:t>
      </w:r>
      <w:r>
        <w:rPr>
          <w:i/>
          <w:iCs/>
        </w:rPr>
        <w:t>choice</w:t>
      </w:r>
      <w:r>
        <w:t xml:space="preserve"> is the fundamental motivator </w:t>
      </w:r>
      <w:r w:rsidR="006859CB">
        <w:t xml:space="preserve">of </w:t>
      </w:r>
      <w:r>
        <w:t>behavior and our ability to make choices is what defines us</w:t>
      </w:r>
      <w:r w:rsidR="00D47E40">
        <w:t xml:space="preserve"> </w:t>
      </w:r>
      <w:r w:rsidR="006859CB">
        <w:t>(</w:t>
      </w:r>
      <w:r w:rsidR="00D47E40">
        <w:t xml:space="preserve">i.e., </w:t>
      </w:r>
      <w:r>
        <w:t>I am my choices</w:t>
      </w:r>
      <w:r w:rsidR="006859CB">
        <w:t>)</w:t>
      </w:r>
      <w:r>
        <w:t xml:space="preserve"> </w:t>
      </w:r>
      <w:r>
        <w:fldChar w:fldCharType="begin" w:fldLock="1"/>
      </w:r>
      <w:r w:rsidR="00197E3A">
        <w:instrText>ADDIN CSL_CITATION {"citationItems":[{"id":"ITEM-1","itemData":{"author":[{"dropping-particle":"","family":"Sartre","given":"Jean-Paul","non-dropping-particle":"","parse-names":false,"suffix":""}],"container-title":"Hazel E. Barnes (New York: Philosophical Library, 1956)","id":"ITEM-1","issued":{"date-parts":[["1956"]]},"title":"Being and Nothingness, trans","type":"article-journal","volume":"330"},"uris":["http://www.mendeley.com/documents/?uuid=533b7f6f-080f-449f-9b40-f572892462f7"]}],"mendeley":{"formattedCitation":"(Sartre, 1956)","manualFormatting":"(Sartre, 1956)","plainTextFormattedCitation":"(Sartre, 1956)","previouslyFormattedCitation":"(Sartre, 1956)"},"properties":{"noteIndex":0},"schema":"https://github.com/citation-style-language/schema/raw/master/csl-citation.json"}</w:instrText>
      </w:r>
      <w:r>
        <w:fldChar w:fldCharType="separate"/>
      </w:r>
      <w:r w:rsidRPr="00685492">
        <w:rPr>
          <w:noProof/>
        </w:rPr>
        <w:t>(</w:t>
      </w:r>
      <w:r>
        <w:rPr>
          <w:noProof/>
        </w:rPr>
        <w:t xml:space="preserve">Sartre, </w:t>
      </w:r>
      <w:r w:rsidRPr="00685492">
        <w:rPr>
          <w:noProof/>
        </w:rPr>
        <w:t>1956)</w:t>
      </w:r>
      <w:r>
        <w:fldChar w:fldCharType="end"/>
      </w:r>
      <w:r>
        <w:t xml:space="preserve">. </w:t>
      </w:r>
      <w:r w:rsidR="003A3A01">
        <w:t>S</w:t>
      </w:r>
      <w:r w:rsidRPr="00E36931">
        <w:t xml:space="preserve">elf-definition and understanding what things are meaningful to an individual is the central existential task in life. </w:t>
      </w:r>
      <w:r w:rsidR="00F4172E">
        <w:t>T</w:t>
      </w:r>
      <w:r w:rsidRPr="00E36931">
        <w:t xml:space="preserve">he freedom </w:t>
      </w:r>
      <w:r w:rsidR="00D75781">
        <w:t>to</w:t>
      </w:r>
      <w:r w:rsidR="00D75781" w:rsidRPr="00E36931">
        <w:t xml:space="preserve"> </w:t>
      </w:r>
      <w:r w:rsidR="00D75781">
        <w:t>choose</w:t>
      </w:r>
      <w:r w:rsidR="00D75781" w:rsidRPr="00E36931">
        <w:t xml:space="preserve"> </w:t>
      </w:r>
      <w:r w:rsidRPr="00E36931">
        <w:t>and the choices that we make define who we are</w:t>
      </w:r>
      <w:r w:rsidR="00270625">
        <w:t>.</w:t>
      </w:r>
      <w:r w:rsidRPr="00E36931">
        <w:t xml:space="preserve"> </w:t>
      </w:r>
      <w:r>
        <w:t>From this perspective, freedom of choice and responsibility for those choices plays a vital role in existential philosophy.</w:t>
      </w:r>
      <w:r w:rsidR="004F2B61">
        <w:t xml:space="preserve"> “Man (sic) stands hopelessly alone in an immense universe, torn by the stresses of life, and finding himself (sic) only through his (sic) own activity, though his (sic) </w:t>
      </w:r>
      <w:r w:rsidR="004F2B61" w:rsidRPr="0014798B">
        <w:rPr>
          <w:i/>
          <w:iCs/>
        </w:rPr>
        <w:t>life</w:t>
      </w:r>
      <w:r w:rsidR="004F2B61">
        <w:t xml:space="preserve">. The goal of life is </w:t>
      </w:r>
      <w:r w:rsidR="004F2B61">
        <w:lastRenderedPageBreak/>
        <w:t>living of it, the activity and personal evolution, the reaching upward and ou</w:t>
      </w:r>
      <w:r w:rsidR="0026007F">
        <w:t>t</w:t>
      </w:r>
      <w:r w:rsidR="004F2B61">
        <w:t>ward” (Robinson, 1995, p. 263, italics in original).</w:t>
      </w:r>
    </w:p>
    <w:p w14:paraId="39F71B8B" w14:textId="4CEFB95E" w:rsidR="00A173A7" w:rsidRPr="00BD7641" w:rsidRDefault="00A173A7" w:rsidP="00A173A7">
      <w:pPr>
        <w:spacing w:line="480" w:lineRule="auto"/>
        <w:ind w:firstLine="720"/>
      </w:pPr>
      <w:r>
        <w:t>The existentialist idea of radical free will that Camus and Sartre write about comes with consequences, though. Freedom of choice and being responsible for the consequences of those choices comes with a very real downside. That is, to realize that we are living freely in a non-determined, non-ordered universe can be anxiety</w:t>
      </w:r>
      <w:r w:rsidR="00A5410A">
        <w:t>-</w:t>
      </w:r>
      <w:r>
        <w:t xml:space="preserve">generating to the point of being entirely overwhelming. </w:t>
      </w:r>
      <w:r w:rsidR="0041374A">
        <w:t>C</w:t>
      </w:r>
      <w:r>
        <w:t xml:space="preserve">haos and absurdity are </w:t>
      </w:r>
      <w:r w:rsidR="0041374A">
        <w:t xml:space="preserve">the </w:t>
      </w:r>
      <w:r>
        <w:t xml:space="preserve">true </w:t>
      </w:r>
      <w:r w:rsidR="0041374A">
        <w:t xml:space="preserve">nature of </w:t>
      </w:r>
      <w:r>
        <w:t>reality</w:t>
      </w:r>
      <w:r w:rsidR="0041374A">
        <w:t>.</w:t>
      </w:r>
      <w:r>
        <w:t xml:space="preserve"> </w:t>
      </w:r>
      <w:r w:rsidR="0041374A">
        <w:t>R</w:t>
      </w:r>
      <w:r>
        <w:t>ationality, logic, and order are creations of the human mind that make it tolerable to liv</w:t>
      </w:r>
      <w:r w:rsidR="0041374A">
        <w:t>e</w:t>
      </w:r>
      <w:r>
        <w:t xml:space="preserve"> in a non-determined universe. If it is as the existentialists argue and we are living freely in the chaotic, unpredictable world, then</w:t>
      </w:r>
      <w:r w:rsidR="007C66A6">
        <w:t xml:space="preserve"> we must contend with the fact that our non-existence can come at any time, either as a result of our own actions or of those outside of our control. </w:t>
      </w:r>
      <w:r w:rsidR="00F02CC2">
        <w:t xml:space="preserve">But humans </w:t>
      </w:r>
      <w:r w:rsidR="007C66A6">
        <w:t>are embodied creatures with evolutionary adaptations to deal with danger</w:t>
      </w:r>
      <w:r w:rsidR="00F02CC2">
        <w:t xml:space="preserve">: we have </w:t>
      </w:r>
      <w:r w:rsidR="007C66A6">
        <w:t>bursts of adrenaline to fight or flee, or freez</w:t>
      </w:r>
      <w:r w:rsidR="00F02CC2">
        <w:t>e</w:t>
      </w:r>
      <w:r w:rsidR="007C66A6">
        <w:t xml:space="preserve"> in place to manage threats</w:t>
      </w:r>
      <w:r w:rsidR="00F02CC2">
        <w:t>. The danger of our non-existence, however, cannot be managed through fighting or fleeing.</w:t>
      </w:r>
      <w:r w:rsidR="00A57453">
        <w:t xml:space="preserve"> </w:t>
      </w:r>
      <w:r>
        <w:t>Without some way to cope with this anxiety, the radical freedom that existentialists see as a vital part of human experience may be completely overwhelming.</w:t>
      </w:r>
    </w:p>
    <w:p w14:paraId="57E87671" w14:textId="77777777" w:rsidR="00A173A7" w:rsidRPr="00544AE3" w:rsidRDefault="00A173A7" w:rsidP="00A173A7">
      <w:pPr>
        <w:spacing w:line="480" w:lineRule="auto"/>
      </w:pPr>
      <w:r>
        <w:rPr>
          <w:b/>
          <w:bCs/>
        </w:rPr>
        <w:t>Death Anxiety and Ernest Becker</w:t>
      </w:r>
    </w:p>
    <w:p w14:paraId="0C14A9D1" w14:textId="0A488D89" w:rsidR="00A173A7" w:rsidRDefault="00A173A7" w:rsidP="00A173A7">
      <w:pPr>
        <w:spacing w:line="480" w:lineRule="auto"/>
        <w:ind w:firstLine="720"/>
      </w:pPr>
      <w:r>
        <w:t xml:space="preserve">Some of the existential ideas </w:t>
      </w:r>
      <w:r w:rsidR="00E05E25">
        <w:t>from the 19</w:t>
      </w:r>
      <w:r w:rsidR="00E05E25" w:rsidRPr="0014798B">
        <w:rPr>
          <w:vertAlign w:val="superscript"/>
        </w:rPr>
        <w:t>th</w:t>
      </w:r>
      <w:r w:rsidR="00E05E25">
        <w:t xml:space="preserve"> and mid-20</w:t>
      </w:r>
      <w:r w:rsidR="00E05E25" w:rsidRPr="0014798B">
        <w:rPr>
          <w:vertAlign w:val="superscript"/>
        </w:rPr>
        <w:t>th</w:t>
      </w:r>
      <w:r w:rsidR="00E05E25">
        <w:t xml:space="preserve"> centuries </w:t>
      </w:r>
      <w:r>
        <w:t xml:space="preserve">would reemerge later in the work of cultural anthropologist Ernest Becker. In </w:t>
      </w:r>
      <w:r w:rsidRPr="00CC1D06">
        <w:rPr>
          <w:i/>
          <w:iCs/>
        </w:rPr>
        <w:t>The Denial of Death</w:t>
      </w:r>
      <w:r>
        <w:t xml:space="preserve">, Becker (1973) examines existential ideas first put forth by the </w:t>
      </w:r>
      <w:r w:rsidR="000F467D">
        <w:t>19</w:t>
      </w:r>
      <w:r w:rsidR="000F467D" w:rsidRPr="0014798B">
        <w:rPr>
          <w:vertAlign w:val="superscript"/>
        </w:rPr>
        <w:t>th</w:t>
      </w:r>
      <w:r w:rsidR="000F467D">
        <w:t xml:space="preserve"> century </w:t>
      </w:r>
      <w:r>
        <w:t xml:space="preserve">philosopher </w:t>
      </w:r>
      <w:proofErr w:type="spellStart"/>
      <w:r>
        <w:t>Søren</w:t>
      </w:r>
      <w:proofErr w:type="spellEnd"/>
      <w:r>
        <w:t xml:space="preserve"> Kierkegaard. Kierkegaard </w:t>
      </w:r>
      <w:r w:rsidR="008131BF">
        <w:t>maintained that</w:t>
      </w:r>
      <w:r w:rsidRPr="002017C3">
        <w:t xml:space="preserve"> </w:t>
      </w:r>
      <w:r w:rsidR="00A427D8">
        <w:t xml:space="preserve">the </w:t>
      </w:r>
      <w:r w:rsidRPr="002017C3">
        <w:t xml:space="preserve">question of immortality is not a scholarly question. </w:t>
      </w:r>
      <w:r w:rsidR="008131BF">
        <w:t>Rather, it comes from inside us while, at the same time, requiring us to ask the question even as we become conscious of ourselves</w:t>
      </w:r>
      <w:r w:rsidRPr="002017C3">
        <w:t xml:space="preserve"> </w:t>
      </w:r>
      <w:r>
        <w:fldChar w:fldCharType="begin" w:fldLock="1"/>
      </w:r>
      <w:r w:rsidR="00D47E40">
        <w:instrText>ADDIN CSL_CITATION {"citationItems":[{"id":"ITEM-1","itemData":{"author":[{"dropping-particle":"","family":"Kierkegaard","given":"Søren","non-dropping-particle":"","parse-names":false,"suffix":""}],"id":"ITEM-1","issued":{"date-parts":[["1846"]]},"publisher":"Princeton University Press","title":"Concluding unscientific postscript","type":"book"},"uris":["http://www.mendeley.com/documents/?uuid=61575930-97ce-40a1-8803-2d6c9049f743"]}],"mendeley":{"formattedCitation":"(Kierkegaard, 1846)","manualFormatting":"(Kierkegaard, 1846)","plainTextFormattedCitation":"(Kierkegaard, 1846)","previouslyFormattedCitation":"(Kierkegaard, 1846)"},"properties":{"noteIndex":0},"schema":"https://github.com/citation-style-language/schema/raw/master/csl-citation.json"}</w:instrText>
      </w:r>
      <w:r>
        <w:fldChar w:fldCharType="separate"/>
      </w:r>
      <w:r w:rsidRPr="00685492">
        <w:rPr>
          <w:noProof/>
        </w:rPr>
        <w:t>(Kierkegaard, 1846)</w:t>
      </w:r>
      <w:r>
        <w:fldChar w:fldCharType="end"/>
      </w:r>
      <w:r w:rsidRPr="002017C3">
        <w:t>.</w:t>
      </w:r>
      <w:r>
        <w:t xml:space="preserve"> What Kierkegaard is getting at is that </w:t>
      </w:r>
      <w:r>
        <w:lastRenderedPageBreak/>
        <w:t xml:space="preserve">human consciousness </w:t>
      </w:r>
      <w:r w:rsidR="00EE25FF">
        <w:t>creates the</w:t>
      </w:r>
      <w:r>
        <w:t xml:space="preserve"> </w:t>
      </w:r>
      <w:r w:rsidR="004D5C2B">
        <w:t>(</w:t>
      </w:r>
      <w:r>
        <w:t>unfortunate</w:t>
      </w:r>
      <w:r w:rsidR="004D5C2B">
        <w:t>)</w:t>
      </w:r>
      <w:r>
        <w:t xml:space="preserve"> side effect of </w:t>
      </w:r>
      <w:r w:rsidR="00EE25FF">
        <w:t xml:space="preserve">allowing </w:t>
      </w:r>
      <w:r>
        <w:t xml:space="preserve">us to </w:t>
      </w:r>
      <w:r>
        <w:rPr>
          <w:i/>
          <w:iCs/>
        </w:rPr>
        <w:t>know</w:t>
      </w:r>
      <w:r>
        <w:t xml:space="preserve"> that we are mortal creatures and that we will eventually die. Put another way,</w:t>
      </w:r>
      <w:r w:rsidR="00EA0B71">
        <w:t xml:space="preserve"> </w:t>
      </w:r>
      <w:r>
        <w:t xml:space="preserve">awareness of death is the </w:t>
      </w:r>
      <w:r w:rsidR="00EA0B71">
        <w:t xml:space="preserve">price we pay for possessing an </w:t>
      </w:r>
      <w:r>
        <w:t xml:space="preserve">intellect </w:t>
      </w:r>
      <w:r>
        <w:fldChar w:fldCharType="begin" w:fldLock="1"/>
      </w:r>
      <w:r w:rsidR="00007A06">
        <w:instrText>ADDIN CSL_CITATION {"citationItems":[{"id":"ITEM-1","itemData":{"author":[{"dropping-particle":"","family":"Solomon","given":"S.","non-dropping-particle":"","parse-names":false,"suffix":""},{"dropping-particle":"","family":"Greenberg","given":"J.","non-dropping-particle":"","parse-names":false,"suffix":""},{"dropping-particle":"","family":"Pyszczynski","given":"T. A.","non-dropping-particle":"","parse-names":false,"suffix":""}],"id":"ITEM-1","issued":{"date-parts":[["2015"]]},"title":"The worm at the core: On the role of death in life","type":"book"},"uris":["http://www.mendeley.com/documents/?uuid=9c582b6d-05de-42c6-94aa-663fb4265683"]}],"mendeley":{"formattedCitation":"(Solomon, Greenberg, &amp; Pyszczynski, 2015)","manualFormatting":"(Solomon, Greenberg, &amp; Pyszczynski, 2015)","plainTextFormattedCitation":"(Solomon, Greenberg, &amp; Pyszczynski, 2015)","previouslyFormattedCitation":"(Solomon, Greenberg, &amp; Pyszczynski, 2015)"},"properties":{"noteIndex":0},"schema":"https://github.com/citation-style-language/schema/raw/master/csl-citation.json"}</w:instrText>
      </w:r>
      <w:r>
        <w:fldChar w:fldCharType="separate"/>
      </w:r>
      <w:r w:rsidRPr="00685492">
        <w:rPr>
          <w:noProof/>
        </w:rPr>
        <w:t>(Solomon, Greenberg, &amp; Pyszczynski, 2015)</w:t>
      </w:r>
      <w:r>
        <w:fldChar w:fldCharType="end"/>
      </w:r>
      <w:r>
        <w:t>.</w:t>
      </w:r>
      <w:r w:rsidRPr="00CF13C6">
        <w:t xml:space="preserve"> </w:t>
      </w:r>
    </w:p>
    <w:p w14:paraId="0FC36576" w14:textId="43515B53" w:rsidR="00A173A7" w:rsidRDefault="00A173A7" w:rsidP="008E717B">
      <w:pPr>
        <w:spacing w:line="480" w:lineRule="auto"/>
        <w:ind w:firstLine="720"/>
      </w:pPr>
      <w:r>
        <w:t>The foundation of Becker’s idea is simple: humans are both conscious and mortal. The effect</w:t>
      </w:r>
      <w:r w:rsidR="001E6D44">
        <w:t xml:space="preserve"> of this</w:t>
      </w:r>
      <w:r>
        <w:t xml:space="preserve"> is profound</w:t>
      </w:r>
      <w:r w:rsidR="004F2B61">
        <w:t>.</w:t>
      </w:r>
      <w:r>
        <w:t xml:space="preserve"> </w:t>
      </w:r>
      <w:r w:rsidRPr="001E2C2A">
        <w:t>“The irony of man's condition is that the deepest need is to be free of the anxiety of death and annihilation; but it is life itself which awakens it, and so we must shrink from being fully alive”</w:t>
      </w:r>
      <w:r>
        <w:t xml:space="preserve"> </w:t>
      </w:r>
      <w:r>
        <w:fldChar w:fldCharType="begin" w:fldLock="1"/>
      </w:r>
      <w:r>
        <w:instrText>ADDIN CSL_CITATION {"citationItems":[{"id":"ITEM-1","itemData":{"author":[{"dropping-particle":"","family":"Becker","given":"Ernest","non-dropping-particle":"","parse-names":false,"suffix":""}],"id":"ITEM-1","issued":{"date-parts":[["1973"]]},"publisher":"Simon and Schuster","title":"The denial of death","type":"book"},"uris":["http://www.mendeley.com/documents/?uuid=0724e450-45a0-4d8b-b38d-bc4dcb379969"]}],"mendeley":{"formattedCitation":"(Becker, 1973)","manualFormatting":"(Becker, 1973, p. 66)","plainTextFormattedCitation":"(Becker, 1973)","previouslyFormattedCitation":"(Becker, 1973)"},"properties":{"noteIndex":0},"schema":"https://github.com/citation-style-language/schema/raw/master/csl-citation.json"}</w:instrText>
      </w:r>
      <w:r>
        <w:fldChar w:fldCharType="separate"/>
      </w:r>
      <w:r w:rsidRPr="00685492">
        <w:rPr>
          <w:noProof/>
        </w:rPr>
        <w:t>(Becker, 1973</w:t>
      </w:r>
      <w:r>
        <w:rPr>
          <w:noProof/>
        </w:rPr>
        <w:t>, p. 66</w:t>
      </w:r>
      <w:r w:rsidRPr="00685492">
        <w:rPr>
          <w:noProof/>
        </w:rPr>
        <w:t>)</w:t>
      </w:r>
      <w:r>
        <w:fldChar w:fldCharType="end"/>
      </w:r>
      <w:r>
        <w:t>. This claim, that humans need above all to be free from death anxiety</w:t>
      </w:r>
      <w:r w:rsidR="00C04358">
        <w:t>,</w:t>
      </w:r>
      <w:r>
        <w:t xml:space="preserve"> lies at the core of Becker’s thought. He </w:t>
      </w:r>
      <w:r w:rsidR="008E717B">
        <w:t xml:space="preserve">believed that is it only via the defense mechanism of repression that we are able to withstand a world that is both miraculous and incomprehensible. He adds that if we could really see the universe in all its majesty, we would be paralyzed by indecision </w:t>
      </w:r>
      <w:r>
        <w:fldChar w:fldCharType="begin" w:fldLock="1"/>
      </w:r>
      <w:r>
        <w:instrText>ADDIN CSL_CITATION {"citationItems":[{"id":"ITEM-1","itemData":{"author":[{"dropping-particle":"","family":"Becker","given":"Ernest","non-dropping-particle":"","parse-names":false,"suffix":""}],"id":"ITEM-1","issued":{"date-parts":[["1973"]]},"publisher":"Simon and Schuster","title":"The denial of death","type":"book"},"uris":["http://www.mendeley.com/documents/?uuid=0724e450-45a0-4d8b-b38d-bc4dcb379969"]}],"mendeley":{"formattedCitation":"(Becker, 1973)","manualFormatting":"(Becker, 1973, p. 50)","plainTextFormattedCitation":"(Becker, 1973)","previouslyFormattedCitation":"(Becker, 1973)"},"properties":{"noteIndex":0},"schema":"https://github.com/citation-style-language/schema/raw/master/csl-citation.json"}</w:instrText>
      </w:r>
      <w:r>
        <w:fldChar w:fldCharType="separate"/>
      </w:r>
      <w:r w:rsidRPr="00685492">
        <w:rPr>
          <w:noProof/>
        </w:rPr>
        <w:t>(Becker, 1973)</w:t>
      </w:r>
      <w:r>
        <w:fldChar w:fldCharType="end"/>
      </w:r>
      <w:r>
        <w:t xml:space="preserve">. </w:t>
      </w:r>
      <w:r w:rsidR="008E717B">
        <w:t xml:space="preserve">In fact, </w:t>
      </w:r>
      <w:r w:rsidR="00EE0450" w:rsidRPr="00E82F2E">
        <w:t xml:space="preserve">Becker believed that to live our lives wholly unrepressed and </w:t>
      </w:r>
      <w:r w:rsidR="00EE0450">
        <w:t xml:space="preserve">to </w:t>
      </w:r>
      <w:r w:rsidR="00EE0450" w:rsidRPr="00E82F2E">
        <w:t>fully realize</w:t>
      </w:r>
      <w:r w:rsidR="00EE0450">
        <w:t xml:space="preserve"> and understand</w:t>
      </w:r>
      <w:r w:rsidR="00EE0450" w:rsidRPr="00E82F2E">
        <w:t xml:space="preserve"> our mortality would result in total psycho</w:t>
      </w:r>
      <w:r w:rsidR="00EE0450">
        <w:t>sis</w:t>
      </w:r>
      <w:r w:rsidR="00EE0450" w:rsidRPr="00E82F2E">
        <w:t xml:space="preserve"> </w:t>
      </w:r>
      <w:r w:rsidRPr="00EE0450">
        <w:fldChar w:fldCharType="begin" w:fldLock="1"/>
      </w:r>
      <w:r w:rsidR="00EE0450" w:rsidRPr="00E82F2E">
        <w:instrText>ADDIN CSL_CITATION {"citationItems":[{"id":"ITEM-1","itemData":{"author":[{"dropping-particle":"","family":"Becker","given":"Ernest","non-dropping-particle":"","parse-names":false,"suffix":""}],"id":"ITEM-1","issued":{"date-parts":[["1973"]]},"publisher":"Simon and Schuster","title":"The denial of death","type":"book"},"uris":["http://www.mendeley.com/documents/?uuid=0724e450-45a0-4d8b-b38d-bc4dcb379969"]}],"mendeley":{"formattedCitation":"(Becker, 1973)","manualFormatting":"(Becker, 1973)","plainTextFormattedCitation":"(Becker, 1973)","previouslyFormattedCitation":"(Becker, 1973)"},"properties":{"noteIndex":0},"schema":"https://github.com/citation-style-language/schema/raw/master/csl-citation.json"}</w:instrText>
      </w:r>
      <w:r w:rsidRPr="00EE0450">
        <w:fldChar w:fldCharType="separate"/>
      </w:r>
      <w:r w:rsidRPr="00EE0450">
        <w:rPr>
          <w:noProof/>
        </w:rPr>
        <w:t>(Becker, 1973)</w:t>
      </w:r>
      <w:r w:rsidRPr="00EE0450">
        <w:fldChar w:fldCharType="end"/>
      </w:r>
      <w:r w:rsidRPr="00EE0450">
        <w:t>.</w:t>
      </w:r>
      <w:r>
        <w:t xml:space="preserve"> </w:t>
      </w:r>
    </w:p>
    <w:p w14:paraId="1CA1DEB0" w14:textId="546CB853" w:rsidR="00737F49" w:rsidRDefault="00A173A7" w:rsidP="00737F49">
      <w:pPr>
        <w:spacing w:line="480" w:lineRule="auto"/>
        <w:ind w:firstLine="720"/>
      </w:pPr>
      <w:r>
        <w:t>Becker contend</w:t>
      </w:r>
      <w:r w:rsidR="0027210E">
        <w:t>ed</w:t>
      </w:r>
      <w:r>
        <w:t xml:space="preserve"> that the shrinking from being fully alive is necessary, </w:t>
      </w:r>
      <w:r w:rsidR="005527C7">
        <w:t xml:space="preserve">requiring us to create a “vital lie” that makes living possible </w:t>
      </w:r>
      <w:r>
        <w:fldChar w:fldCharType="begin" w:fldLock="1"/>
      </w:r>
      <w:r>
        <w:instrText>ADDIN CSL_CITATION {"citationItems":[{"id":"ITEM-1","itemData":{"author":[{"dropping-particle":"","family":"Becker","given":"Ernest","non-dropping-particle":"","parse-names":false,"suffix":""}],"id":"ITEM-1","issued":{"date-parts":[["1973"]]},"publisher":"Simon and Schuster","title":"The denial of death","type":"book"},"uris":["http://www.mendeley.com/documents/?uuid=0724e450-45a0-4d8b-b38d-bc4dcb379969"]}],"mendeley":{"formattedCitation":"(Becker, 1973)","manualFormatting":"(Becker, 1973, p. 55)","plainTextFormattedCitation":"(Becker, 1973)","previouslyFormattedCitation":"(Becker, 1973)"},"properties":{"noteIndex":0},"schema":"https://github.com/citation-style-language/schema/raw/master/csl-citation.json"}</w:instrText>
      </w:r>
      <w:r>
        <w:fldChar w:fldCharType="separate"/>
      </w:r>
      <w:r w:rsidRPr="00685492">
        <w:rPr>
          <w:noProof/>
        </w:rPr>
        <w:t>(Becker, 1973)</w:t>
      </w:r>
      <w:r>
        <w:fldChar w:fldCharType="end"/>
      </w:r>
      <w:r>
        <w:t xml:space="preserve">. In this, he echoed Freud’s </w:t>
      </w:r>
      <w:r w:rsidR="005527C7">
        <w:t>claim that modern attitudes toward death force us to live beyond our psychological means</w:t>
      </w:r>
      <w:r w:rsidR="00070866">
        <w:t>;</w:t>
      </w:r>
      <w:r w:rsidR="005527C7">
        <w:t xml:space="preserve"> that we would be better off if we thought consciously about death rather than allowing the fear it incites to remain in the unconscious </w:t>
      </w:r>
      <w:r>
        <w:fldChar w:fldCharType="begin" w:fldLock="1"/>
      </w:r>
      <w:r w:rsidR="00C904AC">
        <w:instrText>ADDIN CSL_CITATION {"citationItems":[{"id":"ITEM-1","itemData":{"author":[{"dropping-particle":"","family":"Freud","given":"Sigmund","non-dropping-particle":"","parse-names":false,"suffix":""}],"container-title":"The Standard Edition of the Complete Psychological Works of Sigmund Freud, Volume XIV (1914-1916): On the History of the Psycho-Analytic Movement, Papers on Metapsychology and Other Works","id":"ITEM-1","issued":{"date-parts":[["1915"]]},"page":"273-300","title":"Thoughts for the times on war and death","type":"chapter"},"uris":["http://www.mendeley.com/documents/?uuid=6e04cad6-3ff7-4be0-8ca7-73d3b277333d"]}],"mendeley":{"formattedCitation":"(Freud, 1915)","manualFormatting":"(Freud, 1915, p. 299)","plainTextFormattedCitation":"(Freud, 1915)","previouslyFormattedCitation":"(Freud, 1915)"},"properties":{"noteIndex":0},"schema":"https://github.com/citation-style-language/schema/raw/master/csl-citation.json"}</w:instrText>
      </w:r>
      <w:r>
        <w:fldChar w:fldCharType="separate"/>
      </w:r>
      <w:r w:rsidRPr="00685492">
        <w:rPr>
          <w:noProof/>
        </w:rPr>
        <w:t>(Freud, 1915)</w:t>
      </w:r>
      <w:r>
        <w:fldChar w:fldCharType="end"/>
      </w:r>
      <w:r>
        <w:t>.</w:t>
      </w:r>
      <w:r w:rsidR="00664092">
        <w:rPr>
          <w:color w:val="000000" w:themeColor="text1"/>
        </w:rPr>
        <w:t xml:space="preserve"> However, the fact is that most h</w:t>
      </w:r>
      <w:r w:rsidRPr="00BB25B2">
        <w:rPr>
          <w:color w:val="000000" w:themeColor="text1"/>
        </w:rPr>
        <w:t>umans go to great lengths to avoid thoughts of death</w:t>
      </w:r>
      <w:r w:rsidR="00737F49">
        <w:rPr>
          <w:color w:val="000000" w:themeColor="text1"/>
        </w:rPr>
        <w:t>, largely</w:t>
      </w:r>
      <w:r w:rsidRPr="00BB25B2">
        <w:rPr>
          <w:color w:val="000000" w:themeColor="text1"/>
        </w:rPr>
        <w:t xml:space="preserve"> because of the existential terror</w:t>
      </w:r>
      <w:r>
        <w:rPr>
          <w:color w:val="000000" w:themeColor="text1"/>
        </w:rPr>
        <w:t xml:space="preserve"> </w:t>
      </w:r>
      <w:r w:rsidR="00B11A0C">
        <w:rPr>
          <w:color w:val="000000" w:themeColor="text1"/>
        </w:rPr>
        <w:t>they provoke</w:t>
      </w:r>
      <w:r w:rsidRPr="00BB25B2">
        <w:rPr>
          <w:color w:val="000000" w:themeColor="text1"/>
        </w:rPr>
        <w:t xml:space="preserve"> </w:t>
      </w:r>
      <w:r>
        <w:rPr>
          <w:color w:val="000000" w:themeColor="text1"/>
        </w:rPr>
        <w:fldChar w:fldCharType="begin" w:fldLock="1"/>
      </w:r>
      <w:r>
        <w:rPr>
          <w:color w:val="000000" w:themeColor="text1"/>
        </w:rPr>
        <w:instrText>ADDIN CSL_CITATION {"citationItems":[{"id":"ITEM-1","itemData":{"author":[{"dropping-particle":"","family":"Becker","given":"Ernest","non-dropping-particle":"","parse-names":false,"suffix":""}],"id":"ITEM-1","issued":{"date-parts":[["1973"]]},"publisher":"Simon and Schuster","title":"The denial of death","type":"book"},"uris":["http://www.mendeley.com/documents/?uuid=0724e450-45a0-4d8b-b38d-bc4dcb379969"]},{"id":"ITEM-2","itemData":{"DOI":"10.1007/978-1-4613-9564-5_10","abstract":"Four Selves, Two Motives, and a Substitute Process Self-Regulation Model","author":[{"dropping-particle":"","family":"Greenberg","given":"Jeff","non-dropping-particle":"","parse-names":false,"suffix":""},{"dropping-particle":"","family":"Pyszczynski","given":"Tom","non-dropping-particle":"","parse-names":false,"suffix":""},{"dropping-particle":"","family":"Solomon","given":"Sheldon","non-dropping-particle":"","parse-names":false,"suffix":""}],"container-title":"Public Self and Private Self","id":"ITEM-2","issued":{"date-parts":[["1986"]]},"page":"189-212","title":"The Causes and Consequences of a Need for Self-Esteem: A Terror Management Theory","type":"article-journal"},"uris":["http://www.mendeley.com/documents/?uuid=341e2349-20b4-434d-baf9-aeb84be36a69"]},{"id":"ITEM-3","itemData":{"DOI":"10.1016/S0065-2601(08)60016-7","ISSN":"00652601","author":[{"dropping-particle":"","family":"Greenberg","given":"Jeff","non-dropping-particle":"","parse-names":false,"suffix":""},{"dropping-particle":"","family":"Solomon","given":"Sheldon","non-dropping-particle":"","parse-names":false,"suffix":""},{"dropping-particle":"","family":"Pyszczynski","given":"Tom","non-dropping-particle":"","parse-names":false,"suffix":""}],"container-title":"Advances in Experimental Social Psychology","id":"ITEM-3","issue":"C","issued":{"date-parts":[["1997"]]},"page":"61-139","title":"Terror Management Theory of Self-Esteem and Cultural Worldviews: Empirical Assessments and Conceptual Refinements","type":"article-journal","volume":"29"},"uris":["http://www.mendeley.com/documents/?uuid=a87d46cb-622f-472a-9702-b12fa1c5438e"]}],"mendeley":{"formattedCitation":"(Becker, 1973; Greenberg, Pyszczynski, &amp; Solomon, 1986; Greenberg, Solomon, &amp; Pyszczynski, 1997)","plainTextFormattedCitation":"(Becker, 1973; Greenberg, Pyszczynski, &amp; Solomon, 1986; Greenberg, Solomon, &amp; Pyszczynski, 1997)","previouslyFormattedCitation":"(Becker, 1973; Greenberg, Pyszczynski, &amp; Solomon, 1986; Greenberg, Solomon, &amp; Pyszczynski, 1997)"},"properties":{"noteIndex":0},"schema":"https://github.com/citation-style-language/schema/raw/master/csl-citation.json"}</w:instrText>
      </w:r>
      <w:r>
        <w:rPr>
          <w:color w:val="000000" w:themeColor="text1"/>
        </w:rPr>
        <w:fldChar w:fldCharType="separate"/>
      </w:r>
      <w:r w:rsidRPr="00685492">
        <w:rPr>
          <w:noProof/>
          <w:color w:val="000000" w:themeColor="text1"/>
        </w:rPr>
        <w:t>(Becker, 1973; Greenberg, Pyszczynski, &amp; Solomon, 1986; Greenberg, Solomon, &amp; Pyszczynski, 1997)</w:t>
      </w:r>
      <w:r>
        <w:rPr>
          <w:color w:val="000000" w:themeColor="text1"/>
        </w:rPr>
        <w:fldChar w:fldCharType="end"/>
      </w:r>
      <w:r>
        <w:rPr>
          <w:color w:val="000000" w:themeColor="text1"/>
        </w:rPr>
        <w:t xml:space="preserve">. </w:t>
      </w:r>
      <w:r w:rsidR="00737F49">
        <w:rPr>
          <w:color w:val="000000" w:themeColor="text1"/>
        </w:rPr>
        <w:t>But, a</w:t>
      </w:r>
      <w:r>
        <w:rPr>
          <w:color w:val="000000" w:themeColor="text1"/>
        </w:rPr>
        <w:t xml:space="preserve">s Becker </w:t>
      </w:r>
      <w:r w:rsidR="00737F49">
        <w:rPr>
          <w:color w:val="000000" w:themeColor="text1"/>
        </w:rPr>
        <w:t>noted</w:t>
      </w:r>
      <w:r>
        <w:rPr>
          <w:color w:val="000000" w:themeColor="text1"/>
        </w:rPr>
        <w:t xml:space="preserve">, </w:t>
      </w:r>
      <w:r w:rsidR="00737F49">
        <w:rPr>
          <w:color w:val="000000" w:themeColor="text1"/>
        </w:rPr>
        <w:t xml:space="preserve">“death” is a concept, one that other animals seem to lack. Living an entire </w:t>
      </w:r>
      <w:r w:rsidR="00737F49">
        <w:rPr>
          <w:color w:val="000000" w:themeColor="text1"/>
        </w:rPr>
        <w:lastRenderedPageBreak/>
        <w:t xml:space="preserve">human life knowing that death is inevitable threatens our very existence </w:t>
      </w:r>
      <w:r>
        <w:rPr>
          <w:color w:val="000000" w:themeColor="text1"/>
        </w:rPr>
        <w:fldChar w:fldCharType="begin" w:fldLock="1"/>
      </w:r>
      <w:r>
        <w:rPr>
          <w:color w:val="000000" w:themeColor="text1"/>
        </w:rPr>
        <w:instrText>ADDIN CSL_CITATION {"citationItems":[{"id":"ITEM-1","itemData":{"author":[{"dropping-particle":"","family":"Becker","given":"Ernest","non-dropping-particle":"","parse-names":false,"suffix":""}],"id":"ITEM-1","issued":{"date-parts":[["1973"]]},"publisher":"Simon and Schuster","title":"The denial of death","type":"book"},"uris":["http://www.mendeley.com/documents/?uuid=0724e450-45a0-4d8b-b38d-bc4dcb379969"]}],"mendeley":{"formattedCitation":"(Becker, 1973)","manualFormatting":"(Becker, 1973, p. 27)","plainTextFormattedCitation":"(Becker, 1973)","previouslyFormattedCitation":"(Becker, 1973)"},"properties":{"noteIndex":0},"schema":"https://github.com/citation-style-language/schema/raw/master/csl-citation.json"}</w:instrText>
      </w:r>
      <w:r>
        <w:rPr>
          <w:color w:val="000000" w:themeColor="text1"/>
        </w:rPr>
        <w:fldChar w:fldCharType="separate"/>
      </w:r>
      <w:r w:rsidRPr="00685492">
        <w:rPr>
          <w:noProof/>
          <w:color w:val="000000" w:themeColor="text1"/>
        </w:rPr>
        <w:t>(Becker, 1973)</w:t>
      </w:r>
      <w:r>
        <w:rPr>
          <w:color w:val="000000" w:themeColor="text1"/>
        </w:rPr>
        <w:fldChar w:fldCharType="end"/>
      </w:r>
      <w:r>
        <w:rPr>
          <w:color w:val="000000" w:themeColor="text1"/>
        </w:rPr>
        <w:t xml:space="preserve">. </w:t>
      </w:r>
      <w:r w:rsidRPr="00EE0450">
        <w:t xml:space="preserve">Becker </w:t>
      </w:r>
      <w:r w:rsidR="00737F49">
        <w:t>thought that fear of death is, in fact, the principal motivator of human behavior</w:t>
      </w:r>
      <w:r w:rsidRPr="00EE0450">
        <w:t xml:space="preserve"> </w:t>
      </w:r>
      <w:r w:rsidRPr="00EE0450">
        <w:fldChar w:fldCharType="begin" w:fldLock="1"/>
      </w:r>
      <w:r w:rsidRPr="00EE0450">
        <w:instrText>ADDIN CSL_CITATION {"citationItems":[{"id":"ITEM-1","itemData":{"author":[{"dropping-particle":"","family":"Becker","given":"Ernest","non-dropping-particle":"","parse-names":false,"suffix":""}],"id":"ITEM-1","issued":{"date-parts":[["1973"]]},"publisher":"Simon and Schuster","title":"The denial of death","type":"book"},"uris":["http://www.mendeley.com/documents/?uuid=0724e450-45a0-4d8b-b38d-bc4dcb379969"]}],"mendeley":{"formattedCitation":"(Becker, 1973)","manualFormatting":"(Becker, 1973, p. 11)","plainTextFormattedCitation":"(Becker, 1973)","previouslyFormattedCitation":"(Becker, 1973)"},"properties":{"noteIndex":0},"schema":"https://github.com/citation-style-language/schema/raw/master/csl-citation.json"}</w:instrText>
      </w:r>
      <w:r w:rsidRPr="00EE0450">
        <w:fldChar w:fldCharType="separate"/>
      </w:r>
      <w:r w:rsidRPr="00EE0450">
        <w:rPr>
          <w:noProof/>
        </w:rPr>
        <w:t>(Becker, 1973)</w:t>
      </w:r>
      <w:r w:rsidRPr="00EE0450">
        <w:fldChar w:fldCharType="end"/>
      </w:r>
      <w:r w:rsidRPr="00EE0450">
        <w:t xml:space="preserve">. </w:t>
      </w:r>
    </w:p>
    <w:p w14:paraId="7382D5F5" w14:textId="7F3182E7" w:rsidR="00A173A7" w:rsidRPr="007F350E" w:rsidRDefault="00EE0450" w:rsidP="00737F49">
      <w:pPr>
        <w:spacing w:line="480" w:lineRule="auto"/>
        <w:ind w:firstLine="720"/>
        <w:rPr>
          <w:color w:val="000000" w:themeColor="text1"/>
        </w:rPr>
      </w:pPr>
      <w:r w:rsidRPr="00E82F2E">
        <w:t xml:space="preserve">Becker </w:t>
      </w:r>
      <w:r w:rsidR="00737F49">
        <w:t xml:space="preserve">also </w:t>
      </w:r>
      <w:r w:rsidRPr="00E82F2E">
        <w:t>felt that the fear of death helps us maintain an important sense of self-preservation and thus survival</w:t>
      </w:r>
      <w:r w:rsidR="00737F49">
        <w:t>.</w:t>
      </w:r>
      <w:r w:rsidRPr="00E82F2E">
        <w:t xml:space="preserve"> </w:t>
      </w:r>
      <w:r w:rsidR="00737F49">
        <w:t>B</w:t>
      </w:r>
      <w:r w:rsidRPr="00E82F2E">
        <w:t>ut</w:t>
      </w:r>
      <w:r w:rsidR="00737F49">
        <w:t>,</w:t>
      </w:r>
      <w:r w:rsidRPr="00E82F2E">
        <w:t xml:space="preserve"> at the same time, to be fully aware of our mortality would be overpowering and would prevent us from being able to function at all </w:t>
      </w:r>
      <w:r w:rsidR="00A173A7" w:rsidRPr="00EE0450">
        <w:fldChar w:fldCharType="begin" w:fldLock="1"/>
      </w:r>
      <w:r w:rsidRPr="00E82F2E">
        <w:instrText>ADDIN CSL_CITATION {"citationItems":[{"id":"ITEM-1","itemData":{"author":[{"dropping-particle":"","family":"Becker","given":"Ernest","non-dropping-particle":"","parse-names":false,"suffix":""}],"id":"ITEM-1","issued":{"date-parts":[["1973"]]},"publisher":"Simon and Schuster","title":"The denial of death","type":"book"},"uris":["http://www.mendeley.com/documents/?uuid=0724e450-45a0-4d8b-b38d-bc4dcb379969"]}],"mendeley":{"formattedCitation":"(Becker, 1973)","manualFormatting":"(Becker, 1973)","plainTextFormattedCitation":"(Becker, 1973)","previouslyFormattedCitation":"(Becker, 1973)"},"properties":{"noteIndex":0},"schema":"https://github.com/citation-style-language/schema/raw/master/csl-citation.json"}</w:instrText>
      </w:r>
      <w:r w:rsidR="00A173A7" w:rsidRPr="00EE0450">
        <w:fldChar w:fldCharType="separate"/>
      </w:r>
      <w:r w:rsidR="00A173A7" w:rsidRPr="00EE0450">
        <w:rPr>
          <w:noProof/>
        </w:rPr>
        <w:t>(Becker, 1973)</w:t>
      </w:r>
      <w:r w:rsidR="00A173A7" w:rsidRPr="00EE0450">
        <w:fldChar w:fldCharType="end"/>
      </w:r>
      <w:r w:rsidR="00A173A7" w:rsidRPr="00EE0450">
        <w:t>.</w:t>
      </w:r>
      <w:r w:rsidR="00A173A7">
        <w:t xml:space="preserve"> Thus, to truly know one’s own mortality, to really understand the chaos and disorder that define worldly experience, would result in paralyzing, disintegrating anxiety. </w:t>
      </w:r>
    </w:p>
    <w:p w14:paraId="629CAA89" w14:textId="29F4483C" w:rsidR="00147F6C" w:rsidRDefault="00C97441" w:rsidP="00D13859">
      <w:pPr>
        <w:spacing w:line="480" w:lineRule="auto"/>
        <w:ind w:firstLine="720"/>
      </w:pPr>
      <w:r>
        <w:t xml:space="preserve">So how do humans to manage this terror and overcome the anxiety generated by the world’s unpredictability? </w:t>
      </w:r>
      <w:r w:rsidR="00F02CC2">
        <w:t xml:space="preserve"> </w:t>
      </w:r>
      <w:r w:rsidR="00A173A7">
        <w:t xml:space="preserve">Becker theorized that humans have a preoccupation with </w:t>
      </w:r>
      <w:r w:rsidR="00A173A7" w:rsidRPr="00197E3A">
        <w:rPr>
          <w:i/>
          <w:iCs/>
        </w:rPr>
        <w:t>heroism</w:t>
      </w:r>
      <w:r w:rsidR="00A173A7">
        <w:t xml:space="preserve"> and the idea of becoming heroes as a way to </w:t>
      </w:r>
      <w:r w:rsidR="007015CC">
        <w:t>manage</w:t>
      </w:r>
      <w:r w:rsidR="00A173A7">
        <w:t xml:space="preserve"> existential terror and to orient ourselves toward self-preservation. He quote</w:t>
      </w:r>
      <w:r w:rsidR="00A5176A">
        <w:t>d</w:t>
      </w:r>
      <w:r w:rsidR="00A173A7">
        <w:t xml:space="preserve"> Nathanial Shaler, “…heroism is first and foremost a reflex of the terror of death” </w:t>
      </w:r>
      <w:r w:rsidR="00A173A7">
        <w:fldChar w:fldCharType="begin" w:fldLock="1"/>
      </w:r>
      <w:r w:rsidR="00A173A7">
        <w:instrText>ADDIN CSL_CITATION {"citationItems":[{"id":"ITEM-1","itemData":{"author":[{"dropping-particle":"","family":"Becker","given":"Ernest","non-dropping-particle":"","parse-names":false,"suffix":""}],"id":"ITEM-1","issued":{"date-parts":[["1973"]]},"publisher":"Simon and Schuster","title":"The denial of death","type":"book"},"uris":["http://www.mendeley.com/documents/?uuid=0724e450-45a0-4d8b-b38d-bc4dcb379969"]}],"mendeley":{"formattedCitation":"(Becker, 1973)","manualFormatting":"(in Becker, 1973, p. 11)","plainTextFormattedCitation":"(Becker, 1973)","previouslyFormattedCitation":"(Becker, 1973)"},"properties":{"noteIndex":0},"schema":"https://github.com/citation-style-language/schema/raw/master/csl-citation.json"}</w:instrText>
      </w:r>
      <w:r w:rsidR="00A173A7">
        <w:fldChar w:fldCharType="separate"/>
      </w:r>
      <w:r w:rsidR="00A173A7" w:rsidRPr="00685492">
        <w:rPr>
          <w:noProof/>
        </w:rPr>
        <w:t>(</w:t>
      </w:r>
      <w:r w:rsidR="00A173A7">
        <w:rPr>
          <w:noProof/>
        </w:rPr>
        <w:t xml:space="preserve">in </w:t>
      </w:r>
      <w:r w:rsidR="00A173A7" w:rsidRPr="00685492">
        <w:rPr>
          <w:noProof/>
        </w:rPr>
        <w:t>Becker, 1973</w:t>
      </w:r>
      <w:r w:rsidR="00A173A7">
        <w:rPr>
          <w:noProof/>
        </w:rPr>
        <w:t>, p. 11</w:t>
      </w:r>
      <w:r w:rsidR="00A173A7" w:rsidRPr="00685492">
        <w:rPr>
          <w:noProof/>
        </w:rPr>
        <w:t>)</w:t>
      </w:r>
      <w:r w:rsidR="00A173A7">
        <w:fldChar w:fldCharType="end"/>
      </w:r>
      <w:r w:rsidR="00A173A7">
        <w:t xml:space="preserve">.  </w:t>
      </w:r>
      <w:r w:rsidR="00C904AC">
        <w:t xml:space="preserve">Becker felt that when humans are confronted with their own extinction, they, in their minds, play out the most heroic triumph imaginable. </w:t>
      </w:r>
      <w:r w:rsidR="00A173A7">
        <w:fldChar w:fldCharType="begin" w:fldLock="1"/>
      </w:r>
      <w:r w:rsidR="00C904AC">
        <w:instrText>ADDIN CSL_CITATION {"citationItems":[{"id":"ITEM-1","itemData":{"author":[{"dropping-particle":"","family":"Becker","given":"Ernest","non-dropping-particle":"","parse-names":false,"suffix":""}],"id":"ITEM-1","issued":{"date-parts":[["1973"]]},"publisher":"Simon and Schuster","title":"The denial of death","type":"book"},"uris":["http://www.mendeley.com/documents/?uuid=0724e450-45a0-4d8b-b38d-bc4dcb379969"]}],"mendeley":{"formattedCitation":"(Becker, 1973)","manualFormatting":"(Becker, 1973)","plainTextFormattedCitation":"(Becker, 1973)","previouslyFormattedCitation":"(Becker, 1973)"},"properties":{"noteIndex":0},"schema":"https://github.com/citation-style-language/schema/raw/master/csl-citation.json"}</w:instrText>
      </w:r>
      <w:r w:rsidR="00A173A7">
        <w:fldChar w:fldCharType="separate"/>
      </w:r>
      <w:r w:rsidR="00A173A7" w:rsidRPr="00685492">
        <w:rPr>
          <w:noProof/>
        </w:rPr>
        <w:t>(Becker, 1973)</w:t>
      </w:r>
      <w:r w:rsidR="00A173A7">
        <w:fldChar w:fldCharType="end"/>
      </w:r>
      <w:r w:rsidR="00A173A7">
        <w:t xml:space="preserve">. He </w:t>
      </w:r>
      <w:r w:rsidR="00737F49">
        <w:t>believed that</w:t>
      </w:r>
      <w:r w:rsidR="009A15F2">
        <w:t xml:space="preserve"> our general instincts toward self-preservation combined with our ability to understand our mortality, direct our actions, and represent the world symbolically </w:t>
      </w:r>
      <w:r w:rsidR="009A15F2" w:rsidRPr="007F350E">
        <w:rPr>
          <w:i/>
          <w:iCs/>
        </w:rPr>
        <w:t>require</w:t>
      </w:r>
      <w:r w:rsidR="009A15F2">
        <w:t xml:space="preserve"> us to develop an heroic identity</w:t>
      </w:r>
      <w:r w:rsidR="00A173A7">
        <w:t xml:space="preserve"> </w:t>
      </w:r>
      <w:r w:rsidR="00A173A7">
        <w:fldChar w:fldCharType="begin" w:fldLock="1"/>
      </w:r>
      <w:r w:rsidR="00A173A7">
        <w:instrText>ADDIN CSL_CITATION {"citationItems":[{"id":"ITEM-1","itemData":{"author":[{"dropping-particle":"","family":"Becker","given":"Ernest","non-dropping-particle":"","parse-names":false,"suffix":""}],"id":"ITEM-1","issued":{"date-parts":[["1971"]]},"publisher":"Free Press","title":"The Birth and Death of Meaning: An Interdisciplinary Perspective on the Problem of Man. 2d Ed","type":"book"},"uris":["http://www.mendeley.com/documents/?uuid=d212c7ec-d7f2-4ae4-9a2a-cb25337790fb"]}],"mendeley":{"formattedCitation":"(Becker, 1971)","manualFormatting":"(Becker, 1971, p. 77)","plainTextFormattedCitation":"(Becker, 1971)","previouslyFormattedCitation":"(Becker, 1971)"},"properties":{"noteIndex":0},"schema":"https://github.com/citation-style-language/schema/raw/master/csl-citation.json"}</w:instrText>
      </w:r>
      <w:r w:rsidR="00A173A7">
        <w:fldChar w:fldCharType="separate"/>
      </w:r>
      <w:r w:rsidR="00A173A7" w:rsidRPr="00685492">
        <w:rPr>
          <w:noProof/>
        </w:rPr>
        <w:t>(Becker, 1971)</w:t>
      </w:r>
      <w:r w:rsidR="00A173A7">
        <w:fldChar w:fldCharType="end"/>
      </w:r>
      <w:r w:rsidR="00A173A7">
        <w:t xml:space="preserve">. </w:t>
      </w:r>
      <w:r w:rsidR="00C904AC">
        <w:t xml:space="preserve"> </w:t>
      </w:r>
      <w:r w:rsidR="00D13859">
        <w:t>Here he</w:t>
      </w:r>
      <w:r w:rsidR="00C904AC">
        <w:t xml:space="preserve"> was contending that</w:t>
      </w:r>
      <w:r w:rsidR="00D13859">
        <w:t>,</w:t>
      </w:r>
      <w:r w:rsidR="00C904AC">
        <w:t xml:space="preserve"> </w:t>
      </w:r>
      <w:r w:rsidR="00735A8D">
        <w:t xml:space="preserve">given the complex nature of human existence, </w:t>
      </w:r>
      <w:r w:rsidR="00C904AC">
        <w:t>a heroic self-identity becomes a necessary mechanism of survival.</w:t>
      </w:r>
    </w:p>
    <w:p w14:paraId="779EB37E" w14:textId="4CEC9623" w:rsidR="003A24A1" w:rsidRDefault="00147F6C" w:rsidP="00B34E61">
      <w:pPr>
        <w:spacing w:line="480" w:lineRule="auto"/>
        <w:ind w:firstLine="720"/>
      </w:pPr>
      <w:r>
        <w:t>Becker claimed that humans view the world through a</w:t>
      </w:r>
      <w:r w:rsidR="00A173A7">
        <w:t xml:space="preserve"> </w:t>
      </w:r>
      <w:r>
        <w:t xml:space="preserve">narcissistic </w:t>
      </w:r>
      <w:r w:rsidR="00A173A7">
        <w:t>lens that presents things in the form of heroics and heroism</w:t>
      </w:r>
      <w:r>
        <w:t>.</w:t>
      </w:r>
      <w:r w:rsidR="00A173A7">
        <w:t xml:space="preserve"> </w:t>
      </w:r>
      <w:r>
        <w:t>F</w:t>
      </w:r>
      <w:r w:rsidR="00A173A7">
        <w:t>o</w:t>
      </w:r>
      <w:r>
        <w:t>r</w:t>
      </w:r>
      <w:r w:rsidR="00A173A7">
        <w:t xml:space="preserve"> him, narcissism is a central facet of human life</w:t>
      </w:r>
      <w:r w:rsidR="006852E8">
        <w:t>;</w:t>
      </w:r>
      <w:r w:rsidR="00A173A7">
        <w:t xml:space="preserve"> </w:t>
      </w:r>
      <w:r w:rsidR="006852E8">
        <w:t>s</w:t>
      </w:r>
      <w:r w:rsidR="00A173A7">
        <w:t xml:space="preserve">elf-preservation, </w:t>
      </w:r>
      <w:r w:rsidR="006852E8">
        <w:t xml:space="preserve">an awareness of one’s body, and the sense of being alive combine, in the symbolic creatures that humans are, </w:t>
      </w:r>
      <w:r w:rsidR="00B34E61">
        <w:t xml:space="preserve">to the heroic urge. For </w:t>
      </w:r>
      <w:r w:rsidR="00A173A7">
        <w:t>Freud</w:t>
      </w:r>
      <w:r w:rsidR="00B34E61">
        <w:t>,</w:t>
      </w:r>
      <w:r w:rsidR="00A173A7">
        <w:t xml:space="preserve"> </w:t>
      </w:r>
      <w:r w:rsidR="00B34E61">
        <w:t xml:space="preserve">this provides </w:t>
      </w:r>
      <w:r w:rsidR="00A173A7">
        <w:t xml:space="preserve">the psychic </w:t>
      </w:r>
      <w:r w:rsidR="00B34E61">
        <w:t xml:space="preserve">explanation </w:t>
      </w:r>
      <w:r w:rsidR="00A173A7">
        <w:t xml:space="preserve">of these facts, </w:t>
      </w:r>
      <w:r w:rsidR="00CA63A4">
        <w:t>which he lumped together</w:t>
      </w:r>
      <w:r w:rsidR="00A173A7">
        <w:t xml:space="preserve"> under the label of narcissism </w:t>
      </w:r>
      <w:r w:rsidR="00A173A7">
        <w:fldChar w:fldCharType="begin" w:fldLock="1"/>
      </w:r>
      <w:r w:rsidR="00A173A7" w:rsidRPr="00735A8D">
        <w:instrText>ADDIN CSL_CITATION {"citationItems":[{"id":"ITEM-1","itemData":{"author":[{"dropping-particle":"","family":"Becker","given":"Ernest","non-dropping-particle":"","parse-names":false,"suffix":""}],"id":"ITEM-1","issued":{"date-parts":[["1971"]]},"publisher":"Free Press","title":"The Birth and Death of Meaning: An Interdisciplinary Perspective on the Problem of Man. 2d Ed","type":"book"},"uris":["http://www.mendeley.com/documents/?uuid=d212c7ec-d7f2-4ae4-9a2a-cb25337790fb"]}],"mendeley":{"formattedCitation":"(Becker, 1971)","manualFormatting":"(Becker, 1971, p. 77)","plainTextFormattedCitation":"(Becker, 1971)","previouslyFormattedCitation":"(Becker, 1971)"},"properties":{"noteIndex":0},"schema":"https://github.com/citation-style-language/schema/raw/master/csl-citation.json"}</w:instrText>
      </w:r>
      <w:r w:rsidR="00A173A7">
        <w:fldChar w:fldCharType="separate"/>
      </w:r>
      <w:r w:rsidR="00A173A7" w:rsidRPr="00685492">
        <w:rPr>
          <w:noProof/>
        </w:rPr>
        <w:t xml:space="preserve">(Becker, </w:t>
      </w:r>
      <w:r w:rsidR="00A173A7" w:rsidRPr="00685492">
        <w:rPr>
          <w:noProof/>
        </w:rPr>
        <w:lastRenderedPageBreak/>
        <w:t>1971)</w:t>
      </w:r>
      <w:r w:rsidR="00A173A7">
        <w:fldChar w:fldCharType="end"/>
      </w:r>
      <w:r w:rsidR="00A173A7">
        <w:t xml:space="preserve">. Becker felt that narcissism was one way </w:t>
      </w:r>
      <w:r w:rsidR="00A001A7">
        <w:t xml:space="preserve">humans </w:t>
      </w:r>
      <w:r w:rsidR="002C7CBD">
        <w:t xml:space="preserve">manage the tension between death anxiety and </w:t>
      </w:r>
      <w:r w:rsidR="00A173A7">
        <w:t xml:space="preserve">self-preservation, “… narcissism is what keeps men marching into point-blank fire in wars: at heart one doesn’t feel that </w:t>
      </w:r>
      <w:r w:rsidR="00A173A7">
        <w:rPr>
          <w:i/>
          <w:iCs/>
        </w:rPr>
        <w:t>he</w:t>
      </w:r>
      <w:r w:rsidR="00A173A7">
        <w:t xml:space="preserve"> will die, he only feels sorry for the man next to him.” </w:t>
      </w:r>
      <w:r w:rsidR="00A173A7">
        <w:fldChar w:fldCharType="begin" w:fldLock="1"/>
      </w:r>
      <w:r w:rsidR="00A173A7">
        <w:instrText>ADDIN CSL_CITATION {"citationItems":[{"id":"ITEM-1","itemData":{"author":[{"dropping-particle":"","family":"Becker","given":"Ernest","non-dropping-particle":"","parse-names":false,"suffix":""}],"id":"ITEM-1","issued":{"date-parts":[["1973"]]},"publisher":"Simon and Schuster","title":"The denial of death","type":"book"},"uris":["http://www.mendeley.com/documents/?uuid=0724e450-45a0-4d8b-b38d-bc4dcb379969"]}],"mendeley":{"formattedCitation":"(Becker, 1973)","manualFormatting":"(Becker, 1973, p. 2)","plainTextFormattedCitation":"(Becker, 1973)","previouslyFormattedCitation":"(Becker, 1973)"},"properties":{"noteIndex":0},"schema":"https://github.com/citation-style-language/schema/raw/master/csl-citation.json"}</w:instrText>
      </w:r>
      <w:r w:rsidR="00A173A7">
        <w:fldChar w:fldCharType="separate"/>
      </w:r>
      <w:r w:rsidR="00A173A7" w:rsidRPr="00685492">
        <w:rPr>
          <w:noProof/>
        </w:rPr>
        <w:t>(Becker, 1973</w:t>
      </w:r>
      <w:r w:rsidR="00A173A7">
        <w:rPr>
          <w:noProof/>
        </w:rPr>
        <w:t>, p. 2</w:t>
      </w:r>
      <w:r w:rsidR="00A173A7" w:rsidRPr="00685492">
        <w:rPr>
          <w:noProof/>
        </w:rPr>
        <w:t>)</w:t>
      </w:r>
      <w:r w:rsidR="00A173A7">
        <w:fldChar w:fldCharType="end"/>
      </w:r>
      <w:r w:rsidR="00A173A7">
        <w:t xml:space="preserve">. </w:t>
      </w:r>
    </w:p>
    <w:p w14:paraId="11961796" w14:textId="4A7E6865" w:rsidR="00A173A7" w:rsidRPr="00675CCD" w:rsidRDefault="00044796" w:rsidP="006B11C7">
      <w:pPr>
        <w:spacing w:line="480" w:lineRule="auto"/>
        <w:ind w:firstLine="720"/>
      </w:pPr>
      <w:r w:rsidRPr="00675CCD">
        <w:t>Becker thought that humans have a natural narcissism that helps us feel good about ourselves and gives us a sense of self-worth</w:t>
      </w:r>
      <w:r w:rsidR="00675CCD">
        <w:t>,</w:t>
      </w:r>
      <w:r w:rsidRPr="00675CCD">
        <w:t xml:space="preserve"> our self-esteem. </w:t>
      </w:r>
      <w:r w:rsidR="00424546">
        <w:t xml:space="preserve">It is important to note that this understanding of narcissism refers not to a pathological understanding of narcissism, but to a natural level of narcissism that is inherent in human existence, and that identifying with our own narcissism leads to one seeing themselves as a hero. </w:t>
      </w:r>
      <w:r w:rsidRPr="00675CCD">
        <w:t>Becker felt it is natural for humans to place themselves, in their own minds, at the center of the universe</w:t>
      </w:r>
      <w:r w:rsidR="007569B9" w:rsidRPr="00675CCD">
        <w:t>.</w:t>
      </w:r>
      <w:r w:rsidRPr="00675CCD">
        <w:t xml:space="preserve"> He</w:t>
      </w:r>
      <w:r w:rsidR="00A173A7" w:rsidRPr="00675CCD">
        <w:t xml:space="preserve"> felt that narcissism and heroism were fundamental</w:t>
      </w:r>
      <w:r w:rsidR="002C1CDC" w:rsidRPr="00675CCD">
        <w:t xml:space="preserve"> to human existence.</w:t>
      </w:r>
      <w:r w:rsidR="00A173A7" w:rsidRPr="00675CCD">
        <w:t xml:space="preserve"> </w:t>
      </w:r>
      <w:r w:rsidR="00A972D0">
        <w:t xml:space="preserve">In fact, he felt that becoming conscious of </w:t>
      </w:r>
      <w:r w:rsidR="006B11C7">
        <w:t xml:space="preserve">how we earn our heroism is the principle problem of life </w:t>
      </w:r>
      <w:r w:rsidR="00A972D0">
        <w:t xml:space="preserve"> </w:t>
      </w:r>
      <w:r w:rsidR="00A173A7" w:rsidRPr="00675CCD">
        <w:fldChar w:fldCharType="begin" w:fldLock="1"/>
      </w:r>
      <w:r w:rsidR="00A173A7" w:rsidRPr="00675CCD">
        <w:instrText>ADDIN CSL_CITATION {"citationItems":[{"id":"ITEM-1","itemData":{"author":[{"dropping-particle":"","family":"Becker","given":"Ernest","non-dropping-particle":"","parse-names":false,"suffix":""}],"id":"ITEM-1","issued":{"date-parts":[["1973"]]},"publisher":"Simon and Schuster","title":"The denial of death","type":"book"},"uris":["http://www.mendeley.com/documents/?uuid=0724e450-45a0-4d8b-b38d-bc4dcb379969"]}],"mendeley":{"formattedCitation":"(Becker, 1973)","manualFormatting":"(Becker, 1973, p. 6)","plainTextFormattedCitation":"(Becker, 1973)","previouslyFormattedCitation":"(Becker, 1973)"},"properties":{"noteIndex":0},"schema":"https://github.com/citation-style-language/schema/raw/master/csl-citation.json"}</w:instrText>
      </w:r>
      <w:r w:rsidR="00A173A7" w:rsidRPr="00675CCD">
        <w:fldChar w:fldCharType="separate"/>
      </w:r>
      <w:r w:rsidR="00A173A7" w:rsidRPr="00675CCD">
        <w:rPr>
          <w:noProof/>
        </w:rPr>
        <w:t>(Becker, 1973)</w:t>
      </w:r>
      <w:r w:rsidR="00A173A7" w:rsidRPr="00675CCD">
        <w:fldChar w:fldCharType="end"/>
      </w:r>
      <w:r w:rsidR="00A173A7" w:rsidRPr="00675CCD">
        <w:t xml:space="preserve">. </w:t>
      </w:r>
      <w:r w:rsidR="00AB1910" w:rsidRPr="00675CCD">
        <w:t>F</w:t>
      </w:r>
      <w:r w:rsidR="00A173A7" w:rsidRPr="00675CCD">
        <w:t xml:space="preserve">or Becker, placing ourselves </w:t>
      </w:r>
      <w:r w:rsidR="00AB1910" w:rsidRPr="00675CCD">
        <w:t xml:space="preserve">in </w:t>
      </w:r>
      <w:r w:rsidR="00A173A7" w:rsidRPr="00675CCD">
        <w:t xml:space="preserve">the leading role in an epic heroic tale is </w:t>
      </w:r>
      <w:r w:rsidR="00ED3FE5" w:rsidRPr="00675CCD">
        <w:t>the most</w:t>
      </w:r>
      <w:r w:rsidR="00A173A7" w:rsidRPr="00675CCD">
        <w:t xml:space="preserve"> reliable way to boost our self-regard</w:t>
      </w:r>
      <w:r w:rsidR="006B11C7">
        <w:t xml:space="preserve"> and fend off death anxiety</w:t>
      </w:r>
      <w:r w:rsidR="00A173A7" w:rsidRPr="00675CCD">
        <w:t>.</w:t>
      </w:r>
    </w:p>
    <w:p w14:paraId="4E512449" w14:textId="61962C55" w:rsidR="00EA1FC7" w:rsidRDefault="00A173A7" w:rsidP="00A173A7">
      <w:pPr>
        <w:spacing w:line="480" w:lineRule="auto"/>
        <w:ind w:firstLine="720"/>
      </w:pPr>
      <w:r>
        <w:t xml:space="preserve">Imagining ourselves as the great protagonist in our own </w:t>
      </w:r>
      <w:r w:rsidR="00A37CDA">
        <w:t>private drama</w:t>
      </w:r>
      <w:r>
        <w:t xml:space="preserve"> require</w:t>
      </w:r>
      <w:r w:rsidR="003A24A1">
        <w:t>s</w:t>
      </w:r>
      <w:r>
        <w:t xml:space="preserve"> us to suspend our </w:t>
      </w:r>
      <w:r w:rsidR="001D53AD">
        <w:t xml:space="preserve">awareness </w:t>
      </w:r>
      <w:r>
        <w:t xml:space="preserve">in a way that ignores important aspects of experience. Psychoanalyst Sandor Ferenczi claimed that psychological defenses are, at their core, distortions of reality that help us make living more manageable. He called </w:t>
      </w:r>
      <w:r w:rsidR="0096207D">
        <w:t xml:space="preserve">this normal distortion of reality </w:t>
      </w:r>
      <w:r>
        <w:t xml:space="preserve">our “secret psychoses,” claiming that we must </w:t>
      </w:r>
      <w:r w:rsidR="0096207D">
        <w:t xml:space="preserve">each </w:t>
      </w:r>
      <w:r>
        <w:t xml:space="preserve">have our own secret psychoses in order to be able to see ourselves as the hero of our own narrative </w:t>
      </w:r>
      <w:r>
        <w:fldChar w:fldCharType="begin" w:fldLock="1"/>
      </w:r>
      <w:r>
        <w:instrText>ADDIN CSL_CITATION {"citationItems":[{"id":"ITEM-1","itemData":{"author":[{"dropping-particle":"","family":"Ferenczi","given":"Sándor","non-dropping-particle":"","parse-names":false,"suffix":""}],"container-title":"Translated by E. Mosbacher and others. London: Hogarth","id":"ITEM-1","issued":{"date-parts":[["1955"]]},"title":"Final contributions to psycho-analysis","type":"article-journal"},"uris":["http://www.mendeley.com/documents/?uuid=0de22658-8164-49f6-8f1c-ada756c70411"]}],"mendeley":{"formattedCitation":"(Ferenczi, 1955)","plainTextFormattedCitation":"(Ferenczi, 1955)","previouslyFormattedCitation":"(Ferenczi, 1955)"},"properties":{"noteIndex":0},"schema":"https://github.com/citation-style-language/schema/raw/master/csl-citation.json"}</w:instrText>
      </w:r>
      <w:r>
        <w:fldChar w:fldCharType="separate"/>
      </w:r>
      <w:r w:rsidRPr="00685492">
        <w:rPr>
          <w:noProof/>
        </w:rPr>
        <w:t>(Ferenczi, 1955)</w:t>
      </w:r>
      <w:r>
        <w:fldChar w:fldCharType="end"/>
      </w:r>
      <w:r>
        <w:t xml:space="preserve">. Becker takes this idea a step further, claiming that, without a secret psychosis to help us defend against existential terror, </w:t>
      </w:r>
      <w:r w:rsidR="0096207D">
        <w:t xml:space="preserve">we </w:t>
      </w:r>
      <w:r>
        <w:t xml:space="preserve">would instead </w:t>
      </w:r>
      <w:r w:rsidR="0096207D">
        <w:t>develop</w:t>
      </w:r>
      <w:r w:rsidR="0096207D" w:rsidDel="0096207D">
        <w:t xml:space="preserve"> </w:t>
      </w:r>
      <w:r>
        <w:t xml:space="preserve">a </w:t>
      </w:r>
      <w:r w:rsidR="0096207D">
        <w:t>literal</w:t>
      </w:r>
      <w:r>
        <w:t xml:space="preserve"> psychosis </w:t>
      </w:r>
      <w:r>
        <w:fldChar w:fldCharType="begin" w:fldLock="1"/>
      </w:r>
      <w:r>
        <w:instrText>ADDIN CSL_CITATION {"citationItems":[{"id":"ITEM-1","itemData":{"author":[{"dropping-particle":"","family":"Becker","given":"Ernest","non-dropping-particle":"","parse-names":false,"suffix":""}],"id":"ITEM-1","issued":{"date-parts":[["1973"]]},"publisher":"Simon and Schuster","title":"The denial of death","type":"book"},"uris":["http://www.mendeley.com/documents/?uuid=0724e450-45a0-4d8b-b38d-bc4dcb379969"]}],"mendeley":{"formattedCitation":"(Becker, 1973)","manualFormatting":"(Becker, 1973, p. 66)","plainTextFormattedCitation":"(Becker, 1973)","previouslyFormattedCitation":"(Becker, 1973)"},"properties":{"noteIndex":0},"schema":"https://github.com/citation-style-language/schema/raw/master/csl-citation.json"}</w:instrText>
      </w:r>
      <w:r>
        <w:fldChar w:fldCharType="separate"/>
      </w:r>
      <w:r w:rsidRPr="00685492">
        <w:rPr>
          <w:noProof/>
        </w:rPr>
        <w:t>(Becker, 1973)</w:t>
      </w:r>
      <w:r>
        <w:fldChar w:fldCharType="end"/>
      </w:r>
      <w:r>
        <w:t xml:space="preserve">. </w:t>
      </w:r>
    </w:p>
    <w:p w14:paraId="46139A5A" w14:textId="1B19CC57" w:rsidR="00A173A7" w:rsidRDefault="00A173A7" w:rsidP="00EA1FC7">
      <w:pPr>
        <w:spacing w:line="480" w:lineRule="auto"/>
        <w:ind w:firstLine="720"/>
      </w:pPr>
      <w:r>
        <w:lastRenderedPageBreak/>
        <w:t xml:space="preserve">Becker sees this idea of secret psychoses and narcissism as intertwined. He </w:t>
      </w:r>
      <w:r w:rsidR="00EA1FC7">
        <w:t xml:space="preserve">notes that normal narcissism invariably distorts our perception of reality. In its most common form, it creates healthy self-confidence that allows us to see ourselves as the protagonist in our own version of the heroic play. In its pathological form, it leads to a withdrawal from the world, into a life of private fantasy </w:t>
      </w:r>
      <w:r>
        <w:fldChar w:fldCharType="begin" w:fldLock="1"/>
      </w:r>
      <w:r>
        <w:instrText>ADDIN CSL_CITATION {"citationItems":[{"id":"ITEM-1","itemData":{"author":[{"dropping-particle":"","family":"Becker","given":"Ernest","non-dropping-particle":"","parse-names":false,"suffix":""}],"id":"ITEM-1","issued":{"date-parts":[["1971"]]},"publisher":"Free Press","title":"The Birth and Death of Meaning: An Interdisciplinary Perspective on the Problem of Man. 2d Ed","type":"book"},"uris":["http://www.mendeley.com/documents/?uuid=d212c7ec-d7f2-4ae4-9a2a-cb25337790fb"]}],"mendeley":{"formattedCitation":"(Becker, 1971)","manualFormatting":"(Becker, 1971, p. 161-162)","plainTextFormattedCitation":"(Becker, 1971)","previouslyFormattedCitation":"(Becker, 1971)"},"properties":{"noteIndex":0},"schema":"https://github.com/citation-style-language/schema/raw/master/csl-citation.json"}</w:instrText>
      </w:r>
      <w:r>
        <w:fldChar w:fldCharType="separate"/>
      </w:r>
      <w:r w:rsidRPr="00685492">
        <w:rPr>
          <w:noProof/>
        </w:rPr>
        <w:t>(Becker, 1971)</w:t>
      </w:r>
      <w:r>
        <w:fldChar w:fldCharType="end"/>
      </w:r>
      <w:r>
        <w:t xml:space="preserve">. Becker </w:t>
      </w:r>
      <w:r w:rsidR="00EA1FC7">
        <w:t xml:space="preserve">thus </w:t>
      </w:r>
      <w:r>
        <w:t xml:space="preserve">sees our defenses </w:t>
      </w:r>
      <w:r w:rsidR="00EA1FC7">
        <w:t xml:space="preserve">(i.e., </w:t>
      </w:r>
      <w:r>
        <w:t>our secret psychoses</w:t>
      </w:r>
      <w:r w:rsidR="00EA1FC7">
        <w:t>)</w:t>
      </w:r>
      <w:r>
        <w:t xml:space="preserve"> as a way to ensure narcissistic regard for ourselves. He views </w:t>
      </w:r>
      <w:r w:rsidR="00EA1FC7">
        <w:t xml:space="preserve">this </w:t>
      </w:r>
      <w:r>
        <w:t xml:space="preserve">hidden form of madness as the way we maintain our sense of self-worth. </w:t>
      </w:r>
    </w:p>
    <w:p w14:paraId="791545C2" w14:textId="0FA7EA3F" w:rsidR="00A173A7" w:rsidRDefault="00A173A7" w:rsidP="00817233">
      <w:pPr>
        <w:spacing w:line="480" w:lineRule="auto"/>
        <w:ind w:firstLine="720"/>
      </w:pPr>
      <w:r>
        <w:t xml:space="preserve">Becker also </w:t>
      </w:r>
      <w:r w:rsidR="00817233">
        <w:t xml:space="preserve">finds </w:t>
      </w:r>
      <w:r>
        <w:t xml:space="preserve">Ferenczi’s idea of secret psychoses in the work of Harold Searles. He </w:t>
      </w:r>
      <w:r w:rsidR="00817233">
        <w:t xml:space="preserve">observed </w:t>
      </w:r>
      <w:r w:rsidR="00D50646">
        <w:t>that</w:t>
      </w:r>
      <w:r w:rsidR="00817233">
        <w:t xml:space="preserve"> Searles conceives or schizophrenia as developing from an inability to shut out terror. The desperation that ensues results in the fragmentation of the ego typical of schizophrenia </w:t>
      </w:r>
      <w:r>
        <w:fldChar w:fldCharType="begin" w:fldLock="1"/>
      </w:r>
      <w:r>
        <w:instrText>ADDIN CSL_CITATION {"citationItems":[{"id":"ITEM-1","itemData":{"author":[{"dropping-particle":"","family":"Becker","given":"Ernest","non-dropping-particle":"","parse-names":false,"suffix":""}],"id":"ITEM-1","issued":{"date-parts":[["1973"]]},"publisher":"Simon and Schuster","title":"The denial of death","type":"book"},"uris":["http://www.mendeley.com/documents/?uuid=0724e450-45a0-4d8b-b38d-bc4dcb379969"]}],"mendeley":{"formattedCitation":"(Becker, 1973)","manualFormatting":"(Becker, 1973, p. 63)","plainTextFormattedCitation":"(Becker, 1973)","previouslyFormattedCitation":"(Becker, 1973)"},"properties":{"noteIndex":0},"schema":"https://github.com/citation-style-language/schema/raw/master/csl-citation.json"}</w:instrText>
      </w:r>
      <w:r>
        <w:fldChar w:fldCharType="separate"/>
      </w:r>
      <w:r w:rsidRPr="00685492">
        <w:rPr>
          <w:noProof/>
        </w:rPr>
        <w:t>(Becker, 1973)</w:t>
      </w:r>
      <w:r>
        <w:fldChar w:fldCharType="end"/>
      </w:r>
      <w:r>
        <w:t xml:space="preserve">. </w:t>
      </w:r>
      <w:r w:rsidR="007569B9">
        <w:t>Becker felt that the</w:t>
      </w:r>
      <w:r w:rsidR="00817233">
        <w:t xml:space="preserve"> schizophrenic’s</w:t>
      </w:r>
      <w:r w:rsidR="007569B9">
        <w:t xml:space="preserve"> inability to develop adequate defenses allow</w:t>
      </w:r>
      <w:r w:rsidR="00817233">
        <w:t>ed</w:t>
      </w:r>
      <w:r w:rsidR="007569B9">
        <w:t xml:space="preserve"> the true nature of reality to </w:t>
      </w:r>
      <w:r w:rsidR="00817233">
        <w:t>come through</w:t>
      </w:r>
      <w:r w:rsidR="007569B9" w:rsidRPr="00E82F2E">
        <w:t xml:space="preserve">. </w:t>
      </w:r>
      <w:r w:rsidR="00817233">
        <w:t xml:space="preserve"> In this way, the</w:t>
      </w:r>
      <w:r w:rsidRPr="007569B9">
        <w:t xml:space="preserve"> defenses are the hidden forms of madness that make living in the world tolerable</w:t>
      </w:r>
      <w:r w:rsidR="00817233">
        <w:t>, protecting us from more severe forms of psychopathology</w:t>
      </w:r>
      <w:r w:rsidRPr="007569B9">
        <w:t xml:space="preserve">. When we become aware of our mortality (or, as Becker puts it, our “creatureliness”), we turn away in an effort to maintain our sanity. </w:t>
      </w:r>
      <w:r w:rsidRPr="007569B9">
        <w:fldChar w:fldCharType="begin" w:fldLock="1"/>
      </w:r>
      <w:r w:rsidR="001941D4" w:rsidRPr="007569B9">
        <w:instrText>ADDIN CSL_CITATION {"citationItems":[{"id":"ITEM-1","itemData":{"author":[{"dropping-particle":"","family":"Becker","given":"Ernest","non-dropping-particle":"","parse-names":false,"suffix":""}],"id":"ITEM-1","issued":{"date-parts":[["1973"]]},"publisher":"Simon and Schuster","title":"The denial of death","type":"book"},"uris":["http://www.mendeley.com/documents/?uuid=0724e450-45a0-4d8b-b38d-bc4dcb379969"]}],"mendeley":{"formattedCitation":"(Becker, 1973)","manualFormatting":"(1973, p. 94)","plainTextFormattedCitation":"(Becker, 1973)","previouslyFormattedCitation":"(Becker, 1973)"},"properties":{"noteIndex":0},"schema":"https://github.com/citation-style-language/schema/raw/master/csl-citation.json"}</w:instrText>
      </w:r>
      <w:r w:rsidRPr="007569B9">
        <w:fldChar w:fldCharType="separate"/>
      </w:r>
      <w:r w:rsidRPr="007569B9">
        <w:rPr>
          <w:noProof/>
        </w:rPr>
        <w:t>(1973)</w:t>
      </w:r>
      <w:r w:rsidRPr="007569B9">
        <w:fldChar w:fldCharType="end"/>
      </w:r>
      <w:r w:rsidRPr="007569B9">
        <w:t>.</w:t>
      </w:r>
    </w:p>
    <w:p w14:paraId="104E5388" w14:textId="13DD120C" w:rsidR="002343AD" w:rsidRDefault="002343AD" w:rsidP="0014798B">
      <w:pPr>
        <w:spacing w:line="480" w:lineRule="auto"/>
        <w:ind w:firstLine="720"/>
      </w:pPr>
      <w:r>
        <w:t xml:space="preserve">Through seeing ourselves as the hero in our tale, we can imagine (at least symbolically) that we may persist </w:t>
      </w:r>
      <w:r w:rsidRPr="00D14965">
        <w:rPr>
          <w:i/>
          <w:iCs/>
        </w:rPr>
        <w:t>culturally</w:t>
      </w:r>
      <w:r>
        <w:t xml:space="preserve"> after death. That is to say that we can see ourselves as active contributors, participants in a cultural worldview </w:t>
      </w:r>
      <w:r w:rsidR="00817233">
        <w:t xml:space="preserve">that </w:t>
      </w:r>
      <w:r>
        <w:t xml:space="preserve">endures over time. </w:t>
      </w:r>
      <w:r w:rsidR="00FD7B72">
        <w:t>While o</w:t>
      </w:r>
      <w:r w:rsidR="00A173A7">
        <w:t>ur narcissistic distortion of reality helps us feel better about ourselves by allowing us to feel more secure in the world, more prepared for what may come</w:t>
      </w:r>
      <w:r w:rsidR="00FD7B72">
        <w:t>, our culture provides the plots for our heroic stories</w:t>
      </w:r>
      <w:r w:rsidR="00A173A7">
        <w:t xml:space="preserve">. </w:t>
      </w:r>
      <w:r w:rsidR="00FD7B72">
        <w:t xml:space="preserve">As Dan </w:t>
      </w:r>
      <w:r w:rsidR="00A173A7">
        <w:t xml:space="preserve">McAdams </w:t>
      </w:r>
      <w:r w:rsidR="00817233">
        <w:t>says</w:t>
      </w:r>
      <w:r w:rsidR="00A173A7">
        <w:t xml:space="preserve">, “Culture … reveals its deepest and most profound influences on life </w:t>
      </w:r>
      <w:r w:rsidR="00A173A7">
        <w:lastRenderedPageBreak/>
        <w:t xml:space="preserve">stories, essentially providing a menu of themes, images, and plots for the psychosocial construction for narrative identity” </w:t>
      </w:r>
      <w:r w:rsidR="00A173A7">
        <w:fldChar w:fldCharType="begin" w:fldLock="1"/>
      </w:r>
      <w:r w:rsidR="00A173A7">
        <w:instrText>ADDIN CSL_CITATION {"citationItems":[{"id":"ITEM-1","itemData":{"author":[{"dropping-particle":"","family":"McAdams","given":"Dan P","non-dropping-particle":"","parse-names":false,"suffix":""}],"container-title":"Personality, identity, and character: Explorations in moral psychology","id":"ITEM-1","issued":{"date-parts":[["2009"]]},"page":"11-29","title":"The moral personality","type":"article-journal"},"uris":["http://www.mendeley.com/documents/?uuid=28cfaa39-5559-4d23-8185-3044ca826f1e"]}],"mendeley":{"formattedCitation":"(McAdams, 2009)","manualFormatting":"(McAdams, 2009, p.13)","plainTextFormattedCitation":"(McAdams, 2009)","previouslyFormattedCitation":"(McAdams, 2009)"},"properties":{"noteIndex":0},"schema":"https://github.com/citation-style-language/schema/raw/master/csl-citation.json"}</w:instrText>
      </w:r>
      <w:r w:rsidR="00A173A7">
        <w:fldChar w:fldCharType="separate"/>
      </w:r>
      <w:r w:rsidR="00A173A7" w:rsidRPr="00685492">
        <w:rPr>
          <w:noProof/>
        </w:rPr>
        <w:t>(McAdams, 2009</w:t>
      </w:r>
      <w:r w:rsidR="00A173A7">
        <w:rPr>
          <w:noProof/>
        </w:rPr>
        <w:t>, p.13</w:t>
      </w:r>
      <w:r w:rsidR="00A173A7" w:rsidRPr="00685492">
        <w:rPr>
          <w:noProof/>
        </w:rPr>
        <w:t>)</w:t>
      </w:r>
      <w:r w:rsidR="00A173A7">
        <w:fldChar w:fldCharType="end"/>
      </w:r>
      <w:r w:rsidR="00A173A7">
        <w:t xml:space="preserve">. </w:t>
      </w:r>
    </w:p>
    <w:p w14:paraId="38F9143C" w14:textId="39B3B42F" w:rsidR="00927672" w:rsidRDefault="00735A8D" w:rsidP="0014798B">
      <w:pPr>
        <w:spacing w:line="480" w:lineRule="auto"/>
        <w:ind w:firstLine="720"/>
        <w:rPr>
          <w:b/>
          <w:bCs/>
        </w:rPr>
      </w:pPr>
      <w:r>
        <w:t xml:space="preserve">One of the most powerful cultural worldviews, and one that </w:t>
      </w:r>
      <w:r w:rsidR="00843F3F">
        <w:t xml:space="preserve">provides </w:t>
      </w:r>
      <w:r w:rsidR="00583832">
        <w:t xml:space="preserve">the most common </w:t>
      </w:r>
      <w:r w:rsidR="00843F3F">
        <w:t>heroic narratives</w:t>
      </w:r>
      <w:r w:rsidR="00583832">
        <w:t>,</w:t>
      </w:r>
      <w:r w:rsidR="00843F3F">
        <w:t xml:space="preserve"> is that of religion. </w:t>
      </w:r>
      <w:r w:rsidR="00583832">
        <w:t>E</w:t>
      </w:r>
      <w:r w:rsidR="00A173A7">
        <w:t>mbracing a religious cultural worldview allows for belief in afterlife (actual literal immortality)</w:t>
      </w:r>
      <w:r w:rsidR="00583832">
        <w:t>. It</w:t>
      </w:r>
      <w:r w:rsidR="00A173A7">
        <w:t xml:space="preserve"> </w:t>
      </w:r>
      <w:r w:rsidR="00583832">
        <w:t xml:space="preserve">also </w:t>
      </w:r>
      <w:r w:rsidR="00A173A7">
        <w:t>all</w:t>
      </w:r>
      <w:r w:rsidR="00583832">
        <w:t>o</w:t>
      </w:r>
      <w:r w:rsidR="00A173A7">
        <w:t>w</w:t>
      </w:r>
      <w:r w:rsidR="00583832">
        <w:t>s</w:t>
      </w:r>
      <w:r w:rsidR="00A173A7">
        <w:t xml:space="preserve"> </w:t>
      </w:r>
      <w:r w:rsidR="00CA5A93">
        <w:t>us</w:t>
      </w:r>
      <w:r w:rsidR="00A173A7">
        <w:t xml:space="preserve"> to guard against the threat of non-existence </w:t>
      </w:r>
      <w:r w:rsidR="00CA5A93">
        <w:t xml:space="preserve">via </w:t>
      </w:r>
      <w:r w:rsidR="00A173A7">
        <w:t xml:space="preserve">the promise of an imagined future. If we are able to place ourselves as the hero of our own narrative, ensuring some form of immortality, we can </w:t>
      </w:r>
      <w:r w:rsidR="00CA5A93">
        <w:t xml:space="preserve">overcome the fear of death while simultaneously </w:t>
      </w:r>
      <w:r w:rsidR="00A173A7">
        <w:t>feel</w:t>
      </w:r>
      <w:r w:rsidR="00CA5A93">
        <w:t>ing</w:t>
      </w:r>
      <w:r w:rsidR="00A173A7">
        <w:t xml:space="preserve"> better about our place in the world and our own self-worth.</w:t>
      </w:r>
    </w:p>
    <w:p w14:paraId="6D95AB4A" w14:textId="77777777" w:rsidR="00197E3A" w:rsidRDefault="00197E3A" w:rsidP="00197E3A">
      <w:pPr>
        <w:spacing w:line="480" w:lineRule="auto"/>
        <w:rPr>
          <w:b/>
          <w:bCs/>
        </w:rPr>
      </w:pPr>
      <w:r>
        <w:rPr>
          <w:b/>
          <w:bCs/>
        </w:rPr>
        <w:t>Terror Management Theory</w:t>
      </w:r>
    </w:p>
    <w:p w14:paraId="3671B738" w14:textId="71C6C6CF" w:rsidR="00383EC6" w:rsidRDefault="00197E3A" w:rsidP="00197E3A">
      <w:pPr>
        <w:spacing w:line="480" w:lineRule="auto"/>
        <w:ind w:firstLine="720"/>
        <w:rPr>
          <w:color w:val="000000" w:themeColor="text1"/>
        </w:rPr>
      </w:pPr>
      <w:r>
        <w:t>In the 1980s, Becker’s claim that terror of death is a central determinant of human behavior became the basis of a new experimental existentialism. Dubbed “Terror Management Theory</w:t>
      </w:r>
      <w:r w:rsidR="00B14546">
        <w:t>”</w:t>
      </w:r>
      <w:r>
        <w:t xml:space="preserve"> </w:t>
      </w:r>
      <w:r>
        <w:fldChar w:fldCharType="begin" w:fldLock="1"/>
      </w:r>
      <w:r w:rsidR="00B853A9">
        <w:instrText>ADDIN CSL_CITATION {"citationItems":[{"id":"ITEM-1","itemData":{"DOI":"10.1007/978-1-4613-9564-5_10","abstract":"Four Selves, Two Motives, and a Substitute Process Self-Regulation Model","author":[{"dropping-particle":"","family":"Greenberg","given":"Jeff","non-dropping-particle":"","parse-names":false,"suffix":""},{"dropping-particle":"","family":"Pyszczynski","given":"Tom","non-dropping-particle":"","parse-names":false,"suffix":""},{"dropping-particle":"","family":"Solomon","given":"Sheldon","non-dropping-particle":"","parse-names":false,"suffix":""}],"container-title":"Public Self and Private Self","id":"ITEM-1","issued":{"date-parts":[["1986"]]},"page":"189-212","title":"The Causes and Consequences of a Need for Self-Esteem: A Terror Management Theory","type":"article-journal"},"uris":["http://www.mendeley.com/documents/?uuid=341e2349-20b4-434d-baf9-aeb84be36a69"]},{"id":"ITEM-2","itemData":{"DOI":"10.1016/S0065-2601(08)60016-7","ISSN":"00652601","author":[{"dropping-particle":"","family":"Greenberg","given":"Jeff","non-dropping-particle":"","parse-names":false,"suffix":""},{"dropping-particle":"","family":"Solomon","given":"Sheldon","non-dropping-particle":"","parse-names":false,"suffix":""},{"dropping-particle":"","family":"Pyszczynski","given":"Tom","non-dropping-particle":"","parse-names":false,"suffix":""}],"container-title":"Advances in Experimental Social Psychology","id":"ITEM-2","issue":"C","issued":{"date-parts":[["1997"]]},"page":"61-139","title":"Terror Management Theory of Self-Esteem and Cultural Worldviews: Empirical Assessments and Conceptual Refinements","type":"article-journal","volume":"29"},"uris":["http://www.mendeley.com/documents/?uuid=a87d46cb-622f-472a-9702-b12fa1c5438e"]},{"id":"ITEM-3","itemData":{"author":[{"dropping-particle":"","family":"Solomon","given":"S.","non-dropping-particle":"","parse-names":false,"suffix":""},{"dropping-particle":"","family":"Greenberg","given":"J.","non-dropping-particle":"","parse-names":false,"suffix":""},{"dropping-particle":"","family":"Pyszczynski","given":"T. A.","non-dropping-particle":"","parse-names":false,"suffix":""}],"id":"ITEM-3","issued":{"date-parts":[["2015"]]},"title":"The worm at the core: On the role of death in life","type":"book"},"uris":["http://www.mendeley.com/documents/?uuid=9c582b6d-05de-42c6-94aa-663fb4265683"]}],"mendeley":{"formattedCitation":"(Greenberg et al., 1986, 1997; Solomon et al., 2015)","manualFormatting":"(TMT; Greenberg et al., 1986, 1997; Solomon et al., 1991, 2015)","plainTextFormattedCitation":"(Greenberg et al., 1986, 1997; Solomon et al., 2015)","previouslyFormattedCitation":"(Greenberg et al., 1986, 1997; Solomon et al., 2015)"},"properties":{"noteIndex":0},"schema":"https://github.com/citation-style-language/schema/raw/master/csl-citation.json"}</w:instrText>
      </w:r>
      <w:r>
        <w:fldChar w:fldCharType="separate"/>
      </w:r>
      <w:r w:rsidRPr="00685492">
        <w:rPr>
          <w:noProof/>
        </w:rPr>
        <w:t>(</w:t>
      </w:r>
      <w:r>
        <w:rPr>
          <w:noProof/>
        </w:rPr>
        <w:t xml:space="preserve">TMT; </w:t>
      </w:r>
      <w:r w:rsidRPr="00685492">
        <w:rPr>
          <w:noProof/>
        </w:rPr>
        <w:t xml:space="preserve">Greenberg et al., 1986, 1997; Solomon et al., </w:t>
      </w:r>
      <w:r>
        <w:rPr>
          <w:noProof/>
        </w:rPr>
        <w:t>1991, 2015</w:t>
      </w:r>
      <w:r w:rsidRPr="00685492">
        <w:rPr>
          <w:noProof/>
        </w:rPr>
        <w:t>)</w:t>
      </w:r>
      <w:r>
        <w:fldChar w:fldCharType="end"/>
      </w:r>
      <w:r>
        <w:t xml:space="preserve">, it </w:t>
      </w:r>
      <w:r w:rsidRPr="00BB25B2">
        <w:rPr>
          <w:color w:val="000000" w:themeColor="text1"/>
        </w:rPr>
        <w:t xml:space="preserve">is based on </w:t>
      </w:r>
      <w:r>
        <w:rPr>
          <w:color w:val="000000" w:themeColor="text1"/>
        </w:rPr>
        <w:t xml:space="preserve">Becker’s work and begins with the assumption that humans share with all other forms of life an inclination toward self-preservation. Humans </w:t>
      </w:r>
      <w:r w:rsidR="00B14546">
        <w:rPr>
          <w:color w:val="000000" w:themeColor="text1"/>
        </w:rPr>
        <w:t>differ</w:t>
      </w:r>
      <w:r>
        <w:rPr>
          <w:color w:val="000000" w:themeColor="text1"/>
        </w:rPr>
        <w:t xml:space="preserve"> from other living organisms through their capacity for abstract symbolic thought and complex cognitive activities. TMT </w:t>
      </w:r>
      <w:r w:rsidR="003D7970">
        <w:rPr>
          <w:color w:val="000000" w:themeColor="text1"/>
        </w:rPr>
        <w:t xml:space="preserve">theorists </w:t>
      </w:r>
      <w:r>
        <w:rPr>
          <w:color w:val="000000" w:themeColor="text1"/>
        </w:rPr>
        <w:t>agree with Becker</w:t>
      </w:r>
      <w:r w:rsidR="00B14546">
        <w:rPr>
          <w:color w:val="000000" w:themeColor="text1"/>
        </w:rPr>
        <w:t xml:space="preserve"> that</w:t>
      </w:r>
      <w:r>
        <w:rPr>
          <w:color w:val="000000" w:themeColor="text1"/>
        </w:rPr>
        <w:t xml:space="preserve"> the capacity for consciousness along with complex cognitive capabilities allow humans to </w:t>
      </w:r>
      <w:r w:rsidR="003018CE">
        <w:rPr>
          <w:color w:val="000000" w:themeColor="text1"/>
        </w:rPr>
        <w:t>have greater control over their actions</w:t>
      </w:r>
      <w:r>
        <w:rPr>
          <w:color w:val="000000" w:themeColor="text1"/>
        </w:rPr>
        <w:t xml:space="preserve">. While moths do not know to avoid the flame, humans are able to stop and think about the consequences of their actions. This allows us to consider alternative possible scenarios and modify our behavior to pursue desired outcomes, a decided evolutionary advantage. </w:t>
      </w:r>
    </w:p>
    <w:p w14:paraId="21D93A6F" w14:textId="401B1B2B" w:rsidR="00197E3A" w:rsidRDefault="00197E3A" w:rsidP="00197E3A">
      <w:pPr>
        <w:spacing w:line="480" w:lineRule="auto"/>
        <w:ind w:firstLine="720"/>
        <w:rPr>
          <w:color w:val="000000" w:themeColor="text1"/>
        </w:rPr>
      </w:pPr>
      <w:r>
        <w:rPr>
          <w:color w:val="000000" w:themeColor="text1"/>
        </w:rPr>
        <w:t>A significant drawback of consciousness and intelligence</w:t>
      </w:r>
      <w:r w:rsidR="00383EC6">
        <w:rPr>
          <w:color w:val="000000" w:themeColor="text1"/>
        </w:rPr>
        <w:t>, though,</w:t>
      </w:r>
      <w:r>
        <w:rPr>
          <w:color w:val="000000" w:themeColor="text1"/>
        </w:rPr>
        <w:t xml:space="preserve"> is that we understand the </w:t>
      </w:r>
      <w:r w:rsidR="002D0291">
        <w:rPr>
          <w:color w:val="000000" w:themeColor="text1"/>
        </w:rPr>
        <w:t xml:space="preserve">brevity </w:t>
      </w:r>
      <w:r>
        <w:rPr>
          <w:color w:val="000000" w:themeColor="text1"/>
        </w:rPr>
        <w:t xml:space="preserve">of life and </w:t>
      </w:r>
      <w:r w:rsidR="002D0291">
        <w:rPr>
          <w:color w:val="000000" w:themeColor="text1"/>
        </w:rPr>
        <w:t xml:space="preserve">the gravity of </w:t>
      </w:r>
      <w:r>
        <w:rPr>
          <w:color w:val="000000" w:themeColor="text1"/>
        </w:rPr>
        <w:t xml:space="preserve">death. We can understand that although we have some </w:t>
      </w:r>
      <w:r>
        <w:rPr>
          <w:color w:val="000000" w:themeColor="text1"/>
        </w:rPr>
        <w:lastRenderedPageBreak/>
        <w:t xml:space="preserve">control over consequences, we are also perpetually vulnerable to being destroyed by things entirely out of our control. This kind of realization is terrifying and generates anxiety that must be contained. The TMT authors give us a way to understand how culture enables humans to manage this anxiety: </w:t>
      </w:r>
    </w:p>
    <w:p w14:paraId="0AAF1FAE" w14:textId="05B19A5F" w:rsidR="00197E3A" w:rsidRPr="003D2E41" w:rsidRDefault="00197E3A" w:rsidP="00E82F2E">
      <w:pPr>
        <w:spacing w:line="480" w:lineRule="auto"/>
        <w:ind w:left="720" w:right="720"/>
        <w:contextualSpacing/>
        <w:rPr>
          <w:b/>
          <w:bCs/>
        </w:rPr>
      </w:pPr>
      <w:r>
        <w:t>“…</w:t>
      </w:r>
      <w:r w:rsidRPr="00544AE3">
        <w:t>because we can conceive of our ultimate vulnerability and mortality</w:t>
      </w:r>
      <w:r>
        <w:t xml:space="preserve"> </w:t>
      </w:r>
      <w:r w:rsidRPr="00544AE3">
        <w:t>and can anticipate a variety of horrifying experiences, we have the potential to be</w:t>
      </w:r>
      <w:r>
        <w:t xml:space="preserve"> </w:t>
      </w:r>
      <w:r w:rsidRPr="00544AE3">
        <w:t>paralyzed by terror at any moment in our lives. By elevating us above the rest of the</w:t>
      </w:r>
      <w:r>
        <w:t xml:space="preserve"> </w:t>
      </w:r>
      <w:r w:rsidRPr="00544AE3">
        <w:t>living world, and providing a view of</w:t>
      </w:r>
      <w:r>
        <w:t xml:space="preserve"> </w:t>
      </w:r>
      <w:r w:rsidRPr="00544AE3">
        <w:t>the world as orderly, predictable, meaningful,</w:t>
      </w:r>
      <w:r>
        <w:t xml:space="preserve"> </w:t>
      </w:r>
      <w:r w:rsidRPr="00544AE3">
        <w:t>and permanent, culture allows for the possibility of minimizing our terror by denying</w:t>
      </w:r>
      <w:r>
        <w:t xml:space="preserve"> </w:t>
      </w:r>
      <w:r w:rsidRPr="00544AE3">
        <w:t>our essential creatureliness (i.e., our impotence, vulnerability, and mortality).</w:t>
      </w:r>
      <w:r>
        <w:t xml:space="preserve"> </w:t>
      </w:r>
      <w:r w:rsidRPr="00544AE3">
        <w:t>This possibility is realized to the extent that we can feel we are valuable members</w:t>
      </w:r>
      <w:r>
        <w:t xml:space="preserve"> </w:t>
      </w:r>
      <w:r w:rsidRPr="00544AE3">
        <w:t>of the culture.</w:t>
      </w:r>
      <w:r>
        <w:t xml:space="preserve">” </w:t>
      </w:r>
      <w:r>
        <w:fldChar w:fldCharType="begin" w:fldLock="1"/>
      </w:r>
      <w:r>
        <w:instrText>ADDIN CSL_CITATION {"citationItems":[{"id":"ITEM-1","itemData":{"DOI":"10.1007/978-1-4613-9564-5_10","abstract":"Four Selves, Two Motives, and a Substitute Process Self-Regulation Model","author":[{"dropping-particle":"","family":"Greenberg","given":"Jeff","non-dropping-particle":"","parse-names":false,"suffix":""},{"dropping-particle":"","family":"Pyszczynski","given":"Tom","non-dropping-particle":"","parse-names":false,"suffix":""},{"dropping-particle":"","family":"Solomon","given":"Sheldon","non-dropping-particle":"","parse-names":false,"suffix":""}],"container-title":"Public Self and Private Self","id":"ITEM-1","issued":{"date-parts":[["1986"]]},"page":"189-212","title":"The Causes and Consequences of a Need for Self-Esteem: A Terror Management Theory","type":"article-journal"},"uris":["http://www.mendeley.com/documents/?uuid=341e2349-20b4-434d-baf9-aeb84be36a69"]}],"mendeley":{"formattedCitation":"(Greenberg et al., 1986)","manualFormatting":"(Greenberg et al., 1986, p. 198)","plainTextFormattedCitation":"(Greenberg et al., 1986)","previouslyFormattedCitation":"(Greenberg et al., 1986)"},"properties":{"noteIndex":0},"schema":"https://github.com/citation-style-language/schema/raw/master/csl-citation.json"}</w:instrText>
      </w:r>
      <w:r>
        <w:fldChar w:fldCharType="separate"/>
      </w:r>
      <w:r w:rsidRPr="00685492">
        <w:rPr>
          <w:noProof/>
        </w:rPr>
        <w:t>(Greenberg et al., 1986</w:t>
      </w:r>
      <w:r>
        <w:rPr>
          <w:noProof/>
        </w:rPr>
        <w:t>, p. 198</w:t>
      </w:r>
      <w:r w:rsidRPr="00685492">
        <w:rPr>
          <w:noProof/>
        </w:rPr>
        <w:t>)</w:t>
      </w:r>
      <w:r>
        <w:fldChar w:fldCharType="end"/>
      </w:r>
      <w:r>
        <w:t>.</w:t>
      </w:r>
    </w:p>
    <w:p w14:paraId="7B5F0FAD" w14:textId="710F5347" w:rsidR="00197E3A" w:rsidRDefault="00197E3A" w:rsidP="00E82F2E">
      <w:pPr>
        <w:spacing w:line="480" w:lineRule="auto"/>
        <w:rPr>
          <w:color w:val="000000" w:themeColor="text1"/>
        </w:rPr>
      </w:pPr>
      <w:r>
        <w:t xml:space="preserve">TMT </w:t>
      </w:r>
      <w:r w:rsidR="00963107">
        <w:t xml:space="preserve">theorists </w:t>
      </w:r>
      <w:r>
        <w:t>posit that humans avoid the anxiety created by awareness of their mortality by embracing cultural worldviews that provide a sense of meaning, and opportunities to procure self-esteem in pursuit of immortality.</w:t>
      </w:r>
      <w:r>
        <w:rPr>
          <w:color w:val="000000" w:themeColor="text1"/>
        </w:rPr>
        <w:t xml:space="preserve"> </w:t>
      </w:r>
    </w:p>
    <w:p w14:paraId="08E96C44" w14:textId="77777777" w:rsidR="00197E3A" w:rsidRDefault="00197E3A" w:rsidP="00197E3A">
      <w:pPr>
        <w:spacing w:line="480" w:lineRule="auto"/>
        <w:ind w:firstLine="720"/>
        <w:rPr>
          <w:color w:val="000000" w:themeColor="text1"/>
        </w:rPr>
      </w:pPr>
      <w:r w:rsidRPr="00180FBD">
        <w:rPr>
          <w:color w:val="000000" w:themeColor="text1"/>
        </w:rPr>
        <w:t>Immortality can be literal or symbolic</w:t>
      </w:r>
      <w:r>
        <w:rPr>
          <w:color w:val="000000" w:themeColor="text1"/>
        </w:rPr>
        <w:t xml:space="preserve">. Something is said to be symbolic if it is significant purely in terms of what is represented or implied, while to be literal means to take words in their most basic form without metaphor or allegory. Literal immortality centers around the belief that one will continue living after death, either through reincarnation or some form of afterlife; the belief that one will avoid their mortality and continue living, in a literal sense. This type of immortality is particularly prominent in many religious and spiritual belief systems. </w:t>
      </w:r>
      <w:r w:rsidRPr="00180FBD">
        <w:rPr>
          <w:color w:val="000000" w:themeColor="text1"/>
        </w:rPr>
        <w:t>Symbolic immortality</w:t>
      </w:r>
      <w:r>
        <w:rPr>
          <w:color w:val="000000" w:themeColor="text1"/>
        </w:rPr>
        <w:t>, on the other hand,</w:t>
      </w:r>
      <w:r w:rsidRPr="00180FBD">
        <w:rPr>
          <w:color w:val="000000" w:themeColor="text1"/>
        </w:rPr>
        <w:t xml:space="preserve"> </w:t>
      </w:r>
      <w:r>
        <w:rPr>
          <w:color w:val="000000" w:themeColor="text1"/>
        </w:rPr>
        <w:t>allows one to feel immortal through</w:t>
      </w:r>
      <w:r w:rsidRPr="00180FBD">
        <w:rPr>
          <w:color w:val="000000" w:themeColor="text1"/>
        </w:rPr>
        <w:t xml:space="preserve"> things that will continue on </w:t>
      </w:r>
      <w:r w:rsidRPr="00180FBD">
        <w:rPr>
          <w:color w:val="000000" w:themeColor="text1"/>
        </w:rPr>
        <w:lastRenderedPageBreak/>
        <w:t>after one’s death</w:t>
      </w:r>
      <w:r>
        <w:rPr>
          <w:color w:val="000000" w:themeColor="text1"/>
        </w:rPr>
        <w:t xml:space="preserve">. One can feel that their contributions to the world, their legacy, will continue on through things that symbolically represent their efforts. These are things like </w:t>
      </w:r>
      <w:r w:rsidRPr="00180FBD">
        <w:rPr>
          <w:color w:val="000000" w:themeColor="text1"/>
        </w:rPr>
        <w:t xml:space="preserve">children/family, authored works, </w:t>
      </w:r>
      <w:r>
        <w:rPr>
          <w:color w:val="000000" w:themeColor="text1"/>
        </w:rPr>
        <w:t xml:space="preserve">and </w:t>
      </w:r>
      <w:r w:rsidRPr="00180FBD">
        <w:rPr>
          <w:color w:val="000000" w:themeColor="text1"/>
        </w:rPr>
        <w:t>accomplishments</w:t>
      </w:r>
      <w:r>
        <w:rPr>
          <w:color w:val="000000" w:themeColor="text1"/>
        </w:rPr>
        <w:t xml:space="preserve">; things valued by one’s society and culture. </w:t>
      </w:r>
      <w:r>
        <w:rPr>
          <w:color w:val="000000" w:themeColor="text1"/>
        </w:rPr>
        <w:fldChar w:fldCharType="begin" w:fldLock="1"/>
      </w:r>
      <w:r>
        <w:rPr>
          <w:color w:val="000000" w:themeColor="text1"/>
        </w:rPr>
        <w:instrText>ADDIN CSL_CITATION {"citationItems":[{"id":"ITEM-1","itemData":{"author":[{"dropping-particle":"","family":"Lifton","given":"Robert Jay","non-dropping-particle":"","parse-names":false,"suffix":""}],"id":"ITEM-1","issued":{"date-parts":[["1996"]]},"publisher":"American Psychiatric Pub","title":"The broken connection: On death and the continuity of life","type":"book"},"uris":["http://www.mendeley.com/documents/?uuid=5917c833-818c-40d4-8014-466abd5c5e42"]}],"mendeley":{"formattedCitation":"(Lifton, 1996)","plainTextFormattedCitation":"(Lifton, 1996)","previouslyFormattedCitation":"(Lifton, 1996)"},"properties":{"noteIndex":0},"schema":"https://github.com/citation-style-language/schema/raw/master/csl-citation.json"}</w:instrText>
      </w:r>
      <w:r>
        <w:rPr>
          <w:color w:val="000000" w:themeColor="text1"/>
        </w:rPr>
        <w:fldChar w:fldCharType="separate"/>
      </w:r>
      <w:r w:rsidRPr="00337C87">
        <w:rPr>
          <w:noProof/>
          <w:color w:val="000000" w:themeColor="text1"/>
        </w:rPr>
        <w:t>(Lifton, 1996)</w:t>
      </w:r>
      <w:r>
        <w:rPr>
          <w:color w:val="000000" w:themeColor="text1"/>
        </w:rPr>
        <w:fldChar w:fldCharType="end"/>
      </w:r>
      <w:r>
        <w:rPr>
          <w:color w:val="000000" w:themeColor="text1"/>
        </w:rPr>
        <w:t>.</w:t>
      </w:r>
      <w:r w:rsidDel="001302DC">
        <w:rPr>
          <w:color w:val="000000" w:themeColor="text1"/>
        </w:rPr>
        <w:t xml:space="preserve"> </w:t>
      </w:r>
    </w:p>
    <w:p w14:paraId="7DEB2F76" w14:textId="0E9D2126" w:rsidR="00197E3A" w:rsidRPr="00180FBD" w:rsidRDefault="00197E3A" w:rsidP="00197E3A">
      <w:pPr>
        <w:spacing w:line="480" w:lineRule="auto"/>
        <w:ind w:firstLine="720"/>
        <w:rPr>
          <w:color w:val="000000" w:themeColor="text1"/>
        </w:rPr>
      </w:pPr>
      <w:r>
        <w:rPr>
          <w:color w:val="000000" w:themeColor="text1"/>
        </w:rPr>
        <w:t>In order to buffer existential terror, we invest in cultural worldviews, organized ways of seeing the world that let us feel we are living in an orderly and predictable society. These worldviews provide a template for how to act</w:t>
      </w:r>
      <w:r w:rsidR="001941D4">
        <w:rPr>
          <w:color w:val="000000" w:themeColor="text1"/>
        </w:rPr>
        <w:t xml:space="preserve"> and our</w:t>
      </w:r>
      <w:r>
        <w:rPr>
          <w:color w:val="000000" w:themeColor="text1"/>
        </w:rPr>
        <w:t xml:space="preserve"> </w:t>
      </w:r>
      <w:r w:rsidR="001941D4">
        <w:rPr>
          <w:color w:val="000000" w:themeColor="text1"/>
        </w:rPr>
        <w:t>s</w:t>
      </w:r>
      <w:r>
        <w:rPr>
          <w:color w:val="000000" w:themeColor="text1"/>
        </w:rPr>
        <w:t>elf-esteem serves as the barometer for how well we meet internalized cultural standards. If we feel we are meeting the societal standards we hold in high regard, we feel better about our own individual value. In this way, humans are unconsciously motivated to maintain confidence in their cultural worldviews as a way to fortify and buffer their self-esteem in an attempt to ward off existential terror.</w:t>
      </w:r>
    </w:p>
    <w:p w14:paraId="4288BC00" w14:textId="77777777" w:rsidR="00197E3A" w:rsidRDefault="00197E3A" w:rsidP="00197E3A">
      <w:pPr>
        <w:spacing w:line="480" w:lineRule="auto"/>
        <w:rPr>
          <w:b/>
          <w:bCs/>
          <w:color w:val="000000" w:themeColor="text1"/>
        </w:rPr>
      </w:pPr>
      <w:r>
        <w:rPr>
          <w:b/>
          <w:bCs/>
          <w:color w:val="000000" w:themeColor="text1"/>
        </w:rPr>
        <w:t>Empirical Assessment of TMT</w:t>
      </w:r>
    </w:p>
    <w:p w14:paraId="12A128D7" w14:textId="77777777" w:rsidR="00197E3A" w:rsidRDefault="00197E3A" w:rsidP="00197E3A">
      <w:pPr>
        <w:spacing w:line="480" w:lineRule="auto"/>
        <w:ind w:firstLine="720"/>
        <w:rPr>
          <w:color w:val="000000" w:themeColor="text1"/>
        </w:rPr>
      </w:pPr>
      <w:r>
        <w:rPr>
          <w:color w:val="000000" w:themeColor="text1"/>
        </w:rPr>
        <w:t xml:space="preserve">Over the years, hundreds of studies have demonstrated the empirical validity of terror management theory. Empirical support for the theory falls into three general categories: the anxiety buffering properties of self-esteem, mortality salience and worldview defense, and death thought accessibility. </w:t>
      </w:r>
    </w:p>
    <w:p w14:paraId="18B48950" w14:textId="4FAF04E8" w:rsidR="00197E3A" w:rsidRPr="00181FEE" w:rsidRDefault="00197E3A" w:rsidP="00D60383">
      <w:pPr>
        <w:spacing w:before="240" w:after="160" w:line="480" w:lineRule="auto"/>
        <w:ind w:firstLine="720"/>
        <w:contextualSpacing/>
        <w:rPr>
          <w:color w:val="000000" w:themeColor="text1"/>
        </w:rPr>
      </w:pPr>
      <w:r>
        <w:rPr>
          <w:b/>
          <w:bCs/>
          <w:color w:val="000000" w:themeColor="text1"/>
        </w:rPr>
        <w:t xml:space="preserve">Anxiety buffering properties of self-esteem. </w:t>
      </w:r>
      <w:r>
        <w:rPr>
          <w:color w:val="000000" w:themeColor="text1"/>
        </w:rPr>
        <w:t xml:space="preserve">If self-esteem does indeed act as a buffer against death anxiety, then increased self-esteem should reduce anxiety. Greenberg et al. </w:t>
      </w:r>
      <w:r>
        <w:rPr>
          <w:color w:val="000000" w:themeColor="text1"/>
        </w:rPr>
        <w:fldChar w:fldCharType="begin" w:fldLock="1"/>
      </w:r>
      <w:r>
        <w:rPr>
          <w:color w:val="000000" w:themeColor="text1"/>
        </w:rPr>
        <w:instrText>ADDIN CSL_CITATION {"citationItems":[{"id":"ITEM-1","itemData":{"DOI":"10.1037/0022-3514.63.6.913","ISSN":"00223514","PMID":"1460559","abstract":"Three studies were conducted to assess the proposition that self-esteem serves an anxiety-buffering function. In Study 1, it was hypothesized that raising self-esteem would reduce anxiety in response to vivid images of death. In support of this hypothesis, Ss who received positive personality feedback reported less anxiety in response to a video about death than did neutral feedback Ss. In Studies 2 and 3, it was hypothesized that increasing self-esteem would reduce anxiety among individuals anticipating painful shock. Consistent with this hypothesis, both success and positive personality feedback reduced Ss' physiological arousal in response to subsequent threat of shock. Thus, converging evidence of an anxiety-buffering function of self-esteem was obtained.","author":[{"dropping-particle":"","family":"Greenberg","given":"Jeff","non-dropping-particle":"","parse-names":false,"suffix":""},{"dropping-particle":"","family":"Solomon","given":"Sheldon","non-dropping-particle":"","parse-names":false,"suffix":""},{"dropping-particle":"","family":"Pyszczynski","given":"Tom","non-dropping-particle":"","parse-names":false,"suffix":""},{"dropping-particle":"","family":"Rosenblatt","given":"Abram","non-dropping-particle":"","parse-names":false,"suffix":""},{"dropping-particle":"","family":"Burling","given":"John","non-dropping-particle":"","parse-names":false,"suffix":""},{"dropping-particle":"","family":"Lyon","given":"Deborah","non-dropping-particle":"","parse-names":false,"suffix":""},{"dropping-particle":"","family":"Simon","given":"Linda","non-dropping-particle":"","parse-names":false,"suffix":""},{"dropping-particle":"","family":"Pinel","given":"Elizabeth","non-dropping-particle":"","parse-names":false,"suffix":""}],"container-title":"Journal of Personality and Social Psychology","id":"ITEM-1","issue":"6","issued":{"date-parts":[["1992"]]},"page":"913-922","title":"Why Do People Need Self-Esteem? Converging Evidence That Self-Esteem Serves an Anxiety-Buffering Function","type":"article-journal","volume":"63"},"uris":["http://www.mendeley.com/documents/?uuid=271516ad-1c34-4d6f-927e-5f6a5e7aec94"]}],"mendeley":{"formattedCitation":"(Greenberg et al., 1992)","manualFormatting":"(1992)","plainTextFormattedCitation":"(Greenberg et al., 1992)","previouslyFormattedCitation":"(Greenberg et al., 1992)"},"properties":{"noteIndex":0},"schema":"https://github.com/citation-style-language/schema/raw/master/csl-citation.json"}</w:instrText>
      </w:r>
      <w:r>
        <w:rPr>
          <w:color w:val="000000" w:themeColor="text1"/>
        </w:rPr>
        <w:fldChar w:fldCharType="separate"/>
      </w:r>
      <w:r>
        <w:rPr>
          <w:noProof/>
          <w:color w:val="000000" w:themeColor="text1"/>
        </w:rPr>
        <w:t>(</w:t>
      </w:r>
      <w:r w:rsidRPr="00104958">
        <w:rPr>
          <w:noProof/>
          <w:color w:val="000000" w:themeColor="text1"/>
        </w:rPr>
        <w:t>1992)</w:t>
      </w:r>
      <w:r>
        <w:rPr>
          <w:color w:val="000000" w:themeColor="text1"/>
        </w:rPr>
        <w:fldChar w:fldCharType="end"/>
      </w:r>
      <w:r>
        <w:rPr>
          <w:color w:val="000000" w:themeColor="text1"/>
        </w:rPr>
        <w:t xml:space="preserve"> found support for this idea. They gave participants positive or neutral feedback about their personality and then had them view a film of death (e.g.</w:t>
      </w:r>
      <w:r w:rsidR="00BA11B3">
        <w:rPr>
          <w:color w:val="000000" w:themeColor="text1"/>
        </w:rPr>
        <w:t>,</w:t>
      </w:r>
      <w:r>
        <w:rPr>
          <w:color w:val="000000" w:themeColor="text1"/>
        </w:rPr>
        <w:t xml:space="preserve"> electrocution, autopsy) or a neutral film (e.g.</w:t>
      </w:r>
      <w:r w:rsidR="00BA11B3">
        <w:rPr>
          <w:color w:val="000000" w:themeColor="text1"/>
        </w:rPr>
        <w:t>,</w:t>
      </w:r>
      <w:r>
        <w:rPr>
          <w:color w:val="000000" w:themeColor="text1"/>
        </w:rPr>
        <w:t xml:space="preserve"> scenes in nature). Those in the neutral personality feedback group showed a significant increase in self-reported anxiety after seeing the death-related video, indicating that the </w:t>
      </w:r>
      <w:r>
        <w:rPr>
          <w:color w:val="000000" w:themeColor="text1"/>
        </w:rPr>
        <w:lastRenderedPageBreak/>
        <w:t xml:space="preserve">manipulation to make participants feel threatened was effective. On the other hand, those who received a self-esteem boost by way of positive personality feedback showed no increase in self-reported anxiety after being exposed to a threatening stimulus. </w:t>
      </w:r>
      <w:r w:rsidRPr="0007109A">
        <w:rPr>
          <w:rFonts w:eastAsia="Calibri"/>
        </w:rPr>
        <w:t xml:space="preserve">A second study replicated this finding with a different manipulation of self-esteem, a more potent threat, and a physiological measure of anxiety (galvanic skin response). </w:t>
      </w:r>
      <w:r>
        <w:rPr>
          <w:rFonts w:eastAsia="Calibri"/>
        </w:rPr>
        <w:t xml:space="preserve">Participants were given either positive feedback or no feedback on a supposed IQ test and then watched a series of colored lights where some </w:t>
      </w:r>
      <w:r w:rsidR="001B7802">
        <w:rPr>
          <w:rFonts w:eastAsia="Calibri"/>
        </w:rPr>
        <w:t xml:space="preserve">of the </w:t>
      </w:r>
      <w:r>
        <w:rPr>
          <w:rFonts w:eastAsia="Calibri"/>
        </w:rPr>
        <w:t xml:space="preserve">participants were told they would receive painful electric shock. Results showed that while all participants were more aroused in anticipation of electric shocks than simply watching colored lights, those who received positive feedback experienced a significantly diminished effect, suggesting that the self-esteem boost they received prior was buffering some of the anticipatory anxiety. </w:t>
      </w:r>
      <w:r>
        <w:rPr>
          <w:color w:val="000000" w:themeColor="text1"/>
        </w:rPr>
        <w:t xml:space="preserve">These studies, along with others (see </w:t>
      </w:r>
      <w:r>
        <w:rPr>
          <w:color w:val="000000" w:themeColor="text1"/>
        </w:rPr>
        <w:fldChar w:fldCharType="begin" w:fldLock="1"/>
      </w:r>
      <w:r>
        <w:rPr>
          <w:color w:val="000000" w:themeColor="text1"/>
        </w:rPr>
        <w:instrText>ADDIN CSL_CITATION {"citationItems":[{"id":"ITEM-1","itemData":{"DOI":"10.1037/0033-2909.130.3.435","ISSN":"00332909","PMID":"15122930","abstract":"Terror management theory (TMT; J. Greenberg, T. Pyszczynski, &amp; S. Solomon, 1986) posits that people are motivated to pursue positive self-evaluations because self-esteem provides a buffer against the omnipresent potential for anxiety engendered by the uniquely human awareness of mortality. Empirical evidence relevant to the theory is reviewed showing that high levels of self-esteem reduce anxiety and anxiety-related defensive behavior, reminders of one's mortality increase self-esteem striving and defense of self-esteem against threats in a variety of domains, high levels of self-esteem eliminate the effect of reminders of mortality on both self-esteem striving and the accessibility of death-related thoughts, and convincing people of the existence of an afterlife eliminates the effect of mortality salience on self-esteem striving. TMT is compared with other explanations for why people need self-esteem, and a critique of the most prominent of these, sociometer theory, is provided.","author":[{"dropping-particle":"","family":"Pyszczynski","given":"Tom","non-dropping-particle":"","parse-names":false,"suffix":""},{"dropping-particle":"","family":"Solomon","given":"Sheldon","non-dropping-particle":"","parse-names":false,"suffix":""},{"dropping-particle":"","family":"Greenberg","given":"Jeff","non-dropping-particle":"","parse-names":false,"suffix":""},{"dropping-particle":"","family":"Arndt","given":"Jamie","non-dropping-particle":"","parse-names":false,"suffix":""},{"dropping-particle":"","family":"Schimel","given":"Jeff","non-dropping-particle":"","parse-names":false,"suffix":""}],"container-title":"Psychological Bulletin","id":"ITEM-1","issue":"3","issued":{"date-parts":[["2004"]]},"page":"435-468","title":"Why do people need self-esteem? A theoretical and empirical review","type":"article-journal","volume":"130"},"uris":["http://www.mendeley.com/documents/?uuid=d3797b15-5661-4f54-9cd8-f5fdd9723c53"]}],"mendeley":{"formattedCitation":"(Pyszczynski, Solomon, Greenberg, Arndt, &amp; Schimel, 2004)","manualFormatting":"Pyszczynski, Solomon, Greenberg, Arndt, &amp; Schimel, 2004","plainTextFormattedCitation":"(Pyszczynski, Solomon, Greenberg, Arndt, &amp; Schimel, 2004)","previouslyFormattedCitation":"(Pyszczynski, Solomon, Greenberg, Arndt, &amp; Schimel, 2004)"},"properties":{"noteIndex":0},"schema":"https://github.com/citation-style-language/schema/raw/master/csl-citation.json"}</w:instrText>
      </w:r>
      <w:r>
        <w:rPr>
          <w:color w:val="000000" w:themeColor="text1"/>
        </w:rPr>
        <w:fldChar w:fldCharType="separate"/>
      </w:r>
      <w:r w:rsidRPr="00104958">
        <w:rPr>
          <w:noProof/>
          <w:color w:val="000000" w:themeColor="text1"/>
        </w:rPr>
        <w:t>Pyszczynski, Solomon, Greenberg, Arndt, &amp; Schimel, 2004</w:t>
      </w:r>
      <w:r>
        <w:rPr>
          <w:color w:val="000000" w:themeColor="text1"/>
        </w:rPr>
        <w:fldChar w:fldCharType="end"/>
      </w:r>
      <w:r w:rsidRPr="0007109A">
        <w:rPr>
          <w:rFonts w:eastAsia="Calibri"/>
        </w:rPr>
        <w:t>, for a review of this literature</w:t>
      </w:r>
      <w:r>
        <w:rPr>
          <w:rFonts w:eastAsia="Calibri"/>
        </w:rPr>
        <w:t>) illustrate that self-esteem does indeed act as an buffer against threats and that this effect is not limited to self-esteem related threats.</w:t>
      </w:r>
    </w:p>
    <w:p w14:paraId="610478E9" w14:textId="249A5B1B" w:rsidR="00197E3A" w:rsidRDefault="00197E3A" w:rsidP="00197E3A">
      <w:pPr>
        <w:spacing w:before="240" w:after="160" w:line="480" w:lineRule="auto"/>
        <w:ind w:firstLine="720"/>
        <w:contextualSpacing/>
        <w:rPr>
          <w:color w:val="000000" w:themeColor="text1"/>
        </w:rPr>
      </w:pPr>
      <w:r w:rsidRPr="00181FEE">
        <w:rPr>
          <w:b/>
          <w:bCs/>
          <w:color w:val="000000" w:themeColor="text1"/>
        </w:rPr>
        <w:t>Mortality salience and worldview defense.</w:t>
      </w:r>
      <w:r>
        <w:rPr>
          <w:color w:val="000000" w:themeColor="text1"/>
        </w:rPr>
        <w:t xml:space="preserve"> If it is as TMT suggests and our cultural worldviews provide some protection against existential anxiety, then causing individuals to be more aware of their mortality would be expected to increase the need for the protection afforded by their beliefs. Accordingly, one would expect increased agreement with and affection for those with similar beliefs (as this would make it easier to utilize</w:t>
      </w:r>
      <w:r w:rsidR="001B7802">
        <w:rPr>
          <w:color w:val="000000" w:themeColor="text1"/>
        </w:rPr>
        <w:t xml:space="preserve"> and maintain</w:t>
      </w:r>
      <w:r>
        <w:rPr>
          <w:color w:val="000000" w:themeColor="text1"/>
        </w:rPr>
        <w:t xml:space="preserve"> a cultural worldview to reinforce self-esteem), and corresponding negative attitudes toward those with dissimilar beliefs (or those that merely hold different beliefs)</w:t>
      </w:r>
      <w:r w:rsidR="001B7802">
        <w:rPr>
          <w:color w:val="000000" w:themeColor="text1"/>
        </w:rPr>
        <w:t xml:space="preserve"> as exposure to these views may undercut one’s confidence in their own beliefs</w:t>
      </w:r>
      <w:r>
        <w:rPr>
          <w:color w:val="000000" w:themeColor="text1"/>
        </w:rPr>
        <w:t>.</w:t>
      </w:r>
    </w:p>
    <w:p w14:paraId="039F5AFD" w14:textId="6AE8631E" w:rsidR="00197E3A" w:rsidRDefault="004401AD" w:rsidP="00197E3A">
      <w:pPr>
        <w:spacing w:before="240" w:after="160" w:line="480" w:lineRule="auto"/>
        <w:ind w:firstLine="720"/>
        <w:contextualSpacing/>
        <w:rPr>
          <w:color w:val="000000" w:themeColor="text1"/>
        </w:rPr>
      </w:pPr>
      <w:r>
        <w:rPr>
          <w:color w:val="000000" w:themeColor="text1"/>
        </w:rPr>
        <w:lastRenderedPageBreak/>
        <w:t>Again</w:t>
      </w:r>
      <w:r w:rsidR="00197E3A">
        <w:rPr>
          <w:color w:val="000000" w:themeColor="text1"/>
        </w:rPr>
        <w:t xml:space="preserve">, empirical evidence supports this claim. For instance, experiments found that municipal court judges who were reminded of their mortality set significantly higher bonds for individuals accused of prostitution than judges in the control condition </w:t>
      </w:r>
      <w:r w:rsidR="00197E3A">
        <w:rPr>
          <w:color w:val="000000" w:themeColor="text1"/>
        </w:rPr>
        <w:fldChar w:fldCharType="begin" w:fldLock="1"/>
      </w:r>
      <w:r w:rsidR="00197E3A">
        <w:rPr>
          <w:color w:val="000000" w:themeColor="text1"/>
        </w:rPr>
        <w:instrText>ADDIN CSL_CITATION {"citationItems":[{"id":"ITEM-1","itemData":{"DOI":"10.1037/0022-3514.57.4.681","ISSN":"00223514","PMID":"2795438","abstract":"On the basis of terror management theory, it was hypothesized that when mortality is made salient, Ss would respond especially positively toward those who uphold cultural values and especially negatively toward those who violate cultural values. In Experiment 1, judges recommended especially harsh bonds for a prostitute when mortality was made salient. Experiment 2 replicated this finding with student Ss and demonstrated that it occurs only among Ss with relatively negative attitudes toward prostitution. Experiment 3 demonstrated that mortality salience also leads to larger reward recommendations for a hero who upheld cultural values. Experiments 4 and 5 showed that the mortality salience effect does not result from heightened self-awareness or physiological arousal. Experiment 6 replicated the punishment effect with a different mortality salience manipulation. Implications for the role of fear of death in social behavior are discussed.","author":[{"dropping-particle":"","family":"Rosenblatt","given":"Abram","non-dropping-particle":"","parse-names":false,"suffix":""},{"dropping-particle":"","family":"Greenberg","given":"Jeff","non-dropping-particle":"","parse-names":false,"suffix":""},{"dropping-particle":"","family":"Solomon","given":"Sheldon","non-dropping-particle":"","parse-names":false,"suffix":""},{"dropping-particle":"","family":"Pyszczynski","given":"Tom","non-dropping-particle":"","parse-names":false,"suffix":""},{"dropping-particle":"","family":"Lyon","given":"Deborah","non-dropping-particle":"","parse-names":false,"suffix":""}],"container-title":"Journal of Personality and Social Psychology","id":"ITEM-1","issue":"4","issued":{"date-parts":[["1989"]]},"page":"681-690","title":"Evidence For Terror Management Theory: I. The Effects of Mortality Salience on Reactions to Those Who Violate or Uphold Cultural Values","type":"article-journal","volume":"57"},"uris":["http://www.mendeley.com/documents/?uuid=297ead9b-0463-46d2-b891-2eaad003529d"]}],"mendeley":{"formattedCitation":"(Rosenblatt, Greenberg, Solomon, Pyszczynski, &amp; Lyon, 1989)","plainTextFormattedCitation":"(Rosenblatt, Greenberg, Solomon, Pyszczynski, &amp; Lyon, 1989)","previouslyFormattedCitation":"(Rosenblatt, Greenberg, Solomon, Pyszczynski, &amp; Lyon, 1989)"},"properties":{"noteIndex":0},"schema":"https://github.com/citation-style-language/schema/raw/master/csl-citation.json"}</w:instrText>
      </w:r>
      <w:r w:rsidR="00197E3A">
        <w:rPr>
          <w:color w:val="000000" w:themeColor="text1"/>
        </w:rPr>
        <w:fldChar w:fldCharType="separate"/>
      </w:r>
      <w:r w:rsidR="00197E3A" w:rsidRPr="00DA4420">
        <w:rPr>
          <w:noProof/>
          <w:color w:val="000000" w:themeColor="text1"/>
        </w:rPr>
        <w:t>(Rosenblatt, Greenberg, Solomon, Pyszczynski, &amp; Lyon, 1989)</w:t>
      </w:r>
      <w:r w:rsidR="00197E3A">
        <w:rPr>
          <w:color w:val="000000" w:themeColor="text1"/>
        </w:rPr>
        <w:fldChar w:fldCharType="end"/>
      </w:r>
      <w:r w:rsidR="00197E3A">
        <w:rPr>
          <w:color w:val="000000" w:themeColor="text1"/>
        </w:rPr>
        <w:t>. Follow-up studies using student populations again found this effect, but only when the judging party had a morally negative view of prostitution. These findings taken together suggest that defensive reactions to MS are not inherently negative, but instead limited to culturally relevant beliefs.</w:t>
      </w:r>
      <w:r w:rsidR="00197E3A" w:rsidDel="004F3B50">
        <w:rPr>
          <w:color w:val="000000" w:themeColor="text1"/>
        </w:rPr>
        <w:t xml:space="preserve"> </w:t>
      </w:r>
    </w:p>
    <w:p w14:paraId="1372554F" w14:textId="29621500" w:rsidR="00197E3A" w:rsidRPr="007A62B1" w:rsidRDefault="00197E3A" w:rsidP="00197E3A">
      <w:pPr>
        <w:spacing w:before="240" w:after="160" w:line="480" w:lineRule="auto"/>
        <w:ind w:firstLine="720"/>
        <w:contextualSpacing/>
        <w:rPr>
          <w:rFonts w:eastAsia="Calibri"/>
          <w:b/>
        </w:rPr>
      </w:pPr>
      <w:r>
        <w:rPr>
          <w:color w:val="000000" w:themeColor="text1"/>
        </w:rPr>
        <w:t>Another example of how cultural beliefs and mortality salience are linked</w:t>
      </w:r>
      <w:r w:rsidRPr="005A4434">
        <w:rPr>
          <w:color w:val="000000" w:themeColor="text1"/>
        </w:rPr>
        <w:t xml:space="preserve"> is a study in which participants </w:t>
      </w:r>
      <w:r>
        <w:rPr>
          <w:color w:val="000000" w:themeColor="text1"/>
        </w:rPr>
        <w:t xml:space="preserve">were asked </w:t>
      </w:r>
      <w:r w:rsidRPr="005A4434">
        <w:rPr>
          <w:color w:val="000000" w:themeColor="text1"/>
        </w:rPr>
        <w:t xml:space="preserve">to solve novel problems using different items. In this study, participants were tasked with two objectives: removing black dye using a piece of cloth and a straining process and then hanging a picture on a wall using a blunt object and a nail. In one condition, participants were given a flag as their piece of cloth and a crucifix as their blunt object, and in another condition, these were a simple white cloth and an innocuous wooden block. Participants that were given the simple items or participants that were not asked to think about their death prior to participating took on average 3 minutes to complete both tasks. On the other hand, participants who were both asked to think about their death prior to participating in the task and given the culturally significant items took almost twice as long to complete the objectives and reported considerable tension in doing so </w:t>
      </w:r>
      <w:r>
        <w:rPr>
          <w:color w:val="000000" w:themeColor="text1"/>
        </w:rPr>
        <w:fldChar w:fldCharType="begin" w:fldLock="1"/>
      </w:r>
      <w:r>
        <w:rPr>
          <w:color w:val="000000" w:themeColor="text1"/>
        </w:rPr>
        <w:instrText>ADDIN CSL_CITATION {"citationItems":[{"id":"ITEM-1","itemData":{"ISBN":"0893-3200","ISSN":"1059-6011","PMID":"803973233","author":[{"dropping-particle":"","family":"Greenberg","given":"Jeff","non-dropping-particle":"","parse-names":false,"suffix":""},{"dropping-particle":"","family":"Porteus","given":"Jonathan","non-dropping-particle":"","parse-names":false,"suffix":""},{"dropping-particle":"","family":"Simon","given":"Linda","non-dropping-particle":"","parse-names":false,"suffix":""},{"dropping-particle":"","family":"Pyszczynski","given":"Tom","non-dropping-particle":"","parse-names":false,"suffix":""},{"dropping-particle":"","family":"Solomon","given":"Sheldon","non-dropping-particle":"","parse-names":false,"suffix":""}],"container-title":"Personality and Social Psychology Bulletin","id":"ITEM-1","issue":"11","issued":{"date-parts":[["1995"]]},"page":"1221-1228","title":"Evidence of a terror management function of cultural icons: The effects of mortality salience on the inappropriate use of cherished cultural symbols","type":"article-journal","volume":"21"},"uris":["http://www.mendeley.com/documents/?uuid=3d0afe2e-8cfb-4b52-ae74-8ef3f6dda887"]}],"mendeley":{"formattedCitation":"(Greenberg, Porteus, Simon, Pyszczynski, &amp; Solomon, 1995)","plainTextFormattedCitation":"(Greenberg, Porteus, Simon, Pyszczynski, &amp; Solomon, 1995)","previouslyFormattedCitation":"(Greenberg, Porteus, Simon, Pyszczynski, &amp; Solomon, 1995)"},"properties":{"noteIndex":0},"schema":"https://github.com/citation-style-language/schema/raw/master/csl-citation.json"}</w:instrText>
      </w:r>
      <w:r>
        <w:rPr>
          <w:color w:val="000000" w:themeColor="text1"/>
        </w:rPr>
        <w:fldChar w:fldCharType="separate"/>
      </w:r>
      <w:r w:rsidRPr="00DA4420">
        <w:rPr>
          <w:noProof/>
          <w:color w:val="000000" w:themeColor="text1"/>
        </w:rPr>
        <w:t>(Greenberg, Porteus, Simon, Pyszczynski, &amp; Solomon, 1995)</w:t>
      </w:r>
      <w:r>
        <w:rPr>
          <w:color w:val="000000" w:themeColor="text1"/>
        </w:rPr>
        <w:fldChar w:fldCharType="end"/>
      </w:r>
      <w:r w:rsidRPr="005A4434">
        <w:rPr>
          <w:color w:val="000000" w:themeColor="text1"/>
        </w:rPr>
        <w:t xml:space="preserve">. </w:t>
      </w:r>
      <w:r>
        <w:rPr>
          <w:color w:val="000000" w:themeColor="text1"/>
        </w:rPr>
        <w:t>This study highlights how individuals seek to reinforce their worldviews in response to death reminders in an effort to maintain self-esteem and to ward off existential terror.</w:t>
      </w:r>
      <w:r w:rsidRPr="005A4434">
        <w:rPr>
          <w:color w:val="000000" w:themeColor="text1"/>
        </w:rPr>
        <w:t xml:space="preserve"> </w:t>
      </w:r>
    </w:p>
    <w:p w14:paraId="243F706C" w14:textId="21369774" w:rsidR="00197E3A" w:rsidRPr="00115306" w:rsidRDefault="00197E3A" w:rsidP="00197E3A">
      <w:pPr>
        <w:spacing w:before="240" w:after="160" w:line="480" w:lineRule="auto"/>
        <w:ind w:firstLine="720"/>
        <w:contextualSpacing/>
        <w:rPr>
          <w:rFonts w:eastAsia="Calibri"/>
          <w:bCs/>
          <w:iCs/>
        </w:rPr>
      </w:pPr>
      <w:r>
        <w:rPr>
          <w:rFonts w:eastAsia="Calibri"/>
          <w:b/>
          <w:iCs/>
        </w:rPr>
        <w:lastRenderedPageBreak/>
        <w:t xml:space="preserve">Death-thought accessibility (DTA). </w:t>
      </w:r>
      <w:r w:rsidR="001B7802">
        <w:rPr>
          <w:rFonts w:eastAsia="Calibri"/>
          <w:bCs/>
          <w:iCs/>
        </w:rPr>
        <w:t>To examine i</w:t>
      </w:r>
      <w:r>
        <w:rPr>
          <w:rFonts w:eastAsia="Calibri"/>
          <w:bCs/>
          <w:iCs/>
        </w:rPr>
        <w:t>f self-esteem and cultural worldviews serve a terror management function, a complementary hypothesis was tested: If aspects of one’s cultural worldview or self-esteem are threatened, death thoughts should be more readily accessible (</w:t>
      </w:r>
      <w:r w:rsidRPr="0007109A">
        <w:rPr>
          <w:rFonts w:eastAsia="Calibri"/>
          <w:iCs/>
        </w:rPr>
        <w:t>see</w:t>
      </w:r>
      <w:r>
        <w:rPr>
          <w:rFonts w:eastAsia="Calibri"/>
          <w:iCs/>
        </w:rPr>
        <w:fldChar w:fldCharType="begin" w:fldLock="1"/>
      </w:r>
      <w:r>
        <w:rPr>
          <w:rFonts w:eastAsia="Calibri"/>
          <w:iCs/>
        </w:rPr>
        <w:instrText>ADDIN CSL_CITATION {"citationItems":[{"id":"ITEM-1","itemData":{"DOI":"10.1037/a0020524","ISSN":"00332909","PMID":"20804234","abstract":"Terror management theory (TMT) highlights the motivational impact of thoughts of death in various aspects of everyday life. Since its inception in 1986, research on TMT has undergone a slight but significant shift from an almost exclusive focus on the manipulation of thoughts of death to a marked increase in studies that measure the accessibility of death-related cognition. Indeed, the number of death-thought accessibility (DTA) studies in the published literature has grown substantially in recent years. In light of this increasing reliance on the DTA concept, the present article is meant to provide a comprehensive theoretical and empirical review of the literature employing this concept. After discussing the roots of DTA, the authors outline the theoretical refinements to TMT that have accompanied significant research findings associated with the DTA concept. Four distinct categories (mortality salience, death association, anxiety-buffer threat, and dispositional) are derived to organize the reviewed DTA studies, and the theoretical implications of each category are discussed. Finally, a number of lingering empirical and theoretical issues in the DTA literature are discussed with the aim of stimulating and focusing future research on DTA specifically and TMT in general. © 2010 American Psychological Association.","author":[{"dropping-particle":"","family":"Hayes","given":"Joseph","non-dropping-particle":"","parse-names":false,"suffix":""},{"dropping-particle":"","family":"Schimel","given":"Jeff","non-dropping-particle":"","parse-names":false,"suffix":""},{"dropping-particle":"","family":"Arndt","given":"Jamie","non-dropping-particle":"","parse-names":false,"suffix":""},{"dropping-particle":"","family":"Faucher","given":"Erik H.","non-dropping-particle":"","parse-names":false,"suffix":""}],"container-title":"Psychological Bulletin","id":"ITEM-1","issue":"5","issued":{"date-parts":[["2010"]]},"page":"699-739","title":"A theoretical and empirical review of the death-thought accessibility concept in terror management research","type":"article-journal","volume":"136"},"uris":["http://www.mendeley.com/documents/?uuid=ced64a17-9856-4903-8295-d78c3f81e001"]}],"mendeley":{"formattedCitation":"(Hayes, Schimel, Arndt, &amp; Faucher, 2010)","manualFormatting":" Hayes, Schimel, Arndt, &amp; Faucher, 2010,","plainTextFormattedCitation":"(Hayes, Schimel, Arndt, &amp; Faucher, 2010)","previouslyFormattedCitation":"(Hayes, Schimel, Arndt, &amp; Faucher, 2010)"},"properties":{"noteIndex":0},"schema":"https://github.com/citation-style-language/schema/raw/master/csl-citation.json"}</w:instrText>
      </w:r>
      <w:r>
        <w:rPr>
          <w:rFonts w:eastAsia="Calibri"/>
          <w:iCs/>
        </w:rPr>
        <w:fldChar w:fldCharType="separate"/>
      </w:r>
      <w:r>
        <w:rPr>
          <w:rFonts w:eastAsia="Calibri"/>
          <w:iCs/>
          <w:noProof/>
        </w:rPr>
        <w:t xml:space="preserve"> </w:t>
      </w:r>
      <w:r w:rsidRPr="00DA4420">
        <w:rPr>
          <w:rFonts w:eastAsia="Calibri"/>
          <w:iCs/>
          <w:noProof/>
        </w:rPr>
        <w:t>Hayes, Schimel, Arndt, &amp; Faucher, 2010</w:t>
      </w:r>
      <w:r>
        <w:rPr>
          <w:rFonts w:eastAsia="Calibri"/>
          <w:iCs/>
          <w:noProof/>
        </w:rPr>
        <w:t>,</w:t>
      </w:r>
      <w:r>
        <w:rPr>
          <w:rFonts w:eastAsia="Calibri"/>
          <w:iCs/>
        </w:rPr>
        <w:fldChar w:fldCharType="end"/>
      </w:r>
      <w:r w:rsidRPr="0007109A">
        <w:rPr>
          <w:rFonts w:eastAsia="Calibri"/>
          <w:iCs/>
        </w:rPr>
        <w:t xml:space="preserve"> for a meta-analysis of DTA research</w:t>
      </w:r>
      <w:r>
        <w:rPr>
          <w:rFonts w:eastAsia="Calibri"/>
          <w:iCs/>
        </w:rPr>
        <w:t>).</w:t>
      </w:r>
      <w:r>
        <w:rPr>
          <w:rFonts w:eastAsia="Calibri"/>
          <w:bCs/>
          <w:iCs/>
        </w:rPr>
        <w:t xml:space="preserve"> </w:t>
      </w:r>
      <w:r w:rsidRPr="0007109A">
        <w:rPr>
          <w:rFonts w:eastAsia="Calibri"/>
        </w:rPr>
        <w:t xml:space="preserve">DTA is typically assessed by the number of incomplete word stems completed in death-related ways (e.g., C O F </w:t>
      </w:r>
      <w:proofErr w:type="spellStart"/>
      <w:r w:rsidRPr="0007109A">
        <w:rPr>
          <w:rFonts w:eastAsia="Calibri"/>
        </w:rPr>
        <w:t>F</w:t>
      </w:r>
      <w:proofErr w:type="spellEnd"/>
      <w:r w:rsidRPr="0007109A">
        <w:rPr>
          <w:rFonts w:eastAsia="Calibri"/>
        </w:rPr>
        <w:t xml:space="preserve"> _ _ could be COFFEE or COFFIN; G R _ V E could be GROVE OR GRAVE).  </w:t>
      </w:r>
      <w:r>
        <w:rPr>
          <w:rFonts w:eastAsia="Calibri"/>
          <w:bCs/>
          <w:iCs/>
        </w:rPr>
        <w:t xml:space="preserve">Several studies have examined death-thought accessibility; </w:t>
      </w:r>
      <w:r w:rsidRPr="0007109A">
        <w:rPr>
          <w:rFonts w:eastAsia="Calibri"/>
          <w:iCs/>
        </w:rPr>
        <w:t xml:space="preserve">DTA increased when Christian fundamentalists were confronted with logical inconsistencies in the bible </w:t>
      </w:r>
      <w:r>
        <w:rPr>
          <w:rFonts w:eastAsia="Calibri"/>
          <w:iCs/>
        </w:rPr>
        <w:fldChar w:fldCharType="begin" w:fldLock="1"/>
      </w:r>
      <w:r>
        <w:rPr>
          <w:rFonts w:eastAsia="Calibri"/>
          <w:iCs/>
        </w:rPr>
        <w:instrText>ADDIN CSL_CITATION {"citationItems":[{"id":"ITEM-1","itemData":{"DOI":"10.1016/j.jesp.2006.07.008","ISSN":"00221031","abstract":"Terror management theory argues that human understanding of mortality creates an existential anxiety that must be kept under constant control. Defenses-such as beliefs that provide permanence, predictability, and meaning-are erected whose function is in part to keep thoughts about death as far removed from consciousness as possible. The current study investigated the defensive function of Christian fundamentalist belief in managing death-awareness. The general hypothesis of the study is that challenges to such beliefs undermine one's ability to control cognitions related to mortality. More specifically, it was hypothesized that successful challenges to this form of religious belief would make death-related cognitions more accessible to consciousness. Self-identified Christians, both fundamentalists and non-fundamentalists, encountered material that challenged the fundamentalist belief that the Christian Bible is free of inconsistencies and contradictions. Consistent with expectations, under these conditions higher levels of accessibility of death-related cognition were found among fundamentalist Christians, but not their non-fundamentalist counterparts. © 2006 Elsevier Inc. All rights reserved.","author":[{"dropping-particle":"","family":"Friedman","given":"Mike","non-dropping-particle":"","parse-names":false,"suffix":""},{"dropping-particle":"","family":"Rholes","given":"Steven","non-dropping-particle":"","parse-names":false,"suffix":""}],"container-title":"Journal of Experimental Social Psychology","id":"ITEM-1","issue":"5","issued":{"date-parts":[["2007"]]},"page":"794-801","title":"Successfully challenging fundamentalist beliefs results in increased death awareness","type":"article-journal","volume":"43"},"uris":["http://www.mendeley.com/documents/?uuid=a323b4f9-fe94-404a-9625-cdd5aeb16033"]}],"mendeley":{"formattedCitation":"(Friedman &amp; Rholes, 2007)","plainTextFormattedCitation":"(Friedman &amp; Rholes, 2007)","previouslyFormattedCitation":"(Friedman &amp; Rholes, 2007)"},"properties":{"noteIndex":0},"schema":"https://github.com/citation-style-language/schema/raw/master/csl-citation.json"}</w:instrText>
      </w:r>
      <w:r>
        <w:rPr>
          <w:rFonts w:eastAsia="Calibri"/>
          <w:iCs/>
        </w:rPr>
        <w:fldChar w:fldCharType="separate"/>
      </w:r>
      <w:r w:rsidRPr="00DA4420">
        <w:rPr>
          <w:rFonts w:eastAsia="Calibri"/>
          <w:iCs/>
          <w:noProof/>
        </w:rPr>
        <w:t>(Friedman &amp; Rholes, 2007)</w:t>
      </w:r>
      <w:r>
        <w:rPr>
          <w:rFonts w:eastAsia="Calibri"/>
          <w:iCs/>
        </w:rPr>
        <w:fldChar w:fldCharType="end"/>
      </w:r>
      <w:r w:rsidRPr="0007109A">
        <w:rPr>
          <w:rFonts w:eastAsia="Calibri"/>
          <w:iCs/>
        </w:rPr>
        <w:t xml:space="preserve">; when creationists read an article providing strong evidence for evolution, or when Canadians read an article condemning their cultural values </w:t>
      </w:r>
      <w:r>
        <w:rPr>
          <w:rFonts w:eastAsia="Calibri"/>
          <w:iCs/>
        </w:rPr>
        <w:fldChar w:fldCharType="begin" w:fldLock="1"/>
      </w:r>
      <w:r>
        <w:rPr>
          <w:rFonts w:eastAsia="Calibri"/>
          <w:iCs/>
        </w:rPr>
        <w:instrText>ADDIN CSL_CITATION {"citationItems":[{"id":"ITEM-1","itemData":{"DOI":"10.1037/0022-3514.92.5.789","ISSN":"00223514","PMID":"17484605","abstract":"According to terror management theory, if the cultural worldview protects people from thoughts about death, then weakening this structure should increase death-thought accessibility (DTA). Five studies tested this DTA hypothesis. Study 1 showed that threatening Canadian participants' cultural values (vs. those of another culture) increased DTA on a word-fragment completion task. Study 2 showed that when participants could dismiss the threat, DTA remained low. Study 3 replicated the results of Study 1, but DTA was measured using a lexical decision task. Response latencies to death, negative, and neutral content were measured. Worldview threat increased DTA relative to accessibility for negative and neutral content. Study 4 showed that the DTA effect emerged independently of the arousal of anger or anxiety. Finally, Study 5 demonstrated that participants with a pro-creation (vs. pro-evolution) worldview had higher DTA after reading an anti-creation article. Discussion focused on theoretical implications and directions for further research. PsycINFO Database Record (c) 2007 APA, all rights reserved.","author":[{"dropping-particle":"","family":"Schimel","given":"Jeff","non-dropping-particle":"","parse-names":false,"suffix":""},{"dropping-particle":"","family":"Hayes","given":"Joseph","non-dropping-particle":"","parse-names":false,"suffix":""},{"dropping-particle":"","family":"Williams","given":"Todd","non-dropping-particle":"","parse-names":false,"suffix":""},{"dropping-particle":"","family":"Jahrig","given":"Jesse","non-dropping-particle":"","parse-names":false,"suffix":""}],"container-title":"Journal of Personality and Social Psychology","id":"ITEM-1","issue":"5","issued":{"date-parts":[["2007"]]},"page":"789-803","title":"Is death really the worm at the core? Converging evidence that worldview threat increases death-thought accessibility","type":"article-journal","volume":"92"},"uris":["http://www.mendeley.com/documents/?uuid=b703ea4b-41af-4885-8a98-f3fc7ce46745"]}],"mendeley":{"formattedCitation":"(Schimel, Hayes, Williams, &amp; Jahrig, 2007)","plainTextFormattedCitation":"(Schimel, Hayes, Williams, &amp; Jahrig, 2007)","previouslyFormattedCitation":"(Schimel, Hayes, Williams, &amp; Jahrig, 2007)"},"properties":{"noteIndex":0},"schema":"https://github.com/citation-style-language/schema/raw/master/csl-citation.json"}</w:instrText>
      </w:r>
      <w:r>
        <w:rPr>
          <w:rFonts w:eastAsia="Calibri"/>
          <w:iCs/>
        </w:rPr>
        <w:fldChar w:fldCharType="separate"/>
      </w:r>
      <w:r w:rsidRPr="00DA4420">
        <w:rPr>
          <w:rFonts w:eastAsia="Calibri"/>
          <w:iCs/>
          <w:noProof/>
        </w:rPr>
        <w:t>(Schimel, Hayes, Williams, &amp; Jahrig, 2007)</w:t>
      </w:r>
      <w:r>
        <w:rPr>
          <w:rFonts w:eastAsia="Calibri"/>
          <w:iCs/>
        </w:rPr>
        <w:fldChar w:fldCharType="end"/>
      </w:r>
      <w:r>
        <w:rPr>
          <w:rFonts w:eastAsia="Calibri"/>
          <w:iCs/>
        </w:rPr>
        <w:t>;</w:t>
      </w:r>
      <w:r w:rsidRPr="0007109A">
        <w:rPr>
          <w:rFonts w:eastAsia="Calibri"/>
          <w:iCs/>
        </w:rPr>
        <w:t xml:space="preserve"> when Dutch citizens read an article claiming that progress is illusory </w:t>
      </w:r>
      <w:r>
        <w:rPr>
          <w:rFonts w:eastAsia="Calibri"/>
          <w:iCs/>
        </w:rPr>
        <w:fldChar w:fldCharType="begin" w:fldLock="1"/>
      </w:r>
      <w:r>
        <w:rPr>
          <w:rFonts w:eastAsia="Calibri"/>
          <w:iCs/>
        </w:rPr>
        <w:instrText>ADDIN CSL_CITATION {"citationItems":[{"id":"ITEM-1","itemData":{"DOI":"10.1177/0146167208331252","ISSN":"01461672","PMID":"19234297","abstract":"Terror management theory argues that people can cope with the psychological threat of their own death by bolstering faith in their cultural worldviews. Based on the notion that\"since the Age of Enlightenment\"belief or faith in progress has become one of the defining qualities of modern Western thinking, we expected that this belief serves as a buffer against mortality concerns. Three experiments were conducted to test the relationship between existential anxiety and belief in progress. Results of Experiment 1 show that mortality salience increased participants' disagreement with an essay on the illusory notion of human progress. The same essay increased death-thought accessibility in Experiment 2. In Experiment 3, belief in progress and mortality salience were manipulated. Results show that bolstering belief in progress buffered the effects of mortality salience on death-thought accessibility and diminished subsequent defensive reactions to a cultural worldview-threatening essay. © 2009 by the Society for Personality and Social Psychology, Inc.","author":[{"dropping-particle":"","family":"Rutjens","given":"Bastiaan T.","non-dropping-particle":"","parse-names":false,"suffix":""},{"dropping-particle":"","family":"Pligt","given":"Joop","non-dropping-particle":"van der","parse-names":false,"suffix":""},{"dropping-particle":"","family":"Harreveld","given":"Frenk","non-dropping-particle":"van","parse-names":false,"suffix":""}],"container-title":"Personality and Social Psychology Bulletin","id":"ITEM-1","issue":"5","issued":{"date-parts":[["2009"]]},"page":"535-543","title":"Things will get better: The anxiety-buffering qualities of progressive hope","type":"article-journal","volume":"35"},"uris":["http://www.mendeley.com/documents/?uuid=66cc803d-6067-4b77-b869-1b934f5f8c51"]}],"mendeley":{"formattedCitation":"(Rutjens, van der Pligt, &amp; van Harreveld, 2009)","plainTextFormattedCitation":"(Rutjens, van der Pligt, &amp; van Harreveld, 2009)","previouslyFormattedCitation":"(Rutjens, van der Pligt, &amp; van Harreveld, 2009)"},"properties":{"noteIndex":0},"schema":"https://github.com/citation-style-language/schema/raw/master/csl-citation.json"}</w:instrText>
      </w:r>
      <w:r>
        <w:rPr>
          <w:rFonts w:eastAsia="Calibri"/>
          <w:iCs/>
        </w:rPr>
        <w:fldChar w:fldCharType="separate"/>
      </w:r>
      <w:r w:rsidRPr="00DA4420">
        <w:rPr>
          <w:rFonts w:eastAsia="Calibri"/>
          <w:iCs/>
          <w:noProof/>
        </w:rPr>
        <w:t>(Rutjens, van der Pligt, &amp; van Harreveld, 2009)</w:t>
      </w:r>
      <w:r>
        <w:rPr>
          <w:rFonts w:eastAsia="Calibri"/>
          <w:iCs/>
        </w:rPr>
        <w:fldChar w:fldCharType="end"/>
      </w:r>
      <w:r w:rsidRPr="0007109A">
        <w:rPr>
          <w:rFonts w:eastAsia="Calibri"/>
          <w:iCs/>
        </w:rPr>
        <w:t xml:space="preserve">; and when atheists read an essay arguing </w:t>
      </w:r>
      <w:r w:rsidR="00FE161B" w:rsidRPr="0007109A">
        <w:rPr>
          <w:rFonts w:eastAsia="Calibri"/>
          <w:iCs/>
        </w:rPr>
        <w:t>in favor of intelligent design</w:t>
      </w:r>
      <w:r w:rsidR="00FE161B">
        <w:rPr>
          <w:rFonts w:eastAsia="Calibri"/>
          <w:iCs/>
        </w:rPr>
        <w:t>, stating</w:t>
      </w:r>
      <w:r w:rsidR="00FE161B" w:rsidRPr="0007109A">
        <w:rPr>
          <w:rFonts w:eastAsia="Calibri"/>
          <w:iCs/>
        </w:rPr>
        <w:t xml:space="preserve"> </w:t>
      </w:r>
      <w:r w:rsidRPr="0007109A">
        <w:rPr>
          <w:rFonts w:eastAsia="Calibri"/>
          <w:iCs/>
        </w:rPr>
        <w:t xml:space="preserve">that the theory of evolution cannot account for the origin of life </w:t>
      </w:r>
      <w:r>
        <w:rPr>
          <w:rFonts w:eastAsia="Calibri"/>
          <w:iCs/>
        </w:rPr>
        <w:fldChar w:fldCharType="begin" w:fldLock="1"/>
      </w:r>
      <w:r>
        <w:rPr>
          <w:rFonts w:eastAsia="Calibri"/>
          <w:iCs/>
        </w:rPr>
        <w:instrText>ADDIN CSL_CITATION {"citationItems":[{"id":"ITEM-1","itemData":{"DOI":"10.1080/15298868.2015.1036919","ISSN":"15298876","abstract":"Although numerous studies have examined compensatory reactions to ideological threats such as derogation, relatively little research has focused on alternative forms of defense. One such alternative, termed accommodation, involves accepting and incorporating parts of the threatening information into existing belief-structures. The present research employs a terror management framework to assess the effects of worldview threat, death-thoughts, and trait self-esteem on worldview accommodation. Five studies demonstrate that accommodation entails selectively modifying only peripheral worldview beliefs, while retaining core beliefs. Study 1 demonstrates that accommodation increases as a function of death-thought accessibility (DTA) aroused by threat. Studies 2–5 show that self-esteem moderates the effects of threat on accommodation, such that people with low (but not high) self-esteem accommodate their worldview. Moreover, accommodation is found to reduce source derogation (Studies 1–3), fluid defensiveness (Study 4), and DTA (Study 5). Discussion focuses on implications for understanding various means of coping with worldview threats.","author":[{"dropping-particle":"","family":"Hayes","given":"Joseph","non-dropping-particle":"","parse-names":false,"suffix":""},{"dropping-particle":"","family":"Schimel","given":"Jeff","non-dropping-particle":"","parse-names":false,"suffix":""},{"dropping-particle":"","family":"Williams","given":"Todd J.","non-dropping-particle":"","parse-names":false,"suffix":""},{"dropping-particle":"","family":"Howard","given":"Andrea L.","non-dropping-particle":"","parse-names":false,"suffix":""},{"dropping-particle":"","family":"Webber","given":"David","non-dropping-particle":"","parse-names":false,"suffix":""},{"dropping-particle":"","family":"Faucher","given":"Erik H.","non-dropping-particle":"","parse-names":false,"suffix":""}],"container-title":"Self and Identity","id":"ITEM-1","issue":"5","issued":{"date-parts":[["2015"]]},"page":"521-548","title":"Worldview Accommodation: Selectively Modifying Committed Beliefs Provides Defense Against Worldview Threat","type":"article-journal","volume":"14"},"uris":["http://www.mendeley.com/documents/?uuid=480183f4-08b8-4bf0-8113-741ec24ed1c1"]}],"mendeley":{"formattedCitation":"(Hayes et al., 2015)","plainTextFormattedCitation":"(Hayes et al., 2015)","previouslyFormattedCitation":"(Hayes et al., 2015)"},"properties":{"noteIndex":0},"schema":"https://github.com/citation-style-language/schema/raw/master/csl-citation.json"}</w:instrText>
      </w:r>
      <w:r>
        <w:rPr>
          <w:rFonts w:eastAsia="Calibri"/>
          <w:iCs/>
        </w:rPr>
        <w:fldChar w:fldCharType="separate"/>
      </w:r>
      <w:r w:rsidRPr="00DA4420">
        <w:rPr>
          <w:rFonts w:eastAsia="Calibri"/>
          <w:iCs/>
          <w:noProof/>
        </w:rPr>
        <w:t>(Hayes et al., 2015)</w:t>
      </w:r>
      <w:r>
        <w:rPr>
          <w:rFonts w:eastAsia="Calibri"/>
          <w:iCs/>
        </w:rPr>
        <w:fldChar w:fldCharType="end"/>
      </w:r>
      <w:r w:rsidRPr="0007109A">
        <w:rPr>
          <w:rFonts w:eastAsia="Calibri"/>
          <w:iCs/>
        </w:rPr>
        <w:t>.</w:t>
      </w:r>
    </w:p>
    <w:p w14:paraId="30C8A5F8" w14:textId="465CF2F0" w:rsidR="00197E3A" w:rsidRDefault="00197E3A" w:rsidP="00197E3A">
      <w:pPr>
        <w:spacing w:before="240" w:after="160" w:line="480" w:lineRule="auto"/>
        <w:ind w:firstLine="720"/>
        <w:contextualSpacing/>
        <w:rPr>
          <w:rFonts w:eastAsia="Calibri"/>
          <w:bCs/>
          <w:iCs/>
        </w:rPr>
      </w:pPr>
      <w:r>
        <w:rPr>
          <w:rFonts w:eastAsia="Calibri"/>
          <w:bCs/>
          <w:iCs/>
        </w:rPr>
        <w:t xml:space="preserve">Other studies show that DTA increases not just when cultural worldviews are threatened, but also when self-esteem is threatened. DTA increased after participants were told their personality was incompatible with their career choice, or that they were unprepared to give an upcoming speech, or were given negative feedback about their intelligence </w:t>
      </w:r>
      <w:r>
        <w:rPr>
          <w:rFonts w:eastAsia="Calibri"/>
          <w:bCs/>
          <w:iCs/>
        </w:rPr>
        <w:fldChar w:fldCharType="begin" w:fldLock="1"/>
      </w:r>
      <w:r>
        <w:rPr>
          <w:rFonts w:eastAsia="Calibri"/>
          <w:bCs/>
          <w:iCs/>
        </w:rPr>
        <w:instrText>ADDIN CSL_CITATION {"citationItems":[{"id":"ITEM-1","itemData":{"DOI":"10.1016/j.jesp.2008.01.004","ISSN":"00221031","abstract":"Three studies assessed the impact of self-esteem threat on death-thought accessibility (DTA). Increased DTA resulted from three distinct types of self-esteem threat. Studies 1 and 2 employed negative feedback procedures in which participants were told that they scored below average on an intelligence test (Study 1), or that their personality was incongruent for their desired career path (Study 2). In Study 3, participants were led to believe that they would give an ill prepared speech in front of their peers. In Studies 1 and 2 DTA was assessed via reaction times on a lexical decision task, while Study 3 employed a word-fragment completion task. Study 3 demonstrated the DTA buffering effect of fortifying self-esteem via self-affirmation. Discussion focused on general implications for TMT, self-esteem, and mental health. © 2008 Elsevier Inc. All rights reserved.","author":[{"dropping-particle":"","family":"Hayes","given":"Joseph","non-dropping-particle":"","parse-names":false,"suffix":""},{"dropping-particle":"","family":"Schimel","given":"Jeff","non-dropping-particle":"","parse-names":false,"suffix":""},{"dropping-particle":"","family":"Faucher","given":"Erik H.","non-dropping-particle":"","parse-names":false,"suffix":""},{"dropping-particle":"","family":"Williams","given":"Todd J.","non-dropping-particle":"","parse-names":false,"suffix":""}],"container-title":"Journal of Experimental Social Psychology","id":"ITEM-1","issue":"3","issued":{"date-parts":[["2008"]]},"page":"600-613","title":"Evidence for the DTA hypothesis II: Threatening self-esteem increases death-thought accessibility","type":"article-journal","volume":"44"},"uris":["http://www.mendeley.com/documents/?uuid=d6e62dc1-be91-49d5-8ec7-952eadf5f5aa"]}],"mendeley":{"formattedCitation":"(Hayes, Schimel, Faucher, &amp; Williams, 2008)","plainTextFormattedCitation":"(Hayes, Schimel, Faucher, &amp; Williams, 2008)","previouslyFormattedCitation":"(Hayes, Schimel, Faucher, &amp; Williams, 2008)"},"properties":{"noteIndex":0},"schema":"https://github.com/citation-style-language/schema/raw/master/csl-citation.json"}</w:instrText>
      </w:r>
      <w:r>
        <w:rPr>
          <w:rFonts w:eastAsia="Calibri"/>
          <w:bCs/>
          <w:iCs/>
        </w:rPr>
        <w:fldChar w:fldCharType="separate"/>
      </w:r>
      <w:r w:rsidRPr="00DA4420">
        <w:rPr>
          <w:rFonts w:eastAsia="Calibri"/>
          <w:bCs/>
          <w:iCs/>
          <w:noProof/>
        </w:rPr>
        <w:t>(Hayes, Schimel, Faucher, &amp; Williams, 2008)</w:t>
      </w:r>
      <w:r>
        <w:rPr>
          <w:rFonts w:eastAsia="Calibri"/>
          <w:bCs/>
          <w:iCs/>
        </w:rPr>
        <w:fldChar w:fldCharType="end"/>
      </w:r>
      <w:r>
        <w:rPr>
          <w:rFonts w:eastAsia="Calibri"/>
          <w:bCs/>
          <w:iCs/>
        </w:rPr>
        <w:t xml:space="preserve">. Similarly, Ogilvie, Cohen, &amp; Solomon </w:t>
      </w:r>
      <w:r>
        <w:rPr>
          <w:rFonts w:eastAsia="Calibri"/>
          <w:bCs/>
          <w:iCs/>
        </w:rPr>
        <w:fldChar w:fldCharType="begin" w:fldLock="1"/>
      </w:r>
      <w:r>
        <w:rPr>
          <w:rFonts w:eastAsia="Calibri"/>
          <w:bCs/>
          <w:iCs/>
        </w:rPr>
        <w:instrText>ADDIN CSL_CITATION {"citationItems":[{"id":"ITEM-1","itemData":{"DOI":"10.1016/j.jrp.2007.07.012","ISSN":"00926566","abstract":"Two studies were conducted to examine the hypothesis derived from a juxtaposition of the undesired self and terror management theories that making aspects of the undesired self salient produces effects comparable to those obtained in response to making mortality salient. In Study 1, participants reminded of either death or aspects of their undesired self were more supportive of President George W. Bush and his policies in Iraq, relative to participants in exam salient or desired self salient control conditions. In Study 2, participants reminded of death or aspects of their undesired self showed greater accessibility of implicit death thoughts, relative to participants in pain salient or desired self salient control conditions. Implications of these findings for future theory and research are considered. © 2007 Elsevier Inc. All rights reserved.","author":[{"dropping-particle":"","family":"Ogilvie","given":"Daniel M.","non-dropping-particle":"","parse-names":false,"suffix":""},{"dropping-particle":"","family":"Cohen","given":"Florette","non-dropping-particle":"","parse-names":false,"suffix":""},{"dropping-particle":"","family":"Solomon","given":"Sheldon","non-dropping-particle":"","parse-names":false,"suffix":""}],"container-title":"Journal of Research in Personality","id":"ITEM-1","issue":"3","issued":{"date-parts":[["2008"]]},"page":"564-576","title":"The undesired self: Deadly connotations","type":"article-journal","volume":"42"},"uris":["http://www.mendeley.com/documents/?uuid=4c84799b-928b-4cef-99a3-4be20af9ae79"]}],"mendeley":{"formattedCitation":"(Ogilvie, Cohen, &amp; Solomon, 2008)","manualFormatting":"(2008)","plainTextFormattedCitation":"(Ogilvie, Cohen, &amp; Solomon, 2008)","previouslyFormattedCitation":"(Ogilvie, Cohen, &amp; Solomon, 2008)"},"properties":{"noteIndex":0},"schema":"https://github.com/citation-style-language/schema/raw/master/csl-citation.json"}</w:instrText>
      </w:r>
      <w:r>
        <w:rPr>
          <w:rFonts w:eastAsia="Calibri"/>
          <w:bCs/>
          <w:iCs/>
        </w:rPr>
        <w:fldChar w:fldCharType="separate"/>
      </w:r>
      <w:r w:rsidRPr="00DA4420">
        <w:rPr>
          <w:rFonts w:eastAsia="Calibri"/>
          <w:bCs/>
          <w:iCs/>
          <w:noProof/>
        </w:rPr>
        <w:t>(2008)</w:t>
      </w:r>
      <w:r>
        <w:rPr>
          <w:rFonts w:eastAsia="Calibri"/>
          <w:bCs/>
          <w:iCs/>
        </w:rPr>
        <w:fldChar w:fldCharType="end"/>
      </w:r>
      <w:r>
        <w:rPr>
          <w:rFonts w:eastAsia="Calibri"/>
          <w:bCs/>
          <w:iCs/>
        </w:rPr>
        <w:t xml:space="preserve"> found that DTA increased after asking participants to consider undesir</w:t>
      </w:r>
      <w:r w:rsidR="002D5E4B">
        <w:rPr>
          <w:rFonts w:eastAsia="Calibri"/>
          <w:bCs/>
          <w:iCs/>
        </w:rPr>
        <w:t>able</w:t>
      </w:r>
      <w:r>
        <w:rPr>
          <w:rFonts w:eastAsia="Calibri"/>
          <w:bCs/>
          <w:iCs/>
        </w:rPr>
        <w:t xml:space="preserve"> aspects of themselves.</w:t>
      </w:r>
    </w:p>
    <w:p w14:paraId="20621C91" w14:textId="77777777" w:rsidR="000614C9" w:rsidRDefault="000614C9">
      <w:pPr>
        <w:rPr>
          <w:b/>
          <w:bCs/>
        </w:rPr>
      </w:pPr>
      <w:r>
        <w:rPr>
          <w:b/>
          <w:bCs/>
        </w:rPr>
        <w:br w:type="page"/>
      </w:r>
    </w:p>
    <w:p w14:paraId="1C93E08E" w14:textId="47DDBB2A" w:rsidR="00197E3A" w:rsidRDefault="00197E3A" w:rsidP="00197E3A">
      <w:pPr>
        <w:spacing w:line="480" w:lineRule="auto"/>
        <w:rPr>
          <w:b/>
          <w:bCs/>
        </w:rPr>
      </w:pPr>
      <w:r>
        <w:rPr>
          <w:b/>
          <w:bCs/>
        </w:rPr>
        <w:lastRenderedPageBreak/>
        <w:t>Religion and Terror Management Theory</w:t>
      </w:r>
    </w:p>
    <w:p w14:paraId="701A69AC" w14:textId="374FCF63" w:rsidR="00197E3A" w:rsidRDefault="00197E3A" w:rsidP="00197E3A">
      <w:pPr>
        <w:spacing w:line="480" w:lineRule="auto"/>
      </w:pPr>
      <w:r>
        <w:tab/>
        <w:t xml:space="preserve">Religion and religious beliefs are believed to be as old as modern humans. Philosophers and religious scholars have debated the psychological and social functions of religion. Some believe that religion has no real psychological function, but that it instead emerged as a way to bring us together socially </w:t>
      </w:r>
      <w:r>
        <w:fldChar w:fldCharType="begin" w:fldLock="1"/>
      </w:r>
      <w:r>
        <w:instrText>ADDIN CSL_CITATION {"citationItems":[{"id":"ITEM-1","itemData":{"author":[{"dropping-particle":"","family":"Durkheim","given":"Emile","non-dropping-particle":"","parse-names":false,"suffix":""}],"id":"ITEM-1","issued":{"date-parts":[["1965"]]},"publisher":"na","title":"The elementary forms of the religious life [1912]","type":"book"},"uris":["http://www.mendeley.com/documents/?uuid=55f4418e-0bee-40be-b76f-29b67a29b59d"]}],"mendeley":{"formattedCitation":"(Durkheim, 1965)","plainTextFormattedCitation":"(Durkheim, 1965)","previouslyFormattedCitation":"(Durkheim, 1965)"},"properties":{"noteIndex":0},"schema":"https://github.com/citation-style-language/schema/raw/master/csl-citation.json"}</w:instrText>
      </w:r>
      <w:r>
        <w:fldChar w:fldCharType="separate"/>
      </w:r>
      <w:r w:rsidRPr="00DA4420">
        <w:rPr>
          <w:noProof/>
        </w:rPr>
        <w:t>(Durkheim, 1965)</w:t>
      </w:r>
      <w:r>
        <w:fldChar w:fldCharType="end"/>
      </w:r>
      <w:r>
        <w:t xml:space="preserve">. Others argue that religion has no real social or psychological function, but instead is a byproduct of other adaptive cognitive processes </w:t>
      </w:r>
      <w:r w:rsidR="00843F3F">
        <w:t>(e.g.</w:t>
      </w:r>
      <w:r w:rsidR="00357636">
        <w:t>,</w:t>
      </w:r>
      <w:r w:rsidR="00843F3F">
        <w:t xml:space="preserve"> the ability to anthropomorphize </w:t>
      </w:r>
      <w:r w:rsidR="00BD05D2">
        <w:t xml:space="preserve">objects encourages the belief in an all-powerful human-like entity that we can then connect/identify with </w:t>
      </w:r>
      <w:r w:rsidR="00C952DE">
        <w:t>to</w:t>
      </w:r>
      <w:r w:rsidR="00BD05D2">
        <w:t xml:space="preserve"> feel more powerful</w:t>
      </w:r>
      <w:r w:rsidR="00C952DE">
        <w:t xml:space="preserve"> or in control</w:t>
      </w:r>
      <w:r w:rsidR="00BD05D2">
        <w:t xml:space="preserve">) </w:t>
      </w:r>
      <w:r>
        <w:fldChar w:fldCharType="begin" w:fldLock="1"/>
      </w:r>
      <w:r>
        <w:instrText>ADDIN CSL_CITATION {"citationItems":[{"id":"ITEM-1","itemData":{"author":[{"dropping-particle":"","family":"Bloom","given":"Paul","non-dropping-particle":"","parse-names":false,"suffix":""}],"container-title":"Atlantic Monthly","id":"ITEM-1","issue":"5","issued":{"date-parts":[["2005"]]},"page":"105","publisher":"ATLANTIC MONTHLY GROUP","title":"Is God an accident?","type":"article-journal","volume":"296"},"uris":["http://www.mendeley.com/documents/?uuid=1f2266b6-67cd-4cd2-a33c-0e03ea537fdf"]},{"id":"ITEM-2","itemData":{"author":[{"dropping-particle":"","family":"Boyer","given":"Pascal","non-dropping-particle":"","parse-names":false,"suffix":""}],"id":"ITEM-2","issued":{"date-parts":[["2007"]]},"publisher":"Basic books","title":"Religion explained: The evolutionary origins of religious thought","type":"book"},"uris":["http://www.mendeley.com/documents/?uuid=781997bb-3ea6-44e1-9073-3490d732abce"]},{"id":"ITEM-3","itemData":{"author":[{"dropping-particle":"","family":"Kirkpatrick","given":"Lee A","non-dropping-particle":"","parse-names":false,"suffix":""}],"id":"ITEM-3","issued":{"date-parts":[["2005"]]},"publisher":"Guilford Press","title":"Attachment, evolution, and the psychology of religion","type":"book"},"uris":["http://www.mendeley.com/documents/?uuid=37d4be5f-1400-4fd0-bf6c-c5b92a24760a"]},{"id":"ITEM-4","itemData":{"DOI":"10.1177/1088868309351165","ISSN":"10888683","PMID":"19940284","abstract":"From a terror management theory (TMT) perspective, religion serves to manage the potential terror engendered by the uniquely human awareness of death by affording a sense of psychological security and hope of immortality. Although secular beliefs can also serve a terror management function, religious beliefs are particularly well suited to mitigate death anxiety because they are all encompassing, rely on concepts that are not easily disconfirmed, and promise literal immortality. Research is reviewed demonstrating that mortality salience produces increased belief in afterlife, supernatural agency, human ascension from nature, and spiritual distinctions between mind and body. The social costs and benefits of religious beliefs are considered and compared to those of secular worldviews. The terror management functions of, and benefits and costs associated with, different types of religious orientation, such as intrinsic religiosity, quest, and religious fundamentalism, are then examined. Finally, the TMT analysis is compared to other accounts of religion. © 2010 by the Society for Personality and Social Psychology, Inc.","author":[{"dropping-particle":"","family":"Vail","given":"Kenneth E.","non-dropping-particle":"","parse-names":false,"suffix":""},{"dropping-particle":"","family":"Rothschild","given":"Zachary K.","non-dropping-particle":"","parse-names":false,"suffix":""},{"dropping-particle":"","family":"Weise","given":"Dave R.","non-dropping-particle":"","parse-names":false,"suffix":""},{"dropping-particle":"","family":"Solomon","given":"Sheldon","non-dropping-particle":"","parse-names":false,"suffix":""},{"dropping-particle":"","family":"Pyszczynski","given":"Tom","non-dropping-particle":"","parse-names":false,"suffix":""},{"dropping-particle":"","family":"Greenberg","given":"Jeff","non-dropping-particle":"","parse-names":false,"suffix":""}],"container-title":"Personality and Social Psychology Review","id":"ITEM-4","issue":"1","issued":{"date-parts":[["2010"]]},"page":"84-94","title":"A terror management analysis of the psychological functions of religion","type":"article-journal","volume":"14"},"uris":["http://www.mendeley.com/documents/?uuid=75550c89-8ed2-4936-af7c-348258535e81"]}],"mendeley":{"formattedCitation":"(Bloom, 2005; Boyer, 2007; Kirkpatrick, 2005; Vail et al., 2010)","plainTextFormattedCitation":"(Bloom, 2005; Boyer, 2007; Kirkpatrick, 2005; Vail et al., 2010)","previouslyFormattedCitation":"(Bloom, 2005; Boyer, 2007; Kirkpatrick, 2005; Vail et al., 2010)"},"properties":{"noteIndex":0},"schema":"https://github.com/citation-style-language/schema/raw/master/csl-citation.json"}</w:instrText>
      </w:r>
      <w:r>
        <w:fldChar w:fldCharType="separate"/>
      </w:r>
      <w:r w:rsidRPr="00DA4420">
        <w:rPr>
          <w:noProof/>
        </w:rPr>
        <w:t>(Bloom, 2005; Boyer, 2007; Kirkpatrick, 2005; Vail et al., 2010)</w:t>
      </w:r>
      <w:r>
        <w:fldChar w:fldCharType="end"/>
      </w:r>
      <w:r>
        <w:t xml:space="preserve">. And yet another argument </w:t>
      </w:r>
      <w:r>
        <w:fldChar w:fldCharType="begin" w:fldLock="1"/>
      </w:r>
      <w:r>
        <w:instrText>ADDIN CSL_CITATION {"citationItems":[{"id":"ITEM-1","itemData":{"author":[{"dropping-particle":"","family":"Becker","given":"Ernest","non-dropping-particle":"","parse-names":false,"suffix":""}],"id":"ITEM-1","issued":{"date-parts":[["1973"]]},"publisher":"Simon and Schuster","title":"The denial of death","type":"book"},"uris":["http://www.mendeley.com/documents/?uuid=0724e450-45a0-4d8b-b38d-bc4dcb379969"]},{"id":"ITEM-2","itemData":{"author":[{"dropping-particle":"","family":"Burkert","given":"Walter","non-dropping-particle":"","parse-names":false,"suffix":""}],"id":"ITEM-2","issued":{"date-parts":[["1998"]]},"publisher":"Harvard University Press","title":"Creation of the sacred: Tracks of biology in early religions","type":"book"},"uris":["http://www.mendeley.com/documents/?uuid=7c405136-9dc2-480b-ac41-f5cf156b9635"]}],"mendeley":{"formattedCitation":"(Becker, 1973; Burkert, 1998)","plainTextFormattedCitation":"(Becker, 1973; Burkert, 1998)","previouslyFormattedCitation":"(Becker, 1973; Burkert, 1998)"},"properties":{"noteIndex":0},"schema":"https://github.com/citation-style-language/schema/raw/master/csl-citation.json"}</w:instrText>
      </w:r>
      <w:r>
        <w:fldChar w:fldCharType="separate"/>
      </w:r>
      <w:r w:rsidRPr="00DA4420">
        <w:rPr>
          <w:noProof/>
        </w:rPr>
        <w:t>(Becker, 1973; Burkert, 1998)</w:t>
      </w:r>
      <w:r>
        <w:fldChar w:fldCharType="end"/>
      </w:r>
      <w:r>
        <w:t xml:space="preserve"> is that religion serves as a way to </w:t>
      </w:r>
      <w:r w:rsidRPr="00875114">
        <w:t xml:space="preserve">address </w:t>
      </w:r>
      <w:r w:rsidR="00357636">
        <w:t xml:space="preserve">the </w:t>
      </w:r>
      <w:r w:rsidRPr="00875114">
        <w:t xml:space="preserve">existential concerns that arise </w:t>
      </w:r>
      <w:r w:rsidR="00357636">
        <w:t>from</w:t>
      </w:r>
      <w:r>
        <w:t xml:space="preserve"> </w:t>
      </w:r>
      <w:r w:rsidR="00357636">
        <w:t>our</w:t>
      </w:r>
      <w:r w:rsidRPr="00875114">
        <w:t xml:space="preserve"> awareness of </w:t>
      </w:r>
      <w:r w:rsidR="00357636">
        <w:t xml:space="preserve">our </w:t>
      </w:r>
      <w:r w:rsidRPr="00875114">
        <w:t>mortality</w:t>
      </w:r>
      <w:r>
        <w:t xml:space="preserve"> </w:t>
      </w:r>
      <w:r>
        <w:fldChar w:fldCharType="begin" w:fldLock="1"/>
      </w:r>
      <w:r>
        <w:instrText>ADDIN CSL_CITATION {"citationItems":[{"id":"ITEM-1","itemData":{"DOI":"10.1177/1088868309351165","ISSN":"10888683","PMID":"19940284","abstract":"From a terror management theory (TMT) perspective, religion serves to manage the potential terror engendered by the uniquely human awareness of death by affording a sense of psychological security and hope of immortality. Although secular beliefs can also serve a terror management function, religious beliefs are particularly well suited to mitigate death anxiety because they are all encompassing, rely on concepts that are not easily disconfirmed, and promise literal immortality. Research is reviewed demonstrating that mortality salience produces increased belief in afterlife, supernatural agency, human ascension from nature, and spiritual distinctions between mind and body. The social costs and benefits of religious beliefs are considered and compared to those of secular worldviews. The terror management functions of, and benefits and costs associated with, different types of religious orientation, such as intrinsic religiosity, quest, and religious fundamentalism, are then examined. Finally, the TMT analysis is compared to other accounts of religion. © 2010 by the Society for Personality and Social Psychology, Inc.","author":[{"dropping-particle":"","family":"Vail","given":"Kenneth E.","non-dropping-particle":"","parse-names":false,"suffix":""},{"dropping-particle":"","family":"Rothschild","given":"Zachary K.","non-dropping-particle":"","parse-names":false,"suffix":""},{"dropping-particle":"","family":"Weise","given":"Dave R.","non-dropping-particle":"","parse-names":false,"suffix":""},{"dropping-particle":"","family":"Solomon","given":"Sheldon","non-dropping-particle":"","parse-names":false,"suffix":""},{"dropping-particle":"","family":"Pyszczynski","given":"Tom","non-dropping-particle":"","parse-names":false,"suffix":""},{"dropping-particle":"","family":"Greenberg","given":"Jeff","non-dropping-particle":"","parse-names":false,"suffix":""}],"container-title":"Personality and Social Psychology Review","id":"ITEM-1","issue":"1","issued":{"date-parts":[["2010"]]},"page":"84-94","title":"A terror management analysis of the psychological functions of religion","type":"article-journal","volume":"14"},"uris":["http://www.mendeley.com/documents/?uuid=75550c89-8ed2-4936-af7c-348258535e81"]}],"mendeley":{"formattedCitation":"(Vail et al., 2010)","manualFormatting":"(Vail et al., 2010, p. 84)","plainTextFormattedCitation":"(Vail et al., 2010)","previouslyFormattedCitation":"(Vail et al., 2010)"},"properties":{"noteIndex":0},"schema":"https://github.com/citation-style-language/schema/raw/master/csl-citation.json"}</w:instrText>
      </w:r>
      <w:r>
        <w:fldChar w:fldCharType="separate"/>
      </w:r>
      <w:r w:rsidRPr="005A4434">
        <w:rPr>
          <w:noProof/>
        </w:rPr>
        <w:t>(Vail et al., 2010)</w:t>
      </w:r>
      <w:r>
        <w:fldChar w:fldCharType="end"/>
      </w:r>
      <w:r>
        <w:t xml:space="preserve">. This way of conceptualizing religion fits within the TMT framework. Once we become aware of our own mortality and experience the overwhelming existential terror that results, we strive toward immortality as a way to elevate our existence and feel more secure in the world – or as Jonas and Fischer </w:t>
      </w:r>
      <w:r>
        <w:fldChar w:fldCharType="begin" w:fldLock="1"/>
      </w:r>
      <w:r>
        <w:instrText>ADDIN CSL_CITATION {"citationItems":[{"id":"ITEM-1","itemData":{"DOI":"10.1037/0022-3514.91.3.553","ISSN":"00223514","PMID":"16938037","abstract":"Terror management theory suggests that people cope with awareness of death by investing in some kind of literal or symbolic immortality. Given the centrality of death transcendence beliefs in most religions, the authors hypothesized that religious beliefs play a protective role in managing terror of death. The authors report three studies suggesting that affirming intrinsic religiousness reduces both death-thought accessibility following mortality salience and the use of terror management defenses with regard to a secular belief system. Study 1 showed that after a naturally occurring reminder of mortality, people who scored high on intrinsic religiousness did not react with worldview defense, whereas people low on intrinsic religiousness did. Study 2 specified that intrinsic religious belief mitigated worldview defense only if participants had the opportunity to affirm their religious beliefs. Study 3 illustrated that affirmation of religious belief decreased death-thought accessibility following mortality salience only for those participants who scored high on the intrinsic religiousness scale. Taken as a whole, these results suggest that only those people who are intrinsically vested in their religion derive terror management benefits from religious beliefs. Copyright 2006 by the American Psychological Association.","author":[{"dropping-particle":"","family":"Jonas","given":"Eva","non-dropping-particle":"","parse-names":false,"suffix":""},{"dropping-particle":"","family":"Fischer","given":"Peter","non-dropping-particle":"","parse-names":false,"suffix":""}],"container-title":"Journal of Personality and Social Psychology","id":"ITEM-1","issue":"3","issued":{"date-parts":[["2006"]]},"page":"553-567","title":"Terror management and religion: Evidence that intrinsic religiousness mitigates worldview defense following mortality salience","type":"article-journal","volume":"91"},"uris":["http://www.mendeley.com/documents/?uuid=0b204e9a-ef52-403e-bcaa-873c36412ad2"]}],"mendeley":{"formattedCitation":"(Jonas &amp; Fischer, 2006)","manualFormatting":"(2006, p. 554)","plainTextFormattedCitation":"(Jonas &amp; Fischer, 2006)","previouslyFormattedCitation":"(Jonas &amp; Fischer, 2006)"},"properties":{"noteIndex":0},"schema":"https://github.com/citation-style-language/schema/raw/master/csl-citation.json"}</w:instrText>
      </w:r>
      <w:r>
        <w:fldChar w:fldCharType="separate"/>
      </w:r>
      <w:r w:rsidRPr="00602DF2">
        <w:rPr>
          <w:noProof/>
        </w:rPr>
        <w:t>(2006</w:t>
      </w:r>
      <w:r>
        <w:rPr>
          <w:noProof/>
        </w:rPr>
        <w:t>, p. 554</w:t>
      </w:r>
      <w:r w:rsidRPr="00602DF2">
        <w:rPr>
          <w:noProof/>
        </w:rPr>
        <w:t>)</w:t>
      </w:r>
      <w:r>
        <w:fldChar w:fldCharType="end"/>
      </w:r>
      <w:r>
        <w:t xml:space="preserve"> put it, “[religion] </w:t>
      </w:r>
      <w:r w:rsidRPr="002E7091">
        <w:t>serves as a meaningful system in which human life and human activities can be embedded, in which people can feel significant and be secure in the knowledge that they will live on in some form after physical death.”</w:t>
      </w:r>
    </w:p>
    <w:p w14:paraId="4054CD44" w14:textId="2AB5FAF7" w:rsidR="00197E3A" w:rsidRDefault="00197E3A" w:rsidP="00197E3A">
      <w:pPr>
        <w:spacing w:line="480" w:lineRule="auto"/>
      </w:pPr>
      <w:r>
        <w:tab/>
        <w:t xml:space="preserve">The idea that religion serves some sort of existential purpose </w:t>
      </w:r>
      <w:r w:rsidR="00B6533B">
        <w:t xml:space="preserve">also </w:t>
      </w:r>
      <w:r>
        <w:t xml:space="preserve">has empirical support. Studies have found that those who believe in some concept of the afterlife become more confident in the existence of afterlife following death reminders </w:t>
      </w:r>
      <w:r>
        <w:fldChar w:fldCharType="begin" w:fldLock="1"/>
      </w:r>
      <w:r>
        <w:instrText>ADDIN CSL_CITATION {"citationItems":[{"id":"ITEM-1","itemData":{"DOI":"10.1037/h0034769","ISSN":"00223514","PMID":"4723973","abstract":"60 undergraduates scoring high or low on a belief-in-afterlife (BA) scale were exposed to a death threat, shock threat, or control treatment. Only the high believers exposed to death threat showed an increase in score on an alternate BA scale; the scores of the other 5 groups remained unchanged. Results could not be attributed to anxiety alone, since self-ratings on anxiety did not differ between the death threat and the shock threat groups, although they were higher for these groups than for the control groups. Results are interpreted as confirming the hypothesis that strong BA may moderate death anxiety. (PsycINFO Database Record (c) 2006 APA, all rights reserved). © 1973 American Psychological Association.","author":[{"dropping-particle":"","family":"Osarchuk","given":"Michael","non-dropping-particle":"","parse-names":false,"suffix":""},{"dropping-particle":"","family":"Tatz","given":"Sherman J.","non-dropping-particle":"","parse-names":false,"suffix":""}],"container-title":"Journal of Personality and Social Psychology","id":"ITEM-1","issue":"2","issued":{"date-parts":[["1973"]]},"page":"256-260","title":"Effect of induced fear of death on belief in afterlife","type":"article-journal","volume":"27"},"uris":["http://www.mendeley.com/documents/?uuid=5383fc41-da62-47d4-803b-f430633bba14"]},{"id":"ITEM-2","itemData":{"author":[{"dropping-particle":"","family":"Schoenrade","given":"Patricia A","non-dropping-particle":"","parse-names":false,"suffix":""}],"container-title":"Personality and Social Psychology Bulletin","id":"ITEM-2","issue":"1","issued":{"date-parts":[["1989"]]},"page":"91-100","publisher":"Sage Publications Sage CA: Thousand Oaks, CA","title":"When I die... Belief in afterlife as a response to mortality","type":"article-journal","volume":"15"},"uris":["http://www.mendeley.com/documents/?uuid=1eae8d01-2c45-40c5-ae4b-3840718d8b91"]}],"mendeley":{"formattedCitation":"(Osarchuk &amp; Tatz, 1973; Schoenrade, 1989)","plainTextFormattedCitation":"(Osarchuk &amp; Tatz, 1973; Schoenrade, 1989)","previouslyFormattedCitation":"(Osarchuk &amp; Tatz, 1973; Schoenrade, 1989)"},"properties":{"noteIndex":0},"schema":"https://github.com/citation-style-language/schema/raw/master/csl-citation.json"}</w:instrText>
      </w:r>
      <w:r>
        <w:fldChar w:fldCharType="separate"/>
      </w:r>
      <w:r w:rsidRPr="00685492">
        <w:rPr>
          <w:noProof/>
        </w:rPr>
        <w:t>(Osarchuk &amp; Tatz, 1973; Schoenrade, 1989)</w:t>
      </w:r>
      <w:r>
        <w:fldChar w:fldCharType="end"/>
      </w:r>
      <w:r>
        <w:t xml:space="preserve">. Additionally, as was referenced earlier, MS increases self-reported anxiety when individuals are asked to use a religious symbol in a way they perceive as disrespectful </w:t>
      </w:r>
      <w:r>
        <w:lastRenderedPageBreak/>
        <w:fldChar w:fldCharType="begin" w:fldLock="1"/>
      </w:r>
      <w:r>
        <w:instrText>ADDIN CSL_CITATION {"citationItems":[{"id":"ITEM-1","itemData":{"ISBN":"0893-3200","ISSN":"1059-6011","PMID":"803973233","author":[{"dropping-particle":"","family":"Greenberg","given":"Jeff","non-dropping-particle":"","parse-names":false,"suffix":""},{"dropping-particle":"","family":"Porteus","given":"Jonathan","non-dropping-particle":"","parse-names":false,"suffix":""},{"dropping-particle":"","family":"Simon","given":"Linda","non-dropping-particle":"","parse-names":false,"suffix":""},{"dropping-particle":"","family":"Pyszczynski","given":"Tom","non-dropping-particle":"","parse-names":false,"suffix":""},{"dropping-particle":"","family":"Solomon","given":"Sheldon","non-dropping-particle":"","parse-names":false,"suffix":""}],"container-title":"Personality and Social Psychology Bulletin","id":"ITEM-1","issue":"11","issued":{"date-parts":[["1995"]]},"page":"1221-1228","title":"Evidence of a terror management function of cultural icons: The effects of mortality salience on the inappropriate use of cherished cultural symbols","type":"article-journal","volume":"21"},"uris":["http://www.mendeley.com/documents/?uuid=3d0afe2e-8cfb-4b52-ae74-8ef3f6dda887"]},{"id":"ITEM-2","itemData":{"author":[{"dropping-particle":"","family":"Solomon","given":"S.","non-dropping-particle":"","parse-names":false,"suffix":""},{"dropping-particle":"","family":"Greenberg","given":"J.","non-dropping-particle":"","parse-names":false,"suffix":""},{"dropping-particle":"","family":"Pyszczynski","given":"T. A.","non-dropping-particle":"","parse-names":false,"suffix":""}],"id":"ITEM-2","issued":{"date-parts":[["2015"]]},"title":"The worm at the core: On the role of death in life","type":"book"},"uris":["http://www.mendeley.com/documents/?uuid=9c582b6d-05de-42c6-94aa-663fb4265683"]}],"mendeley":{"formattedCitation":"(Greenberg et al., 1995; Solomon et al., 2015)","plainTextFormattedCitation":"(Greenberg et al., 1995; Solomon et al., 2015)","previouslyFormattedCitation":"(Greenberg et al., 1995; Solomon et al., 2015)"},"properties":{"noteIndex":0},"schema":"https://github.com/citation-style-language/schema/raw/master/csl-citation.json"}</w:instrText>
      </w:r>
      <w:r>
        <w:fldChar w:fldCharType="separate"/>
      </w:r>
      <w:r w:rsidRPr="00DA4420">
        <w:rPr>
          <w:noProof/>
        </w:rPr>
        <w:t>(Greenberg et al., 1995; Solomon et al., 2015)</w:t>
      </w:r>
      <w:r>
        <w:fldChar w:fldCharType="end"/>
      </w:r>
      <w:r>
        <w:t xml:space="preserve">. </w:t>
      </w:r>
      <w:proofErr w:type="spellStart"/>
      <w:r>
        <w:t>Dechesne</w:t>
      </w:r>
      <w:proofErr w:type="spellEnd"/>
      <w:r>
        <w:t xml:space="preserve"> and colleagues </w:t>
      </w:r>
      <w:r>
        <w:fldChar w:fldCharType="begin" w:fldLock="1"/>
      </w:r>
      <w:r>
        <w:instrText>ADDIN CSL_CITATION {"citationItems":[{"id":"ITEM-1","itemData":{"DOI":"10.1037/0022-3514.84.4.722","ISSN":"00223514","PMID":"12703645","abstract":"Three studies investigated the effect of encouraging participants to believe in an afterlife on the relationship between mortality salience and self-esteem striving. Participants were exposed to essays arguing either in favor of or against the existence of an afterlife, and reminded about death or a control topic. Mortality salience led to increased accuracy ratings of a positive personality description (Studies 1 and 2) and increased striving for and defense of values (Study 3) among participants who read the essay arguing against an afterlife, but not among participants who read the essay in favor of it. The implications for the terror management analysis of self-esteem, the appeal of immortality beliefs, and the interplay between self-esteem striving and spiritual pursuits are discussed.","author":[{"dropping-particle":"","family":"Dechesne","given":"Mark","non-dropping-particle":"","parse-names":false,"suffix":""},{"dropping-particle":"","family":"Pyszczynski","given":"Tom","non-dropping-particle":"","parse-names":false,"suffix":""},{"dropping-particle":"","family":"Arndt","given":"Jamie","non-dropping-particle":"","parse-names":false,"suffix":""},{"dropping-particle":"","family":"Ransom","given":"Sean","non-dropping-particle":"","parse-names":false,"suffix":""},{"dropping-particle":"","family":"Sheldon","given":"Kennon M.","non-dropping-particle":"","parse-names":false,"suffix":""},{"dropping-particle":"","family":"Knippenberg","given":"Ad","non-dropping-particle":"Van","parse-names":false,"suffix":""},{"dropping-particle":"","family":"Janssen","given":"Jacques","non-dropping-particle":"","parse-names":false,"suffix":""}],"container-title":"Journal of Personality and Social Psychology","id":"ITEM-1","issue":"4","issued":{"date-parts":[["2003"]]},"page":"722-737","title":"Literal and Symbolic Immortality: The Effect of Evidence of Literal Immortality on Self-Esteem Striving in Response to Mortality Salience","type":"article","volume":"84"},"uris":["http://www.mendeley.com/documents/?uuid=c125aea9-bda9-4dc9-9690-c0dda2c85564"]}],"mendeley":{"formattedCitation":"(Dechesne et al., 2003)","manualFormatting":"(2003)","plainTextFormattedCitation":"(Dechesne et al., 2003)","previouslyFormattedCitation":"(Dechesne et al., 2003)"},"properties":{"noteIndex":0},"schema":"https://github.com/citation-style-language/schema/raw/master/csl-citation.json"}</w:instrText>
      </w:r>
      <w:r>
        <w:fldChar w:fldCharType="separate"/>
      </w:r>
      <w:r w:rsidRPr="00685492">
        <w:rPr>
          <w:noProof/>
        </w:rPr>
        <w:t>(2003)</w:t>
      </w:r>
      <w:r>
        <w:fldChar w:fldCharType="end"/>
      </w:r>
      <w:r>
        <w:t xml:space="preserve"> found that ostensible scientific evidence of </w:t>
      </w:r>
      <w:r w:rsidR="00932501">
        <w:t xml:space="preserve">an </w:t>
      </w:r>
      <w:r>
        <w:t>afterlife decreased the need to bolster self-esteem following reminders of death (even in non-believers), suggesting that the strengthening of belief in literal immortality allows one to feel less threatened after being exposed to death reminders.</w:t>
      </w:r>
    </w:p>
    <w:p w14:paraId="10538532" w14:textId="77777777" w:rsidR="00197E3A" w:rsidRDefault="00197E3A" w:rsidP="00197E3A">
      <w:pPr>
        <w:spacing w:line="480" w:lineRule="auto"/>
        <w:rPr>
          <w:b/>
          <w:bCs/>
        </w:rPr>
      </w:pPr>
      <w:r>
        <w:rPr>
          <w:b/>
          <w:bCs/>
        </w:rPr>
        <w:t xml:space="preserve">Religious Orientation and Terror Management Theory </w:t>
      </w:r>
    </w:p>
    <w:p w14:paraId="6F297A52" w14:textId="37929880" w:rsidR="00197E3A" w:rsidRDefault="00197E3A" w:rsidP="00197E3A">
      <w:pPr>
        <w:spacing w:line="480" w:lineRule="auto"/>
      </w:pPr>
      <w:r>
        <w:rPr>
          <w:b/>
          <w:bCs/>
        </w:rPr>
        <w:tab/>
      </w:r>
      <w:r>
        <w:t xml:space="preserve">Allport and Ross </w:t>
      </w:r>
      <w:r>
        <w:fldChar w:fldCharType="begin" w:fldLock="1"/>
      </w:r>
      <w:r>
        <w:instrText>ADDIN CSL_CITATION {"citationItems":[{"id":"ITEM-1","itemData":{"DOI":"10.1037/h0021212","ISSN":"00223514","PMID":"6051769","abstract":"journal abstract: 3 generalizations seem well established concerning the relationship between subjective religion and ethnic prejudice: (a) On the average churchgoers are more prejudiced than nonchurchgoers; (b) the relationship is curvilinear; (c) people with an extrinsic religious orientation are significantly more prejudiced than people with an intrinsic religious orientation. With the aid of a scale to measure extrinsic and intrinsic orientation this research confirmed previous findings and added a 4th: people who are indiscriminately proreligious are the most prejudiced of all. The interpretations offered are in terms of cognitive style. (PsycINFO Database Record (c) 2006 APA, all rights reserved). © 1967 American Psychological Association.","author":[{"dropping-particle":"","family":"Allport","given":"Gordon W.","non-dropping-particle":"","parse-names":false,"suffix":""},{"dropping-particle":"","family":"Ross","given":"J. Michael","non-dropping-particle":"","parse-names":false,"suffix":""}],"container-title":"Journal of Personality and Social Psychology","id":"ITEM-1","issue":"4","issued":{"date-parts":[["1967"]]},"page":"432-443","title":"Personal religious orientation and prejudice","type":"article-journal","volume":"5"},"uris":["http://www.mendeley.com/documents/?uuid=85ab6e39-98c7-486c-b0e8-075c6ae346aa"]}],"mendeley":{"formattedCitation":"(Allport &amp; Ross, 1967)","manualFormatting":"(1967)","plainTextFormattedCitation":"(Allport &amp; Ross, 1967)","previouslyFormattedCitation":"(Allport &amp; Ross, 1967)"},"properties":{"noteIndex":0},"schema":"https://github.com/citation-style-language/schema/raw/master/csl-citation.json"}</w:instrText>
      </w:r>
      <w:r>
        <w:fldChar w:fldCharType="separate"/>
      </w:r>
      <w:r w:rsidRPr="00685492">
        <w:rPr>
          <w:noProof/>
        </w:rPr>
        <w:t>(1967)</w:t>
      </w:r>
      <w:r>
        <w:fldChar w:fldCharType="end"/>
      </w:r>
      <w:r>
        <w:t xml:space="preserve"> credit William James with first describing two fundamental types of religious belief: extrinsic and intrinsic. Jonas and Fischer (2006) define the former</w:t>
      </w:r>
      <w:r w:rsidR="00423014">
        <w:t xml:space="preserve"> as a utilitarian approach to religion, wherein believers use religion to achieve particular ends. In particular, those with an extrinsic religious view seek safety, improved social standing, and moral justification for their actions </w:t>
      </w:r>
      <w:r w:rsidRPr="002E7091">
        <w:t xml:space="preserve"> </w:t>
      </w:r>
      <w:r w:rsidRPr="002E7091">
        <w:fldChar w:fldCharType="begin" w:fldLock="1"/>
      </w:r>
      <w:r w:rsidRPr="002E7091">
        <w:instrText>ADDIN CSL_CITATION {"citationItems":[{"id":"ITEM-1","itemData":{"DOI":"10.1037/0022-3514.91.3.553","ISSN":"00223514","PMID":"16938037","abstract":"Terror management theory suggests that people cope with awareness of death by investing in some kind of literal or symbolic immortality. Given the centrality of death transcendence beliefs in most religions, the authors hypothesized that religious beliefs play a protective role in managing terror of death. The authors report three studies suggesting that affirming intrinsic religiousness reduces both death-thought accessibility following mortality salience and the use of terror management defenses with regard to a secular belief system. Study 1 showed that after a naturally occurring reminder of mortality, people who scored high on intrinsic religiousness did not react with worldview defense, whereas people low on intrinsic religiousness did. Study 2 specified that intrinsic religious belief mitigated worldview defense only if participants had the opportunity to affirm their religious beliefs. Study 3 illustrated that affirmation of religious belief decreased death-thought accessibility following mortality salience only for those participants who scored high on the intrinsic religiousness scale. Taken as a whole, these results suggest that only those people who are intrinsically vested in their religion derive terror management benefits from religious beliefs. Copyright 2006 by the American Psychological Association.","author":[{"dropping-particle":"","family":"Jonas","given":"Eva","non-dropping-particle":"","parse-names":false,"suffix":""},{"dropping-particle":"","family":"Fischer","given":"Peter","non-dropping-particle":"","parse-names":false,"suffix":""}],"container-title":"Journal of Personality and Social Psychology","id":"ITEM-1","issue":"3","issued":{"date-parts":[["2006"]]},"page":"553-567","title":"Terror management and religion: Evidence that intrinsic religiousness mitigates worldview defense following mortality salience","type":"article-journal","volume":"91"},"uris":["http://www.mendeley.com/documents/?uuid=0b204e9a-ef52-403e-bcaa-873c36412ad2"]},{"id":"ITEM-2","itemData":{"author":[{"dropping-particle":"","family":"Allport","given":"Gordon W","non-dropping-particle":"","parse-names":false,"suffix":""}],"container-title":"Journal for the scientific study of religion","id":"ITEM-2","issue":"3","issued":{"date-parts":[["1966"]]},"page":"447-457","publisher":"JSTOR","title":"The religious context of prejudice","type":"article-journal","volume":"5"},"uris":["http://www.mendeley.com/documents/?uuid=87a1d506-7e9a-4bd5-abdd-8ead4306fbbc"]}],"mendeley":{"formattedCitation":"(Allport, 1966; Jonas &amp; Fischer, 2006)","plainTextFormattedCitation":"(Allport, 1966; Jonas &amp; Fischer, 2006)","previouslyFormattedCitation":"(Allport, 1966; Jonas &amp; Fischer, 2006)"},"properties":{"noteIndex":0},"schema":"https://github.com/citation-style-language/schema/raw/master/csl-citation.json"}</w:instrText>
      </w:r>
      <w:r w:rsidRPr="002E7091">
        <w:fldChar w:fldCharType="separate"/>
      </w:r>
      <w:r w:rsidRPr="002E7091">
        <w:rPr>
          <w:noProof/>
        </w:rPr>
        <w:t>(Allport, 1966; Jonas &amp; Fischer, 2006)</w:t>
      </w:r>
      <w:r w:rsidRPr="002E7091">
        <w:fldChar w:fldCharType="end"/>
      </w:r>
      <w:r w:rsidRPr="002E7091">
        <w:t xml:space="preserve">. They contrast this with intrinsic religious orientation, </w:t>
      </w:r>
      <w:r w:rsidR="00423014">
        <w:t xml:space="preserve">wherein a mature and honest embrace of religion tied to internalized beliefs guide actions. For these people, religion is a prime motivator of behavior and religious beliefs provide them with both motivation and direction </w:t>
      </w:r>
      <w:r w:rsidRPr="002E7091">
        <w:fldChar w:fldCharType="begin" w:fldLock="1"/>
      </w:r>
      <w:r w:rsidRPr="002E7091">
        <w:instrText>ADDIN CSL_CITATION {"citationItems":[{"id":"ITEM-1","itemData":{"DOI":"10.1037/0022-3514.91.3.553","ISSN":"00223514","PMID":"16938037","abstract":"Terror management theory suggests that people cope with awareness of death by investing in some kind of literal or symbolic immortality. Given the centrality of death transcendence beliefs in most religions, the authors hypothesized that religious beliefs play a protective role in managing terror of death. The authors report three studies suggesting that affirming intrinsic religiousness reduces both death-thought accessibility following mortality salience and the use of terror management defenses with regard to a secular belief system. Study 1 showed that after a naturally occurring reminder of mortality, people who scored high on intrinsic religiousness did not react with worldview defense, whereas people low on intrinsic religiousness did. Study 2 specified that intrinsic religious belief mitigated worldview defense only if participants had the opportunity to affirm their religious beliefs. Study 3 illustrated that affirmation of religious belief decreased death-thought accessibility following mortality salience only for those participants who scored high on the intrinsic religiousness scale. Taken as a whole, these results suggest that only those people who are intrinsically vested in their religion derive terror management benefits from religious beliefs. Copyright 2006 by the American Psychological Association.","author":[{"dropping-particle":"","family":"Jonas","given":"Eva","non-dropping-particle":"","parse-names":false,"suffix":""},{"dropping-particle":"","family":"Fischer","given":"Peter","non-dropping-particle":"","parse-names":false,"suffix":""}],"container-title":"Journal of Personality and Social Psychology","id":"ITEM-1","issue":"3","issued":{"date-parts":[["2006"]]},"page":"553-567","title":"Terror management and religion: Evidence that intrinsic religiousness mitigates worldview defense following mortality salience","type":"article-journal","volume":"91"},"uris":["http://www.mendeley.com/documents/?uuid=0b204e9a-ef52-403e-bcaa-873c36412ad2"]}],"mendeley":{"formattedCitation":"(Jonas &amp; Fischer, 2006)","manualFormatting":"(Jonas &amp; Fischer, 2006, p. 555)","plainTextFormattedCitation":"(Jonas &amp; Fischer, 2006)","previouslyFormattedCitation":"(Jonas &amp; Fischer, 2006)"},"properties":{"noteIndex":0},"schema":"https://github.com/citation-style-language/schema/raw/master/csl-citation.json"}</w:instrText>
      </w:r>
      <w:r w:rsidRPr="002E7091">
        <w:fldChar w:fldCharType="separate"/>
      </w:r>
      <w:r w:rsidRPr="002E7091">
        <w:rPr>
          <w:noProof/>
        </w:rPr>
        <w:t>(Jonas &amp; Fischer, 2006)</w:t>
      </w:r>
      <w:r w:rsidRPr="002E7091">
        <w:fldChar w:fldCharType="end"/>
      </w:r>
      <w:r w:rsidRPr="002E7091">
        <w:t>.</w:t>
      </w:r>
      <w:r>
        <w:t xml:space="preserve"> Those with an ex</w:t>
      </w:r>
      <w:r w:rsidRPr="002E7091">
        <w:t>trinsic religious orientation</w:t>
      </w:r>
      <w:r>
        <w:t xml:space="preserve"> are those who show up at church on Sunday because it would be a social faux pas to do otherwise, while those who are intrinsically-oriented tend to have beliefs that are deeply held without regard for how they are perceived by others.</w:t>
      </w:r>
    </w:p>
    <w:p w14:paraId="25468D9B" w14:textId="6005EC47" w:rsidR="00197E3A" w:rsidRDefault="00197E3A" w:rsidP="00197E3A">
      <w:pPr>
        <w:spacing w:line="480" w:lineRule="auto"/>
        <w:ind w:firstLine="720"/>
      </w:pPr>
      <w:r w:rsidRPr="00A614BB">
        <w:t xml:space="preserve">Indeed, multiple studies have found positive correlations between intrinsic religiousness and mental health outcomes – things like sense of well-being, self-control, and self-regulation – and negative correlations for the same outcomes and extrinsic religious orientation </w:t>
      </w:r>
      <w:r w:rsidRPr="00A614BB">
        <w:fldChar w:fldCharType="begin" w:fldLock="1"/>
      </w:r>
      <w:r w:rsidRPr="00A614BB">
        <w:instrText>ADDIN CSL_CITATION {"citationItems":[{"id":"ITEM-1","itemData":{"DOI":"10.1037/0022-3514.91.3.553","ISSN":"00223514","PMID":"16938037","abstract":"Terror management theory suggests that people cope with awareness of death by investing in some kind of literal or symbolic immortality. Given the centrality of death transcendence beliefs in most religions, the authors hypothesized that religious beliefs play a protective role in managing terror of death. The authors report three studies suggesting that affirming intrinsic religiousness reduces both death-thought accessibility following mortality salience and the use of terror management defenses with regard to a secular belief system. Study 1 showed that after a naturally occurring reminder of mortality, people who scored high on intrinsic religiousness did not react with worldview defense, whereas people low on intrinsic religiousness did. Study 2 specified that intrinsic religious belief mitigated worldview defense only if participants had the opportunity to affirm their religious beliefs. Study 3 illustrated that affirmation of religious belief decreased death-thought accessibility following mortality salience only for those participants who scored high on the intrinsic religiousness scale. Taken as a whole, these results suggest that only those people who are intrinsically vested in their religion derive terror management benefits from religious beliefs. Copyright 2006 by the American Psychological Association.","author":[{"dropping-particle":"","family":"Jonas","given":"Eva","non-dropping-particle":"","parse-names":false,"suffix":""},{"dropping-particle":"","family":"Fischer","given":"Peter","non-dropping-particle":"","parse-names":false,"suffix":""}],"container-title":"Journal of Personality and Social Psychology","id":"ITEM-1","issue":"3","issued":{"date-parts":[["2006"]]},"page":"553-567","title":"Terror management and religion: Evidence that intrinsic religiousness mitigates worldview defense following mortality salience","type":"article-journal","volume":"91"},"uris":["http://www.mendeley.com/documents/?uuid=0b204e9a-ef52-403e-bcaa-873c36412ad2"]},{"id":"ITEM-2","itemData":{"DOI":"10.1037/0022-0167.34.2.197","ISSN":"00220167","abstract":"Despite the existence of strong viewpoints, the relation between religiousness and mental health is not yet clearly understood. The Religious Orientation Scale has provided researchers with a valuable tool for differentiating between intrinsic (I) and extrinsic (E) religious orientations, thereby clarifying some of the confusion in this area. In the present study we assessed correlations between these two scales and anxiety, personality traits, self-control, irrational beliefs, and depression. Results generally indicated that I is negatively correlated with anxiety and positively correlated with self-control and \"better\" personality functioning, whereas the opposite is true of E. Correlations were generally not found with irrational beliefs or depression. By dividing subjects into a fourfold typology, we discovered that 98.6% of the present sample of religious students were \"intrinsics.\" When their personality scores were compared with those of other normal populations, trends slightly favoring this intrinsic sample were observed. Thus, these results indicated that I is related to \"normality\" and that religiousness is not necessarily indicative of emotional disturbance. Some implications for counseling are suggested. © 1987 American Psychological Association.","author":[{"dropping-particle":"","family":"Bergin","given":"Allen E.","non-dropping-particle":"","parse-names":false,"suffix":""},{"dropping-particle":"","family":"Masters","given":"Kevin S.","non-dropping-particle":"","parse-names":false,"suffix":""},{"dropping-particle":"","family":"Richards","given":"P. Scott","non-dropping-particle":"","parse-names":false,"suffix":""}],"container-title":"Journal of Counseling Psychology","id":"ITEM-2","issue":"2","issued":{"date-parts":[["1987"]]},"page":"197-204","title":"Religiousness and Mental Health Reconsidered: A Study of an Intrinsically Religious Sample","type":"article-journal","volume":"34"},"uris":["http://www.mendeley.com/documents/?uuid=4cf148a5-fd61-4781-a044-4de3f347bcf0"]},{"id":"ITEM-3","itemData":{"DOI":"10.1016/S0191-8869(99)00108-7","ISSN":"01918869","abstract":"The role of cognitive, personality and social variables to explain the relationship between religious orientation and aspects of psychological well-being is often speculated at a theoretical level, but tends not to be explored empirically. The aim of the present study was to examine the relationship between religious orientation and depressive symptoms among cognitive, personality and social correlates of depression. A total of 360 (172 males, 188 females) English University students completed measures of depressive symptoms, religious orientation, anxiety, neuroticism, coping style, attribution style and self-esteem. Among men and women, depressive symptoms are significantly associated with higher scores on the measures of extrinsic-social and extrinsic personal religious orientation, neuroticism, attribution style, wish and avoidance coping; and lower scores on the measures of intrinsic religious orientation, optimism, self-esteem and problem-focussed and support seeking coping. A multiple regression shows that, among men, all three religious orientations, and among women, two of the three religious orientations (intrinsic, extrinsic-social), represent separate dimensions that are important in accounting for unique variance in depression within the context of a number of cognitive, social and personality explanations of depression. © 1999 Elsevier Science Ltd. All rights reserved.","author":[{"dropping-particle":"","family":"Maltby","given":"John","non-dropping-particle":"","parse-names":false,"suffix":""},{"dropping-particle":"","family":"Day","given":"Liza","non-dropping-particle":"","parse-names":false,"suffix":""}],"container-title":"Personality and Individual Differences","id":"ITEM-3","issue":"2","issued":{"date-parts":[["2000"]]},"page":"383-393","title":"Depressive symptoms and religious orientation: Examining the relationship between religiosity and depression within the context of other correlates of depression","type":"article-journal","volume":"28"},"uris":["http://www.mendeley.com/documents/?uuid=cba939b9-9090-41d8-93a0-c13104bc6017"]}],"mendeley":{"formattedCitation":"(Bergin, Masters, &amp; Richards, 1987; Jonas &amp; Fischer, 2006; Maltby &amp; Day, 2000)","plainTextFormattedCitation":"(Bergin, Masters, &amp; Richards, 1987; Jonas &amp; Fischer, 2006; Maltby &amp; Day, 2000)","previouslyFormattedCitation":"(Bergin, Masters, &amp; Richards, 1987; Jonas &amp; Fischer, 2006; Maltby &amp; Day, 2000)"},"properties":{"noteIndex":0},"schema":"https://github.com/citation-style-language/schema/raw/master/csl-citation.json"}</w:instrText>
      </w:r>
      <w:r w:rsidRPr="00A614BB">
        <w:fldChar w:fldCharType="separate"/>
      </w:r>
      <w:r w:rsidRPr="00A614BB">
        <w:rPr>
          <w:noProof/>
        </w:rPr>
        <w:t>(Bergin, Masters, &amp; Richards, 1987; Jonas &amp; Fischer, 2006; Maltby &amp; Day, 2000)</w:t>
      </w:r>
      <w:r w:rsidRPr="00A614BB">
        <w:fldChar w:fldCharType="end"/>
      </w:r>
      <w:r w:rsidRPr="00A614BB">
        <w:t xml:space="preserve">. In a meta-analysis, </w:t>
      </w:r>
      <w:proofErr w:type="spellStart"/>
      <w:r w:rsidRPr="00A614BB">
        <w:t>Saroglou</w:t>
      </w:r>
      <w:proofErr w:type="spellEnd"/>
      <w:r w:rsidRPr="00A614BB">
        <w:t xml:space="preserve"> </w:t>
      </w:r>
      <w:r w:rsidR="00007A06">
        <w:fldChar w:fldCharType="begin" w:fldLock="1"/>
      </w:r>
      <w:r w:rsidR="009D2EF1">
        <w:instrText>ADDIN CSL_CITATION {"citationItems":[{"id":"ITEM-1","itemData":{"DOI":"10.1016/S0191-8869(00)00233-6","ISBN":"3210474834","ISSN":"01918869","abstract":"An impression based on a vote-counting method of reviewing studies on religion and personality is that religiosity is associated only with low Psychoticism (or high Agreeableness and Conscientiousness), while unrelated to the other Eysenck's or Big Five factors. This meta-analytic review of studies on religion and the Five Factor Model revealed that, in addition to Agreeableness and Conscientiousness, religiosity (today?) is related to Extraversion. Interestingly, while Openness is negatively related to religious fundamentalism (weighted mean r = -0.14, P &lt; 0.01) and, to some extent, intrinsic-general religiosity (r= -0.06, P &lt; 0.01), it is positively related to measures of open or mature religiosity and spirituality (r = 0.22, P &lt; 0.0001). The meta-analysis also indicated that extrinsic religiosity is followed by high Neuroticism, whereas open-mature religiosity and spirituality reflect Emotional Stability. Finally, overall, the effect sizes were small. © 2001 Elsevier Science Ltd. All rights reserved.","author":[{"dropping-particle":"","family":"Saroglou","given":"Vassilis","non-dropping-particle":"","parse-names":false,"suffix":""}],"container-title":"Personality and Individual Differences","id":"ITEM-1","issue":"1","issued":{"date-parts":[["2002"]]},"page":"15-25","title":"Religion and the five factors of personality: A meta-analytic review","type":"article-journal","volume":"32"},"uris":["http://www.mendeley.com/documents/?uuid=e14c2bb4-a8ef-4c72-aaa0-450fa061a269"]}],"mendeley":{"formattedCitation":"(Saroglou, 2002)","manualFormatting":"(2002)","plainTextFormattedCitation":"(Saroglou, 2002)","previouslyFormattedCitation":"(Saroglou, 2002)"},"properties":{"noteIndex":0},"schema":"https://github.com/citation-style-language/schema/raw/master/csl-citation.json"}</w:instrText>
      </w:r>
      <w:r w:rsidR="00007A06">
        <w:fldChar w:fldCharType="separate"/>
      </w:r>
      <w:r w:rsidR="00007A06" w:rsidRPr="00007A06">
        <w:rPr>
          <w:noProof/>
        </w:rPr>
        <w:t>(2002)</w:t>
      </w:r>
      <w:r w:rsidR="00007A06">
        <w:fldChar w:fldCharType="end"/>
      </w:r>
      <w:r w:rsidR="00523FD7">
        <w:t xml:space="preserve"> </w:t>
      </w:r>
      <w:r w:rsidRPr="00A614BB">
        <w:t>found that intrinsic religiosity was positively correlated with emotional stability while extrinsic religiousness was positively correlated with neuroticis</w:t>
      </w:r>
      <w:r w:rsidR="00523FD7">
        <w:t>m</w:t>
      </w:r>
      <w:r w:rsidRPr="00A614BB">
        <w:t xml:space="preserve">. Similarly, Maltby and </w:t>
      </w:r>
      <w:r w:rsidRPr="00A614BB">
        <w:lastRenderedPageBreak/>
        <w:t xml:space="preserve">Day </w:t>
      </w:r>
      <w:r w:rsidRPr="00A614BB">
        <w:fldChar w:fldCharType="begin" w:fldLock="1"/>
      </w:r>
      <w:r w:rsidRPr="00A614BB">
        <w:instrText>ADDIN CSL_CITATION {"citationItems":[{"id":"ITEM-1","itemData":{"DOI":"10.1016/S0191-8869(03)00215-0","ISSN":"01918869","abstract":"The adaptational-continuum model of personality and coping suggests a useful context for research areas that emphasise both personality and coping. The present paper used Ferguson's (2001) model integrating personality and coping factors to combine theories surrounding religious personality and religious mental health. 420 (206 males, 214 females) respondents completed measures of personality, coping style, religious orientation, religious coping, general health, stress, positive and negative affect and life satisfaction. Among respondents, a factor structure of the personality, coping, and religiosity scale was consistent with Ferguson's model; with extrinsic religiosity and negative religious coping loading on a neuroticism-coping factor (N-COPE), and intrinsic religiosity and positive religious coping loading on a low psychoticism-coping factor (P-COPE). The relationship of these two factors with mental health was consistent with predictions, with a N-COPE religious factor being associated with poorer mental health and a P-COPE religious factor associated with better mental health. This integration suggests a simplification of the literature, facilitating an increase in understanding by locating religious orientation and religious coping within two important factors, each with a specific theoretical context to understand the relationship between religiosity and mental health. © 2003 Elsevier Ltd. All rights reserved.","author":[{"dropping-particle":"","family":"Maltby","given":"John","non-dropping-particle":"","parse-names":false,"suffix":""},{"dropping-particle":"","family":"Day","given":"Liza","non-dropping-particle":"","parse-names":false,"suffix":""}],"container-title":"Personality and Individual Differences","id":"ITEM-1","issue":"6","issued":{"date-parts":[["2004"]]},"page":"1275-1290","title":"Should never the twain meet? Integrating models of religious personality and religious mental health","type":"article-journal","volume":"36"},"uris":["http://www.mendeley.com/documents/?uuid=e98ee0e7-435e-4d45-9684-27fafd64742c"]}],"mendeley":{"formattedCitation":"(Maltby &amp; Day, 2004)","manualFormatting":"(2004)","plainTextFormattedCitation":"(Maltby &amp; Day, 2004)","previouslyFormattedCitation":"(Maltby &amp; Day, 2004)"},"properties":{"noteIndex":0},"schema":"https://github.com/citation-style-language/schema/raw/master/csl-citation.json"}</w:instrText>
      </w:r>
      <w:r w:rsidRPr="00A614BB">
        <w:fldChar w:fldCharType="separate"/>
      </w:r>
      <w:r w:rsidRPr="00A614BB">
        <w:rPr>
          <w:noProof/>
        </w:rPr>
        <w:t>(2004)</w:t>
      </w:r>
      <w:r w:rsidRPr="00A614BB">
        <w:fldChar w:fldCharType="end"/>
      </w:r>
      <w:r w:rsidRPr="00A614BB">
        <w:t xml:space="preserve"> found that intrinsic religiousness was associated with having a secure, healthy relationship to God with positive mental health outcomes, whereas extrinsic religiousness showed an insecure relationship to God and was associated with neuroticism.</w:t>
      </w:r>
    </w:p>
    <w:p w14:paraId="1EB349DA" w14:textId="079E1162" w:rsidR="00197E3A" w:rsidRDefault="00197E3A" w:rsidP="00197E3A">
      <w:pPr>
        <w:spacing w:line="480" w:lineRule="auto"/>
      </w:pPr>
      <w:r>
        <w:tab/>
        <w:t xml:space="preserve">Jonas and Fisher (2006) examined mortality salience effects as a function of religious orientation. They conducted a series of studies in which they used a naturally occurring terrorist event (the attacks in Istanbul in November 2003) as a mortality reminder. In their first study, they found that those who scored high on intrinsic religiousness did not react with worldview defense after the terror attack, whereas those who scored low on intrinsic religiousness did. Additionally, those who scored highly on extrinsic religiousness gained no benefit with regard to worldview defense. In their second study, they attempted to replicate the findings of the first while controlling for whether or not individuals had the opportunity to affirm their religious beliefs prior to responding (all participants </w:t>
      </w:r>
      <w:r>
        <w:rPr>
          <w:i/>
          <w:iCs/>
        </w:rPr>
        <w:t>did</w:t>
      </w:r>
      <w:r>
        <w:t xml:space="preserve"> affirm their beliefs in the first study). They found that MS increases worldview defense in those who are low on intrinsic religiosity and for those who scored high on intrinsic religiosity but did</w:t>
      </w:r>
      <w:r w:rsidR="00BD05D2">
        <w:t xml:space="preserve"> not</w:t>
      </w:r>
      <w:r>
        <w:t xml:space="preserve"> affirm their beliefs prior. Conversely, those who were able to affirm their beliefs prior to responding did not respond with increased worldview defense following death reminders. Once again, no effect was found with extrinsic religiosity. In their third study, Jonas and Fisher </w:t>
      </w:r>
      <w:r w:rsidR="009D2EF1">
        <w:fldChar w:fldCharType="begin" w:fldLock="1"/>
      </w:r>
      <w:r w:rsidR="009D2EF1">
        <w:instrText>ADDIN CSL_CITATION {"citationItems":[{"id":"ITEM-1","itemData":{"DOI":"10.1037/0022-3514.91.3.553","ISSN":"00223514","PMID":"16938037","abstract":"Terror management theory suggests that people cope with awareness of death by investing in some kind of literal or symbolic immortality. Given the centrality of death transcendence beliefs in most religions, the authors hypothesized that religious beliefs play a protective role in managing terror of death. The authors report three studies suggesting that affirming intrinsic religiousness reduces both death-thought accessibility following mortality salience and the use of terror management defenses with regard to a secular belief system. Study 1 showed that after a naturally occurring reminder of mortality, people who scored high on intrinsic religiousness did not react with worldview defense, whereas people low on intrinsic religiousness did. Study 2 specified that intrinsic religious belief mitigated worldview defense only if participants had the opportunity to affirm their religious beliefs. Study 3 illustrated that affirmation of religious belief decreased death-thought accessibility following mortality salience only for those participants who scored high on the intrinsic religiousness scale. Taken as a whole, these results suggest that only those people who are intrinsically vested in their religion derive terror management benefits from religious beliefs. Copyright 2006 by the American Psychological Association.","author":[{"dropping-particle":"","family":"Jonas","given":"Eva","non-dropping-particle":"","parse-names":false,"suffix":""},{"dropping-particle":"","family":"Fischer","given":"Peter","non-dropping-particle":"","parse-names":false,"suffix":""}],"container-title":"Journal of Personality and Social Psychology","id":"ITEM-1","issue":"3","issued":{"date-parts":[["2006"]]},"page":"553-567","title":"Terror management and religion: Evidence that intrinsic religiousness mitigates worldview defense following mortality salience","type":"article-journal","volume":"91"},"uris":["http://www.mendeley.com/documents/?uuid=0b204e9a-ef52-403e-bcaa-873c36412ad2"]}],"mendeley":{"formattedCitation":"(Jonas &amp; Fischer, 2006)","manualFormatting":"(2006)","plainTextFormattedCitation":"(Jonas &amp; Fischer, 2006)"},"properties":{"noteIndex":0},"schema":"https://github.com/citation-style-language/schema/raw/master/csl-citation.json"}</w:instrText>
      </w:r>
      <w:r w:rsidR="009D2EF1">
        <w:fldChar w:fldCharType="separate"/>
      </w:r>
      <w:r w:rsidR="009D2EF1" w:rsidRPr="009D2EF1">
        <w:rPr>
          <w:noProof/>
        </w:rPr>
        <w:t>(2006)</w:t>
      </w:r>
      <w:r w:rsidR="009D2EF1">
        <w:fldChar w:fldCharType="end"/>
      </w:r>
      <w:r w:rsidR="000A5EF6">
        <w:t xml:space="preserve"> </w:t>
      </w:r>
      <w:r>
        <w:t xml:space="preserve">examined whether affirmation of religious beliefs decreased death-thought accessibility. They found that those who affirmed their beliefs prior and are high on intrinsic religiosity did not display heightened death thought accessibility following MS. They suggest that this finding indicates that those who are high on intrinsic religiosity are not necessarily better equipped to cope with increased death-though </w:t>
      </w:r>
      <w:r>
        <w:lastRenderedPageBreak/>
        <w:t xml:space="preserve">accessibility, but instead that MS does not induce increased death-thought accessibility in nonreligious or low intrinsically oriented individuals. </w:t>
      </w:r>
    </w:p>
    <w:p w14:paraId="5F25022A" w14:textId="1F349A4C" w:rsidR="00197E3A" w:rsidRDefault="00197E3A" w:rsidP="00197E3A">
      <w:pPr>
        <w:spacing w:line="480" w:lineRule="auto"/>
        <w:ind w:firstLine="720"/>
      </w:pPr>
      <w:r>
        <w:t>In the decade after Allport and Ross distinguished between intrinsic and extrinsic religious orientation, Daniel Batson (1976) proposed “quest” as a third religious orientation. Batson found that three dimensions of religion emerged empirically in his studies – an externalizing orientation in which religion is a means to an end (extrinsic), an orientation to religion as an end itself (intrinsic), and a third dimension: orientation to religion as a quest</w:t>
      </w:r>
      <w:r w:rsidR="00423014">
        <w:t>, which he argued:</w:t>
      </w:r>
      <w:r>
        <w:t xml:space="preserve">  </w:t>
      </w:r>
    </w:p>
    <w:p w14:paraId="5127A46B" w14:textId="46B72EEF" w:rsidR="00197E3A" w:rsidRDefault="00197E3A" w:rsidP="007F350E">
      <w:pPr>
        <w:spacing w:line="480" w:lineRule="auto"/>
        <w:ind w:left="720" w:right="720"/>
      </w:pPr>
      <w:r>
        <w:t xml:space="preserve">… involves honestly facing existential questions in their complexity, while at the same time resisting clear-cut, pat answers. An individual who approaches religion in this way recognizes that he or she does not know, and probably never will know, the final truth about such matters. Still, the questions are deemed important, and, however subject to change, answers are sought. </w:t>
      </w:r>
      <w:r>
        <w:fldChar w:fldCharType="begin" w:fldLock="1"/>
      </w:r>
      <w:r>
        <w:instrText>ADDIN CSL_CITATION {"citationItems":[{"id":"ITEM-1","itemData":{"author":[{"dropping-particle":"","family":"Batson","given":"C. Daniel","non-dropping-particle":"","parse-names":false,"suffix":""},{"dropping-particle":"","family":"Schoenrade","given":"Patricia A","non-dropping-particle":"","parse-names":false,"suffix":""}],"container-title":"Journal for the Scientific Study of Religion","id":"ITEM-1","issue":"4","issued":{"date-parts":[["1991"]]},"page":"430-447","title":"Measuring Religion as Quest: 1) Validity Concerns","type":"article-journal","volume":"30"},"uris":["http://www.mendeley.com/documents/?uuid=cf4c3ac7-abb3-4a7a-b3d8-e079f8047edf"]}],"mendeley":{"formattedCitation":"(Batson &amp; Schoenrade, 1991a)","manualFormatting":"(Batson, Schoenrade, &amp; Schoenradet, 1991a, p. 474)","plainTextFormattedCitation":"(Batson &amp; Schoenrade, 1991a)","previouslyFormattedCitation":"(Batson &amp; Schoenrade, 1991a)"},"properties":{"noteIndex":0},"schema":"https://github.com/citation-style-language/schema/raw/master/csl-citation.json"}</w:instrText>
      </w:r>
      <w:r>
        <w:fldChar w:fldCharType="separate"/>
      </w:r>
      <w:r w:rsidRPr="00685492">
        <w:rPr>
          <w:noProof/>
        </w:rPr>
        <w:t>(Batson, Schoenrade, &amp; Schoenradet, 1991</w:t>
      </w:r>
      <w:r>
        <w:rPr>
          <w:noProof/>
        </w:rPr>
        <w:t>a, p. 474</w:t>
      </w:r>
      <w:r w:rsidRPr="00685492">
        <w:rPr>
          <w:noProof/>
        </w:rPr>
        <w:t>)</w:t>
      </w:r>
      <w:r>
        <w:fldChar w:fldCharType="end"/>
      </w:r>
      <w:r>
        <w:t xml:space="preserve">. </w:t>
      </w:r>
    </w:p>
    <w:p w14:paraId="3730E955" w14:textId="49F5EA23" w:rsidR="006A6DC4" w:rsidRDefault="00197E3A" w:rsidP="00197E3A">
      <w:pPr>
        <w:spacing w:line="480" w:lineRule="auto"/>
      </w:pPr>
      <w:r>
        <w:t xml:space="preserve">Arrowood (2018) echoes this, </w:t>
      </w:r>
      <w:r w:rsidR="006A6DC4">
        <w:t xml:space="preserve">claiming that individuals who see religion as a quest for truth </w:t>
      </w:r>
      <w:r w:rsidR="00F40670">
        <w:t>are driven to ask questions about the nature of existence and meaning, even to the point of questioning their own most fundamental beliefs. In the process, they come to accept that thy may never actually obtain a final answer to their questions.</w:t>
      </w:r>
    </w:p>
    <w:p w14:paraId="1A42C94E" w14:textId="323308A3" w:rsidR="00197E3A" w:rsidRDefault="00197E3A" w:rsidP="00197E3A">
      <w:pPr>
        <w:spacing w:line="480" w:lineRule="auto"/>
        <w:ind w:firstLine="720"/>
      </w:pPr>
      <w:r>
        <w:t xml:space="preserve">It seems then that there are three broad dimensions of religious orientation: extrinsically-oriented individuals for whom religion is a means to an end, intrinsically-oriented individuals for whom religion is a set of deeply held and internalized beliefs, and quest-oriented individuals for whom religion is a continual process of discovery. Batson (1976) found that those who were </w:t>
      </w:r>
      <w:r>
        <w:lastRenderedPageBreak/>
        <w:t>intrinsically-oriented or quest-oriented were both more likely to stop and help a stranger in need, but that they would do so in different ways. He found that those who are intrinsically-motivated would be more persistent in their helping and that they would be less attuned to the needs of the person seeking aid while the quest-oriented individuals were more tentative and situational in their responding. The quest individuals were found to be more flexible in their approach to the person in need while the intrinsically oriented were more focused on the proper form of help.</w:t>
      </w:r>
    </w:p>
    <w:p w14:paraId="0F316A50" w14:textId="77777777" w:rsidR="00197E3A" w:rsidRDefault="00197E3A" w:rsidP="00197E3A">
      <w:pPr>
        <w:spacing w:line="480" w:lineRule="auto"/>
        <w:rPr>
          <w:b/>
          <w:bCs/>
        </w:rPr>
      </w:pPr>
      <w:r>
        <w:rPr>
          <w:b/>
          <w:bCs/>
        </w:rPr>
        <w:t>Questing</w:t>
      </w:r>
    </w:p>
    <w:p w14:paraId="75C842A5" w14:textId="4269481F" w:rsidR="00197E3A" w:rsidRDefault="00197E3A" w:rsidP="00197E3A">
      <w:pPr>
        <w:spacing w:line="480" w:lineRule="auto"/>
      </w:pPr>
      <w:r>
        <w:rPr>
          <w:b/>
          <w:bCs/>
        </w:rPr>
        <w:tab/>
      </w:r>
      <w:r>
        <w:t xml:space="preserve">It seems possible that those that have a quest-oriented view of their religion may in fact have a quest-oriented </w:t>
      </w:r>
      <w:r w:rsidRPr="00DE659D">
        <w:rPr>
          <w:i/>
          <w:iCs/>
        </w:rPr>
        <w:t>worldview</w:t>
      </w:r>
      <w:r>
        <w:t xml:space="preserve"> that acts a broader spiritual stance toward life in general, religion included. The self-reflective and iterative nature of quest oriented thinking is highlighted by Hills, Francis, &amp; Robbins </w:t>
      </w:r>
      <w:r>
        <w:fldChar w:fldCharType="begin" w:fldLock="1"/>
      </w:r>
      <w:r>
        <w:instrText>ADDIN CSL_CITATION {"citationItems":[{"id":"ITEM-1","itemData":{"DOI":"10.1016/j.paid.2004.09.006","ISSN":"01918869","abstract":"The Religious Life Inventory (RLI: Batson &amp; Schoenrade, 1991) was designed to assess the extrinsic, intrinsic and quest orientations of religiosity and doubts have been expressed in the literature about its psychometric properties. An evaluation of the scale's performance with a large sample of young adults of varying religious affiliations or none has shown that the instrument is not susceptible to confirmatory factor analysis. Several items that appear to have little discriminative ability and others that are ambiguous with respect to the orientations they are intended to represent have been identified. The structure suggested by an exploratory factor analysis has been subjected to sequential confirmatory factor analyses and a revised model has been developed which meets a variety of goodness of fit criteria and remains consistent with the original three-factor structure of the RLI. The Revised Religious Life Inventory, RLI-R, includes 24 of the original 32 items, and demonstrated improved scale reliability for the quest orientation and an unchanged reliability for the intrinsic orientation. A comparison of the original and revised instruments with respect to the frequency of church attendance and personal prayer, and religious affiliation suggests that the RLI-R is an improved instrument for future studies of religious orientation. © 2004 Elsevier Ltd. All rights reserved.","author":[{"dropping-particle":"","family":"Hills","given":"Peter","non-dropping-particle":"","parse-names":false,"suffix":""},{"dropping-particle":"","family":"Francis","given":"Leslie J.","non-dropping-particle":"","parse-names":false,"suffix":""},{"dropping-particle":"","family":"Robbins","given":"Mandy","non-dropping-particle":"","parse-names":false,"suffix":""}],"container-title":"Personality and Individual Differences","id":"ITEM-1","issue":"6","issued":{"date-parts":[["2005"]]},"page":"1389-1399","title":"The development of the Revised Religious Life Inventory (RLI-R) by exploratory and confirmatory factor analysis","type":"article-journal","volume":"38"},"uris":["http://www.mendeley.com/documents/?uuid=da07d3a3-d6f8-4458-a7d2-42a6b639867a"]}],"mendeley":{"formattedCitation":"(Hills, Francis, &amp; Robbins, 2005)","manualFormatting":"(2005)","plainTextFormattedCitation":"(Hills, Francis, &amp; Robbins, 2005)","previouslyFormattedCitation":"(Hills, Francis, &amp; Robbins, 2005)"},"properties":{"noteIndex":0},"schema":"https://github.com/citation-style-language/schema/raw/master/csl-citation.json"}</w:instrText>
      </w:r>
      <w:r>
        <w:fldChar w:fldCharType="separate"/>
      </w:r>
      <w:r w:rsidRPr="00685492">
        <w:rPr>
          <w:noProof/>
        </w:rPr>
        <w:t>(2005)</w:t>
      </w:r>
      <w:r>
        <w:fldChar w:fldCharType="end"/>
      </w:r>
      <w:r>
        <w:t xml:space="preserve">, </w:t>
      </w:r>
      <w:r w:rsidR="00FC717E">
        <w:t>who define quest-oriented individuals as those for whom religious belief becomes an interaction with the world, allowing them to see their religious doubts as essential to their belief, leading to spiritual growth</w:t>
      </w:r>
      <w:r>
        <w:t xml:space="preserve">. </w:t>
      </w:r>
      <w:r w:rsidR="005C19D7">
        <w:t>v</w:t>
      </w:r>
      <w:r>
        <w:t xml:space="preserve">an </w:t>
      </w:r>
      <w:proofErr w:type="spellStart"/>
      <w:r>
        <w:t>Tongeren</w:t>
      </w:r>
      <w:proofErr w:type="spellEnd"/>
      <w:r>
        <w:t xml:space="preserve"> </w:t>
      </w:r>
      <w:r w:rsidR="00FC717E">
        <w:t>and colleagues</w:t>
      </w:r>
      <w:r>
        <w:t xml:space="preserve"> </w:t>
      </w:r>
      <w:r w:rsidR="00FC717E">
        <w:t xml:space="preserve">(2016) </w:t>
      </w:r>
      <w:r>
        <w:t xml:space="preserve">wrote, “Another way of symbolically conceptualizing quest religion is as a journey, in which questions are prioritized over answers and individuals embrace doubt and ambiguity in their beliefs.” </w:t>
      </w:r>
      <w:r>
        <w:fldChar w:fldCharType="begin" w:fldLock="1"/>
      </w:r>
      <w:r>
        <w:instrText>ADDIN CSL_CITATION {"citationItems":[{"id":"ITEM-1","itemData":{"DOI":"10.1037/rel0000050","ISSN":"19411022","abstract":"Religion serves many social and existential functions. In 3 studies (N= 1,197), we examine how religious belief orientations involve tradeoffs that prioritize either existential security or tolerance toward religiously different groups. In Study 1 (N= 205), security-focused beliefs were related to greater meaning in life and lower tolerance, whereas growth-focused religious beliefs were related to lower meaning in life and greater tolerance. In Study 2 (N= 298), we found that a security-focused religious belief orientation (i.e., defensive theological beliefs) was associated with existential well-being, and religious commitment enhanced this relationship. Finally, in Study 3 (N= 694), using an experimental priming manipulation, we found that meaning threats resulted in greater existential anxiety for those with growth-focused beliefs (i.e., quest religion). Together, this research highlights how religious beliefs may prioritize either (a) existential security (i.e., security-oriented), or (b) ability to span ideological differences to form alliances (i.e., growth-oriented).","author":[{"dropping-particle":"","family":"Tongeren","given":"Daryl R.","non-dropping-particle":"Van","parse-names":false,"suffix":""},{"dropping-particle":"","family":"Davis","given":"Don E.","non-dropping-particle":"","parse-names":false,"suffix":""},{"dropping-particle":"","family":"Hook","given":"Joshua N.","non-dropping-particle":"","parse-names":false,"suffix":""},{"dropping-particle":"","family":"Johnson","given":"Kathryn A.","non-dropping-particle":"","parse-names":false,"suffix":""}],"container-title":"Psychology of Religion and Spirituality","id":"ITEM-1","issue":"1","issued":{"date-parts":[["2016"]]},"page":"77-88","title":"Security versus growth: Existential tradeoffs of various religious perspectives","type":"article-journal","volume":"8"},"uris":["http://www.mendeley.com/documents/?uuid=47320eef-6b4e-4b30-8141-c3a2b7a18a8d"]}],"mendeley":{"formattedCitation":"(Van Tongeren, Davis, Hook, &amp; Johnson, 2016)","manualFormatting":"(Van Tongeren, Davis, Hook, &amp; Johnson, 2016, p. 213-214)","plainTextFormattedCitation":"(Van Tongeren, Davis, Hook, &amp; Johnson, 2016)","previouslyFormattedCitation":"(Van Tongeren, Davis, Hook, &amp; Johnson, 2016)"},"properties":{"noteIndex":0},"schema":"https://github.com/citation-style-language/schema/raw/master/csl-citation.json"}</w:instrText>
      </w:r>
      <w:r>
        <w:fldChar w:fldCharType="separate"/>
      </w:r>
      <w:r w:rsidRPr="00685492">
        <w:rPr>
          <w:noProof/>
        </w:rPr>
        <w:t>(Van Tongeren, Davis, Hook, &amp; Johnson, 2016</w:t>
      </w:r>
      <w:r>
        <w:rPr>
          <w:noProof/>
        </w:rPr>
        <w:t>, p. 213-214</w:t>
      </w:r>
      <w:r w:rsidRPr="00685492">
        <w:rPr>
          <w:noProof/>
        </w:rPr>
        <w:t>)</w:t>
      </w:r>
      <w:r>
        <w:fldChar w:fldCharType="end"/>
      </w:r>
      <w:r>
        <w:t xml:space="preserve">. These authors see the questioning nature of quest religiosity as a fundamental aspect of the questing spiritual experience and one in which questions serve an existential purpose in themselves. What if questing is indeed a broader spiritual stance toward the world and in turn serves a function above and beyond being a religious orientation? </w:t>
      </w:r>
    </w:p>
    <w:p w14:paraId="1EB1AE01" w14:textId="1C6A65B6" w:rsidR="00197E3A" w:rsidRDefault="00197E3A" w:rsidP="00197E3A">
      <w:pPr>
        <w:spacing w:line="480" w:lineRule="auto"/>
        <w:ind w:firstLine="720"/>
      </w:pPr>
      <w:r>
        <w:t xml:space="preserve">The notion of quest is prominent in myths across all cultures, and is also prevalent in secular culture. Perhaps the idea of questing, going on noble and heroic fantastical journeys, </w:t>
      </w:r>
      <w:r>
        <w:lastRenderedPageBreak/>
        <w:t xml:space="preserve">lends itself to some sense of symbolic immortality - regardless of religion. In </w:t>
      </w:r>
      <w:r>
        <w:fldChar w:fldCharType="begin" w:fldLock="1"/>
      </w:r>
      <w:r>
        <w:instrText>ADDIN CSL_CITATION {"citationItems":[{"id":"ITEM-1","itemData":{"DOI":"10.1016/j.jesp.2010.08.013","ISSN":"00221031","abstract":"Fantasies and dreams of flight are ubiquitous across cultures and throughout history and often linked to immortality. A perspective derived from terror management theory holds that flight fantasies are appealing because they suggest transcendence of the limitations of creatureliness and mortality. Five studies established the link between mortality concerns and flight fantasy. In Study 1, participants showed greater desire to fly after contemplating death compared to a control topic. In Study 2, participants showed greater desire to fly, but not to engage in other supernatural acts, after contemplating death compared to a control topic. In Studies 3 and 4, participants who engaged in flight fantasy did not subsequently demonstrate defensive reactions to a death reminder observed in nonflight conditions. Study 5 showed that flight fantasy, but not other pleasurable or empowering fantasies, decreased death thought accessibility after mortality salience, and this effect was uniquely mediated by a feeling of freedom from bodily limits. © 2010 Elsevier Inc.","author":[{"dropping-particle":"","family":"Cohen","given":"Florette","non-dropping-particle":"","parse-names":false,"suffix":""},{"dropping-particle":"","family":"Sullivan","given":"Daniel","non-dropping-particle":"","parse-names":false,"suffix":""},{"dropping-particle":"","family":"Solomon","given":"Sheldon","non-dropping-particle":"","parse-names":false,"suffix":""},{"dropping-particle":"","family":"Greenberg","given":"Jeff","non-dropping-particle":"","parse-names":false,"suffix":""},{"dropping-particle":"","family":"Ogilvie","given":"Daniel M.","non-dropping-particle":"","parse-names":false,"suffix":""}],"container-title":"Journal of Experimental Social Psychology","id":"ITEM-1","issue":"1","issued":{"date-parts":[["2011"]]},"page":"88-102","publisher":"Elsevier Inc.","title":"Finding everland: Flight fantasies and the desire to transcend mortality","type":"article-journal","volume":"47"},"uris":["http://www.mendeley.com/documents/?uuid=a129e948-13d5-4239-8618-1f9fc5558caf"]}],"mendeley":{"formattedCitation":"(Cohen, Sullivan, Solomon, Greenberg, &amp; Ogilvie, 2011)","manualFormatting":"2011","plainTextFormattedCitation":"(Cohen, Sullivan, Solomon, Greenberg, &amp; Ogilvie, 2011)","previouslyFormattedCitation":"(Cohen, Sullivan, Solomon, Greenberg, &amp; Ogilvie, 2011)"},"properties":{"noteIndex":0},"schema":"https://github.com/citation-style-language/schema/raw/master/csl-citation.json"}</w:instrText>
      </w:r>
      <w:r>
        <w:fldChar w:fldCharType="separate"/>
      </w:r>
      <w:r w:rsidRPr="00F5273B">
        <w:rPr>
          <w:noProof/>
        </w:rPr>
        <w:t>2011</w:t>
      </w:r>
      <w:r>
        <w:fldChar w:fldCharType="end"/>
      </w:r>
      <w:r>
        <w:t xml:space="preserve">, Cohen, Sullivan, Solomon, and colleagues sought to examine the role that fantasies (specifically flight fantasies) have with regard to death anxiety. They reasoned that cultures around the world have some sort of flying fantasy or myth often linked to immortality. To test this idea, they had participants who were exposed to either mortality salient conditions or neutral (television watching) conditions read through a paragraph about flight and flying before answering a few questions about their desire to fly in that moment. They found that those who were reminded of death were more likely to report past dreams of flight as well as increased desire to fly when compared to the control condition. They found in subsequent studies that flight fantasies were particularly effective when compared to other supernatural fantasies and that those engaging in flight fantasy were less defensive after MS versus those who did not engage in flight fantasy </w:t>
      </w:r>
      <w:r>
        <w:fldChar w:fldCharType="begin" w:fldLock="1"/>
      </w:r>
      <w:r w:rsidR="00B40DCA">
        <w:instrText>ADDIN CSL_CITATION {"citationItems":[{"id":"ITEM-1","itemData":{"DOI":"10.1016/j.jesp.2010.08.013","ISSN":"00221031","abstract":"Fantasies and dreams of flight are ubiquitous across cultures and throughout history and often linked to immortality. A perspective derived from terror management theory holds that flight fantasies are appealing because they suggest transcendence of the limitations of creatureliness and mortality. Five studies established the link between mortality concerns and flight fantasy. In Study 1, participants showed greater desire to fly after contemplating death compared to a control topic. In Study 2, participants showed greater desire to fly, but not to engage in other supernatural acts, after contemplating death compared to a control topic. In Studies 3 and 4, participants who engaged in flight fantasy did not subsequently demonstrate defensive reactions to a death reminder observed in nonflight conditions. Study 5 showed that flight fantasy, but not other pleasurable or empowering fantasies, decreased death thought accessibility after mortality salience, and this effect was uniquely mediated by a feeling of freedom from bodily limits. © 2010 Elsevier Inc.","author":[{"dropping-particle":"","family":"Cohen","given":"Florette","non-dropping-particle":"","parse-names":false,"suffix":""},{"dropping-particle":"","family":"Sullivan","given":"Daniel","non-dropping-particle":"","parse-names":false,"suffix":""},{"dropping-particle":"","family":"Solomon","given":"Sheldon","non-dropping-particle":"","parse-names":false,"suffix":""},{"dropping-particle":"","family":"Greenberg","given":"Jeff","non-dropping-particle":"","parse-names":false,"suffix":""},{"dropping-particle":"","family":"Ogilvie","given":"Daniel M.","non-dropping-particle":"","parse-names":false,"suffix":""}],"container-title":"Journal of Experimental Social Psychology","id":"ITEM-1","issue":"1","issued":{"date-parts":[["2011"]]},"page":"88-102","publisher":"Elsevier Inc.","title":"Finding everland: Flight fantasies and the desire to transcend mortality","type":"article-journal","volume":"47"},"uris":["http://www.mendeley.com/documents/?uuid=a129e948-13d5-4239-8618-1f9fc5558caf"]}],"mendeley":{"formattedCitation":"(Cohen et al., 2011)","plainTextFormattedCitation":"(Cohen et al., 2011)","previouslyFormattedCitation":"(Cohen et al., 2011)"},"properties":{"noteIndex":0},"schema":"https://github.com/citation-style-language/schema/raw/master/csl-citation.json"}</w:instrText>
      </w:r>
      <w:r>
        <w:fldChar w:fldCharType="separate"/>
      </w:r>
      <w:r w:rsidRPr="00197E3A">
        <w:rPr>
          <w:noProof/>
        </w:rPr>
        <w:t>(Cohen et al., 2011)</w:t>
      </w:r>
      <w:r>
        <w:fldChar w:fldCharType="end"/>
      </w:r>
      <w:r>
        <w:t xml:space="preserve">. Perhaps then, engaging in quest-like fantasies may have a similar terror management function.  </w:t>
      </w:r>
    </w:p>
    <w:p w14:paraId="216D0BCC" w14:textId="77777777" w:rsidR="00197E3A" w:rsidRDefault="00197E3A" w:rsidP="00197E3A">
      <w:pPr>
        <w:spacing w:line="480" w:lineRule="auto"/>
        <w:ind w:firstLine="720"/>
      </w:pPr>
      <w:r>
        <w:t>The present study seeks to examine whether a quest-like state of mind will reduce death-thought accessibility in response to a mortality salience induction. If questing allows one to feel some degree of heroism, some measure of symbolic immortality, then it would be expected that a quest-like state of mind would perhaps help buffer anxiety produced by death reminders, and that death-thought accessibility will be reduced as a result.</w:t>
      </w:r>
    </w:p>
    <w:p w14:paraId="6F6A43C2" w14:textId="77777777" w:rsidR="00197E3A" w:rsidRPr="00D952ED" w:rsidRDefault="00197E3A" w:rsidP="00197E3A">
      <w:pPr>
        <w:pStyle w:val="ListParagraph"/>
        <w:spacing w:line="480" w:lineRule="auto"/>
      </w:pPr>
    </w:p>
    <w:p w14:paraId="5AB66196" w14:textId="77777777" w:rsidR="00197E3A" w:rsidRPr="005F50A5" w:rsidRDefault="00197E3A" w:rsidP="00197E3A">
      <w:pPr>
        <w:spacing w:line="480" w:lineRule="auto"/>
        <w:rPr>
          <w:b/>
          <w:bCs/>
        </w:rPr>
      </w:pPr>
      <w:r w:rsidRPr="005F50A5">
        <w:rPr>
          <w:b/>
          <w:bCs/>
        </w:rPr>
        <w:br w:type="page"/>
      </w:r>
    </w:p>
    <w:p w14:paraId="21CA97ED" w14:textId="77777777" w:rsidR="00197E3A" w:rsidRPr="00815B3C" w:rsidRDefault="00197E3A" w:rsidP="00197E3A">
      <w:pPr>
        <w:spacing w:line="480" w:lineRule="auto"/>
        <w:jc w:val="center"/>
        <w:rPr>
          <w:b/>
          <w:bCs/>
        </w:rPr>
      </w:pPr>
      <w:r w:rsidRPr="00815B3C">
        <w:rPr>
          <w:b/>
          <w:bCs/>
        </w:rPr>
        <w:lastRenderedPageBreak/>
        <w:t>Chapter II: Methods</w:t>
      </w:r>
    </w:p>
    <w:p w14:paraId="7433302B" w14:textId="77777777" w:rsidR="00197E3A" w:rsidRPr="00815B3C" w:rsidRDefault="00197E3A" w:rsidP="00197E3A">
      <w:pPr>
        <w:spacing w:line="480" w:lineRule="auto"/>
        <w:rPr>
          <w:b/>
          <w:bCs/>
        </w:rPr>
      </w:pPr>
      <w:r w:rsidRPr="00815B3C">
        <w:rPr>
          <w:b/>
          <w:bCs/>
        </w:rPr>
        <w:t>Study Population</w:t>
      </w:r>
    </w:p>
    <w:p w14:paraId="6ACBCFFD" w14:textId="6882FA7E" w:rsidR="00197E3A" w:rsidRPr="00815B3C" w:rsidRDefault="00197E3A" w:rsidP="00197E3A">
      <w:pPr>
        <w:spacing w:line="480" w:lineRule="auto"/>
        <w:ind w:firstLine="720"/>
      </w:pPr>
      <w:r w:rsidRPr="00815B3C">
        <w:t>Participants from the study w</w:t>
      </w:r>
      <w:r w:rsidR="00E867B4">
        <w:t>ere</w:t>
      </w:r>
      <w:r w:rsidRPr="00815B3C">
        <w:t xml:space="preserve"> recruited from undergraduate introductory psychology courses in which students </w:t>
      </w:r>
      <w:r w:rsidR="00E867B4">
        <w:t>were</w:t>
      </w:r>
      <w:r w:rsidR="00E867B4" w:rsidRPr="00815B3C">
        <w:t xml:space="preserve"> </w:t>
      </w:r>
      <w:r w:rsidRPr="00815B3C">
        <w:t>required to participate in a prescribed number of research studies in exchange for course credit. Participants use</w:t>
      </w:r>
      <w:r w:rsidR="00E867B4">
        <w:t>d</w:t>
      </w:r>
      <w:r w:rsidRPr="00815B3C">
        <w:t xml:space="preserve"> an online research portal where they review</w:t>
      </w:r>
      <w:r w:rsidR="00E867B4">
        <w:t>ed</w:t>
      </w:r>
      <w:r w:rsidRPr="00815B3C">
        <w:t xml:space="preserve"> available research studies and select</w:t>
      </w:r>
      <w:r w:rsidR="00E867B4">
        <w:t>ed</w:t>
      </w:r>
      <w:r w:rsidRPr="00815B3C">
        <w:t xml:space="preserve"> </w:t>
      </w:r>
      <w:proofErr w:type="gramStart"/>
      <w:r w:rsidRPr="00815B3C">
        <w:t>those</w:t>
      </w:r>
      <w:proofErr w:type="gramEnd"/>
      <w:r w:rsidRPr="00815B3C">
        <w:t xml:space="preserve"> they </w:t>
      </w:r>
      <w:r w:rsidR="00E867B4">
        <w:t>were</w:t>
      </w:r>
      <w:r w:rsidR="00E867B4" w:rsidRPr="00815B3C">
        <w:t xml:space="preserve"> </w:t>
      </w:r>
      <w:r w:rsidRPr="00815B3C">
        <w:t xml:space="preserve">interested in based on brief descriptions. </w:t>
      </w:r>
      <w:r>
        <w:t xml:space="preserve">A </w:t>
      </w:r>
      <w:r w:rsidRPr="00815B3C">
        <w:t xml:space="preserve">power analysis revealed that for a moderate effect size (f = 0.25) and six experimental groups, approximately </w:t>
      </w:r>
      <w:r>
        <w:t>251</w:t>
      </w:r>
      <w:r w:rsidRPr="00815B3C">
        <w:t xml:space="preserve"> participants would result in power (1-β) of 0.95.  </w:t>
      </w:r>
    </w:p>
    <w:p w14:paraId="27F70C2E" w14:textId="77777777" w:rsidR="00197E3A" w:rsidRPr="00815B3C" w:rsidRDefault="00197E3A" w:rsidP="00197E3A">
      <w:pPr>
        <w:spacing w:line="480" w:lineRule="auto"/>
        <w:rPr>
          <w:b/>
          <w:bCs/>
        </w:rPr>
      </w:pPr>
      <w:r w:rsidRPr="00815B3C">
        <w:rPr>
          <w:b/>
          <w:bCs/>
        </w:rPr>
        <w:t>Materials</w:t>
      </w:r>
    </w:p>
    <w:p w14:paraId="4B9B1082" w14:textId="77777777" w:rsidR="00197E3A" w:rsidRDefault="00197E3A" w:rsidP="00197E3A">
      <w:pPr>
        <w:spacing w:line="480" w:lineRule="auto"/>
        <w:ind w:firstLine="720"/>
        <w:rPr>
          <w:b/>
          <w:bCs/>
        </w:rPr>
      </w:pPr>
      <w:r w:rsidRPr="00815B3C">
        <w:rPr>
          <w:b/>
          <w:bCs/>
        </w:rPr>
        <w:t>Informed Consent</w:t>
      </w:r>
    </w:p>
    <w:p w14:paraId="16D5363A" w14:textId="017CF52A" w:rsidR="00197E3A" w:rsidRPr="00D73D93" w:rsidRDefault="00197E3A" w:rsidP="00197E3A">
      <w:pPr>
        <w:spacing w:line="480" w:lineRule="auto"/>
        <w:ind w:firstLine="720"/>
      </w:pPr>
      <w:r>
        <w:t>All participants w</w:t>
      </w:r>
      <w:r w:rsidR="00E867B4">
        <w:t>ent</w:t>
      </w:r>
      <w:r>
        <w:t xml:space="preserve"> through an informed consent process prior to participation in the study (see Appendix A). The informed consent process </w:t>
      </w:r>
      <w:r w:rsidR="00E867B4">
        <w:t>was</w:t>
      </w:r>
      <w:r>
        <w:t xml:space="preserve"> consistent with previous research in the field and align</w:t>
      </w:r>
      <w:r w:rsidR="00E867B4">
        <w:t>ed</w:t>
      </w:r>
      <w:r>
        <w:t xml:space="preserve"> with the local university regulations.</w:t>
      </w:r>
    </w:p>
    <w:p w14:paraId="0C8E113C" w14:textId="77777777" w:rsidR="00197E3A" w:rsidRPr="005F50A5" w:rsidRDefault="00197E3A" w:rsidP="00197E3A">
      <w:pPr>
        <w:spacing w:line="480" w:lineRule="auto"/>
        <w:ind w:firstLine="720"/>
        <w:rPr>
          <w:b/>
          <w:bCs/>
        </w:rPr>
      </w:pPr>
      <w:r>
        <w:rPr>
          <w:b/>
          <w:bCs/>
        </w:rPr>
        <w:t xml:space="preserve">Instructions and </w:t>
      </w:r>
      <w:r w:rsidRPr="00815B3C">
        <w:rPr>
          <w:b/>
          <w:bCs/>
        </w:rPr>
        <w:t>Filler Questionnaires</w:t>
      </w:r>
    </w:p>
    <w:p w14:paraId="4137ED2F" w14:textId="31D60295" w:rsidR="00197E3A" w:rsidRDefault="00197E3A" w:rsidP="00197E3A">
      <w:pPr>
        <w:spacing w:line="480" w:lineRule="auto"/>
        <w:ind w:firstLine="720"/>
      </w:pPr>
      <w:r>
        <w:t>All participants first receive</w:t>
      </w:r>
      <w:r w:rsidR="00E867B4">
        <w:t>d</w:t>
      </w:r>
      <w:r>
        <w:t xml:space="preserve"> the following instructions prior to completing the materials for the experiment:</w:t>
      </w:r>
    </w:p>
    <w:p w14:paraId="36C21014" w14:textId="4C5FE6D4" w:rsidR="00197E3A" w:rsidRDefault="00197E3A" w:rsidP="00E82F2E">
      <w:pPr>
        <w:spacing w:line="480" w:lineRule="auto"/>
        <w:ind w:left="720"/>
      </w:pPr>
      <w:r>
        <w:t xml:space="preserve">You will be completing </w:t>
      </w:r>
      <w:r w:rsidRPr="00A12359">
        <w:t>a series of personality, attitude and judgment questionnaires.</w:t>
      </w:r>
      <w:r>
        <w:t xml:space="preserve"> </w:t>
      </w:r>
      <w:r w:rsidRPr="00A12359">
        <w:t>There are no right or wrong, or good or bad answers</w:t>
      </w:r>
      <w:r>
        <w:t>.  R</w:t>
      </w:r>
      <w:r w:rsidRPr="00A12359">
        <w:t>ather different responses reflect different personalities, attitudes and judgment styles. Please respond honestly</w:t>
      </w:r>
      <w:r>
        <w:t xml:space="preserve"> and naturally to each question</w:t>
      </w:r>
      <w:r w:rsidRPr="00A12359">
        <w:t>. Your responses to these questions are completely anonymous and will be used for research purposes only.</w:t>
      </w:r>
    </w:p>
    <w:p w14:paraId="7C265A46" w14:textId="0C0217F9" w:rsidR="00197E3A" w:rsidRPr="00EC0D2A" w:rsidRDefault="00197E3A" w:rsidP="00F3636B">
      <w:pPr>
        <w:spacing w:line="480" w:lineRule="auto"/>
        <w:ind w:firstLine="720"/>
      </w:pPr>
      <w:r>
        <w:lastRenderedPageBreak/>
        <w:t xml:space="preserve">The purpose of this instruction </w:t>
      </w:r>
      <w:r w:rsidR="00E867B4">
        <w:t>was</w:t>
      </w:r>
      <w:r>
        <w:t xml:space="preserve"> to put participants in an experiential,</w:t>
      </w:r>
      <w:r w:rsidDel="0034732F">
        <w:t xml:space="preserve"> </w:t>
      </w:r>
      <w:r>
        <w:t>rather than rational, mind-set, given that mortality salience effects are diminished when rationality is salient, by preventing “</w:t>
      </w:r>
      <w:r w:rsidRPr="0034732F">
        <w:t>the emotional impact of a threatening issue from registering or ‘sinking in’</w:t>
      </w:r>
      <w:r>
        <w:t>.</w:t>
      </w:r>
      <w:r w:rsidRPr="0034732F">
        <w:t xml:space="preserve">” </w:t>
      </w:r>
      <w:r w:rsidRPr="0034732F">
        <w:fldChar w:fldCharType="begin" w:fldLock="1"/>
      </w:r>
      <w:r w:rsidRPr="0034732F">
        <w:instrText>ADDIN CSL_CITATION {"citationItems":[{"id":"ITEM-1","itemData":{"DOI":"10.1037/0022-3514.72.5.1132","ISSN":"00223514","PMID":"9150588","abstract":"The authors hypothesized, on the basis of terror management theory and cognitive-experiential self-theory, that participants in an experiential mode of thinking would respond to mortality salience with increased worldview defense and increased accessibility of death-related thoughts, whereas participants in a rational mode would not. Results from 3 studies provided convergent evidence that when participants were in an experiential mode, mortality salience produced the typical worldview defense effect, but when participants were in a rational mode it did not. Study 4 revealed that mortality salience also led to a delayed increase in the accessibility of death-related thoughts only when participants were in an experiential mode. These results supported the notion that worldview defense is intensified only if individuals are in an experiential mode when considering their mortality. Discussion focuses on implications for understanding terror management processes. Copyright 1997 by the American Psychological Association, Inc.","author":[{"dropping-particle":"","family":"Simon","given":"Linda","non-dropping-particle":"","parse-names":false,"suffix":""},{"dropping-particle":"","family":"Greenberg","given":"Jeff","non-dropping-particle":"","parse-names":false,"suffix":""},{"dropping-particle":"","family":"Harmon-Jones","given":"Eddie","non-dropping-particle":"","parse-names":false,"suffix":""},{"dropping-particle":"","family":"Pyszczynski","given":"Tom","non-dropping-particle":"","parse-names":false,"suffix":""},{"dropping-particle":"","family":"Solomon","given":"Sheldon","non-dropping-particle":"","parse-names":false,"suffix":""},{"dropping-particle":"","family":"Arndt","given":"Jamie","non-dropping-particle":"","parse-names":false,"suffix":""},{"dropping-particle":"","family":"Abend","given":"Teresa","non-dropping-particle":"","parse-names":false,"suffix":""}],"container-title":"Journal of Personality and Social Psychology","id":"ITEM-1","issue":"5","issued":{"date-parts":[["1997"]]},"page":"1132-1146","title":"Terror management and cognitive-experiential self-theory: Evidence that terror management occurs in the experiential system","type":"article-journal","volume":"72"},"uris":["http://www.mendeley.com/documents/?uuid=8255b075-4e20-46f5-b93c-478a5477adba"]}],"mendeley":{"formattedCitation":"(Simon et al., 1997)","manualFormatting":"(Simon et al., 1997, p. 1134)","plainTextFormattedCitation":"(Simon et al., 1997)","previouslyFormattedCitation":"(Simon et al., 1997)"},"properties":{"noteIndex":0},"schema":"https://github.com/citation-style-language/schema/raw/master/csl-citation.json"}</w:instrText>
      </w:r>
      <w:r w:rsidRPr="0034732F">
        <w:fldChar w:fldCharType="separate"/>
      </w:r>
      <w:r w:rsidRPr="0034732F">
        <w:rPr>
          <w:noProof/>
        </w:rPr>
        <w:t>(Simon et al., 1997, p. 1134)</w:t>
      </w:r>
      <w:r w:rsidRPr="0034732F">
        <w:fldChar w:fldCharType="end"/>
      </w:r>
      <w:r w:rsidRPr="0034732F">
        <w:t>.</w:t>
      </w:r>
      <w:r>
        <w:t xml:space="preserve"> The</w:t>
      </w:r>
      <w:r w:rsidRPr="00EC0D2A">
        <w:t xml:space="preserve"> neuroticism subscale of the Eysenck Personality Inventory </w:t>
      </w:r>
      <w:r>
        <w:fldChar w:fldCharType="begin" w:fldLock="1"/>
      </w:r>
      <w:r w:rsidR="00D96855">
        <w:instrText>ADDIN CSL_CITATION {"citationItems":[{"id":"ITEM-1","itemData":{"author":[{"dropping-particle":"","family":"Eysenck","given":"Hans Jurgen","non-dropping-particle":"","parse-names":false,"suffix":""},{"dropping-particle":"","family":"Eysenck","given":"Sybil Bianca Giuletta","non-dropping-particle":"","parse-names":false,"suffix":""}],"id":"ITEM-1","issued":{"date-parts":[["1964"]]},"publisher":"University of London Press","title":"Manual of the Eysenck Personality Inventory: By HJ Eysenck and Sybil BG Eysenck","type":"book"},"uris":["http://www.mendeley.com/documents/?uuid=04b9bdd6-7433-4087-964a-453cee55d904"]}],"mendeley":{"formattedCitation":"(Eysenck &amp; Eysenck, 1964)","manualFormatting":"(Eysenck &amp; Eysenck, 1964; Appendix B)","plainTextFormattedCitation":"(Eysenck &amp; Eysenck, 1964)","previouslyFormattedCitation":"(Eysenck &amp; Eysenck, 1964)"},"properties":{"noteIndex":0},"schema":"https://github.com/citation-style-language/schema/raw/master/csl-citation.json"}</w:instrText>
      </w:r>
      <w:r>
        <w:fldChar w:fldCharType="separate"/>
      </w:r>
      <w:r w:rsidRPr="00223D48">
        <w:rPr>
          <w:noProof/>
        </w:rPr>
        <w:t>(Eysenck &amp; Eysenck, 1964</w:t>
      </w:r>
      <w:r>
        <w:rPr>
          <w:noProof/>
        </w:rPr>
        <w:t xml:space="preserve">; Appendix </w:t>
      </w:r>
      <w:r w:rsidR="00D96855">
        <w:rPr>
          <w:noProof/>
        </w:rPr>
        <w:t>B</w:t>
      </w:r>
      <w:r w:rsidRPr="00223D48">
        <w:rPr>
          <w:noProof/>
        </w:rPr>
        <w:t>)</w:t>
      </w:r>
      <w:r>
        <w:fldChar w:fldCharType="end"/>
      </w:r>
      <w:r w:rsidRPr="00EC0D2A">
        <w:t xml:space="preserve"> and Adult Attachment Scale </w:t>
      </w:r>
      <w:r>
        <w:fldChar w:fldCharType="begin" w:fldLock="1"/>
      </w:r>
      <w:r w:rsidR="00B40DCA">
        <w:instrText>ADDIN CSL_CITATION {"citationItems":[{"id":"ITEM-1","itemData":{"DOI":"10.1037/0022-3514.52.3.511","ISBN":"0022-3514\\n1939-1315","ISSN":"1939-1315","PMID":"3572722","abstract":"This article explores the possibility that romantic love is an attachment process--a biosocial process by which affectional bonds are formed between adult lovers, just as affectional bonds are formed earlier in life between human infants and their parents. Key components of attachment theory, developed by Bowlby, Ainsworth, and others to explain the development of affectional bonds in infancy, were translated into terms appropriate to adult romantic love. The translation centered on the three major styles of attachment in infancy--secure, avoidant, and anxious/ambivalent--and on the notion that continuity of relationship style is due in part to mental models (Bowlby's \"inner working models\") of self and social life. These models, and hence a person's attachment style, are seen as determined in part by childhood relationships with parents. Two questionnaire studies indicated that relative prevalence of the three attachment styles is roughly the same in adulthood as in infancy, the three kinds of adults differ predictably in the way they experience romantic love, and attachment style is related in theoretically meaningful ways to mental models of self and social relationships and to relationship experiences with parents. Implications for theories of romantic love are discussed, as are measurement problems and other issues related to future tests of the attachment perspective.","author":[{"dropping-particle":"","family":"Hazan","given":"Cindy","non-dropping-particle":"","parse-names":false,"suffix":""},{"dropping-particle":"","family":"Shaver","given":"Phillip","non-dropping-particle":"","parse-names":false,"suffix":""}],"container-title":"Journal of Personality and Social Psychology","id":"ITEM-1","issue":"3","issued":{"date-parts":[["1987"]]},"page":"511-524","title":"Romantic love conceptualized as an attachment process.","type":"article-journal","volume":"52"},"uris":["http://www.mendeley.com/documents/?uuid=b8d6ed75-aef5-4231-81f2-e6c4cf15e781"]}],"mendeley":{"formattedCitation":"(Hazan &amp; Shaver, 1987)","manualFormatting":"(Hazan &amp; Shaver, 1987; Appendix C)","plainTextFormattedCitation":"(Hazan &amp; Shaver, 1987)","previouslyFormattedCitation":"(Hazan &amp; Shaver, 1987)"},"properties":{"noteIndex":0},"schema":"https://github.com/citation-style-language/schema/raw/master/csl-citation.json"}</w:instrText>
      </w:r>
      <w:r>
        <w:fldChar w:fldCharType="separate"/>
      </w:r>
      <w:r w:rsidRPr="00223D48">
        <w:rPr>
          <w:noProof/>
        </w:rPr>
        <w:t>(Hazan &amp; Shaver, 1987</w:t>
      </w:r>
      <w:r>
        <w:rPr>
          <w:noProof/>
        </w:rPr>
        <w:t xml:space="preserve">; Appendix </w:t>
      </w:r>
      <w:r w:rsidR="00D96855">
        <w:rPr>
          <w:noProof/>
        </w:rPr>
        <w:t>C</w:t>
      </w:r>
      <w:r w:rsidRPr="00223D48">
        <w:rPr>
          <w:noProof/>
        </w:rPr>
        <w:t>)</w:t>
      </w:r>
      <w:r>
        <w:fldChar w:fldCharType="end"/>
      </w:r>
      <w:r>
        <w:t xml:space="preserve"> </w:t>
      </w:r>
      <w:r w:rsidRPr="00EC0D2A">
        <w:t>w</w:t>
      </w:r>
      <w:r w:rsidR="00E867B4">
        <w:t>ere</w:t>
      </w:r>
      <w:r w:rsidRPr="00EC0D2A">
        <w:t xml:space="preserve"> </w:t>
      </w:r>
      <w:r>
        <w:t>then</w:t>
      </w:r>
      <w:r w:rsidRPr="00EC0D2A">
        <w:t xml:space="preserve"> administered as filler questionnaires to sustain the cover story in order to obscure the purpose of the study.</w:t>
      </w:r>
    </w:p>
    <w:p w14:paraId="66622630" w14:textId="77777777" w:rsidR="00197E3A" w:rsidRPr="00815B3C" w:rsidRDefault="00197E3A" w:rsidP="00197E3A">
      <w:pPr>
        <w:spacing w:line="480" w:lineRule="auto"/>
        <w:ind w:firstLine="720"/>
        <w:rPr>
          <w:b/>
          <w:bCs/>
        </w:rPr>
      </w:pPr>
      <w:r w:rsidRPr="00815B3C">
        <w:rPr>
          <w:b/>
          <w:bCs/>
        </w:rPr>
        <w:t xml:space="preserve">Mortality </w:t>
      </w:r>
      <w:r>
        <w:rPr>
          <w:b/>
          <w:bCs/>
        </w:rPr>
        <w:t>S</w:t>
      </w:r>
      <w:r w:rsidRPr="00815B3C">
        <w:rPr>
          <w:b/>
          <w:bCs/>
        </w:rPr>
        <w:t xml:space="preserve">alience and </w:t>
      </w:r>
      <w:r>
        <w:rPr>
          <w:b/>
          <w:bCs/>
        </w:rPr>
        <w:t>A</w:t>
      </w:r>
      <w:r w:rsidRPr="00815B3C">
        <w:rPr>
          <w:b/>
          <w:bCs/>
        </w:rPr>
        <w:t xml:space="preserve">versive </w:t>
      </w:r>
      <w:r>
        <w:rPr>
          <w:b/>
          <w:bCs/>
        </w:rPr>
        <w:t>C</w:t>
      </w:r>
      <w:r w:rsidRPr="00815B3C">
        <w:rPr>
          <w:b/>
          <w:bCs/>
        </w:rPr>
        <w:t xml:space="preserve">ontrol </w:t>
      </w:r>
      <w:r>
        <w:rPr>
          <w:b/>
          <w:bCs/>
        </w:rPr>
        <w:t>I</w:t>
      </w:r>
      <w:r w:rsidRPr="00815B3C">
        <w:rPr>
          <w:b/>
          <w:bCs/>
        </w:rPr>
        <w:t>nduction.</w:t>
      </w:r>
    </w:p>
    <w:p w14:paraId="5E5FFBE4" w14:textId="09F9CDAC" w:rsidR="00197E3A" w:rsidRPr="00815B3C" w:rsidRDefault="00197E3A" w:rsidP="00197E3A">
      <w:pPr>
        <w:spacing w:line="480" w:lineRule="auto"/>
      </w:pPr>
      <w:r w:rsidRPr="00815B3C">
        <w:rPr>
          <w:b/>
          <w:bCs/>
        </w:rPr>
        <w:tab/>
      </w:r>
      <w:r w:rsidRPr="00815B3C">
        <w:t xml:space="preserve">Consistent with previous terror management research </w:t>
      </w:r>
      <w:r>
        <w:fldChar w:fldCharType="begin" w:fldLock="1"/>
      </w:r>
      <w:r>
        <w:instrText>ADDIN CSL_CITATION {"citationItems":[{"id":"ITEM-1","itemData":{"DOI":"10.1037/0022-3514.57.4.681","ISSN":"00223514","PMID":"2795438","abstract":"On the basis of terror management theory, it was hypothesized that when mortality is made salient, Ss would respond especially positively toward those who uphold cultural values and especially negatively toward those who violate cultural values. In Experiment 1, judges recommended especially harsh bonds for a prostitute when mortality was made salient. Experiment 2 replicated this finding with student Ss and demonstrated that it occurs only among Ss with relatively negative attitudes toward prostitution. Experiment 3 demonstrated that mortality salience also leads to larger reward recommendations for a hero who upheld cultural values. Experiments 4 and 5 showed that the mortality salience effect does not result from heightened self-awareness or physiological arousal. Experiment 6 replicated the punishment effect with a different mortality salience manipulation. Implications for the role of fear of death in social behavior are discussed.","author":[{"dropping-particle":"","family":"Rosenblatt","given":"Abram","non-dropping-particle":"","parse-names":false,"suffix":""},{"dropping-particle":"","family":"Greenberg","given":"Jeff","non-dropping-particle":"","parse-names":false,"suffix":""},{"dropping-particle":"","family":"Solomon","given":"Sheldon","non-dropping-particle":"","parse-names":false,"suffix":""},{"dropping-particle":"","family":"Pyszczynski","given":"Tom","non-dropping-particle":"","parse-names":false,"suffix":""},{"dropping-particle":"","family":"Lyon","given":"Deborah","non-dropping-particle":"","parse-names":false,"suffix":""}],"container-title":"Journal of Personality and Social Psychology","id":"ITEM-1","issue":"4","issued":{"date-parts":[["1989"]]},"page":"681-690","title":"Evidence For Terror Management Theory: I. The Effects of Mortality Salience on Reactions to Those Who Violate or Uphold Cultural Values","type":"article-journal","volume":"57"},"uris":["http://www.mendeley.com/documents/?uuid=297ead9b-0463-46d2-b891-2eaad003529d"]}],"mendeley":{"formattedCitation":"(Rosenblatt et al., 1989)","manualFormatting":"(e.g., Rosenblatt, Greenberg, Solomon, Pyszczynski, &amp; Lyon, 1989)","plainTextFormattedCitation":"(Rosenblatt et al., 1989)","previouslyFormattedCitation":"(Rosenblatt et al., 1989)"},"properties":{"noteIndex":0},"schema":"https://github.com/citation-style-language/schema/raw/master/csl-citation.json"}</w:instrText>
      </w:r>
      <w:r>
        <w:fldChar w:fldCharType="separate"/>
      </w:r>
      <w:r w:rsidRPr="00223D48">
        <w:rPr>
          <w:noProof/>
        </w:rPr>
        <w:t>(</w:t>
      </w:r>
      <w:r>
        <w:rPr>
          <w:noProof/>
        </w:rPr>
        <w:t xml:space="preserve">e.g., </w:t>
      </w:r>
      <w:r w:rsidRPr="00223D48">
        <w:rPr>
          <w:noProof/>
        </w:rPr>
        <w:t>Rosenblatt, Greenberg, Solomon, Pyszczynski, &amp; Lyon, 1989)</w:t>
      </w:r>
      <w:r>
        <w:fldChar w:fldCharType="end"/>
      </w:r>
      <w:r>
        <w:t>,</w:t>
      </w:r>
      <w:r w:rsidRPr="00815B3C">
        <w:t xml:space="preserve"> participants in the mortality salient (MS) condition </w:t>
      </w:r>
      <w:r>
        <w:t xml:space="preserve">(after a short reminder to respond with their gut reactions) </w:t>
      </w:r>
      <w:r w:rsidRPr="00815B3C">
        <w:t>read and respond</w:t>
      </w:r>
      <w:r w:rsidR="00E867B4">
        <w:t>ed</w:t>
      </w:r>
      <w:r w:rsidRPr="00815B3C">
        <w:t xml:space="preserve"> to two open-ended questions: “Please describe the emotions that the thought of your own death arouses in you.” And “Write down as specifically as you can, what you think will happen to you physically as you die and once you are dead.” Control group participants respond</w:t>
      </w:r>
      <w:r w:rsidR="00E867B4">
        <w:t>ed</w:t>
      </w:r>
      <w:r w:rsidRPr="00815B3C">
        <w:t xml:space="preserve"> to parallel questions about being in intense pain: “Please describe the emotions that the thought</w:t>
      </w:r>
      <w:r w:rsidR="002153DC">
        <w:t xml:space="preserve"> of</w:t>
      </w:r>
      <w:r w:rsidRPr="00815B3C">
        <w:t xml:space="preserve"> being in extreme pain arouses in you.” And then, “Write down as specifically as you can, what you think will happen to you physically as you are in extreme pain.” </w:t>
      </w:r>
    </w:p>
    <w:p w14:paraId="234F4EB8" w14:textId="77777777" w:rsidR="00197E3A" w:rsidRPr="00EC0D2A" w:rsidRDefault="00197E3A" w:rsidP="00197E3A">
      <w:pPr>
        <w:spacing w:line="480" w:lineRule="auto"/>
        <w:ind w:firstLine="720"/>
        <w:rPr>
          <w:b/>
          <w:bCs/>
        </w:rPr>
      </w:pPr>
      <w:r w:rsidRPr="00EC0D2A">
        <w:rPr>
          <w:b/>
          <w:bCs/>
        </w:rPr>
        <w:t>PANAS-X</w:t>
      </w:r>
    </w:p>
    <w:p w14:paraId="348BAA1B" w14:textId="398B3910" w:rsidR="00197E3A" w:rsidRPr="00815B3C" w:rsidRDefault="00197E3A" w:rsidP="00197E3A">
      <w:pPr>
        <w:spacing w:line="480" w:lineRule="auto"/>
        <w:ind w:firstLine="720"/>
      </w:pPr>
      <w:r w:rsidRPr="00815B3C">
        <w:t xml:space="preserve">The Positive and Negative Affect Schedule </w:t>
      </w:r>
      <w:r>
        <w:fldChar w:fldCharType="begin" w:fldLock="1"/>
      </w:r>
      <w:r w:rsidR="00D96855">
        <w:instrText>ADDIN CSL_CITATION {"citationItems":[{"id":"ITEM-1","itemData":{"author":[{"dropping-particle":"","family":"Watson","given":"David","non-dropping-particle":"","parse-names":false,"suffix":""},{"dropping-particle":"","family":"Clark","given":"Lee Anna","non-dropping-particle":"","parse-names":false,"suffix":""}],"container-title":"Manual for the positive and negative affect schedule-expanded form. The University of Iowa","id":"ITEM-1","issued":{"date-parts":[["1994"]]},"title":"The Panas-X","type":"article-journal"},"uris":["http://www.mendeley.com/documents/?uuid=1b81c053-548e-41f0-800f-44054cf154b2"]}],"mendeley":{"formattedCitation":"(Watson &amp; Clark, 1994)","manualFormatting":"(PANAS-X; Watson &amp; Clark, 1994; see Appendix D)","plainTextFormattedCitation":"(Watson &amp; Clark, 1994)","previouslyFormattedCitation":"(Watson &amp; Clark, 1994)"},"properties":{"noteIndex":0},"schema":"https://github.com/citation-style-language/schema/raw/master/csl-citation.json"}</w:instrText>
      </w:r>
      <w:r>
        <w:fldChar w:fldCharType="separate"/>
      </w:r>
      <w:r w:rsidRPr="00223D48">
        <w:rPr>
          <w:noProof/>
        </w:rPr>
        <w:t>(</w:t>
      </w:r>
      <w:r>
        <w:rPr>
          <w:noProof/>
        </w:rPr>
        <w:t xml:space="preserve">PANAS-X; </w:t>
      </w:r>
      <w:r w:rsidRPr="00223D48">
        <w:rPr>
          <w:noProof/>
        </w:rPr>
        <w:t>Watson &amp; Clark, 1994</w:t>
      </w:r>
      <w:r>
        <w:rPr>
          <w:noProof/>
        </w:rPr>
        <w:t xml:space="preserve">; see Appendix </w:t>
      </w:r>
      <w:r w:rsidR="00D96855">
        <w:rPr>
          <w:noProof/>
        </w:rPr>
        <w:t>D</w:t>
      </w:r>
      <w:r w:rsidRPr="00223D48">
        <w:rPr>
          <w:noProof/>
        </w:rPr>
        <w:t>)</w:t>
      </w:r>
      <w:r>
        <w:fldChar w:fldCharType="end"/>
      </w:r>
      <w:r w:rsidRPr="00815B3C">
        <w:t xml:space="preserve"> asks participants to report the extent to which they were currently experiencing 60 positive and negative emotions (e.g., cheerful, sad, nervous, afraid, and calm).</w:t>
      </w:r>
      <w:r w:rsidRPr="00815B3C">
        <w:rPr>
          <w:rFonts w:eastAsiaTheme="minorEastAsia"/>
        </w:rPr>
        <w:t xml:space="preserve"> This </w:t>
      </w:r>
      <w:r w:rsidR="003E0B03">
        <w:rPr>
          <w:rFonts w:eastAsiaTheme="minorEastAsia"/>
        </w:rPr>
        <w:t>was</w:t>
      </w:r>
      <w:r w:rsidRPr="00815B3C">
        <w:rPr>
          <w:rFonts w:eastAsiaTheme="minorEastAsia"/>
        </w:rPr>
        <w:t xml:space="preserve"> to</w:t>
      </w:r>
      <w:r w:rsidRPr="00815B3C">
        <w:t xml:space="preserve"> assess </w:t>
      </w:r>
      <w:r w:rsidRPr="00815B3C">
        <w:lastRenderedPageBreak/>
        <w:t>the affective consequences of the mortality salience induction and determine if subsequent effects observed on dependent measures are mediated by affect.</w:t>
      </w:r>
    </w:p>
    <w:p w14:paraId="6D09AFAA" w14:textId="77777777" w:rsidR="00197E3A" w:rsidRPr="00815B3C" w:rsidRDefault="00197E3A" w:rsidP="00197E3A">
      <w:pPr>
        <w:spacing w:line="480" w:lineRule="auto"/>
        <w:ind w:firstLine="720"/>
        <w:rPr>
          <w:b/>
          <w:bCs/>
        </w:rPr>
      </w:pPr>
      <w:r w:rsidRPr="00815B3C">
        <w:rPr>
          <w:b/>
          <w:bCs/>
        </w:rPr>
        <w:t>Questing and Vacationing Visualization</w:t>
      </w:r>
    </w:p>
    <w:p w14:paraId="27A4EF24" w14:textId="10D05210" w:rsidR="00197E3A" w:rsidRPr="00815B3C" w:rsidRDefault="00197E3A" w:rsidP="00197E3A">
      <w:pPr>
        <w:spacing w:line="480" w:lineRule="auto"/>
        <w:ind w:firstLine="720"/>
      </w:pPr>
      <w:r w:rsidRPr="00EC0D2A">
        <w:t>Some participants w</w:t>
      </w:r>
      <w:r w:rsidR="00E867B4">
        <w:t>ere</w:t>
      </w:r>
      <w:r w:rsidRPr="00EC0D2A">
        <w:t xml:space="preserve"> asked to complete a visualization experience in order to manipulate the questing variable.  This manipulation also serve</w:t>
      </w:r>
      <w:r w:rsidR="00E867B4">
        <w:t>d</w:t>
      </w:r>
      <w:r w:rsidRPr="00EC0D2A">
        <w:t xml:space="preserve"> as a distraction task between the mortality salience/pain salience prompts and subsequent dependent measures </w:t>
      </w:r>
      <w:r>
        <w:fldChar w:fldCharType="begin" w:fldLock="1"/>
      </w:r>
      <w:r>
        <w:instrText>ADDIN CSL_CITATION {"citationItems":[{"id":"ITEM-1","itemData":{"DOI":"10.1037/0022-3514.67.4.627","ISSN":"00223514","PMID":"7965609","abstract":"On the basis of terror management theory, research has shown that subtle mortality salience inductions engender increased prejudice, nationalism, and intergroup bias. Study 1 replicated this effect (increased preference for a pro-U.S. author over an anti-U.S. author) and found weaker effects when Ss are led to think more deeply about mortality or about the death of a loved one. Study 2 showed that this effect is not produced by thoughts of non-death-related aversive events. Studies 2 and 3 demonstrated that this effect occurs only if Ss are distracted from mortality salience before assessment of its effects. Study 4 revealed that although the accessibility of death-related thoughts does not increase immediately after mortality salience, it does increase after Ss are distracted from mortality salience. These findings suggest that mortality salience effects are unique to thoughts of death and occur primarily when such thoughts are highly accessible but outside of consciousness.","author":[{"dropping-particle":"","family":"Greenberg","given":"Jeff","non-dropping-particle":"","parse-names":false,"suffix":""},{"dropping-particle":"","family":"Pyszczynski","given":"Tom","non-dropping-particle":"","parse-names":false,"suffix":""},{"dropping-particle":"","family":"Solomon","given":"Sheldon","non-dropping-particle":"","parse-names":false,"suffix":""},{"dropping-particle":"","family":"Simon","given":"Linda","non-dropping-particle":"","parse-names":false,"suffix":""},{"dropping-particle":"","family":"Breus","given":"Michael","non-dropping-particle":"","parse-names":false,"suffix":""}],"container-title":"Journal of Personality and Social Psychology","id":"ITEM-1","issue":"4","issued":{"date-parts":[["1994"]]},"page":"627-637","title":"Role of Consciousness and Accessibility of Death-Related Thoughts in Mortality Salience Effects","type":"article-journal","volume":"67"},"uris":["http://www.mendeley.com/documents/?uuid=f7264959-7673-43aa-9cee-ca27e8f9f8fb"]}],"mendeley":{"formattedCitation":"(Greenberg, Pyszczynski, Solomon, Simon, &amp; Breus, 1994)","plainTextFormattedCitation":"(Greenberg, Pyszczynski, Solomon, Simon, &amp; Breus, 1994)","previouslyFormattedCitation":"(Greenberg, Pyszczynski, Solomon, Simon, &amp; Breus, 1994)"},"properties":{"noteIndex":0},"schema":"https://github.com/citation-style-language/schema/raw/master/csl-citation.json"}</w:instrText>
      </w:r>
      <w:r>
        <w:fldChar w:fldCharType="separate"/>
      </w:r>
      <w:r w:rsidRPr="006909E4">
        <w:rPr>
          <w:noProof/>
        </w:rPr>
        <w:t>(Greenberg, Pyszczynski, Solomon, Simon, &amp; Breus, 1994)</w:t>
      </w:r>
      <w:r>
        <w:fldChar w:fldCharType="end"/>
      </w:r>
      <w:r w:rsidRPr="00EC0D2A">
        <w:t xml:space="preserve"> First, participants complete</w:t>
      </w:r>
      <w:r w:rsidR="00E867B4">
        <w:t>d</w:t>
      </w:r>
      <w:r w:rsidRPr="00815B3C">
        <w:rPr>
          <w:b/>
          <w:bCs/>
        </w:rPr>
        <w:t xml:space="preserve"> </w:t>
      </w:r>
      <w:r w:rsidRPr="00815B3C">
        <w:t xml:space="preserve">a </w:t>
      </w:r>
      <w:r w:rsidRPr="00EC0D2A">
        <w:rPr>
          <w:rFonts w:eastAsia="Calibri"/>
        </w:rPr>
        <w:t>“</w:t>
      </w:r>
      <w:r w:rsidRPr="00815B3C">
        <w:t>Vividness of Visual Imagery Questionnaire</w:t>
      </w:r>
      <w:r w:rsidRPr="00EC0D2A">
        <w:rPr>
          <w:rFonts w:eastAsia="Calibri"/>
        </w:rPr>
        <w:t xml:space="preserve">” </w:t>
      </w:r>
      <w:r w:rsidRPr="00815B3C">
        <w:t>with the following instructions:</w:t>
      </w:r>
    </w:p>
    <w:p w14:paraId="7D76FE95" w14:textId="77777777" w:rsidR="00197E3A" w:rsidRPr="00815B3C" w:rsidRDefault="00197E3A" w:rsidP="00E82F2E">
      <w:pPr>
        <w:spacing w:line="480" w:lineRule="auto"/>
        <w:ind w:left="418"/>
      </w:pPr>
      <w:r w:rsidRPr="00815B3C">
        <w:t xml:space="preserve">Visual imagery refers to how people form mental pictures or to </w:t>
      </w:r>
      <w:r w:rsidRPr="00EC0D2A">
        <w:rPr>
          <w:rFonts w:eastAsia="Calibri"/>
        </w:rPr>
        <w:t>‘</w:t>
      </w:r>
      <w:r w:rsidRPr="00815B3C">
        <w:t>see in the mind's eye.</w:t>
      </w:r>
      <w:r w:rsidRPr="00EC0D2A">
        <w:rPr>
          <w:rFonts w:eastAsia="Calibri"/>
        </w:rPr>
        <w:t xml:space="preserve">’ </w:t>
      </w:r>
      <w:r w:rsidRPr="00815B3C">
        <w:t xml:space="preserve">Great individual differences have been found in people's reports of visual imagery and these differences are of considerable psychological interest. The aim of this questionnaire is to determine the vividness of your visual imagery. The items of the questionnaire will ask you to bring certain images to mind, and then rate the vividness of each image. </w:t>
      </w:r>
    </w:p>
    <w:p w14:paraId="59119768" w14:textId="68F75B3A" w:rsidR="00197E3A" w:rsidRPr="00815B3C" w:rsidRDefault="00197E3A" w:rsidP="00E82F2E">
      <w:pPr>
        <w:spacing w:line="480" w:lineRule="auto"/>
        <w:ind w:firstLine="418"/>
      </w:pPr>
      <w:r w:rsidRPr="00815B3C">
        <w:t xml:space="preserve">Participants in the </w:t>
      </w:r>
      <w:r>
        <w:rPr>
          <w:rFonts w:eastAsia="Calibri"/>
        </w:rPr>
        <w:t>q</w:t>
      </w:r>
      <w:r w:rsidRPr="00EC0D2A">
        <w:rPr>
          <w:rFonts w:eastAsia="Calibri"/>
        </w:rPr>
        <w:t>uesting</w:t>
      </w:r>
      <w:r w:rsidRPr="00815B3C">
        <w:t xml:space="preserve"> condition </w:t>
      </w:r>
      <w:r w:rsidR="00E867B4">
        <w:t>were</w:t>
      </w:r>
      <w:r w:rsidR="00E867B4" w:rsidRPr="00815B3C">
        <w:t xml:space="preserve"> </w:t>
      </w:r>
      <w:r w:rsidRPr="00815B3C">
        <w:t>then</w:t>
      </w:r>
      <w:r>
        <w:t xml:space="preserve"> prompted</w:t>
      </w:r>
      <w:r w:rsidRPr="00815B3C">
        <w:t xml:space="preserve"> </w:t>
      </w:r>
      <w:r w:rsidRPr="00EC0D2A">
        <w:rPr>
          <w:rFonts w:eastAsia="Calibri"/>
        </w:rPr>
        <w:t>“</w:t>
      </w:r>
      <w:r>
        <w:rPr>
          <w:rFonts w:eastAsia="Calibri"/>
        </w:rPr>
        <w:t xml:space="preserve">People from all backgrounds and across all cultures have been questing since antiquity. </w:t>
      </w:r>
      <w:r w:rsidRPr="00D7531C">
        <w:rPr>
          <w:rFonts w:eastAsia="Calibri"/>
        </w:rPr>
        <w:t>Visualize going on a quest - a journey that one takes in order to achieve a goal or complete an important task. Consider carefully each picture that comes before your mind's eye.”</w:t>
      </w:r>
      <w:r w:rsidRPr="00EC0D2A">
        <w:rPr>
          <w:rFonts w:eastAsia="Calibri"/>
        </w:rPr>
        <w:t xml:space="preserve"> </w:t>
      </w:r>
      <w:r w:rsidRPr="00815B3C">
        <w:t xml:space="preserve">These participants were then presented with the following single-sentence cues </w:t>
      </w:r>
      <w:r>
        <w:t xml:space="preserve">for </w:t>
      </w:r>
      <w:r w:rsidRPr="00815B3C">
        <w:t xml:space="preserve">their visualizations at </w:t>
      </w:r>
      <w:r>
        <w:t>20</w:t>
      </w:r>
      <w:r w:rsidRPr="00815B3C">
        <w:t xml:space="preserve"> second intervals:</w:t>
      </w:r>
    </w:p>
    <w:p w14:paraId="12EA6599" w14:textId="77777777" w:rsidR="00197E3A" w:rsidRPr="003F094D" w:rsidRDefault="00197E3A" w:rsidP="00E82F2E">
      <w:pPr>
        <w:spacing w:line="480" w:lineRule="auto"/>
        <w:ind w:left="418"/>
      </w:pPr>
      <w:r w:rsidRPr="003F094D">
        <w:t>The sun is rising above the horizon into a hazy sky.</w:t>
      </w:r>
    </w:p>
    <w:p w14:paraId="454858E0" w14:textId="77777777" w:rsidR="00197E3A" w:rsidRPr="003F094D" w:rsidRDefault="00197E3A" w:rsidP="00E82F2E">
      <w:pPr>
        <w:spacing w:line="480" w:lineRule="auto"/>
        <w:ind w:left="418"/>
      </w:pPr>
      <w:r w:rsidRPr="003F094D">
        <w:t>You feel an urge to seek answers to your questions about life.</w:t>
      </w:r>
    </w:p>
    <w:p w14:paraId="03866F5B" w14:textId="77777777" w:rsidR="00197E3A" w:rsidRPr="003F094D" w:rsidRDefault="00197E3A" w:rsidP="00E82F2E">
      <w:pPr>
        <w:spacing w:line="480" w:lineRule="auto"/>
        <w:ind w:left="418"/>
      </w:pPr>
      <w:r w:rsidRPr="003F094D">
        <w:t>You start your journey and you feel a light breeze on your face.</w:t>
      </w:r>
    </w:p>
    <w:p w14:paraId="33301059" w14:textId="5C197768" w:rsidR="00197E3A" w:rsidRPr="00815B3C" w:rsidRDefault="00197E3A" w:rsidP="00E82F2E">
      <w:pPr>
        <w:spacing w:line="480" w:lineRule="auto"/>
        <w:ind w:left="418"/>
      </w:pPr>
      <w:r w:rsidRPr="00815B3C">
        <w:lastRenderedPageBreak/>
        <w:t xml:space="preserve">You boldly venture forth, excited for what you </w:t>
      </w:r>
      <w:r w:rsidRPr="00EC0D2A">
        <w:t>will discover about yourself and the world around you.</w:t>
      </w:r>
    </w:p>
    <w:p w14:paraId="55EFE486" w14:textId="73BDA45B" w:rsidR="00197E3A" w:rsidRPr="00815B3C" w:rsidRDefault="00197E3A" w:rsidP="00E82F2E">
      <w:pPr>
        <w:spacing w:line="480" w:lineRule="auto"/>
      </w:pPr>
      <w:r w:rsidRPr="00815B3C">
        <w:t>Participants in the vacation condition w</w:t>
      </w:r>
      <w:r w:rsidR="00E867B4">
        <w:t>ere</w:t>
      </w:r>
      <w:r w:rsidRPr="00815B3C">
        <w:t xml:space="preserve"> </w:t>
      </w:r>
      <w:r>
        <w:t>prompted</w:t>
      </w:r>
      <w:r w:rsidRPr="00815B3C">
        <w:t xml:space="preserve"> </w:t>
      </w:r>
      <w:r w:rsidRPr="00815B3C">
        <w:rPr>
          <w:rFonts w:eastAsia="Calibri"/>
        </w:rPr>
        <w:t>“</w:t>
      </w:r>
      <w:r>
        <w:rPr>
          <w:rFonts w:eastAsia="Calibri"/>
        </w:rPr>
        <w:t xml:space="preserve">The idea of leaving your home and going on a vacation is as old as time. </w:t>
      </w:r>
      <w:r>
        <w:t>V</w:t>
      </w:r>
      <w:r w:rsidRPr="00815B3C">
        <w:t>isualize going on vacation – a period of extended leisure and recreation. Consider carefully each picture that comes before your mind's eye.</w:t>
      </w:r>
      <w:r w:rsidRPr="00EC0D2A">
        <w:rPr>
          <w:rFonts w:eastAsia="Calibri"/>
        </w:rPr>
        <w:t xml:space="preserve">” </w:t>
      </w:r>
      <w:r w:rsidRPr="00815B3C">
        <w:t xml:space="preserve">They were then presented with these alternative single-sentence visualization cues at </w:t>
      </w:r>
      <w:r>
        <w:t>2</w:t>
      </w:r>
      <w:r w:rsidRPr="00815B3C">
        <w:t>0 second intervals:</w:t>
      </w:r>
    </w:p>
    <w:p w14:paraId="6F1EB960" w14:textId="77777777" w:rsidR="00197E3A" w:rsidRPr="00815B3C" w:rsidRDefault="00197E3A" w:rsidP="00E82F2E">
      <w:pPr>
        <w:spacing w:line="480" w:lineRule="auto"/>
        <w:ind w:left="418"/>
      </w:pPr>
      <w:r w:rsidRPr="00815B3C">
        <w:t xml:space="preserve">The </w:t>
      </w:r>
      <w:r>
        <w:t>ground feels sturdy beneath your feet</w:t>
      </w:r>
      <w:r w:rsidRPr="00815B3C">
        <w:t>.</w:t>
      </w:r>
    </w:p>
    <w:p w14:paraId="08BA89C5" w14:textId="77777777" w:rsidR="00197E3A" w:rsidRPr="00815B3C" w:rsidRDefault="00197E3A" w:rsidP="00E82F2E">
      <w:pPr>
        <w:spacing w:line="480" w:lineRule="auto"/>
        <w:ind w:left="418"/>
      </w:pPr>
      <w:r w:rsidRPr="00815B3C">
        <w:t>The sun is shining brightly in the sky and you feel a light breeze on your face.</w:t>
      </w:r>
    </w:p>
    <w:p w14:paraId="774401A3" w14:textId="77777777" w:rsidR="00197E3A" w:rsidRPr="00815B3C" w:rsidRDefault="00197E3A" w:rsidP="00E82F2E">
      <w:pPr>
        <w:spacing w:line="480" w:lineRule="auto"/>
        <w:ind w:left="418"/>
      </w:pPr>
      <w:r w:rsidRPr="003F094D">
        <w:t xml:space="preserve">You start to stroll </w:t>
      </w:r>
      <w:r>
        <w:t>across the field</w:t>
      </w:r>
      <w:r w:rsidRPr="005F50A5">
        <w:t>.</w:t>
      </w:r>
    </w:p>
    <w:p w14:paraId="1B2DFD6A" w14:textId="4D572F9E" w:rsidR="00197E3A" w:rsidRPr="00815B3C" w:rsidRDefault="00197E3A" w:rsidP="00E82F2E">
      <w:pPr>
        <w:spacing w:line="480" w:lineRule="auto"/>
        <w:ind w:left="418"/>
      </w:pPr>
      <w:r w:rsidRPr="00815B3C">
        <w:t xml:space="preserve">You relax and let go of your stress as you hear the sound of </w:t>
      </w:r>
      <w:r>
        <w:t>nature all around you</w:t>
      </w:r>
      <w:r w:rsidRPr="00815B3C">
        <w:t>.</w:t>
      </w:r>
    </w:p>
    <w:p w14:paraId="4E5F934A" w14:textId="0CDAE1F7" w:rsidR="00197E3A" w:rsidRPr="00815B3C" w:rsidRDefault="00197E3A" w:rsidP="00197E3A">
      <w:pPr>
        <w:spacing w:line="480" w:lineRule="auto"/>
      </w:pPr>
      <w:r w:rsidRPr="00815B3C">
        <w:t>After reading each sentence, all participants rate</w:t>
      </w:r>
      <w:r w:rsidR="00E867B4">
        <w:t>d</w:t>
      </w:r>
      <w:r w:rsidRPr="00815B3C">
        <w:t xml:space="preserve"> how vividly they could visualize the image on a 5-point scale (1=vague and dim; 5=perfectly clear and vivid).</w:t>
      </w:r>
      <w:r>
        <w:t xml:space="preserve"> Q</w:t>
      </w:r>
      <w:r w:rsidRPr="00815B3C">
        <w:t>uesting participants w</w:t>
      </w:r>
      <w:r w:rsidR="00E867B4">
        <w:t>ere</w:t>
      </w:r>
      <w:r w:rsidRPr="00815B3C">
        <w:t xml:space="preserve"> presented with an</w:t>
      </w:r>
      <w:r>
        <w:t xml:space="preserve"> artistic</w:t>
      </w:r>
      <w:r w:rsidRPr="00815B3C">
        <w:t xml:space="preserve"> image of a young man in a backpack looking toward the horizon </w:t>
      </w:r>
      <w:r>
        <w:t>(A</w:t>
      </w:r>
      <w:r w:rsidRPr="00815B3C">
        <w:t xml:space="preserve">ppendix </w:t>
      </w:r>
      <w:r w:rsidR="00D96855">
        <w:t>E</w:t>
      </w:r>
      <w:r w:rsidRPr="00815B3C">
        <w:t xml:space="preserve">); </w:t>
      </w:r>
      <w:r>
        <w:t>V</w:t>
      </w:r>
      <w:r w:rsidRPr="00815B3C">
        <w:t xml:space="preserve">acation participants </w:t>
      </w:r>
      <w:r w:rsidR="00E867B4">
        <w:t>were</w:t>
      </w:r>
      <w:r w:rsidRPr="00815B3C">
        <w:t xml:space="preserve"> presented with a</w:t>
      </w:r>
      <w:r>
        <w:t xml:space="preserve"> photographic</w:t>
      </w:r>
      <w:r w:rsidRPr="00815B3C">
        <w:t xml:space="preserve"> image of a young </w:t>
      </w:r>
      <w:r>
        <w:t>man</w:t>
      </w:r>
      <w:r w:rsidRPr="00815B3C">
        <w:t xml:space="preserve"> in a backpack looking toward the horizon (</w:t>
      </w:r>
      <w:r>
        <w:t>A</w:t>
      </w:r>
      <w:r w:rsidRPr="00815B3C">
        <w:t xml:space="preserve">ppendix </w:t>
      </w:r>
      <w:r w:rsidR="00D96855">
        <w:t>F</w:t>
      </w:r>
      <w:r w:rsidRPr="00815B3C">
        <w:t>).</w:t>
      </w:r>
      <w:r>
        <w:t xml:space="preserve"> A</w:t>
      </w:r>
      <w:r w:rsidRPr="00815B3C">
        <w:t>ll participants w</w:t>
      </w:r>
      <w:r w:rsidR="00E867B4">
        <w:t>ere</w:t>
      </w:r>
      <w:r w:rsidRPr="00815B3C">
        <w:t xml:space="preserve"> instructed to imagine themselves as the person heading out on a quest (or vacation – depending on condition) while looking at the picture for </w:t>
      </w:r>
      <w:r>
        <w:t>20</w:t>
      </w:r>
      <w:r w:rsidRPr="00815B3C">
        <w:t xml:space="preserve"> seconds.</w:t>
      </w:r>
    </w:p>
    <w:p w14:paraId="43A2582C" w14:textId="77777777" w:rsidR="00197E3A" w:rsidRPr="00815B3C" w:rsidRDefault="00197E3A" w:rsidP="00197E3A">
      <w:pPr>
        <w:spacing w:line="480" w:lineRule="auto"/>
        <w:ind w:firstLine="720"/>
        <w:rPr>
          <w:b/>
          <w:bCs/>
        </w:rPr>
      </w:pPr>
      <w:r w:rsidRPr="00815B3C">
        <w:rPr>
          <w:b/>
          <w:bCs/>
        </w:rPr>
        <w:t>Literary Passage</w:t>
      </w:r>
    </w:p>
    <w:p w14:paraId="461D651A" w14:textId="790B1B45" w:rsidR="00197E3A" w:rsidRPr="00815B3C" w:rsidRDefault="00197E3A" w:rsidP="00197E3A">
      <w:pPr>
        <w:spacing w:line="480" w:lineRule="auto"/>
      </w:pPr>
      <w:r w:rsidRPr="00815B3C">
        <w:rPr>
          <w:b/>
          <w:bCs/>
        </w:rPr>
        <w:tab/>
      </w:r>
      <w:r w:rsidRPr="00815B3C">
        <w:t xml:space="preserve">Participants who </w:t>
      </w:r>
      <w:r w:rsidR="003E0B03">
        <w:t>were</w:t>
      </w:r>
      <w:r w:rsidRPr="00815B3C">
        <w:t xml:space="preserve"> not given imagery exercises instead read a literary passage and afterward answer</w:t>
      </w:r>
      <w:r w:rsidR="00E867B4">
        <w:t>ed</w:t>
      </w:r>
      <w:r w:rsidRPr="00815B3C">
        <w:t xml:space="preserve"> a few brief questions about it (see Appendix </w:t>
      </w:r>
      <w:r w:rsidR="00D96855">
        <w:t>G</w:t>
      </w:r>
      <w:r w:rsidRPr="00815B3C">
        <w:t xml:space="preserve">). </w:t>
      </w:r>
      <w:r w:rsidRPr="00EC0D2A">
        <w:t>This serve</w:t>
      </w:r>
      <w:r w:rsidR="00E867B4">
        <w:t>d</w:t>
      </w:r>
      <w:r w:rsidRPr="00EC0D2A">
        <w:t xml:space="preserve"> as a distraction task between the mortality salience/pain salience prompts and</w:t>
      </w:r>
      <w:r w:rsidR="00E867B4">
        <w:t xml:space="preserve"> the</w:t>
      </w:r>
      <w:r w:rsidRPr="00EC0D2A">
        <w:t xml:space="preserve"> subsequent dependent measures </w:t>
      </w:r>
      <w:r>
        <w:fldChar w:fldCharType="begin" w:fldLock="1"/>
      </w:r>
      <w:r>
        <w:instrText>ADDIN CSL_CITATION {"citationItems":[{"id":"ITEM-1","itemData":{"DOI":"10.1037/0022-3514.67.4.627","ISSN":"00223514","PMID":"7965609","abstract":"On the basis of terror management theory, research has shown that subtle mortality salience inductions engender increased prejudice, nationalism, and intergroup bias. Study 1 replicated this effect (increased preference for a pro-U.S. author over an anti-U.S. author) and found weaker effects when Ss are led to think more deeply about mortality or about the death of a loved one. Study 2 showed that this effect is not produced by thoughts of non-death-related aversive events. Studies 2 and 3 demonstrated that this effect occurs only if Ss are distracted from mortality salience before assessment of its effects. Study 4 revealed that although the accessibility of death-related thoughts does not increase immediately after mortality salience, it does increase after Ss are distracted from mortality salience. These findings suggest that mortality salience effects are unique to thoughts of death and occur primarily when such thoughts are highly accessible but outside of consciousness.","author":[{"dropping-particle":"","family":"Greenberg","given":"Jeff","non-dropping-particle":"","parse-names":false,"suffix":""},{"dropping-particle":"","family":"Pyszczynski","given":"Tom","non-dropping-particle":"","parse-names":false,"suffix":""},{"dropping-particle":"","family":"Solomon","given":"Sheldon","non-dropping-particle":"","parse-names":false,"suffix":""},{"dropping-particle":"","family":"Simon","given":"Linda","non-dropping-particle":"","parse-names":false,"suffix":""},{"dropping-particle":"","family":"Breus","given":"Michael","non-dropping-particle":"","parse-names":false,"suffix":""}],"container-title":"Journal of Personality and Social Psychology","id":"ITEM-1","issue":"4","issued":{"date-parts":[["1994"]]},"page":"627-637","title":"Role of Consciousness and Accessibility of Death-Related Thoughts in Mortality Salience Effects","type":"article-journal","volume":"67"},"uris":["http://www.mendeley.com/documents/?uuid=f7264959-7673-43aa-9cee-ca27e8f9f8fb"]}],"mendeley":{"formattedCitation":"(Greenberg et al., 1994)","plainTextFormattedCitation":"(Greenberg et al., 1994)","previouslyFormattedCitation":"(Greenberg et al., 1994)"},"properties":{"noteIndex":0},"schema":"https://github.com/citation-style-language/schema/raw/master/csl-citation.json"}</w:instrText>
      </w:r>
      <w:r>
        <w:fldChar w:fldCharType="separate"/>
      </w:r>
      <w:r w:rsidRPr="006909E4">
        <w:rPr>
          <w:noProof/>
        </w:rPr>
        <w:t>(Greenberg et al., 1994)</w:t>
      </w:r>
      <w:r>
        <w:fldChar w:fldCharType="end"/>
      </w:r>
      <w:r>
        <w:t>.</w:t>
      </w:r>
    </w:p>
    <w:p w14:paraId="70BC7D78" w14:textId="77777777" w:rsidR="00197E3A" w:rsidRPr="00815B3C" w:rsidRDefault="00197E3A" w:rsidP="00197E3A">
      <w:pPr>
        <w:spacing w:line="480" w:lineRule="auto"/>
        <w:ind w:firstLine="720"/>
        <w:rPr>
          <w:b/>
          <w:bCs/>
        </w:rPr>
      </w:pPr>
      <w:r w:rsidRPr="00815B3C">
        <w:rPr>
          <w:b/>
          <w:bCs/>
        </w:rPr>
        <w:lastRenderedPageBreak/>
        <w:t>Death Thought Accessibility</w:t>
      </w:r>
    </w:p>
    <w:p w14:paraId="0A265B6F" w14:textId="07524E0F" w:rsidR="00197E3A" w:rsidRPr="00815B3C" w:rsidRDefault="00197E3A" w:rsidP="00197E3A">
      <w:pPr>
        <w:spacing w:line="480" w:lineRule="auto"/>
        <w:ind w:firstLine="720"/>
        <w:rPr>
          <w:b/>
          <w:bCs/>
        </w:rPr>
      </w:pPr>
      <w:r w:rsidRPr="00815B3C">
        <w:t xml:space="preserve">A death thought accessibility (DTA) measure </w:t>
      </w:r>
      <w:r w:rsidR="00E867B4">
        <w:t>was</w:t>
      </w:r>
      <w:r w:rsidRPr="00815B3C">
        <w:t xml:space="preserve"> administered as the primary dependent measure. DTA </w:t>
      </w:r>
      <w:r w:rsidR="00E867B4">
        <w:t>was</w:t>
      </w:r>
      <w:r w:rsidRPr="00815B3C">
        <w:t xml:space="preserve"> assessed by using a word fragment completion task, which has been utilized in previous research for this purpose </w:t>
      </w:r>
      <w:r w:rsidRPr="00815B3C">
        <w:fldChar w:fldCharType="begin" w:fldLock="1"/>
      </w:r>
      <w:r>
        <w:instrText>ADDIN CSL_CITATION {"citationItems":[{"id":"ITEM-1","itemData":{"DOI":"10.1037/0022-3514.67.4.627","ISSN":"00223514","PMID":"7965609","abstract":"On the basis of terror management theory, research has shown that subtle mortality salience inductions engender increased prejudice, nationalism, and intergroup bias. Study 1 replicated this effect (increased preference for a pro-U.S. author over an anti-U.S. author) and found weaker effects when Ss are led to think more deeply about mortality or about the death of a loved one. Study 2 showed that this effect is not produced by thoughts of non-death-related aversive events. Studies 2 and 3 demonstrated that this effect occurs only if Ss are distracted from mortality salience before assessment of its effects. Study 4 revealed that although the accessibility of death-related thoughts does not increase immediately after mortality salience, it does increase after Ss are distracted from mortality salience. These findings suggest that mortality salience effects are unique to thoughts of death and occur primarily when such thoughts are highly accessible but outside of consciousness.","author":[{"dropping-particle":"","family":"Greenberg","given":"Jeff","non-dropping-particle":"","parse-names":false,"suffix":""},{"dropping-particle":"","family":"Pyszczynski","given":"Tom","non-dropping-particle":"","parse-names":false,"suffix":""},{"dropping-particle":"","family":"Solomon","given":"Sheldon","non-dropping-particle":"","parse-names":false,"suffix":""},{"dropping-particle":"","family":"Simon","given":"Linda","non-dropping-particle":"","parse-names":false,"suffix":""},{"dropping-particle":"","family":"Breus","given":"Michael","non-dropping-particle":"","parse-names":false,"suffix":""}],"container-title":"Journal of Personality and Social Psychology","id":"ITEM-1","issue":"4","issued":{"date-parts":[["1994"]]},"page":"627-637","title":"Role of Consciousness and Accessibility of Death-Related Thoughts in Mortality Salience Effects","type":"article-journal","volume":"67"},"uris":["http://www.mendeley.com/documents/?uuid=f7264959-7673-43aa-9cee-ca27e8f9f8fb"]},{"id":"ITEM-2","itemData":{"DOI":"10.1037/0022-3514.72.1.24","ISSN":"00223514","PMID":"9008372","abstract":"On the basis of the terror management theory proposition that self-esteem provides protection against concerns about mortality, it was hypothesized that self-esteem would reduce the worldview defense produced by mortality salience (MS). The results of Experiments 1 and 2 confirmed this hypothesis by showing that individuals with high self-esteem (manipulated in Experiment 1; dispositional in Experiment 2) did not respond to MS with increased worldview defense, whereas individuals with moderate self-esteem did. The results of Experiment 3 suggested that the effects of the first 2 experiments may have occurred because high self-esteem facilitates the suppression of death constructs following MS.","author":[{"dropping-particle":"","family":"Harmon-Jones","given":"Eddie","non-dropping-particle":"","parse-names":false,"suffix":""},{"dropping-particle":"","family":"Simon","given":"Linda","non-dropping-particle":"","parse-names":false,"suffix":""},{"dropping-particle":"","family":"Greenberg","given":"Jeff","non-dropping-particle":"","parse-names":false,"suffix":""},{"dropping-particle":"","family":"Solomon","given":"Sheldon","non-dropping-particle":"","parse-names":false,"suffix":""},{"dropping-particle":"","family":"Pyszczynski","given":"Tom","non-dropping-particle":"","parse-names":false,"suffix":""},{"dropping-particle":"","family":"McGregor","given":"Holly","non-dropping-particle":"","parse-names":false,"suffix":""}],"container-title":"Journal of Personality and Social Psychology","id":"ITEM-2","issue":"1","issued":{"date-parts":[["1997"]]},"page":"24-36","title":"Terror Management Theory and Self-Esteem: Evidence That Increased Self-Esteem Reduces Mortality Salience Effects","type":"article-journal","volume":"72"},"uris":["http://www.mendeley.com/documents/?uuid=24017531-b96e-4df8-a533-61392733005d"]},{"id":"ITEM-3","itemData":{"DOI":"10.1037/0022-3514.92.5.789","ISSN":"00223514","PMID":"17484605","abstract":"According to terror management theory, if the cultural worldview protects people from thoughts about death, then weakening this structure should increase death-thought accessibility (DTA). Five studies tested this DTA hypothesis. Study 1 showed that threatening Canadian participants' cultural values (vs. those of another culture) increased DTA on a word-fragment completion task. Study 2 showed that when participants could dismiss the threat, DTA remained low. Study 3 replicated the results of Study 1, but DTA was measured using a lexical decision task. Response latencies to death, negative, and neutral content were measured. Worldview threat increased DTA relative to accessibility for negative and neutral content. Study 4 showed that the DTA effect emerged independently of the arousal of anger or anxiety. Finally, Study 5 demonstrated that participants with a pro-creation (vs. pro-evolution) worldview had higher DTA after reading an anti-creation article. Discussion focused on theoretical implications and directions for further research. PsycINFO Database Record (c) 2007 APA, all rights reserved.","author":[{"dropping-particle":"","family":"Schimel","given":"Jeff","non-dropping-particle":"","parse-names":false,"suffix":""},{"dropping-particle":"","family":"Hayes","given":"Joseph","non-dropping-particle":"","parse-names":false,"suffix":""},{"dropping-particle":"","family":"Williams","given":"Todd","non-dropping-particle":"","parse-names":false,"suffix":""},{"dropping-particle":"","family":"Jahrig","given":"Jesse","non-dropping-particle":"","parse-names":false,"suffix":""}],"container-title":"Journal of Personality and Social Psychology","id":"ITEM-3","issue":"5","issued":{"date-parts":[["2007"]]},"page":"789-803","title":"Is death really the worm at the core? Converging evidence that worldview threat increases death-thought accessibility","type":"article-journal","volume":"92"},"uris":["http://www.mendeley.com/documents/?uuid=b703ea4b-41af-4885-8a98-f3fc7ce46745"]}],"mendeley":{"formattedCitation":"(Greenberg et al., 1994; Harmon-Jones et al., 1997; Schimel et al., 2007)","plainTextFormattedCitation":"(Greenberg et al., 1994; Harmon-Jones et al., 1997; Schimel et al., 2007)","previouslyFormattedCitation":"(Greenberg et al., 1994; Harmon-Jones et al., 1997; Schimel et al., 2007)"},"properties":{"noteIndex":0},"schema":"https://github.com/citation-style-language/schema/raw/master/csl-citation.json"}</w:instrText>
      </w:r>
      <w:r w:rsidRPr="00815B3C">
        <w:fldChar w:fldCharType="separate"/>
      </w:r>
      <w:r w:rsidRPr="00DA4420">
        <w:rPr>
          <w:noProof/>
        </w:rPr>
        <w:t>(Greenberg et al., 1994; Harmon-Jones et al., 1997; Schimel et al., 2007)</w:t>
      </w:r>
      <w:r w:rsidRPr="00815B3C">
        <w:fldChar w:fldCharType="end"/>
      </w:r>
      <w:r w:rsidRPr="00815B3C">
        <w:t xml:space="preserve">.  Participants </w:t>
      </w:r>
      <w:r w:rsidR="00E867B4">
        <w:t>were</w:t>
      </w:r>
      <w:r w:rsidR="00E867B4" w:rsidRPr="00815B3C">
        <w:t xml:space="preserve"> </w:t>
      </w:r>
      <w:r w:rsidRPr="00815B3C">
        <w:t xml:space="preserve">presented with 20-word fragments and instructed to complete the fragments with the first word that comes to mind. An example would be the fragment GRA_ </w:t>
      </w:r>
      <w:proofErr w:type="gramStart"/>
      <w:r w:rsidRPr="00815B3C">
        <w:t>_ ,</w:t>
      </w:r>
      <w:proofErr w:type="gramEnd"/>
      <w:r w:rsidRPr="00815B3C">
        <w:t xml:space="preserve"> where participants could answer GRAVE or GRAPE. The possible death-related word completions are buried, dead, grave, kill, skull, and coffin. The other word fragments in the exercise are considered “neutral” words. More death-related word fragments are indicative of higher DTA. </w:t>
      </w:r>
      <w:r w:rsidRPr="00815B3C">
        <w:rPr>
          <w:b/>
          <w:bCs/>
        </w:rPr>
        <w:tab/>
      </w:r>
    </w:p>
    <w:p w14:paraId="7C8E6818" w14:textId="77777777" w:rsidR="00197E3A" w:rsidRPr="00815B3C" w:rsidRDefault="00197E3A" w:rsidP="00197E3A">
      <w:pPr>
        <w:spacing w:line="480" w:lineRule="auto"/>
        <w:ind w:firstLine="720"/>
        <w:rPr>
          <w:b/>
          <w:bCs/>
        </w:rPr>
      </w:pPr>
      <w:r w:rsidRPr="00815B3C">
        <w:rPr>
          <w:b/>
          <w:bCs/>
        </w:rPr>
        <w:t>Religious Life Inventory</w:t>
      </w:r>
    </w:p>
    <w:p w14:paraId="7E3C5873" w14:textId="5496E751" w:rsidR="00197E3A" w:rsidRDefault="00197E3A" w:rsidP="00197E3A">
      <w:pPr>
        <w:spacing w:line="480" w:lineRule="auto"/>
        <w:ind w:firstLine="720"/>
      </w:pPr>
      <w:r w:rsidRPr="00815B3C">
        <w:t>The Religious Life Inventory</w:t>
      </w:r>
      <w:r w:rsidRPr="00815B3C">
        <w:rPr>
          <w:rStyle w:val="FootnoteReference"/>
        </w:rPr>
        <w:footnoteReference w:id="1"/>
      </w:r>
      <w:r w:rsidRPr="00815B3C">
        <w:t xml:space="preserve"> (RLI) </w:t>
      </w:r>
      <w:r w:rsidR="00E867B4">
        <w:t>was</w:t>
      </w:r>
      <w:r w:rsidRPr="00815B3C">
        <w:t xml:space="preserve"> administered in order to assess the religious orientation of participants (extrinsic, intrinsic, or quest). This measure consists of 32 statements in which participants indicate how much they agree with each statement regarding religion (e.g.</w:t>
      </w:r>
      <w:r w:rsidR="00B66D6A">
        <w:t>,</w:t>
      </w:r>
      <w:r w:rsidRPr="00815B3C">
        <w:t xml:space="preserve"> "I try hard to carry my religion over into all my other dealings in life"). This </w:t>
      </w:r>
      <w:r w:rsidR="00E867B4">
        <w:t>was</w:t>
      </w:r>
      <w:r w:rsidRPr="00815B3C">
        <w:t xml:space="preserve"> done using a 5-point Likert scale with 1 being "strongly disagree" and 5 being "strongly agree.”</w:t>
      </w:r>
    </w:p>
    <w:p w14:paraId="54688726" w14:textId="77777777" w:rsidR="000614C9" w:rsidRDefault="00197E3A" w:rsidP="00197E3A">
      <w:pPr>
        <w:spacing w:line="480" w:lineRule="auto"/>
      </w:pPr>
      <w:r>
        <w:tab/>
      </w:r>
    </w:p>
    <w:p w14:paraId="5B21968B" w14:textId="77777777" w:rsidR="000614C9" w:rsidRDefault="000614C9">
      <w:r>
        <w:br w:type="page"/>
      </w:r>
    </w:p>
    <w:p w14:paraId="6C1A3E2B" w14:textId="49158F27" w:rsidR="00197E3A" w:rsidRDefault="00197E3A" w:rsidP="009C426E">
      <w:pPr>
        <w:spacing w:line="480" w:lineRule="auto"/>
        <w:ind w:firstLine="720"/>
        <w:rPr>
          <w:b/>
          <w:bCs/>
        </w:rPr>
      </w:pPr>
      <w:r>
        <w:rPr>
          <w:b/>
          <w:bCs/>
        </w:rPr>
        <w:lastRenderedPageBreak/>
        <w:t>Manipulation Checks</w:t>
      </w:r>
    </w:p>
    <w:p w14:paraId="45CFE458" w14:textId="66CDAB6F" w:rsidR="00197E3A" w:rsidRPr="006909E4" w:rsidRDefault="00197E3A" w:rsidP="00197E3A">
      <w:pPr>
        <w:spacing w:line="480" w:lineRule="auto"/>
      </w:pPr>
      <w:r>
        <w:tab/>
        <w:t xml:space="preserve">To assess the effectiveness of the manipulations, participants </w:t>
      </w:r>
      <w:r w:rsidR="00E867B4">
        <w:t>were to be</w:t>
      </w:r>
      <w:r>
        <w:t xml:space="preserve"> presented with an open-ended question asking them to report what they wrote about and what they were asked to visualize earlier in the study. Then two multiple choice questions </w:t>
      </w:r>
      <w:r w:rsidR="00E867B4">
        <w:t xml:space="preserve">were to </w:t>
      </w:r>
      <w:r>
        <w:t xml:space="preserve">be given which prompt participants to indicate what they were asked to write about (music, pain, friends, or death) and what they were asked to visualize (college graduation, questing, childhood birthday, or vacationing). Participants who do not correctly indicate the conditions of the group that they were assigned </w:t>
      </w:r>
      <w:r w:rsidR="00E867B4">
        <w:t xml:space="preserve">were to </w:t>
      </w:r>
      <w:r>
        <w:t>be excluded from subsequent analyses.</w:t>
      </w:r>
      <w:r w:rsidR="00E867B4">
        <w:t xml:space="preserve"> This manipulation check was not included in the final version of the survey.</w:t>
      </w:r>
    </w:p>
    <w:p w14:paraId="5377CD06" w14:textId="77777777" w:rsidR="00197E3A" w:rsidRPr="00815B3C" w:rsidRDefault="00197E3A" w:rsidP="00197E3A">
      <w:pPr>
        <w:spacing w:line="480" w:lineRule="auto"/>
        <w:rPr>
          <w:b/>
          <w:bCs/>
        </w:rPr>
      </w:pPr>
      <w:r w:rsidRPr="00815B3C">
        <w:rPr>
          <w:b/>
          <w:bCs/>
        </w:rPr>
        <w:t>Procedure</w:t>
      </w:r>
    </w:p>
    <w:p w14:paraId="36013CD7" w14:textId="20B0E1DB" w:rsidR="00197E3A" w:rsidRPr="00815B3C" w:rsidRDefault="00197E3A" w:rsidP="00197E3A">
      <w:pPr>
        <w:spacing w:line="480" w:lineRule="auto"/>
      </w:pPr>
      <w:r w:rsidRPr="00815B3C">
        <w:tab/>
        <w:t xml:space="preserve">As participation in the study </w:t>
      </w:r>
      <w:r w:rsidR="003E0B03">
        <w:t>was</w:t>
      </w:r>
      <w:r w:rsidRPr="00815B3C">
        <w:t xml:space="preserve"> online, the setting and duration for each participant var</w:t>
      </w:r>
      <w:r w:rsidR="00E867B4">
        <w:t>ied</w:t>
      </w:r>
      <w:r w:rsidRPr="00815B3C">
        <w:t xml:space="preserve">. The average expected length of time required to participate in the study </w:t>
      </w:r>
      <w:r w:rsidR="00E867B4">
        <w:t>was</w:t>
      </w:r>
      <w:r w:rsidRPr="00815B3C">
        <w:t xml:space="preserve"> 50-60 minutes. The only information given to participants prior to the study describe</w:t>
      </w:r>
      <w:r w:rsidR="00E867B4">
        <w:t>d</w:t>
      </w:r>
      <w:r w:rsidRPr="00815B3C">
        <w:t xml:space="preserve"> the experiment as research examining "personality variables." The study </w:t>
      </w:r>
      <w:r w:rsidR="00E867B4">
        <w:t>was</w:t>
      </w:r>
      <w:r w:rsidR="00E867B4" w:rsidRPr="00815B3C">
        <w:t xml:space="preserve"> </w:t>
      </w:r>
      <w:r w:rsidRPr="00815B3C">
        <w:t xml:space="preserve">presented in this way to avoid priming the participants to think about anything that may impact the results of the survey, which is consistent with previous research. </w:t>
      </w:r>
    </w:p>
    <w:p w14:paraId="6887DFE4" w14:textId="3A41C52E" w:rsidR="00197E3A" w:rsidRPr="00815B3C" w:rsidRDefault="00197E3A" w:rsidP="00197E3A">
      <w:pPr>
        <w:spacing w:line="480" w:lineRule="auto"/>
        <w:ind w:firstLine="720"/>
      </w:pPr>
      <w:r w:rsidRPr="00815B3C">
        <w:t>Participants beg</w:t>
      </w:r>
      <w:r w:rsidR="00E867B4">
        <w:t>a</w:t>
      </w:r>
      <w:r w:rsidRPr="00815B3C">
        <w:t>n with the informed consent process, followed by administration of the filler questionnaires to sustain the cover story. Then, based on random assignment, participants w</w:t>
      </w:r>
      <w:r w:rsidR="00E867B4">
        <w:t>ere</w:t>
      </w:r>
      <w:r w:rsidRPr="00815B3C">
        <w:t xml:space="preserve"> placed into one of six groups in a 2 (mortality salient, pain salient) x 3 (questing, vacationing, control) factorial design.</w:t>
      </w:r>
    </w:p>
    <w:p w14:paraId="3FA51B39" w14:textId="1A067E81" w:rsidR="00197E3A" w:rsidRPr="00815B3C" w:rsidRDefault="00197E3A" w:rsidP="00197E3A">
      <w:pPr>
        <w:spacing w:line="480" w:lineRule="auto"/>
      </w:pPr>
      <w:r w:rsidRPr="00815B3C">
        <w:lastRenderedPageBreak/>
        <w:tab/>
        <w:t>MS groups w</w:t>
      </w:r>
      <w:r w:rsidR="00E867B4">
        <w:t>ere</w:t>
      </w:r>
      <w:r w:rsidRPr="00815B3C">
        <w:t xml:space="preserve"> given the mortality salience writing prompt that asks them to think about their death, while each of the pain groups w</w:t>
      </w:r>
      <w:r w:rsidR="00E867B4">
        <w:t>ere</w:t>
      </w:r>
      <w:r w:rsidRPr="00815B3C">
        <w:t xml:space="preserve"> given parallel writing prompts that replace “death” phrases with “extreme pain.” All participants then complete</w:t>
      </w:r>
      <w:r w:rsidR="00E867B4">
        <w:t>d</w:t>
      </w:r>
      <w:r w:rsidRPr="00815B3C">
        <w:t xml:space="preserve"> the PANAS-X.</w:t>
      </w:r>
    </w:p>
    <w:p w14:paraId="3C123B0A" w14:textId="74872034" w:rsidR="00197E3A" w:rsidRPr="00815B3C" w:rsidRDefault="00197E3A" w:rsidP="00197E3A">
      <w:pPr>
        <w:spacing w:line="480" w:lineRule="auto"/>
        <w:ind w:firstLine="720"/>
      </w:pPr>
      <w:r w:rsidRPr="00815B3C">
        <w:t>Visualization participants then complete</w:t>
      </w:r>
      <w:r w:rsidR="00E867B4">
        <w:t>d</w:t>
      </w:r>
      <w:r w:rsidRPr="00815B3C">
        <w:t xml:space="preserve"> the imagery exercises for either questing or vacationing.  The remaining participants read the literary passage to serve as a delay/distraction.</w:t>
      </w:r>
    </w:p>
    <w:p w14:paraId="226FC69A" w14:textId="0D9DAD3A" w:rsidR="00197E3A" w:rsidRPr="00815B3C" w:rsidRDefault="00197E3A" w:rsidP="00197E3A">
      <w:pPr>
        <w:spacing w:line="480" w:lineRule="auto"/>
        <w:ind w:firstLine="720"/>
      </w:pPr>
      <w:r w:rsidRPr="00815B3C">
        <w:t>All participants complete</w:t>
      </w:r>
      <w:r w:rsidR="00E867B4">
        <w:t>d</w:t>
      </w:r>
      <w:r w:rsidRPr="00815B3C">
        <w:t xml:space="preserve"> the death thought accessibility word fragment completion task. Once participants completed the DTA task, they </w:t>
      </w:r>
      <w:r w:rsidR="00E867B4">
        <w:t>were</w:t>
      </w:r>
      <w:r w:rsidRPr="00815B3C">
        <w:t xml:space="preserve"> asked to fill out the Religious Life Inventory and after completing the RLI, they </w:t>
      </w:r>
      <w:r w:rsidR="00E867B4">
        <w:t>were</w:t>
      </w:r>
      <w:r w:rsidRPr="00815B3C">
        <w:t xml:space="preserve"> asked a series of brief demographic questions (age, gender, ethnicity, religious orientation)</w:t>
      </w:r>
      <w:r w:rsidR="00E867B4">
        <w:t>.</w:t>
      </w:r>
    </w:p>
    <w:p w14:paraId="3522BEDD" w14:textId="4C6188BA" w:rsidR="00197E3A" w:rsidRPr="00815B3C" w:rsidRDefault="00197E3A" w:rsidP="00197E3A">
      <w:pPr>
        <w:spacing w:line="480" w:lineRule="auto"/>
        <w:ind w:firstLine="720"/>
      </w:pPr>
      <w:r w:rsidRPr="00815B3C">
        <w:t xml:space="preserve">The experiment </w:t>
      </w:r>
      <w:r w:rsidR="00E867B4">
        <w:t>was</w:t>
      </w:r>
      <w:r w:rsidRPr="00815B3C">
        <w:t xml:space="preserve"> concluded at this point.  Participants </w:t>
      </w:r>
      <w:r w:rsidR="00E867B4">
        <w:t>were</w:t>
      </w:r>
      <w:r w:rsidR="00AB3035">
        <w:t xml:space="preserve"> </w:t>
      </w:r>
      <w:r w:rsidRPr="00815B3C">
        <w:t>thanked for their participation, debriefed, and dismissed.</w:t>
      </w:r>
    </w:p>
    <w:p w14:paraId="1100F19D" w14:textId="532AF17E" w:rsidR="00197E3A" w:rsidRDefault="00197E3A" w:rsidP="00197E3A">
      <w:pPr>
        <w:spacing w:line="480" w:lineRule="auto"/>
        <w:rPr>
          <w:b/>
          <w:bCs/>
        </w:rPr>
      </w:pPr>
      <w:r w:rsidRPr="00815B3C">
        <w:rPr>
          <w:b/>
          <w:bCs/>
        </w:rPr>
        <w:t>Hypotheses</w:t>
      </w:r>
    </w:p>
    <w:p w14:paraId="7D9B237A" w14:textId="77777777" w:rsidR="00A427D8" w:rsidRPr="005F50A5" w:rsidRDefault="00A427D8" w:rsidP="00A427D8">
      <w:pPr>
        <w:pStyle w:val="ListParagraph"/>
        <w:numPr>
          <w:ilvl w:val="0"/>
          <w:numId w:val="12"/>
        </w:numPr>
        <w:spacing w:line="480" w:lineRule="auto"/>
      </w:pPr>
      <w:r w:rsidRPr="005F50A5">
        <w:rPr>
          <w:rFonts w:ascii="Times New Roman" w:hAnsi="Times New Roman" w:cs="Times New Roman"/>
        </w:rPr>
        <w:t>MS participants in the Control condition will have higher DTA than pain salience participants.  This finding would replicate previous research and establish the potency of the MS induction in this study.</w:t>
      </w:r>
    </w:p>
    <w:p w14:paraId="317F598C" w14:textId="005A0875" w:rsidR="00A427D8" w:rsidRPr="00A427D8" w:rsidRDefault="00A427D8" w:rsidP="00197E3A">
      <w:pPr>
        <w:pStyle w:val="ListParagraph"/>
        <w:numPr>
          <w:ilvl w:val="0"/>
          <w:numId w:val="12"/>
        </w:numPr>
        <w:spacing w:line="480" w:lineRule="auto"/>
        <w:rPr>
          <w:rFonts w:ascii="Times New Roman" w:hAnsi="Times New Roman" w:cs="Times New Roman"/>
        </w:rPr>
      </w:pPr>
      <w:r w:rsidRPr="005F50A5">
        <w:rPr>
          <w:rFonts w:ascii="Times New Roman" w:hAnsi="Times New Roman" w:cs="Times New Roman"/>
        </w:rPr>
        <w:t>Additionally, there will be a significant two-way interaction between mortality salience and visual imagery; specifically, that while vacationing participants will (like control participants) have higher DTA in response to MS, this effect will be diminished or entirely eliminated in the quest condition.</w:t>
      </w:r>
    </w:p>
    <w:p w14:paraId="3F52E083" w14:textId="28A6140D" w:rsidR="00197E3A" w:rsidRDefault="00197E3A" w:rsidP="00197E3A">
      <w:pPr>
        <w:spacing w:line="480" w:lineRule="auto"/>
        <w:rPr>
          <w:b/>
          <w:bCs/>
        </w:rPr>
      </w:pPr>
      <w:r w:rsidRPr="00815B3C">
        <w:tab/>
      </w:r>
      <w:r>
        <w:t xml:space="preserve"> Predicted results are depicted in the table</w:t>
      </w:r>
      <w:r w:rsidR="003E0B03">
        <w:t xml:space="preserve"> (Table 1)</w:t>
      </w:r>
      <w:r>
        <w:t xml:space="preserve"> below:</w:t>
      </w:r>
    </w:p>
    <w:p w14:paraId="28AAA44F" w14:textId="77777777" w:rsidR="00A427D8" w:rsidRDefault="00A427D8">
      <w:pPr>
        <w:rPr>
          <w:b/>
          <w:bCs/>
        </w:rPr>
      </w:pPr>
      <w:r>
        <w:rPr>
          <w:b/>
          <w:bCs/>
        </w:rPr>
        <w:br w:type="page"/>
      </w:r>
    </w:p>
    <w:p w14:paraId="697BE7F1" w14:textId="190324E2" w:rsidR="00197E3A" w:rsidRPr="005F50A5" w:rsidRDefault="00197E3A" w:rsidP="00197E3A">
      <w:pPr>
        <w:spacing w:line="480" w:lineRule="auto"/>
        <w:rPr>
          <w:b/>
          <w:bCs/>
        </w:rPr>
      </w:pPr>
      <w:r>
        <w:rPr>
          <w:b/>
          <w:bCs/>
        </w:rPr>
        <w:lastRenderedPageBreak/>
        <w:t xml:space="preserve">Table </w:t>
      </w:r>
      <w:r w:rsidR="00CC454B">
        <w:rPr>
          <w:b/>
          <w:bCs/>
        </w:rPr>
        <w:t>1</w:t>
      </w:r>
      <w:r>
        <w:rPr>
          <w:b/>
          <w:bCs/>
        </w:rPr>
        <w:t>: Predicted Death Thought Accessibility (DTA)</w:t>
      </w:r>
    </w:p>
    <w:tbl>
      <w:tblPr>
        <w:tblStyle w:val="TableGrid"/>
        <w:tblW w:w="0" w:type="auto"/>
        <w:tblLook w:val="04A0" w:firstRow="1" w:lastRow="0" w:firstColumn="1" w:lastColumn="0" w:noHBand="0" w:noVBand="1"/>
      </w:tblPr>
      <w:tblGrid>
        <w:gridCol w:w="2337"/>
        <w:gridCol w:w="2337"/>
        <w:gridCol w:w="2338"/>
        <w:gridCol w:w="2338"/>
      </w:tblGrid>
      <w:tr w:rsidR="00197E3A" w14:paraId="47A48737" w14:textId="77777777" w:rsidTr="00197E3A">
        <w:tc>
          <w:tcPr>
            <w:tcW w:w="2337" w:type="dxa"/>
          </w:tcPr>
          <w:p w14:paraId="517DE709" w14:textId="77777777" w:rsidR="00197E3A" w:rsidRDefault="00197E3A" w:rsidP="00197E3A">
            <w:pPr>
              <w:spacing w:line="480" w:lineRule="auto"/>
            </w:pPr>
          </w:p>
        </w:tc>
        <w:tc>
          <w:tcPr>
            <w:tcW w:w="2337" w:type="dxa"/>
          </w:tcPr>
          <w:p w14:paraId="66151FFB" w14:textId="77777777" w:rsidR="00197E3A" w:rsidRDefault="00197E3A" w:rsidP="00197E3A">
            <w:pPr>
              <w:spacing w:line="480" w:lineRule="auto"/>
            </w:pPr>
            <w:r>
              <w:t>Control</w:t>
            </w:r>
          </w:p>
        </w:tc>
        <w:tc>
          <w:tcPr>
            <w:tcW w:w="2338" w:type="dxa"/>
          </w:tcPr>
          <w:p w14:paraId="5378C69C" w14:textId="77777777" w:rsidR="00197E3A" w:rsidRDefault="00197E3A" w:rsidP="00197E3A">
            <w:pPr>
              <w:spacing w:line="480" w:lineRule="auto"/>
            </w:pPr>
            <w:r>
              <w:t>Vacationing</w:t>
            </w:r>
          </w:p>
        </w:tc>
        <w:tc>
          <w:tcPr>
            <w:tcW w:w="2338" w:type="dxa"/>
          </w:tcPr>
          <w:p w14:paraId="5B683420" w14:textId="77777777" w:rsidR="00197E3A" w:rsidRDefault="00197E3A" w:rsidP="00197E3A">
            <w:pPr>
              <w:spacing w:line="480" w:lineRule="auto"/>
            </w:pPr>
            <w:r>
              <w:t>Quest</w:t>
            </w:r>
          </w:p>
        </w:tc>
      </w:tr>
      <w:tr w:rsidR="00197E3A" w14:paraId="2F88C4FB" w14:textId="77777777" w:rsidTr="00197E3A">
        <w:tc>
          <w:tcPr>
            <w:tcW w:w="2337" w:type="dxa"/>
          </w:tcPr>
          <w:p w14:paraId="0DE42FC9" w14:textId="77777777" w:rsidR="00197E3A" w:rsidRDefault="00197E3A" w:rsidP="00197E3A">
            <w:pPr>
              <w:spacing w:line="480" w:lineRule="auto"/>
            </w:pPr>
            <w:r>
              <w:t>Pain</w:t>
            </w:r>
          </w:p>
        </w:tc>
        <w:tc>
          <w:tcPr>
            <w:tcW w:w="2337" w:type="dxa"/>
          </w:tcPr>
          <w:p w14:paraId="0609ED97" w14:textId="77777777" w:rsidR="00197E3A" w:rsidRPr="005F50A5" w:rsidRDefault="00197E3A" w:rsidP="00197E3A">
            <w:pPr>
              <w:spacing w:line="480" w:lineRule="auto"/>
              <w:jc w:val="center"/>
              <w:rPr>
                <w:b/>
                <w:bCs/>
              </w:rPr>
            </w:pPr>
            <w:r w:rsidRPr="005F50A5">
              <w:rPr>
                <w:b/>
                <w:bCs/>
              </w:rPr>
              <w:t>Low</w:t>
            </w:r>
          </w:p>
        </w:tc>
        <w:tc>
          <w:tcPr>
            <w:tcW w:w="2338" w:type="dxa"/>
          </w:tcPr>
          <w:p w14:paraId="45EC7CD7" w14:textId="77777777" w:rsidR="00197E3A" w:rsidRPr="005F50A5" w:rsidRDefault="00197E3A" w:rsidP="00197E3A">
            <w:pPr>
              <w:spacing w:line="480" w:lineRule="auto"/>
              <w:jc w:val="center"/>
              <w:rPr>
                <w:b/>
                <w:bCs/>
              </w:rPr>
            </w:pPr>
            <w:r w:rsidRPr="005F50A5">
              <w:rPr>
                <w:b/>
                <w:bCs/>
              </w:rPr>
              <w:t>Low</w:t>
            </w:r>
          </w:p>
        </w:tc>
        <w:tc>
          <w:tcPr>
            <w:tcW w:w="2338" w:type="dxa"/>
          </w:tcPr>
          <w:p w14:paraId="1C7E2CC8" w14:textId="77777777" w:rsidR="00197E3A" w:rsidRPr="005F50A5" w:rsidRDefault="00197E3A" w:rsidP="00197E3A">
            <w:pPr>
              <w:spacing w:line="480" w:lineRule="auto"/>
              <w:jc w:val="center"/>
              <w:rPr>
                <w:b/>
                <w:bCs/>
              </w:rPr>
            </w:pPr>
            <w:r w:rsidRPr="005F50A5">
              <w:rPr>
                <w:b/>
                <w:bCs/>
              </w:rPr>
              <w:t>Low</w:t>
            </w:r>
          </w:p>
        </w:tc>
      </w:tr>
      <w:tr w:rsidR="00197E3A" w14:paraId="05421356" w14:textId="77777777" w:rsidTr="00197E3A">
        <w:tc>
          <w:tcPr>
            <w:tcW w:w="2337" w:type="dxa"/>
          </w:tcPr>
          <w:p w14:paraId="2CF9A03C" w14:textId="77777777" w:rsidR="00197E3A" w:rsidRDefault="00197E3A" w:rsidP="00197E3A">
            <w:pPr>
              <w:spacing w:line="480" w:lineRule="auto"/>
            </w:pPr>
            <w:r>
              <w:t>Mortality Salience</w:t>
            </w:r>
          </w:p>
        </w:tc>
        <w:tc>
          <w:tcPr>
            <w:tcW w:w="2337" w:type="dxa"/>
          </w:tcPr>
          <w:p w14:paraId="7F84E979" w14:textId="77777777" w:rsidR="00197E3A" w:rsidRPr="005F50A5" w:rsidRDefault="00197E3A" w:rsidP="00197E3A">
            <w:pPr>
              <w:spacing w:line="480" w:lineRule="auto"/>
              <w:jc w:val="center"/>
              <w:rPr>
                <w:b/>
                <w:bCs/>
              </w:rPr>
            </w:pPr>
            <w:r w:rsidRPr="005F50A5">
              <w:rPr>
                <w:b/>
                <w:bCs/>
              </w:rPr>
              <w:t>High</w:t>
            </w:r>
          </w:p>
        </w:tc>
        <w:tc>
          <w:tcPr>
            <w:tcW w:w="2338" w:type="dxa"/>
          </w:tcPr>
          <w:p w14:paraId="28FDB255" w14:textId="77777777" w:rsidR="00197E3A" w:rsidRPr="005F50A5" w:rsidRDefault="00197E3A" w:rsidP="00197E3A">
            <w:pPr>
              <w:spacing w:line="480" w:lineRule="auto"/>
              <w:jc w:val="center"/>
              <w:rPr>
                <w:b/>
                <w:bCs/>
              </w:rPr>
            </w:pPr>
            <w:r w:rsidRPr="005F50A5">
              <w:rPr>
                <w:b/>
                <w:bCs/>
              </w:rPr>
              <w:t>High</w:t>
            </w:r>
          </w:p>
        </w:tc>
        <w:tc>
          <w:tcPr>
            <w:tcW w:w="2338" w:type="dxa"/>
          </w:tcPr>
          <w:p w14:paraId="27AF2598" w14:textId="77777777" w:rsidR="00197E3A" w:rsidRPr="005F50A5" w:rsidRDefault="00197E3A" w:rsidP="00197E3A">
            <w:pPr>
              <w:spacing w:line="480" w:lineRule="auto"/>
              <w:jc w:val="center"/>
              <w:rPr>
                <w:b/>
                <w:bCs/>
              </w:rPr>
            </w:pPr>
            <w:r w:rsidRPr="005F50A5">
              <w:rPr>
                <w:b/>
                <w:bCs/>
              </w:rPr>
              <w:t>Low</w:t>
            </w:r>
          </w:p>
        </w:tc>
      </w:tr>
    </w:tbl>
    <w:p w14:paraId="52EC78EC" w14:textId="77777777" w:rsidR="00197E3A" w:rsidRDefault="00197E3A" w:rsidP="00197E3A">
      <w:pPr>
        <w:spacing w:line="480" w:lineRule="auto"/>
      </w:pPr>
    </w:p>
    <w:p w14:paraId="11EBB022" w14:textId="77777777" w:rsidR="008A07EC" w:rsidRDefault="008A07EC">
      <w:pPr>
        <w:rPr>
          <w:b/>
          <w:bCs/>
        </w:rPr>
      </w:pPr>
      <w:r>
        <w:rPr>
          <w:b/>
          <w:bCs/>
        </w:rPr>
        <w:br w:type="page"/>
      </w:r>
    </w:p>
    <w:p w14:paraId="521E402F" w14:textId="2877AB19" w:rsidR="00C95C65" w:rsidRDefault="00C95C65" w:rsidP="00D955DD">
      <w:pPr>
        <w:jc w:val="center"/>
        <w:rPr>
          <w:b/>
          <w:bCs/>
        </w:rPr>
      </w:pPr>
      <w:r w:rsidRPr="00815B3C">
        <w:rPr>
          <w:b/>
          <w:bCs/>
        </w:rPr>
        <w:lastRenderedPageBreak/>
        <w:t>Chapter II</w:t>
      </w:r>
      <w:r>
        <w:rPr>
          <w:b/>
          <w:bCs/>
        </w:rPr>
        <w:t>I</w:t>
      </w:r>
      <w:r w:rsidRPr="00815B3C">
        <w:rPr>
          <w:b/>
          <w:bCs/>
        </w:rPr>
        <w:t xml:space="preserve">: </w:t>
      </w:r>
      <w:r>
        <w:rPr>
          <w:b/>
          <w:bCs/>
        </w:rPr>
        <w:t>Results</w:t>
      </w:r>
    </w:p>
    <w:p w14:paraId="39047BC6" w14:textId="77777777" w:rsidR="00D955DD" w:rsidRPr="00D955DD" w:rsidRDefault="00D955DD" w:rsidP="00D955DD">
      <w:pPr>
        <w:jc w:val="center"/>
        <w:rPr>
          <w:b/>
        </w:rPr>
      </w:pPr>
    </w:p>
    <w:p w14:paraId="34AD2DB8" w14:textId="7C89E2AA" w:rsidR="006A3545" w:rsidRDefault="006A3545" w:rsidP="006A3545">
      <w:pPr>
        <w:spacing w:line="480" w:lineRule="auto"/>
      </w:pPr>
      <w:r>
        <w:rPr>
          <w:b/>
          <w:bCs/>
        </w:rPr>
        <w:tab/>
      </w:r>
      <w:r>
        <w:t xml:space="preserve">The primary dependent measure in this study was death thought accessibility (DTA). The groups means and standard deviations for DTA can be seen in the table below (Table </w:t>
      </w:r>
      <w:r w:rsidR="00A427D8">
        <w:t>2</w:t>
      </w:r>
      <w:r>
        <w:t>).</w:t>
      </w:r>
    </w:p>
    <w:p w14:paraId="27FB9E20" w14:textId="77777777" w:rsidR="008A07EC" w:rsidRDefault="008A07EC" w:rsidP="008A07EC">
      <w:pPr>
        <w:spacing w:line="480" w:lineRule="auto"/>
        <w:ind w:firstLine="720"/>
      </w:pPr>
      <w:r>
        <w:t>A 2 (pain salience, mortality salience) x 3 (control, vacation visualization, quest visualization) between groups ANOVA with DTA as the dependent measure revealed a marginal main effect for mortality salience (</w:t>
      </w:r>
      <w:proofErr w:type="gramStart"/>
      <w:r>
        <w:t>F(</w:t>
      </w:r>
      <w:proofErr w:type="gramEnd"/>
      <w:r>
        <w:t>1,241) = 3.733, p=.055), however the predicted significant interaction between pain/mortality salience and control/vacation/quest was not obtained (F(2,241) = 1.476, p = .231).</w:t>
      </w:r>
    </w:p>
    <w:p w14:paraId="7AEDEBFE" w14:textId="77777777" w:rsidR="008A07EC" w:rsidRDefault="008A07EC" w:rsidP="008A07EC">
      <w:pPr>
        <w:spacing w:line="480" w:lineRule="auto"/>
        <w:ind w:firstLine="720"/>
      </w:pPr>
      <w:r>
        <w:t>These results are depicted graphically in Figure 1.</w:t>
      </w:r>
    </w:p>
    <w:p w14:paraId="53AF9781" w14:textId="77777777" w:rsidR="008A07EC" w:rsidRDefault="008A07EC" w:rsidP="008A07EC">
      <w:pPr>
        <w:spacing w:line="480" w:lineRule="auto"/>
        <w:ind w:firstLine="720"/>
      </w:pPr>
      <w:r>
        <w:t>There was no difference in DTA scores between pain and mortality salience for control participants. Hypothesis 1 predicted that DTA would be higher in response to mortality salience than to pain salience, and because this result was not obtained, the conditions necessary to examine Hypothesis 2 (i.e., heighted DTA in response to mortality salience would be diminished by a quest visualization, relative to control conditions and a vacation visualization) were not obtained in this study. This result, or lack thereof, was quite unexpected and puzzling.</w:t>
      </w:r>
    </w:p>
    <w:p w14:paraId="3CDCD1E0" w14:textId="77777777" w:rsidR="008A07EC" w:rsidRDefault="008A07EC" w:rsidP="008A07EC">
      <w:pPr>
        <w:spacing w:line="480" w:lineRule="auto"/>
        <w:ind w:firstLine="720"/>
      </w:pPr>
      <w:r>
        <w:t>Regardless, one can see from a visual inspection of group means for MS participants that it appears that the lowest DTA was in the MS/vacation condition followed by the MS/quest condition. Recall that it was expected that the lowest DTA would be observed in response to the quest visualization relative to both the control and vacation visualization conditions. These findings are nominally opposite of what was predicted.</w:t>
      </w:r>
    </w:p>
    <w:p w14:paraId="5DE27145" w14:textId="77777777" w:rsidR="00A427D8" w:rsidRDefault="00A427D8">
      <w:pPr>
        <w:rPr>
          <w:b/>
          <w:bCs/>
        </w:rPr>
      </w:pPr>
      <w:r>
        <w:rPr>
          <w:b/>
          <w:bCs/>
        </w:rPr>
        <w:br w:type="page"/>
      </w:r>
    </w:p>
    <w:p w14:paraId="1BE5D607" w14:textId="50C98439" w:rsidR="001C4BE6" w:rsidRPr="00A427D8" w:rsidRDefault="001C4BE6" w:rsidP="006A3545">
      <w:pPr>
        <w:spacing w:line="480" w:lineRule="auto"/>
        <w:rPr>
          <w:b/>
          <w:bCs/>
        </w:rPr>
      </w:pPr>
      <w:r>
        <w:rPr>
          <w:b/>
          <w:bCs/>
        </w:rPr>
        <w:lastRenderedPageBreak/>
        <w:t xml:space="preserve">Table </w:t>
      </w:r>
      <w:r w:rsidR="00CC454B">
        <w:rPr>
          <w:b/>
          <w:bCs/>
        </w:rPr>
        <w:t>2</w:t>
      </w:r>
      <w:r w:rsidR="00A427D8">
        <w:rPr>
          <w:b/>
          <w:bCs/>
        </w:rPr>
        <w:t xml:space="preserve">: </w:t>
      </w:r>
      <w:r w:rsidRPr="00A427D8">
        <w:rPr>
          <w:b/>
          <w:bCs/>
        </w:rPr>
        <w:t>Descriptive Statistics for DTA</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870"/>
        <w:gridCol w:w="1870"/>
        <w:gridCol w:w="1870"/>
        <w:gridCol w:w="1870"/>
        <w:gridCol w:w="1870"/>
      </w:tblGrid>
      <w:tr w:rsidR="00F80E75" w14:paraId="767A6DC1" w14:textId="77777777" w:rsidTr="00E82F2E">
        <w:tc>
          <w:tcPr>
            <w:tcW w:w="1870" w:type="dxa"/>
            <w:tcBorders>
              <w:bottom w:val="single" w:sz="4" w:space="0" w:color="auto"/>
            </w:tcBorders>
            <w:vAlign w:val="center"/>
          </w:tcPr>
          <w:p w14:paraId="783B3C0A" w14:textId="12A53836" w:rsidR="006A3545" w:rsidRDefault="00F80E75" w:rsidP="00E82F2E">
            <w:pPr>
              <w:spacing w:line="480" w:lineRule="auto"/>
              <w:jc w:val="center"/>
            </w:pPr>
            <w:r>
              <w:t>Group</w:t>
            </w:r>
          </w:p>
        </w:tc>
        <w:tc>
          <w:tcPr>
            <w:tcW w:w="1870" w:type="dxa"/>
            <w:tcBorders>
              <w:bottom w:val="single" w:sz="4" w:space="0" w:color="auto"/>
            </w:tcBorders>
            <w:vAlign w:val="center"/>
          </w:tcPr>
          <w:p w14:paraId="137B5128" w14:textId="300C51E6" w:rsidR="006A3545" w:rsidRDefault="00F80E75" w:rsidP="00E82F2E">
            <w:pPr>
              <w:spacing w:line="480" w:lineRule="auto"/>
              <w:jc w:val="center"/>
            </w:pPr>
            <w:r>
              <w:t>Condition</w:t>
            </w:r>
          </w:p>
        </w:tc>
        <w:tc>
          <w:tcPr>
            <w:tcW w:w="1870" w:type="dxa"/>
            <w:tcBorders>
              <w:bottom w:val="single" w:sz="4" w:space="0" w:color="auto"/>
            </w:tcBorders>
            <w:vAlign w:val="center"/>
          </w:tcPr>
          <w:p w14:paraId="7CE53961" w14:textId="5C63A48C" w:rsidR="006A3545" w:rsidRDefault="00F80E75" w:rsidP="00E82F2E">
            <w:pPr>
              <w:spacing w:line="480" w:lineRule="auto"/>
              <w:jc w:val="center"/>
            </w:pPr>
            <w:r>
              <w:t>Mean</w:t>
            </w:r>
          </w:p>
        </w:tc>
        <w:tc>
          <w:tcPr>
            <w:tcW w:w="1870" w:type="dxa"/>
            <w:tcBorders>
              <w:bottom w:val="single" w:sz="4" w:space="0" w:color="auto"/>
            </w:tcBorders>
            <w:vAlign w:val="center"/>
          </w:tcPr>
          <w:p w14:paraId="00D733E1" w14:textId="5CE2FA5D" w:rsidR="006A3545" w:rsidRDefault="00F80E75" w:rsidP="00E82F2E">
            <w:pPr>
              <w:spacing w:line="480" w:lineRule="auto"/>
              <w:jc w:val="center"/>
            </w:pPr>
            <w:r>
              <w:t>Standard Deviation</w:t>
            </w:r>
          </w:p>
        </w:tc>
        <w:tc>
          <w:tcPr>
            <w:tcW w:w="1870" w:type="dxa"/>
            <w:tcBorders>
              <w:bottom w:val="single" w:sz="4" w:space="0" w:color="auto"/>
            </w:tcBorders>
            <w:vAlign w:val="center"/>
          </w:tcPr>
          <w:p w14:paraId="5AEDF91B" w14:textId="1D9D8932" w:rsidR="006A3545" w:rsidRDefault="00F80E75" w:rsidP="00E82F2E">
            <w:pPr>
              <w:spacing w:line="480" w:lineRule="auto"/>
              <w:jc w:val="center"/>
            </w:pPr>
            <w:r>
              <w:t>N</w:t>
            </w:r>
          </w:p>
        </w:tc>
      </w:tr>
      <w:tr w:rsidR="00F80E75" w14:paraId="73B8B522" w14:textId="77777777" w:rsidTr="00E82F2E">
        <w:tc>
          <w:tcPr>
            <w:tcW w:w="1870" w:type="dxa"/>
            <w:tcBorders>
              <w:bottom w:val="nil"/>
            </w:tcBorders>
            <w:vAlign w:val="center"/>
          </w:tcPr>
          <w:p w14:paraId="51D16E76" w14:textId="7E86BBE8" w:rsidR="006A3545" w:rsidRDefault="00F80E75" w:rsidP="00E82F2E">
            <w:pPr>
              <w:spacing w:line="480" w:lineRule="auto"/>
              <w:jc w:val="center"/>
            </w:pPr>
            <w:r>
              <w:t>Extreme Pain</w:t>
            </w:r>
          </w:p>
        </w:tc>
        <w:tc>
          <w:tcPr>
            <w:tcW w:w="1870" w:type="dxa"/>
            <w:tcBorders>
              <w:bottom w:val="nil"/>
            </w:tcBorders>
            <w:vAlign w:val="center"/>
          </w:tcPr>
          <w:p w14:paraId="6A878DB1" w14:textId="2EDCC52D" w:rsidR="006A3545" w:rsidRDefault="00F80E75" w:rsidP="00E82F2E">
            <w:pPr>
              <w:spacing w:line="480" w:lineRule="auto"/>
              <w:jc w:val="center"/>
            </w:pPr>
            <w:r>
              <w:t>Control</w:t>
            </w:r>
          </w:p>
        </w:tc>
        <w:tc>
          <w:tcPr>
            <w:tcW w:w="1870" w:type="dxa"/>
            <w:tcBorders>
              <w:bottom w:val="nil"/>
            </w:tcBorders>
            <w:vAlign w:val="center"/>
          </w:tcPr>
          <w:p w14:paraId="6D539D8F" w14:textId="33E31644" w:rsidR="006A3545" w:rsidRDefault="00F80E75" w:rsidP="00E82F2E">
            <w:pPr>
              <w:spacing w:line="480" w:lineRule="auto"/>
              <w:jc w:val="center"/>
            </w:pPr>
            <w:r>
              <w:t>1.09</w:t>
            </w:r>
          </w:p>
        </w:tc>
        <w:tc>
          <w:tcPr>
            <w:tcW w:w="1870" w:type="dxa"/>
            <w:tcBorders>
              <w:bottom w:val="nil"/>
            </w:tcBorders>
            <w:vAlign w:val="center"/>
          </w:tcPr>
          <w:p w14:paraId="3BD0641F" w14:textId="302238C4" w:rsidR="006A3545" w:rsidRDefault="001C4BE6" w:rsidP="00E82F2E">
            <w:pPr>
              <w:spacing w:line="480" w:lineRule="auto"/>
              <w:jc w:val="center"/>
            </w:pPr>
            <w:r>
              <w:t>.895</w:t>
            </w:r>
          </w:p>
        </w:tc>
        <w:tc>
          <w:tcPr>
            <w:tcW w:w="1870" w:type="dxa"/>
            <w:tcBorders>
              <w:bottom w:val="nil"/>
            </w:tcBorders>
            <w:vAlign w:val="center"/>
          </w:tcPr>
          <w:p w14:paraId="449DC5C3" w14:textId="0FD55930" w:rsidR="006A3545" w:rsidRDefault="001C4BE6" w:rsidP="00E82F2E">
            <w:pPr>
              <w:spacing w:line="480" w:lineRule="auto"/>
              <w:jc w:val="center"/>
            </w:pPr>
            <w:r>
              <w:t>43</w:t>
            </w:r>
          </w:p>
        </w:tc>
      </w:tr>
      <w:tr w:rsidR="00F80E75" w14:paraId="3BC21F99" w14:textId="77777777" w:rsidTr="00E82F2E">
        <w:tc>
          <w:tcPr>
            <w:tcW w:w="1870" w:type="dxa"/>
            <w:tcBorders>
              <w:top w:val="nil"/>
              <w:bottom w:val="nil"/>
            </w:tcBorders>
            <w:vAlign w:val="center"/>
          </w:tcPr>
          <w:p w14:paraId="1009DDC1" w14:textId="77777777" w:rsidR="006A3545" w:rsidRDefault="006A3545" w:rsidP="00E82F2E">
            <w:pPr>
              <w:spacing w:line="480" w:lineRule="auto"/>
              <w:jc w:val="center"/>
            </w:pPr>
          </w:p>
        </w:tc>
        <w:tc>
          <w:tcPr>
            <w:tcW w:w="1870" w:type="dxa"/>
            <w:tcBorders>
              <w:top w:val="nil"/>
              <w:bottom w:val="nil"/>
            </w:tcBorders>
            <w:vAlign w:val="center"/>
          </w:tcPr>
          <w:p w14:paraId="658CE717" w14:textId="01A4E7B1" w:rsidR="006A3545" w:rsidRDefault="00F80E75" w:rsidP="00E82F2E">
            <w:pPr>
              <w:spacing w:line="480" w:lineRule="auto"/>
              <w:jc w:val="center"/>
            </w:pPr>
            <w:r>
              <w:t>Vacation</w:t>
            </w:r>
          </w:p>
        </w:tc>
        <w:tc>
          <w:tcPr>
            <w:tcW w:w="1870" w:type="dxa"/>
            <w:tcBorders>
              <w:top w:val="nil"/>
              <w:bottom w:val="nil"/>
            </w:tcBorders>
            <w:vAlign w:val="center"/>
          </w:tcPr>
          <w:p w14:paraId="698A3D1D" w14:textId="47E53DF7" w:rsidR="006A3545" w:rsidRDefault="00F80E75" w:rsidP="00E82F2E">
            <w:pPr>
              <w:spacing w:line="480" w:lineRule="auto"/>
              <w:jc w:val="center"/>
            </w:pPr>
            <w:r>
              <w:t>1.14</w:t>
            </w:r>
          </w:p>
        </w:tc>
        <w:tc>
          <w:tcPr>
            <w:tcW w:w="1870" w:type="dxa"/>
            <w:tcBorders>
              <w:top w:val="nil"/>
              <w:bottom w:val="nil"/>
            </w:tcBorders>
            <w:vAlign w:val="center"/>
          </w:tcPr>
          <w:p w14:paraId="7757609E" w14:textId="7283F76E" w:rsidR="006A3545" w:rsidRDefault="001C4BE6" w:rsidP="00E82F2E">
            <w:pPr>
              <w:spacing w:line="480" w:lineRule="auto"/>
              <w:jc w:val="center"/>
            </w:pPr>
            <w:r>
              <w:t>1.150</w:t>
            </w:r>
          </w:p>
        </w:tc>
        <w:tc>
          <w:tcPr>
            <w:tcW w:w="1870" w:type="dxa"/>
            <w:tcBorders>
              <w:top w:val="nil"/>
              <w:bottom w:val="nil"/>
            </w:tcBorders>
            <w:vAlign w:val="center"/>
          </w:tcPr>
          <w:p w14:paraId="6E227A7E" w14:textId="18740F35" w:rsidR="006A3545" w:rsidRDefault="001C4BE6" w:rsidP="00E82F2E">
            <w:pPr>
              <w:spacing w:line="480" w:lineRule="auto"/>
              <w:jc w:val="center"/>
            </w:pPr>
            <w:r>
              <w:t>36</w:t>
            </w:r>
          </w:p>
        </w:tc>
      </w:tr>
      <w:tr w:rsidR="00F80E75" w14:paraId="4F5C6C27" w14:textId="77777777" w:rsidTr="00F80E75">
        <w:tc>
          <w:tcPr>
            <w:tcW w:w="1870" w:type="dxa"/>
            <w:tcBorders>
              <w:top w:val="nil"/>
              <w:bottom w:val="nil"/>
            </w:tcBorders>
            <w:vAlign w:val="center"/>
          </w:tcPr>
          <w:p w14:paraId="3C4EF817" w14:textId="77777777" w:rsidR="006A3545" w:rsidRDefault="006A3545" w:rsidP="00E82F2E">
            <w:pPr>
              <w:spacing w:line="480" w:lineRule="auto"/>
              <w:jc w:val="center"/>
            </w:pPr>
          </w:p>
        </w:tc>
        <w:tc>
          <w:tcPr>
            <w:tcW w:w="1870" w:type="dxa"/>
            <w:tcBorders>
              <w:top w:val="nil"/>
              <w:bottom w:val="nil"/>
            </w:tcBorders>
            <w:vAlign w:val="center"/>
          </w:tcPr>
          <w:p w14:paraId="3C904E04" w14:textId="7023CBA4" w:rsidR="006A3545" w:rsidRDefault="00F80E75" w:rsidP="00E82F2E">
            <w:pPr>
              <w:spacing w:line="480" w:lineRule="auto"/>
              <w:jc w:val="center"/>
            </w:pPr>
            <w:r>
              <w:t>Quest</w:t>
            </w:r>
          </w:p>
        </w:tc>
        <w:tc>
          <w:tcPr>
            <w:tcW w:w="1870" w:type="dxa"/>
            <w:tcBorders>
              <w:top w:val="nil"/>
              <w:bottom w:val="nil"/>
            </w:tcBorders>
            <w:vAlign w:val="center"/>
          </w:tcPr>
          <w:p w14:paraId="070DCA1F" w14:textId="4A4DCA00" w:rsidR="006A3545" w:rsidRDefault="00F80E75" w:rsidP="00E82F2E">
            <w:pPr>
              <w:spacing w:line="480" w:lineRule="auto"/>
              <w:jc w:val="center"/>
            </w:pPr>
            <w:r>
              <w:t>1.27</w:t>
            </w:r>
          </w:p>
        </w:tc>
        <w:tc>
          <w:tcPr>
            <w:tcW w:w="1870" w:type="dxa"/>
            <w:tcBorders>
              <w:top w:val="nil"/>
              <w:bottom w:val="nil"/>
            </w:tcBorders>
            <w:vAlign w:val="center"/>
          </w:tcPr>
          <w:p w14:paraId="370FB27F" w14:textId="21473BD1" w:rsidR="006A3545" w:rsidRDefault="001C4BE6" w:rsidP="00E82F2E">
            <w:pPr>
              <w:spacing w:line="480" w:lineRule="auto"/>
              <w:jc w:val="center"/>
            </w:pPr>
            <w:r>
              <w:t>.973</w:t>
            </w:r>
          </w:p>
        </w:tc>
        <w:tc>
          <w:tcPr>
            <w:tcW w:w="1870" w:type="dxa"/>
            <w:tcBorders>
              <w:top w:val="nil"/>
              <w:bottom w:val="nil"/>
            </w:tcBorders>
            <w:vAlign w:val="center"/>
          </w:tcPr>
          <w:p w14:paraId="703F848E" w14:textId="63D603C3" w:rsidR="006A3545" w:rsidRDefault="001C4BE6" w:rsidP="00E82F2E">
            <w:pPr>
              <w:spacing w:line="480" w:lineRule="auto"/>
              <w:jc w:val="center"/>
            </w:pPr>
            <w:r>
              <w:t>44</w:t>
            </w:r>
          </w:p>
        </w:tc>
      </w:tr>
      <w:tr w:rsidR="00F80E75" w14:paraId="24632309" w14:textId="77777777" w:rsidTr="00F80E75">
        <w:tc>
          <w:tcPr>
            <w:tcW w:w="1870" w:type="dxa"/>
            <w:tcBorders>
              <w:top w:val="nil"/>
              <w:bottom w:val="single" w:sz="4" w:space="0" w:color="auto"/>
            </w:tcBorders>
            <w:vAlign w:val="center"/>
          </w:tcPr>
          <w:p w14:paraId="50B105F5" w14:textId="77777777" w:rsidR="006A3545" w:rsidRDefault="006A3545" w:rsidP="00E82F2E">
            <w:pPr>
              <w:spacing w:line="480" w:lineRule="auto"/>
              <w:jc w:val="center"/>
            </w:pPr>
          </w:p>
        </w:tc>
        <w:tc>
          <w:tcPr>
            <w:tcW w:w="1870" w:type="dxa"/>
            <w:tcBorders>
              <w:top w:val="nil"/>
              <w:bottom w:val="single" w:sz="4" w:space="0" w:color="auto"/>
            </w:tcBorders>
            <w:vAlign w:val="center"/>
          </w:tcPr>
          <w:p w14:paraId="323E6943" w14:textId="0FC22AD8" w:rsidR="006A3545" w:rsidRDefault="00F80E75" w:rsidP="00E82F2E">
            <w:pPr>
              <w:spacing w:line="480" w:lineRule="auto"/>
              <w:jc w:val="center"/>
            </w:pPr>
            <w:r>
              <w:t>Total</w:t>
            </w:r>
          </w:p>
        </w:tc>
        <w:tc>
          <w:tcPr>
            <w:tcW w:w="1870" w:type="dxa"/>
            <w:tcBorders>
              <w:top w:val="nil"/>
              <w:bottom w:val="single" w:sz="4" w:space="0" w:color="auto"/>
            </w:tcBorders>
            <w:vAlign w:val="center"/>
          </w:tcPr>
          <w:p w14:paraId="1F590057" w14:textId="384963BF" w:rsidR="006A3545" w:rsidRDefault="00F80E75" w:rsidP="00E82F2E">
            <w:pPr>
              <w:spacing w:line="480" w:lineRule="auto"/>
              <w:jc w:val="center"/>
            </w:pPr>
            <w:r>
              <w:t>1.1</w:t>
            </w:r>
            <w:r w:rsidR="001C4BE6">
              <w:t>7</w:t>
            </w:r>
          </w:p>
        </w:tc>
        <w:tc>
          <w:tcPr>
            <w:tcW w:w="1870" w:type="dxa"/>
            <w:tcBorders>
              <w:top w:val="nil"/>
              <w:bottom w:val="single" w:sz="4" w:space="0" w:color="auto"/>
            </w:tcBorders>
            <w:vAlign w:val="center"/>
          </w:tcPr>
          <w:p w14:paraId="346ECAA5" w14:textId="49168BC8" w:rsidR="006A3545" w:rsidRDefault="001C4BE6" w:rsidP="00E82F2E">
            <w:pPr>
              <w:spacing w:line="480" w:lineRule="auto"/>
              <w:jc w:val="center"/>
            </w:pPr>
            <w:r>
              <w:t>.998</w:t>
            </w:r>
          </w:p>
        </w:tc>
        <w:tc>
          <w:tcPr>
            <w:tcW w:w="1870" w:type="dxa"/>
            <w:tcBorders>
              <w:top w:val="nil"/>
              <w:bottom w:val="single" w:sz="4" w:space="0" w:color="auto"/>
            </w:tcBorders>
            <w:vAlign w:val="center"/>
          </w:tcPr>
          <w:p w14:paraId="1960E8E5" w14:textId="35F52CF7" w:rsidR="006A3545" w:rsidRDefault="001C4BE6" w:rsidP="00E82F2E">
            <w:pPr>
              <w:spacing w:line="480" w:lineRule="auto"/>
              <w:jc w:val="center"/>
            </w:pPr>
            <w:r>
              <w:t>123</w:t>
            </w:r>
          </w:p>
        </w:tc>
      </w:tr>
      <w:tr w:rsidR="00F80E75" w14:paraId="6E0C071A" w14:textId="77777777" w:rsidTr="00F80E75">
        <w:tc>
          <w:tcPr>
            <w:tcW w:w="1870" w:type="dxa"/>
            <w:tcBorders>
              <w:bottom w:val="nil"/>
            </w:tcBorders>
            <w:vAlign w:val="center"/>
          </w:tcPr>
          <w:p w14:paraId="567954BA" w14:textId="3197BD56" w:rsidR="006A3545" w:rsidRDefault="00F80E75" w:rsidP="00E82F2E">
            <w:pPr>
              <w:spacing w:line="480" w:lineRule="auto"/>
              <w:jc w:val="center"/>
            </w:pPr>
            <w:r>
              <w:t>Mortality Salience</w:t>
            </w:r>
          </w:p>
        </w:tc>
        <w:tc>
          <w:tcPr>
            <w:tcW w:w="1870" w:type="dxa"/>
            <w:tcBorders>
              <w:bottom w:val="nil"/>
            </w:tcBorders>
            <w:vAlign w:val="center"/>
          </w:tcPr>
          <w:p w14:paraId="07B43B51" w14:textId="06908634" w:rsidR="006A3545" w:rsidRDefault="00F80E75" w:rsidP="00E82F2E">
            <w:pPr>
              <w:spacing w:line="480" w:lineRule="auto"/>
              <w:jc w:val="center"/>
            </w:pPr>
            <w:r>
              <w:t>Control</w:t>
            </w:r>
          </w:p>
        </w:tc>
        <w:tc>
          <w:tcPr>
            <w:tcW w:w="1870" w:type="dxa"/>
            <w:tcBorders>
              <w:bottom w:val="nil"/>
            </w:tcBorders>
            <w:vAlign w:val="center"/>
          </w:tcPr>
          <w:p w14:paraId="28543A70" w14:textId="7D2C3664" w:rsidR="006A3545" w:rsidRDefault="001C4BE6" w:rsidP="00E82F2E">
            <w:pPr>
              <w:spacing w:line="480" w:lineRule="auto"/>
              <w:jc w:val="center"/>
            </w:pPr>
            <w:r>
              <w:t>1.15</w:t>
            </w:r>
          </w:p>
        </w:tc>
        <w:tc>
          <w:tcPr>
            <w:tcW w:w="1870" w:type="dxa"/>
            <w:tcBorders>
              <w:bottom w:val="nil"/>
            </w:tcBorders>
            <w:vAlign w:val="center"/>
          </w:tcPr>
          <w:p w14:paraId="4252B460" w14:textId="091D47E9" w:rsidR="006A3545" w:rsidRDefault="001C4BE6" w:rsidP="00E82F2E">
            <w:pPr>
              <w:spacing w:line="480" w:lineRule="auto"/>
              <w:jc w:val="center"/>
            </w:pPr>
            <w:r>
              <w:t>1.040</w:t>
            </w:r>
          </w:p>
        </w:tc>
        <w:tc>
          <w:tcPr>
            <w:tcW w:w="1870" w:type="dxa"/>
            <w:tcBorders>
              <w:bottom w:val="nil"/>
            </w:tcBorders>
            <w:vAlign w:val="center"/>
          </w:tcPr>
          <w:p w14:paraId="79DEB0F8" w14:textId="33DE587A" w:rsidR="006A3545" w:rsidRDefault="001C4BE6" w:rsidP="00E82F2E">
            <w:pPr>
              <w:spacing w:line="480" w:lineRule="auto"/>
              <w:jc w:val="center"/>
            </w:pPr>
            <w:r>
              <w:t>39</w:t>
            </w:r>
          </w:p>
        </w:tc>
      </w:tr>
      <w:tr w:rsidR="00F80E75" w14:paraId="1636C8DD" w14:textId="77777777" w:rsidTr="00F80E75">
        <w:tc>
          <w:tcPr>
            <w:tcW w:w="1870" w:type="dxa"/>
            <w:tcBorders>
              <w:top w:val="nil"/>
              <w:bottom w:val="nil"/>
            </w:tcBorders>
            <w:vAlign w:val="center"/>
          </w:tcPr>
          <w:p w14:paraId="0BB6E00B" w14:textId="77777777" w:rsidR="006A3545" w:rsidRDefault="006A3545" w:rsidP="00E82F2E">
            <w:pPr>
              <w:spacing w:line="480" w:lineRule="auto"/>
              <w:jc w:val="center"/>
            </w:pPr>
          </w:p>
        </w:tc>
        <w:tc>
          <w:tcPr>
            <w:tcW w:w="1870" w:type="dxa"/>
            <w:tcBorders>
              <w:top w:val="nil"/>
              <w:bottom w:val="nil"/>
            </w:tcBorders>
            <w:vAlign w:val="center"/>
          </w:tcPr>
          <w:p w14:paraId="01BDAF23" w14:textId="07D0BA96" w:rsidR="006A3545" w:rsidRDefault="00F80E75" w:rsidP="00E82F2E">
            <w:pPr>
              <w:spacing w:line="480" w:lineRule="auto"/>
              <w:jc w:val="center"/>
            </w:pPr>
            <w:r>
              <w:t>Vacation</w:t>
            </w:r>
          </w:p>
        </w:tc>
        <w:tc>
          <w:tcPr>
            <w:tcW w:w="1870" w:type="dxa"/>
            <w:tcBorders>
              <w:top w:val="nil"/>
              <w:bottom w:val="nil"/>
            </w:tcBorders>
            <w:vAlign w:val="center"/>
          </w:tcPr>
          <w:p w14:paraId="64F47A79" w14:textId="63BD1BC6" w:rsidR="006A3545" w:rsidRDefault="001C4BE6" w:rsidP="00E82F2E">
            <w:pPr>
              <w:spacing w:line="480" w:lineRule="auto"/>
              <w:jc w:val="center"/>
            </w:pPr>
            <w:r>
              <w:t>.74</w:t>
            </w:r>
          </w:p>
        </w:tc>
        <w:tc>
          <w:tcPr>
            <w:tcW w:w="1870" w:type="dxa"/>
            <w:tcBorders>
              <w:top w:val="nil"/>
              <w:bottom w:val="nil"/>
            </w:tcBorders>
            <w:vAlign w:val="center"/>
          </w:tcPr>
          <w:p w14:paraId="120B6CF9" w14:textId="6FAC48A9" w:rsidR="006A3545" w:rsidRDefault="001C4BE6" w:rsidP="00E82F2E">
            <w:pPr>
              <w:spacing w:line="480" w:lineRule="auto"/>
              <w:jc w:val="center"/>
            </w:pPr>
            <w:r>
              <w:t>.765</w:t>
            </w:r>
          </w:p>
        </w:tc>
        <w:tc>
          <w:tcPr>
            <w:tcW w:w="1870" w:type="dxa"/>
            <w:tcBorders>
              <w:top w:val="nil"/>
              <w:bottom w:val="nil"/>
            </w:tcBorders>
            <w:vAlign w:val="center"/>
          </w:tcPr>
          <w:p w14:paraId="5B603DFC" w14:textId="1DBFBE1B" w:rsidR="006A3545" w:rsidRDefault="001C4BE6" w:rsidP="00E82F2E">
            <w:pPr>
              <w:spacing w:line="480" w:lineRule="auto"/>
              <w:jc w:val="center"/>
            </w:pPr>
            <w:r>
              <w:t>47</w:t>
            </w:r>
          </w:p>
        </w:tc>
      </w:tr>
      <w:tr w:rsidR="00F80E75" w14:paraId="074154A2" w14:textId="77777777" w:rsidTr="00F80E75">
        <w:tc>
          <w:tcPr>
            <w:tcW w:w="1870" w:type="dxa"/>
            <w:tcBorders>
              <w:top w:val="nil"/>
              <w:bottom w:val="nil"/>
            </w:tcBorders>
            <w:vAlign w:val="center"/>
          </w:tcPr>
          <w:p w14:paraId="2142F2BF" w14:textId="77777777" w:rsidR="006A3545" w:rsidRDefault="006A3545" w:rsidP="00E82F2E">
            <w:pPr>
              <w:spacing w:line="480" w:lineRule="auto"/>
              <w:jc w:val="center"/>
            </w:pPr>
          </w:p>
        </w:tc>
        <w:tc>
          <w:tcPr>
            <w:tcW w:w="1870" w:type="dxa"/>
            <w:tcBorders>
              <w:top w:val="nil"/>
              <w:bottom w:val="nil"/>
            </w:tcBorders>
            <w:vAlign w:val="center"/>
          </w:tcPr>
          <w:p w14:paraId="20674BC7" w14:textId="1048EF65" w:rsidR="006A3545" w:rsidRDefault="00F80E75" w:rsidP="00E82F2E">
            <w:pPr>
              <w:spacing w:line="480" w:lineRule="auto"/>
              <w:jc w:val="center"/>
            </w:pPr>
            <w:r>
              <w:t>Quest</w:t>
            </w:r>
          </w:p>
        </w:tc>
        <w:tc>
          <w:tcPr>
            <w:tcW w:w="1870" w:type="dxa"/>
            <w:tcBorders>
              <w:top w:val="nil"/>
              <w:bottom w:val="nil"/>
            </w:tcBorders>
            <w:vAlign w:val="center"/>
          </w:tcPr>
          <w:p w14:paraId="35D2C239" w14:textId="2FB726F2" w:rsidR="006A3545" w:rsidRDefault="001C4BE6" w:rsidP="00E82F2E">
            <w:pPr>
              <w:spacing w:line="480" w:lineRule="auto"/>
              <w:jc w:val="center"/>
            </w:pPr>
            <w:r>
              <w:t>.89</w:t>
            </w:r>
          </w:p>
        </w:tc>
        <w:tc>
          <w:tcPr>
            <w:tcW w:w="1870" w:type="dxa"/>
            <w:tcBorders>
              <w:top w:val="nil"/>
              <w:bottom w:val="nil"/>
            </w:tcBorders>
            <w:vAlign w:val="center"/>
          </w:tcPr>
          <w:p w14:paraId="7171CFA2" w14:textId="17F13DA8" w:rsidR="006A3545" w:rsidRDefault="001C4BE6" w:rsidP="00E82F2E">
            <w:pPr>
              <w:spacing w:line="480" w:lineRule="auto"/>
              <w:jc w:val="center"/>
            </w:pPr>
            <w:r>
              <w:t>.953</w:t>
            </w:r>
          </w:p>
        </w:tc>
        <w:tc>
          <w:tcPr>
            <w:tcW w:w="1870" w:type="dxa"/>
            <w:tcBorders>
              <w:top w:val="nil"/>
              <w:bottom w:val="nil"/>
            </w:tcBorders>
            <w:vAlign w:val="center"/>
          </w:tcPr>
          <w:p w14:paraId="36376C45" w14:textId="7A6FF934" w:rsidR="006A3545" w:rsidRDefault="001C4BE6" w:rsidP="00E82F2E">
            <w:pPr>
              <w:spacing w:line="480" w:lineRule="auto"/>
              <w:jc w:val="center"/>
            </w:pPr>
            <w:r>
              <w:t>38</w:t>
            </w:r>
          </w:p>
        </w:tc>
      </w:tr>
      <w:tr w:rsidR="00F80E75" w14:paraId="3B444910" w14:textId="77777777" w:rsidTr="00E82F2E">
        <w:tc>
          <w:tcPr>
            <w:tcW w:w="1870" w:type="dxa"/>
            <w:tcBorders>
              <w:top w:val="nil"/>
              <w:bottom w:val="single" w:sz="4" w:space="0" w:color="auto"/>
            </w:tcBorders>
            <w:vAlign w:val="center"/>
          </w:tcPr>
          <w:p w14:paraId="70587BDA" w14:textId="77777777" w:rsidR="006A3545" w:rsidRDefault="006A3545" w:rsidP="00E82F2E">
            <w:pPr>
              <w:spacing w:line="480" w:lineRule="auto"/>
              <w:jc w:val="center"/>
            </w:pPr>
          </w:p>
        </w:tc>
        <w:tc>
          <w:tcPr>
            <w:tcW w:w="1870" w:type="dxa"/>
            <w:tcBorders>
              <w:top w:val="nil"/>
              <w:bottom w:val="single" w:sz="4" w:space="0" w:color="auto"/>
            </w:tcBorders>
            <w:vAlign w:val="center"/>
          </w:tcPr>
          <w:p w14:paraId="0D945275" w14:textId="60E62092" w:rsidR="006A3545" w:rsidRDefault="00F80E75" w:rsidP="00E82F2E">
            <w:pPr>
              <w:spacing w:line="480" w:lineRule="auto"/>
              <w:jc w:val="center"/>
            </w:pPr>
            <w:r>
              <w:t>Total</w:t>
            </w:r>
          </w:p>
        </w:tc>
        <w:tc>
          <w:tcPr>
            <w:tcW w:w="1870" w:type="dxa"/>
            <w:tcBorders>
              <w:top w:val="nil"/>
              <w:bottom w:val="single" w:sz="4" w:space="0" w:color="auto"/>
            </w:tcBorders>
            <w:vAlign w:val="center"/>
          </w:tcPr>
          <w:p w14:paraId="0E2C1A83" w14:textId="5C5A1D15" w:rsidR="006A3545" w:rsidRDefault="001C4BE6" w:rsidP="00E82F2E">
            <w:pPr>
              <w:spacing w:line="480" w:lineRule="auto"/>
              <w:jc w:val="center"/>
            </w:pPr>
            <w:r>
              <w:t>.92</w:t>
            </w:r>
          </w:p>
        </w:tc>
        <w:tc>
          <w:tcPr>
            <w:tcW w:w="1870" w:type="dxa"/>
            <w:tcBorders>
              <w:top w:val="nil"/>
              <w:bottom w:val="single" w:sz="4" w:space="0" w:color="auto"/>
            </w:tcBorders>
            <w:vAlign w:val="center"/>
          </w:tcPr>
          <w:p w14:paraId="4D01DC6B" w14:textId="35621982" w:rsidR="006A3545" w:rsidRDefault="001C4BE6" w:rsidP="00E82F2E">
            <w:pPr>
              <w:spacing w:line="480" w:lineRule="auto"/>
              <w:jc w:val="center"/>
            </w:pPr>
            <w:r>
              <w:t>.925</w:t>
            </w:r>
          </w:p>
        </w:tc>
        <w:tc>
          <w:tcPr>
            <w:tcW w:w="1870" w:type="dxa"/>
            <w:tcBorders>
              <w:top w:val="nil"/>
              <w:bottom w:val="single" w:sz="4" w:space="0" w:color="auto"/>
            </w:tcBorders>
            <w:vAlign w:val="center"/>
          </w:tcPr>
          <w:p w14:paraId="5B71E3FD" w14:textId="5F2D4086" w:rsidR="006A3545" w:rsidRDefault="001C4BE6" w:rsidP="00E82F2E">
            <w:pPr>
              <w:spacing w:line="480" w:lineRule="auto"/>
              <w:jc w:val="center"/>
            </w:pPr>
            <w:r>
              <w:t>124</w:t>
            </w:r>
          </w:p>
        </w:tc>
      </w:tr>
      <w:tr w:rsidR="00F80E75" w14:paraId="3F74227F" w14:textId="77777777" w:rsidTr="00F80E75">
        <w:tc>
          <w:tcPr>
            <w:tcW w:w="1870" w:type="dxa"/>
            <w:tcBorders>
              <w:bottom w:val="nil"/>
            </w:tcBorders>
            <w:vAlign w:val="center"/>
          </w:tcPr>
          <w:p w14:paraId="45B3B0B8" w14:textId="1F0C8A2A" w:rsidR="006A3545" w:rsidRDefault="00F80E75" w:rsidP="00E82F2E">
            <w:pPr>
              <w:spacing w:line="480" w:lineRule="auto"/>
              <w:jc w:val="center"/>
            </w:pPr>
            <w:r>
              <w:t>Totals</w:t>
            </w:r>
          </w:p>
        </w:tc>
        <w:tc>
          <w:tcPr>
            <w:tcW w:w="1870" w:type="dxa"/>
            <w:tcBorders>
              <w:bottom w:val="nil"/>
            </w:tcBorders>
            <w:vAlign w:val="center"/>
          </w:tcPr>
          <w:p w14:paraId="198F6EBE" w14:textId="12DB655A" w:rsidR="006A3545" w:rsidRDefault="00F80E75" w:rsidP="00E82F2E">
            <w:pPr>
              <w:spacing w:line="480" w:lineRule="auto"/>
              <w:jc w:val="center"/>
            </w:pPr>
            <w:r>
              <w:t>Control</w:t>
            </w:r>
          </w:p>
        </w:tc>
        <w:tc>
          <w:tcPr>
            <w:tcW w:w="1870" w:type="dxa"/>
            <w:tcBorders>
              <w:bottom w:val="nil"/>
            </w:tcBorders>
            <w:vAlign w:val="center"/>
          </w:tcPr>
          <w:p w14:paraId="2E983814" w14:textId="4DCB4EF8" w:rsidR="006A3545" w:rsidRDefault="001C4BE6" w:rsidP="00E82F2E">
            <w:pPr>
              <w:spacing w:line="480" w:lineRule="auto"/>
              <w:jc w:val="center"/>
            </w:pPr>
            <w:r>
              <w:t>1.12</w:t>
            </w:r>
          </w:p>
        </w:tc>
        <w:tc>
          <w:tcPr>
            <w:tcW w:w="1870" w:type="dxa"/>
            <w:tcBorders>
              <w:bottom w:val="nil"/>
            </w:tcBorders>
            <w:vAlign w:val="center"/>
          </w:tcPr>
          <w:p w14:paraId="20AC34EE" w14:textId="39B917B3" w:rsidR="006A3545" w:rsidRDefault="001C4BE6" w:rsidP="00E82F2E">
            <w:pPr>
              <w:spacing w:line="480" w:lineRule="auto"/>
              <w:jc w:val="center"/>
            </w:pPr>
            <w:r>
              <w:t>.961</w:t>
            </w:r>
          </w:p>
        </w:tc>
        <w:tc>
          <w:tcPr>
            <w:tcW w:w="1870" w:type="dxa"/>
            <w:tcBorders>
              <w:bottom w:val="nil"/>
            </w:tcBorders>
            <w:vAlign w:val="center"/>
          </w:tcPr>
          <w:p w14:paraId="097743E3" w14:textId="3F2C6FFC" w:rsidR="006A3545" w:rsidRDefault="001C4BE6" w:rsidP="00E82F2E">
            <w:pPr>
              <w:spacing w:line="480" w:lineRule="auto"/>
              <w:jc w:val="center"/>
            </w:pPr>
            <w:r>
              <w:t>82</w:t>
            </w:r>
          </w:p>
        </w:tc>
      </w:tr>
      <w:tr w:rsidR="00F80E75" w14:paraId="6F906AC3" w14:textId="77777777" w:rsidTr="00E82F2E">
        <w:tc>
          <w:tcPr>
            <w:tcW w:w="1870" w:type="dxa"/>
            <w:tcBorders>
              <w:top w:val="nil"/>
              <w:bottom w:val="nil"/>
            </w:tcBorders>
            <w:vAlign w:val="center"/>
          </w:tcPr>
          <w:p w14:paraId="2676308B" w14:textId="77777777" w:rsidR="00F80E75" w:rsidRDefault="00F80E75" w:rsidP="00F80E75">
            <w:pPr>
              <w:spacing w:line="480" w:lineRule="auto"/>
              <w:jc w:val="center"/>
            </w:pPr>
          </w:p>
        </w:tc>
        <w:tc>
          <w:tcPr>
            <w:tcW w:w="1870" w:type="dxa"/>
            <w:tcBorders>
              <w:top w:val="nil"/>
              <w:bottom w:val="nil"/>
            </w:tcBorders>
            <w:vAlign w:val="center"/>
          </w:tcPr>
          <w:p w14:paraId="1F3105E9" w14:textId="0C50F5DF" w:rsidR="00F80E75" w:rsidRDefault="00F80E75" w:rsidP="00F80E75">
            <w:pPr>
              <w:spacing w:line="480" w:lineRule="auto"/>
              <w:jc w:val="center"/>
            </w:pPr>
            <w:r>
              <w:t>Vacation</w:t>
            </w:r>
          </w:p>
        </w:tc>
        <w:tc>
          <w:tcPr>
            <w:tcW w:w="1870" w:type="dxa"/>
            <w:tcBorders>
              <w:top w:val="nil"/>
              <w:bottom w:val="nil"/>
            </w:tcBorders>
            <w:vAlign w:val="center"/>
          </w:tcPr>
          <w:p w14:paraId="36BC8513" w14:textId="470DE2A8" w:rsidR="00F80E75" w:rsidRDefault="001C4BE6" w:rsidP="00F80E75">
            <w:pPr>
              <w:spacing w:line="480" w:lineRule="auto"/>
              <w:jc w:val="center"/>
            </w:pPr>
            <w:r>
              <w:t>.92</w:t>
            </w:r>
          </w:p>
        </w:tc>
        <w:tc>
          <w:tcPr>
            <w:tcW w:w="1870" w:type="dxa"/>
            <w:tcBorders>
              <w:top w:val="nil"/>
              <w:bottom w:val="nil"/>
            </w:tcBorders>
            <w:vAlign w:val="center"/>
          </w:tcPr>
          <w:p w14:paraId="794A040A" w14:textId="10AE4D7B" w:rsidR="00F80E75" w:rsidRDefault="001C4BE6" w:rsidP="00F80E75">
            <w:pPr>
              <w:spacing w:line="480" w:lineRule="auto"/>
              <w:jc w:val="center"/>
            </w:pPr>
            <w:r>
              <w:t>.965</w:t>
            </w:r>
          </w:p>
        </w:tc>
        <w:tc>
          <w:tcPr>
            <w:tcW w:w="1870" w:type="dxa"/>
            <w:tcBorders>
              <w:top w:val="nil"/>
              <w:bottom w:val="nil"/>
            </w:tcBorders>
            <w:vAlign w:val="center"/>
          </w:tcPr>
          <w:p w14:paraId="2789E12E" w14:textId="6045FA5B" w:rsidR="00F80E75" w:rsidRDefault="001C4BE6" w:rsidP="00F80E75">
            <w:pPr>
              <w:spacing w:line="480" w:lineRule="auto"/>
              <w:jc w:val="center"/>
            </w:pPr>
            <w:r>
              <w:t>83</w:t>
            </w:r>
          </w:p>
        </w:tc>
      </w:tr>
      <w:tr w:rsidR="00F80E75" w14:paraId="75A93617" w14:textId="77777777" w:rsidTr="00F80E75">
        <w:tc>
          <w:tcPr>
            <w:tcW w:w="1870" w:type="dxa"/>
            <w:tcBorders>
              <w:top w:val="nil"/>
              <w:bottom w:val="nil"/>
            </w:tcBorders>
            <w:vAlign w:val="center"/>
          </w:tcPr>
          <w:p w14:paraId="655C4377" w14:textId="77777777" w:rsidR="006A3545" w:rsidRDefault="006A3545" w:rsidP="00E82F2E">
            <w:pPr>
              <w:spacing w:line="480" w:lineRule="auto"/>
              <w:jc w:val="center"/>
            </w:pPr>
          </w:p>
        </w:tc>
        <w:tc>
          <w:tcPr>
            <w:tcW w:w="1870" w:type="dxa"/>
            <w:tcBorders>
              <w:top w:val="nil"/>
              <w:bottom w:val="nil"/>
            </w:tcBorders>
            <w:vAlign w:val="center"/>
          </w:tcPr>
          <w:p w14:paraId="1F952A90" w14:textId="5A595C0B" w:rsidR="006A3545" w:rsidRDefault="00F80E75" w:rsidP="00E82F2E">
            <w:pPr>
              <w:spacing w:line="480" w:lineRule="auto"/>
              <w:jc w:val="center"/>
            </w:pPr>
            <w:r>
              <w:t>Quest</w:t>
            </w:r>
          </w:p>
        </w:tc>
        <w:tc>
          <w:tcPr>
            <w:tcW w:w="1870" w:type="dxa"/>
            <w:tcBorders>
              <w:top w:val="nil"/>
              <w:bottom w:val="nil"/>
            </w:tcBorders>
            <w:vAlign w:val="center"/>
          </w:tcPr>
          <w:p w14:paraId="388E933B" w14:textId="6AFB748C" w:rsidR="006A3545" w:rsidRDefault="001C4BE6" w:rsidP="00E82F2E">
            <w:pPr>
              <w:spacing w:line="480" w:lineRule="auto"/>
              <w:jc w:val="center"/>
            </w:pPr>
            <w:r>
              <w:t>1.10</w:t>
            </w:r>
          </w:p>
        </w:tc>
        <w:tc>
          <w:tcPr>
            <w:tcW w:w="1870" w:type="dxa"/>
            <w:tcBorders>
              <w:top w:val="nil"/>
              <w:bottom w:val="nil"/>
            </w:tcBorders>
            <w:vAlign w:val="center"/>
          </w:tcPr>
          <w:p w14:paraId="50B30BC2" w14:textId="56060113" w:rsidR="006A3545" w:rsidRDefault="001C4BE6" w:rsidP="00E82F2E">
            <w:pPr>
              <w:spacing w:line="480" w:lineRule="auto"/>
              <w:jc w:val="center"/>
            </w:pPr>
            <w:r>
              <w:t>.976</w:t>
            </w:r>
          </w:p>
        </w:tc>
        <w:tc>
          <w:tcPr>
            <w:tcW w:w="1870" w:type="dxa"/>
            <w:tcBorders>
              <w:top w:val="nil"/>
              <w:bottom w:val="nil"/>
            </w:tcBorders>
            <w:vAlign w:val="center"/>
          </w:tcPr>
          <w:p w14:paraId="7FD6FCB2" w14:textId="15603A61" w:rsidR="006A3545" w:rsidRDefault="001C4BE6" w:rsidP="00E82F2E">
            <w:pPr>
              <w:spacing w:line="480" w:lineRule="auto"/>
              <w:jc w:val="center"/>
            </w:pPr>
            <w:r>
              <w:t>82</w:t>
            </w:r>
          </w:p>
        </w:tc>
      </w:tr>
      <w:tr w:rsidR="00F80E75" w14:paraId="59E452FC" w14:textId="77777777" w:rsidTr="00F80E75">
        <w:tc>
          <w:tcPr>
            <w:tcW w:w="1870" w:type="dxa"/>
            <w:tcBorders>
              <w:top w:val="nil"/>
            </w:tcBorders>
            <w:vAlign w:val="center"/>
          </w:tcPr>
          <w:p w14:paraId="778D1341" w14:textId="77777777" w:rsidR="006A3545" w:rsidRDefault="006A3545" w:rsidP="00E82F2E">
            <w:pPr>
              <w:spacing w:line="480" w:lineRule="auto"/>
              <w:jc w:val="center"/>
            </w:pPr>
          </w:p>
        </w:tc>
        <w:tc>
          <w:tcPr>
            <w:tcW w:w="1870" w:type="dxa"/>
            <w:tcBorders>
              <w:top w:val="nil"/>
            </w:tcBorders>
            <w:vAlign w:val="center"/>
          </w:tcPr>
          <w:p w14:paraId="7A288B09" w14:textId="56577725" w:rsidR="006A3545" w:rsidRDefault="00F80E75" w:rsidP="00E82F2E">
            <w:pPr>
              <w:spacing w:line="480" w:lineRule="auto"/>
              <w:jc w:val="center"/>
            </w:pPr>
            <w:r>
              <w:t>Total</w:t>
            </w:r>
          </w:p>
        </w:tc>
        <w:tc>
          <w:tcPr>
            <w:tcW w:w="1870" w:type="dxa"/>
            <w:tcBorders>
              <w:top w:val="nil"/>
            </w:tcBorders>
            <w:vAlign w:val="center"/>
          </w:tcPr>
          <w:p w14:paraId="006AE42A" w14:textId="6743A6AC" w:rsidR="006A3545" w:rsidRDefault="001C4BE6" w:rsidP="00E82F2E">
            <w:pPr>
              <w:spacing w:line="480" w:lineRule="auto"/>
              <w:jc w:val="center"/>
            </w:pPr>
            <w:r>
              <w:t>1.04</w:t>
            </w:r>
          </w:p>
        </w:tc>
        <w:tc>
          <w:tcPr>
            <w:tcW w:w="1870" w:type="dxa"/>
            <w:tcBorders>
              <w:top w:val="nil"/>
            </w:tcBorders>
            <w:vAlign w:val="center"/>
          </w:tcPr>
          <w:p w14:paraId="1FBFD788" w14:textId="64BF235B" w:rsidR="006A3545" w:rsidRDefault="001C4BE6" w:rsidP="00E82F2E">
            <w:pPr>
              <w:spacing w:line="480" w:lineRule="auto"/>
              <w:jc w:val="center"/>
            </w:pPr>
            <w:r>
              <w:t>.968</w:t>
            </w:r>
          </w:p>
        </w:tc>
        <w:tc>
          <w:tcPr>
            <w:tcW w:w="1870" w:type="dxa"/>
            <w:tcBorders>
              <w:top w:val="nil"/>
            </w:tcBorders>
            <w:vAlign w:val="center"/>
          </w:tcPr>
          <w:p w14:paraId="1DBC3FB2" w14:textId="7836A1BE" w:rsidR="006A3545" w:rsidRDefault="001C4BE6" w:rsidP="00E82F2E">
            <w:pPr>
              <w:spacing w:line="480" w:lineRule="auto"/>
              <w:jc w:val="center"/>
            </w:pPr>
            <w:r>
              <w:t>247</w:t>
            </w:r>
          </w:p>
        </w:tc>
      </w:tr>
    </w:tbl>
    <w:p w14:paraId="63667AC9" w14:textId="77777777" w:rsidR="006A3545" w:rsidRPr="00E82F2E" w:rsidRDefault="006A3545" w:rsidP="00E82F2E">
      <w:pPr>
        <w:spacing w:line="480" w:lineRule="auto"/>
      </w:pPr>
    </w:p>
    <w:p w14:paraId="1B23EEB8" w14:textId="77777777" w:rsidR="00A427D8" w:rsidRDefault="00A427D8">
      <w:r>
        <w:br w:type="page"/>
      </w:r>
    </w:p>
    <w:p w14:paraId="5A948CC3" w14:textId="14835C39" w:rsidR="00A427D8" w:rsidRDefault="00A427D8">
      <w:pPr>
        <w:rPr>
          <w:b/>
          <w:bCs/>
        </w:rPr>
      </w:pPr>
    </w:p>
    <w:p w14:paraId="2B5E5B8D" w14:textId="5B098D83" w:rsidR="00AB3035" w:rsidRDefault="00AB3035" w:rsidP="00AB3035">
      <w:pPr>
        <w:spacing w:line="480" w:lineRule="auto"/>
      </w:pPr>
      <w:r>
        <w:rPr>
          <w:b/>
          <w:bCs/>
        </w:rPr>
        <w:t>Figure 1</w:t>
      </w:r>
      <w:r w:rsidR="00A427D8">
        <w:t xml:space="preserve">: </w:t>
      </w:r>
      <w:r w:rsidRPr="00A427D8">
        <w:rPr>
          <w:b/>
          <w:bCs/>
        </w:rPr>
        <w:t>DTA by Group</w:t>
      </w:r>
    </w:p>
    <w:p w14:paraId="3468956D" w14:textId="1478FB44" w:rsidR="00AB3035" w:rsidRDefault="00AB3035" w:rsidP="00E82F2E">
      <w:pPr>
        <w:spacing w:line="480" w:lineRule="auto"/>
      </w:pPr>
      <w:r>
        <w:rPr>
          <w:noProof/>
        </w:rPr>
        <w:drawing>
          <wp:inline distT="0" distB="0" distL="0" distR="0" wp14:anchorId="1D2A36C5" wp14:editId="7783F323">
            <wp:extent cx="5486400" cy="3200400"/>
            <wp:effectExtent l="0" t="0" r="12700" b="1270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69605AA" w14:textId="77777777" w:rsidR="00A427D8" w:rsidRDefault="00A427D8">
      <w:r>
        <w:br w:type="page"/>
      </w:r>
    </w:p>
    <w:p w14:paraId="7B11B6A4" w14:textId="074CDA7D" w:rsidR="00A94554" w:rsidRDefault="00374CA5" w:rsidP="00374CA5">
      <w:pPr>
        <w:spacing w:line="480" w:lineRule="auto"/>
      </w:pPr>
      <w:r>
        <w:lastRenderedPageBreak/>
        <w:tab/>
        <w:t>Consequently, for exploratory purposes, a one-way ANOVA comparing control, vacation, and quest participants who were reminded of their death (i.e. mortality salience)</w:t>
      </w:r>
      <w:r w:rsidR="00A94554">
        <w:t xml:space="preserve"> revealed</w:t>
      </w:r>
      <w:r>
        <w:t xml:space="preserve"> </w:t>
      </w:r>
      <w:r w:rsidR="00A94554">
        <w:t>a</w:t>
      </w:r>
      <w:r>
        <w:t xml:space="preserve"> marginal (</w:t>
      </w:r>
      <w:proofErr w:type="gramStart"/>
      <w:r w:rsidR="00A94554">
        <w:t>F(</w:t>
      </w:r>
      <w:proofErr w:type="gramEnd"/>
      <w:r w:rsidR="00A94554">
        <w:t xml:space="preserve">2,121) = 2.145, </w:t>
      </w:r>
      <w:r>
        <w:t xml:space="preserve">p = .12) effect, which </w:t>
      </w:r>
      <w:r w:rsidR="00A94554">
        <w:t>was</w:t>
      </w:r>
      <w:r>
        <w:t xml:space="preserve"> due to the vacation participants having significantly lower DTA than control participants (p = 0.41). </w:t>
      </w:r>
      <w:r w:rsidR="00A94554">
        <w:t>This difference is the reason that a marginal main effect for MS is observed in the overall analyses.</w:t>
      </w:r>
    </w:p>
    <w:p w14:paraId="5C7A9783" w14:textId="13D69F5C" w:rsidR="00374CA5" w:rsidRPr="00E82F2E" w:rsidRDefault="00A94554" w:rsidP="00374CA5">
      <w:pPr>
        <w:spacing w:line="480" w:lineRule="auto"/>
        <w:rPr>
          <w:b/>
          <w:bCs/>
        </w:rPr>
      </w:pPr>
      <w:r>
        <w:rPr>
          <w:b/>
          <w:bCs/>
        </w:rPr>
        <w:t>Secondary Analyses</w:t>
      </w:r>
    </w:p>
    <w:p w14:paraId="4FADF3AF" w14:textId="7371FE68" w:rsidR="00374CA5" w:rsidRDefault="00374CA5" w:rsidP="00E82F2E">
      <w:pPr>
        <w:spacing w:line="480" w:lineRule="auto"/>
      </w:pPr>
      <w:r>
        <w:tab/>
        <w:t>There were no significant findings with regard to attachment style, neuroticism, or religious life inventory results.</w:t>
      </w:r>
    </w:p>
    <w:p w14:paraId="2EEEC47A" w14:textId="77777777" w:rsidR="00374CA5" w:rsidRDefault="00374CA5" w:rsidP="00E82F2E">
      <w:pPr>
        <w:spacing w:line="480" w:lineRule="auto"/>
        <w:rPr>
          <w:b/>
          <w:bCs/>
        </w:rPr>
      </w:pPr>
    </w:p>
    <w:p w14:paraId="523B51D8" w14:textId="518F5904" w:rsidR="002153DC" w:rsidRPr="00374CA5" w:rsidRDefault="00374CA5" w:rsidP="00374CA5">
      <w:pPr>
        <w:rPr>
          <w:b/>
          <w:bCs/>
        </w:rPr>
      </w:pPr>
      <w:r>
        <w:rPr>
          <w:b/>
          <w:bCs/>
        </w:rPr>
        <w:br w:type="page"/>
      </w:r>
    </w:p>
    <w:p w14:paraId="4819DF2C" w14:textId="5F383425" w:rsidR="00C95C65" w:rsidRPr="00815B3C" w:rsidRDefault="00C95C65" w:rsidP="00C95C65">
      <w:pPr>
        <w:spacing w:line="480" w:lineRule="auto"/>
        <w:jc w:val="center"/>
        <w:rPr>
          <w:b/>
          <w:bCs/>
        </w:rPr>
      </w:pPr>
      <w:r w:rsidRPr="00815B3C">
        <w:rPr>
          <w:b/>
          <w:bCs/>
        </w:rPr>
        <w:lastRenderedPageBreak/>
        <w:t>Chapter I</w:t>
      </w:r>
      <w:r>
        <w:rPr>
          <w:b/>
          <w:bCs/>
        </w:rPr>
        <w:t>V</w:t>
      </w:r>
      <w:r w:rsidRPr="00815B3C">
        <w:rPr>
          <w:b/>
          <w:bCs/>
        </w:rPr>
        <w:t xml:space="preserve">: </w:t>
      </w:r>
      <w:r>
        <w:rPr>
          <w:b/>
          <w:bCs/>
        </w:rPr>
        <w:t>Discussion</w:t>
      </w:r>
    </w:p>
    <w:p w14:paraId="388BE3AE" w14:textId="1A84FABA" w:rsidR="003A2D0A" w:rsidRDefault="00F64698" w:rsidP="00C95C65">
      <w:pPr>
        <w:spacing w:line="480" w:lineRule="auto"/>
      </w:pPr>
      <w:r>
        <w:tab/>
      </w:r>
      <w:r w:rsidR="003A2D0A">
        <w:t xml:space="preserve">Anxiety about our own mortality is a powerful force responsible for the ways that we as humans think, feel, fantasize, and behave. The present study sought to examine whether or not a quest-like state of mind may serve as a buffer against death anxiety by allowing one to feel like they are on an epic, meaningful journey toward a purposeful goal. Unfortunately, this study was unable to </w:t>
      </w:r>
      <w:r w:rsidR="00744096">
        <w:t>find</w:t>
      </w:r>
      <w:r w:rsidR="003A2D0A">
        <w:t xml:space="preserve"> such a connection.</w:t>
      </w:r>
    </w:p>
    <w:p w14:paraId="33BD5C16" w14:textId="2C5DB3A5" w:rsidR="00F64698" w:rsidRDefault="00BE65AE" w:rsidP="003A2D0A">
      <w:pPr>
        <w:spacing w:line="480" w:lineRule="auto"/>
        <w:ind w:firstLine="720"/>
      </w:pPr>
      <w:r>
        <w:t>The</w:t>
      </w:r>
      <w:r w:rsidR="003A2D0A">
        <w:t>se</w:t>
      </w:r>
      <w:r>
        <w:t xml:space="preserve"> results do not support our hypothesis that</w:t>
      </w:r>
      <w:r w:rsidR="00F64698">
        <w:t xml:space="preserve"> a quest-like state of mind buffers against death anxiety. This finding (or lack thereof) presents a question: Is it the case that there simply is no relationship between a quest-like state of mind and death anxiety</w:t>
      </w:r>
      <w:r w:rsidR="00D47B4A">
        <w:t>?</w:t>
      </w:r>
      <w:r w:rsidR="00F64698">
        <w:t xml:space="preserve"> </w:t>
      </w:r>
      <w:r w:rsidR="00D47B4A">
        <w:t>O</w:t>
      </w:r>
      <w:r w:rsidR="00F64698">
        <w:t>r</w:t>
      </w:r>
      <w:r w:rsidR="00D47B4A">
        <w:t>,</w:t>
      </w:r>
      <w:r w:rsidR="00F64698">
        <w:t xml:space="preserve"> is it the case that the present study, due to various factors, was unable to properly assess the experimental </w:t>
      </w:r>
      <w:r w:rsidR="003A2D0A">
        <w:t>hypotheses</w:t>
      </w:r>
      <w:r w:rsidR="00D47B4A">
        <w:t>?</w:t>
      </w:r>
      <w:r w:rsidR="00F64698">
        <w:t xml:space="preserve"> </w:t>
      </w:r>
      <w:r w:rsidR="003A2D0A">
        <w:t xml:space="preserve">I </w:t>
      </w:r>
      <w:r w:rsidR="00703C42">
        <w:t>believe</w:t>
      </w:r>
      <w:r w:rsidR="00034631">
        <w:t xml:space="preserve"> that it is the latter and that the initial hypothesis remains untested.</w:t>
      </w:r>
      <w:r w:rsidR="00703C42">
        <w:t xml:space="preserve"> </w:t>
      </w:r>
    </w:p>
    <w:p w14:paraId="1EE06563" w14:textId="029AB7A8" w:rsidR="003A2D0A" w:rsidRDefault="00945C0E" w:rsidP="003A2D0A">
      <w:pPr>
        <w:spacing w:line="480" w:lineRule="auto"/>
        <w:ind w:firstLine="720"/>
      </w:pPr>
      <w:r>
        <w:t>Testing the central hypothesis of this study</w:t>
      </w:r>
      <w:r w:rsidR="00C80579">
        <w:t xml:space="preserve"> (hypothesis 2)</w:t>
      </w:r>
      <w:r>
        <w:t xml:space="preserve"> requires producing a mortality salience effect with regard to DTA in the control condition</w:t>
      </w:r>
      <w:r w:rsidR="00C80579">
        <w:t xml:space="preserve"> (hypothesis 1)</w:t>
      </w:r>
      <w:r>
        <w:t>. This is an effect that has been routinely obtained in previous research</w:t>
      </w:r>
      <w:r w:rsidR="007C6CE5">
        <w:t xml:space="preserve"> but was unable to be obtained in the present study</w:t>
      </w:r>
      <w:r>
        <w:t xml:space="preserve">. </w:t>
      </w:r>
    </w:p>
    <w:p w14:paraId="5DF45D01" w14:textId="77777777" w:rsidR="00945C0E" w:rsidRDefault="00945C0E" w:rsidP="00945C0E">
      <w:pPr>
        <w:spacing w:line="480" w:lineRule="auto"/>
      </w:pPr>
      <w:r>
        <w:rPr>
          <w:b/>
          <w:bCs/>
        </w:rPr>
        <w:t>COVID-19</w:t>
      </w:r>
    </w:p>
    <w:p w14:paraId="2E653441" w14:textId="63E21381" w:rsidR="00F14C6C" w:rsidRDefault="00945C0E" w:rsidP="00945C0E">
      <w:pPr>
        <w:spacing w:line="480" w:lineRule="auto"/>
      </w:pPr>
      <w:r>
        <w:tab/>
        <w:t xml:space="preserve">This study took place during the 2019-2022 pandemic where </w:t>
      </w:r>
      <w:r w:rsidRPr="0057380F">
        <w:t>severe acute respiratory syndrome coronavirus 2 (SARS-CoV-2</w:t>
      </w:r>
      <w:r>
        <w:t xml:space="preserve"> or “COVID-19”</w:t>
      </w:r>
      <w:r w:rsidRPr="0057380F">
        <w:t>)</w:t>
      </w:r>
      <w:r>
        <w:t xml:space="preserve"> affected communities across the world. During this time, ambient levels of death were present in all individuals exposed to COVID-19, individuals with family members who had COVID-19, or even those who saw media coverage of the consequences of COVID-19. It is unclear what impact this death ambience may have had on the present study, or whether or not COVID-19 made it more difficult to induce the death anxiety </w:t>
      </w:r>
      <w:r>
        <w:lastRenderedPageBreak/>
        <w:t xml:space="preserve">effect necessary to assess the quest-like state of mind hypothesis. It stands to reason that mortality salience was simply present in the atmosphere, making it more difficult to induce a death anxiety effect, especially when using an electronic medium like the one used in this study. </w:t>
      </w:r>
      <w:r w:rsidR="002633CB">
        <w:t xml:space="preserve">This line of thinking is supported in that Terror Management Theory researchers around the world have reported that </w:t>
      </w:r>
      <w:r w:rsidR="007C6CE5">
        <w:t xml:space="preserve">during the pandemic, </w:t>
      </w:r>
      <w:r w:rsidR="002633CB">
        <w:t>it has been more difficult to obtain basic mortality salience effects, especially with internet</w:t>
      </w:r>
      <w:r w:rsidR="00E5658A">
        <w:t>-</w:t>
      </w:r>
      <w:r w:rsidR="002633CB">
        <w:t>based samples (</w:t>
      </w:r>
      <w:r w:rsidR="00C80579">
        <w:t>S. Solomon, personal communication, Feb. 4</w:t>
      </w:r>
      <w:r w:rsidR="00C80579" w:rsidRPr="00E82F2E">
        <w:rPr>
          <w:vertAlign w:val="superscript"/>
        </w:rPr>
        <w:t>th</w:t>
      </w:r>
      <w:r w:rsidR="00C80579">
        <w:t>, 2022).</w:t>
      </w:r>
      <w:r w:rsidR="00F14C6C">
        <w:t xml:space="preserve"> </w:t>
      </w:r>
    </w:p>
    <w:p w14:paraId="6CBF91E8" w14:textId="7EC75708" w:rsidR="00F14C6C" w:rsidRDefault="00945C0E" w:rsidP="00945C0E">
      <w:pPr>
        <w:spacing w:line="480" w:lineRule="auto"/>
      </w:pPr>
      <w:r>
        <w:tab/>
        <w:t xml:space="preserve">While on the topic of COVID-19, it may also be worth examining whether or not the quest and vacation manipulations were too similar. It could be that, during the COVID-19 pandemic where many individuals were in “lockdown” conditions (either forced by local governments or self-imposed) that the idea of a vacation may have become even more appealing and existentially meaningful than it otherwise would have been. This would suggest that the vacation manipulation may have actually increased in potency to a level similar to the quest manipulation (or even potentially surpassed it). </w:t>
      </w:r>
      <w:r w:rsidR="00B40DCA">
        <w:t xml:space="preserve">This idea is supported by a study conducted at Skidmore College in a laboratory setting </w:t>
      </w:r>
      <w:r w:rsidR="00B40DCA">
        <w:fldChar w:fldCharType="begin" w:fldLock="1"/>
      </w:r>
      <w:r w:rsidR="00007A06">
        <w:instrText>ADDIN CSL_CITATION {"citationItems":[{"id":"ITEM-1","itemData":{"author":[{"dropping-particle":"","family":"Yang","given":"Yung Yung (Sylvia)","non-dropping-particle":"","parse-names":false,"suffix":""}],"id":"ITEM-1","issued":{"date-parts":[["2022"]]},"title":"The Effect of Gratitude and Mortality Salience on Death Thought Accessibility","type":"report"},"uris":["http://www.mendeley.com/documents/?uuid=ac166644-33f8-443c-9da6-22aabfbb4e32"]}],"mendeley":{"formattedCitation":"(Yang, 2022)","plainTextFormattedCitation":"(Yang, 2022)","previouslyFormattedCitation":"(Yang, 2022)"},"properties":{"noteIndex":0},"schema":"https://github.com/citation-style-language/schema/raw/master/csl-citation.json"}</w:instrText>
      </w:r>
      <w:r w:rsidR="00B40DCA">
        <w:fldChar w:fldCharType="separate"/>
      </w:r>
      <w:r w:rsidR="00B40DCA" w:rsidRPr="00B40DCA">
        <w:rPr>
          <w:noProof/>
        </w:rPr>
        <w:t>(Yang, 2022)</w:t>
      </w:r>
      <w:r w:rsidR="00B40DCA">
        <w:fldChar w:fldCharType="end"/>
      </w:r>
      <w:r w:rsidR="00B40DCA">
        <w:t>.</w:t>
      </w:r>
      <w:r w:rsidR="00F14C6C">
        <w:t xml:space="preserve"> </w:t>
      </w:r>
    </w:p>
    <w:p w14:paraId="149ADF1E" w14:textId="742376C3" w:rsidR="003A2D0A" w:rsidRDefault="00F14C6C" w:rsidP="00A427D8">
      <w:pPr>
        <w:spacing w:line="480" w:lineRule="auto"/>
        <w:ind w:firstLine="720"/>
      </w:pPr>
      <w:r>
        <w:t xml:space="preserve">Sylvia Yang sought to examine the relationship between mortality salience, vacation visualization, and gratitude. The study found that the idea of a vacation did indeed reduce DTA with those exposed to mortality salience as compared to those asked to imagine themselves in a gratitude related experience. Debriefing of participants at the end of the study revealed that many participants likened the idea of going on a vacation in the aftermath of a global pandemic to a life changing, existential event of great magnitude, full of gratitude and </w:t>
      </w:r>
      <w:r w:rsidR="00C80579">
        <w:t>a</w:t>
      </w:r>
      <w:r>
        <w:t xml:space="preserve"> sense of an epic journey. </w:t>
      </w:r>
      <w:r>
        <w:lastRenderedPageBreak/>
        <w:t xml:space="preserve">This may help explain why the vacation conditioned seemed to outperform the quest condition, with respect to DTA, in the present study. </w:t>
      </w:r>
    </w:p>
    <w:p w14:paraId="091FCF6E" w14:textId="3C56F870" w:rsidR="00ED0A1A" w:rsidRDefault="000F5949" w:rsidP="00C95C65">
      <w:pPr>
        <w:spacing w:line="480" w:lineRule="auto"/>
      </w:pPr>
      <w:r>
        <w:tab/>
        <w:t xml:space="preserve">This study sought to examine if instilling a feeling of a heroic journey, a purposeful effort, or quest-like state of mind would buffer against death anxiety. There was an interesting, perhaps preliminary finding, with regard to this idea. When examining just the participants of the study who were exposed to the death prompts, </w:t>
      </w:r>
      <w:r w:rsidR="0044458B">
        <w:t>there was</w:t>
      </w:r>
      <w:r w:rsidR="00703C42">
        <w:t xml:space="preserve"> a marginal difference (p = 0.12)</w:t>
      </w:r>
      <w:r>
        <w:t xml:space="preserve"> between the control (literary prompt) participants (M=1.15) and those participants who underwent one of the two imagery exposures (vacation (M=.74) and quest (M=.89)).</w:t>
      </w:r>
      <w:r w:rsidR="0057380F">
        <w:t xml:space="preserve"> This suggests that</w:t>
      </w:r>
      <w:r w:rsidR="00703C42">
        <w:t xml:space="preserve"> there </w:t>
      </w:r>
      <w:r w:rsidR="006F3043">
        <w:t>may be</w:t>
      </w:r>
      <w:r w:rsidR="00703C42">
        <w:t xml:space="preserve"> </w:t>
      </w:r>
      <w:r w:rsidR="0057380F">
        <w:t>some buffer against death anxiety</w:t>
      </w:r>
      <w:r w:rsidR="00703C42">
        <w:t xml:space="preserve"> </w:t>
      </w:r>
      <w:r w:rsidR="0057380F">
        <w:t>with those participants who imagined themselves going on a vacation or quest.</w:t>
      </w:r>
      <w:r w:rsidR="00703C42">
        <w:t xml:space="preserve"> In other words, imagining oneself on a purposeful journey, or on a relaxing break from the real world (i.e., vacation condition) may provide some relief when presented with death reminders.</w:t>
      </w:r>
    </w:p>
    <w:p w14:paraId="27E1E326" w14:textId="386246B3" w:rsidR="001F21B3" w:rsidRDefault="001F21B3" w:rsidP="0057380F">
      <w:pPr>
        <w:spacing w:line="480" w:lineRule="auto"/>
        <w:rPr>
          <w:b/>
          <w:bCs/>
        </w:rPr>
      </w:pPr>
      <w:r>
        <w:rPr>
          <w:b/>
          <w:bCs/>
        </w:rPr>
        <w:t>Future Directions</w:t>
      </w:r>
    </w:p>
    <w:p w14:paraId="2D3F03E7" w14:textId="66543A3D" w:rsidR="001F21B3" w:rsidRDefault="001F21B3" w:rsidP="0057380F">
      <w:pPr>
        <w:spacing w:line="480" w:lineRule="auto"/>
      </w:pPr>
      <w:r>
        <w:tab/>
        <w:t xml:space="preserve">There are several takeaways from the present study when thinking about moving forward with this research. First and foremost is the death anxiety effect. Ideally, the experiment in the present study </w:t>
      </w:r>
      <w:r w:rsidR="00E37F83">
        <w:t>w</w:t>
      </w:r>
      <w:r>
        <w:t>ould have been broken up into multiple parts where in the first part, the death anxiety induction would be proven within the desired medium (electronically) and population (college students)</w:t>
      </w:r>
      <w:r w:rsidR="00E509B9">
        <w:t xml:space="preserve"> by designing a study independent of the visualization procedures to show proof of concept with the desired mortality salience induction.</w:t>
      </w:r>
      <w:r>
        <w:t xml:space="preserve"> Once the death anxiety induction was shown to be effective, then the quest-like induction could have </w:t>
      </w:r>
      <w:r w:rsidR="00925C44">
        <w:t xml:space="preserve">been examined to determine if there was any impact on death thought accessibility between groups. In the future, breaking up </w:t>
      </w:r>
      <w:r w:rsidR="00925C44">
        <w:lastRenderedPageBreak/>
        <w:t xml:space="preserve">a study seeking to examine quest-like states of mind and their impact on death anxiety would allow one to be more certain of the ability to test each hypothesis. </w:t>
      </w:r>
    </w:p>
    <w:p w14:paraId="2CE07F39" w14:textId="205B6E08" w:rsidR="00925C44" w:rsidRDefault="00925C44" w:rsidP="0057380F">
      <w:pPr>
        <w:spacing w:line="480" w:lineRule="auto"/>
      </w:pPr>
      <w:r>
        <w:tab/>
        <w:t>It is possible that the present study utilized quest and vacation imagery that was too similar in style and that the photograph used for the vacation imagery may have actually been more potent than that used for the questing condition. In future studies, it would be wise to choose imagery for the vacation condition that is perhaps more neutral, and imagery for the questing condition that is more potent.</w:t>
      </w:r>
      <w:r w:rsidR="00E509B9">
        <w:t xml:space="preserve"> In other words, it could be argued that the imagery chosen for this study included a questing visualization that was a little more abstract, using an artistic style of imagery whereas the vacationing condition used a realistic imagery with the sun shining. It is possible that this difference in imagery may have made it easier for individuals to actually imagine themselves on a vacation versus imagining themselves on a quest.</w:t>
      </w:r>
    </w:p>
    <w:p w14:paraId="72E439CF" w14:textId="6C3B4F62" w:rsidR="00ED0A1A" w:rsidRDefault="00ED0A1A" w:rsidP="0057380F">
      <w:pPr>
        <w:spacing w:line="480" w:lineRule="auto"/>
      </w:pPr>
      <w:r>
        <w:tab/>
        <w:t>Another possibility is that the idea of a quest is exceptionally difficult to visualize. The visualization induction in this study was based on the 2011 study “Finding Everland: Flight fantasies and the desire to transcend mortality</w:t>
      </w:r>
      <w:r w:rsidR="00457D1D">
        <w:t>,”</w:t>
      </w:r>
      <w:r>
        <w:t xml:space="preserve"> </w:t>
      </w:r>
      <w:r w:rsidR="00457D1D">
        <w:t xml:space="preserve">which </w:t>
      </w:r>
      <w:r>
        <w:t>encouraged participants to visualize themselves flying</w:t>
      </w:r>
      <w:r w:rsidR="00457D1D">
        <w:t xml:space="preserve">. This </w:t>
      </w:r>
      <w:r>
        <w:t xml:space="preserve">is perhaps a more easily </w:t>
      </w:r>
      <w:r w:rsidR="00457D1D">
        <w:t xml:space="preserve">obtainable fantasy for individuals to visualize than the idea of going on a purposeful quest. The visualization of questing may have been made increasingly difficult in that the population for the present study was young (M=18.6 years old) and younger participants may have a more limited background in classics </w:t>
      </w:r>
      <w:r w:rsidR="007C6CE5">
        <w:t xml:space="preserve">where </w:t>
      </w:r>
      <w:r w:rsidR="00457D1D">
        <w:t xml:space="preserve">epic quests are commonplace. </w:t>
      </w:r>
    </w:p>
    <w:p w14:paraId="269F79F7" w14:textId="192684D2" w:rsidR="00160834" w:rsidRDefault="00160834" w:rsidP="0057380F">
      <w:pPr>
        <w:spacing w:line="480" w:lineRule="auto"/>
      </w:pPr>
      <w:r>
        <w:tab/>
        <w:t xml:space="preserve">It is </w:t>
      </w:r>
      <w:r w:rsidR="00714A1A">
        <w:t xml:space="preserve">also </w:t>
      </w:r>
      <w:r>
        <w:t xml:space="preserve">possible that the questing and vacation imagery exposures were not sufficient in length to produce the desired effect. The present study walked participants through using text prompts along with each accompanying picture 20 seconds at a time for a total of 80 seconds. In </w:t>
      </w:r>
      <w:r>
        <w:lastRenderedPageBreak/>
        <w:t>future studie</w:t>
      </w:r>
      <w:r w:rsidR="00714A1A">
        <w:t>s</w:t>
      </w:r>
      <w:r>
        <w:t xml:space="preserve"> it may be wise to extend the length of time that participants are exposed to the imagery exercise to ensure that they are sufficiently immersed in the experience.</w:t>
      </w:r>
    </w:p>
    <w:p w14:paraId="085D23A0" w14:textId="75C235CA" w:rsidR="00160834" w:rsidRDefault="00160834" w:rsidP="0057380F">
      <w:pPr>
        <w:spacing w:line="480" w:lineRule="auto"/>
      </w:pPr>
      <w:r>
        <w:tab/>
        <w:t xml:space="preserve">In a similar vein, it could be </w:t>
      </w:r>
      <w:r w:rsidR="00714A1A">
        <w:t>important</w:t>
      </w:r>
      <w:r>
        <w:t xml:space="preserve"> in future studies to use vacation and questing induction that is stronger than an image with accompanying text. One possible example of this would be to have a video clip with voiceover showing an experience that would make it easier for participants to be immersed into a vacationing or questing mindset. </w:t>
      </w:r>
    </w:p>
    <w:p w14:paraId="55E85AE5" w14:textId="2E85315E" w:rsidR="00160834" w:rsidRDefault="00160834" w:rsidP="0057380F">
      <w:pPr>
        <w:spacing w:line="480" w:lineRule="auto"/>
      </w:pPr>
      <w:r>
        <w:tab/>
        <w:t xml:space="preserve">This study was meant to include a manipulation check at the end of the study to ensure that each participant </w:t>
      </w:r>
      <w:r w:rsidR="004F6FBA">
        <w:t xml:space="preserve">was adequately attentive throughout the study. This was going to be accomplished by giving an open-ended question as well as two multiple choice questions ascertaining what each participant saw in their version of the experiment. </w:t>
      </w:r>
      <w:r w:rsidR="00A64F2F">
        <w:t xml:space="preserve">Unfortunately, as an oversight, </w:t>
      </w:r>
      <w:r w:rsidR="004F6FBA">
        <w:t>this manipulation check was left out of the online study</w:t>
      </w:r>
      <w:r w:rsidR="00A64F2F">
        <w:t>. Future studies would ideally include some check to ensure that each participant was adequately attentive throughout the experiment.</w:t>
      </w:r>
    </w:p>
    <w:p w14:paraId="46C3AAA1" w14:textId="706C00B7" w:rsidR="00ED0A1A" w:rsidRDefault="00ED0A1A" w:rsidP="0057380F">
      <w:pPr>
        <w:spacing w:line="480" w:lineRule="auto"/>
      </w:pPr>
      <w:r>
        <w:tab/>
        <w:t>With these proposed changes in mind for future directions in this area of study, with a properly developed and tested quest-like state of mind induction, it seems plausible that there could indeed be a buffer against existential anxiety – and this is still a hypothesis worth testing.</w:t>
      </w:r>
    </w:p>
    <w:p w14:paraId="26AB8599" w14:textId="30D51B30" w:rsidR="00181122" w:rsidRDefault="00181122" w:rsidP="0057380F">
      <w:pPr>
        <w:spacing w:line="480" w:lineRule="auto"/>
        <w:rPr>
          <w:b/>
          <w:bCs/>
        </w:rPr>
      </w:pPr>
      <w:r>
        <w:rPr>
          <w:b/>
          <w:bCs/>
        </w:rPr>
        <w:t>Conclusion</w:t>
      </w:r>
    </w:p>
    <w:p w14:paraId="6E90AF1B" w14:textId="4BC059C4" w:rsidR="0044458B" w:rsidRDefault="005F29F0" w:rsidP="0057380F">
      <w:pPr>
        <w:spacing w:line="480" w:lineRule="auto"/>
      </w:pPr>
      <w:r>
        <w:tab/>
        <w:t xml:space="preserve">We live day-to-day </w:t>
      </w:r>
      <w:r w:rsidR="00A71F43">
        <w:t xml:space="preserve">with convenient opaqueness to death and our own mortality. We design rituals and make the passing of those we love special as a way to remember them, but also as a way to comfort ourselves when confronted with the reality that we too will eventually perish. </w:t>
      </w:r>
      <w:r w:rsidR="0044458B">
        <w:t xml:space="preserve">When we are confronted (or </w:t>
      </w:r>
      <w:r w:rsidR="00397FBD">
        <w:t xml:space="preserve">when we </w:t>
      </w:r>
      <w:r w:rsidR="0044458B">
        <w:t xml:space="preserve">confront ourselves) with the knowledge that we </w:t>
      </w:r>
      <w:r w:rsidR="0044458B">
        <w:lastRenderedPageBreak/>
        <w:t>cannot obtain literal immortality, we attempt to achieve symbolic immortality by passing along our legacy</w:t>
      </w:r>
      <w:r w:rsidR="00397FBD">
        <w:t>: e.g.,</w:t>
      </w:r>
      <w:r w:rsidR="0044458B">
        <w:t xml:space="preserve"> in the form of children, </w:t>
      </w:r>
      <w:r w:rsidR="00397FBD">
        <w:t xml:space="preserve">an invention, </w:t>
      </w:r>
      <w:r w:rsidR="0044458B">
        <w:t xml:space="preserve">or perhaps a great work of art. </w:t>
      </w:r>
    </w:p>
    <w:p w14:paraId="40D00097" w14:textId="0CE4AC78" w:rsidR="00A64F2F" w:rsidRDefault="0044458B" w:rsidP="00E82F2E">
      <w:pPr>
        <w:spacing w:line="480" w:lineRule="auto"/>
        <w:ind w:firstLine="720"/>
      </w:pPr>
      <w:r>
        <w:t xml:space="preserve">As we develop and grow over the course of our lifetime, we discover ways to psychically tolerate the knowledge of our death and what it means to exist as a mortal creature. </w:t>
      </w:r>
      <w:r w:rsidR="00A71F43">
        <w:t xml:space="preserve">Whether or not this existential dilemma, this dread, can be warded off with a mindset that encompasses some </w:t>
      </w:r>
      <w:r>
        <w:t xml:space="preserve">greater </w:t>
      </w:r>
      <w:r w:rsidR="00A71F43">
        <w:t xml:space="preserve">existential purpose </w:t>
      </w:r>
      <w:r>
        <w:t xml:space="preserve">or quest, </w:t>
      </w:r>
      <w:r w:rsidR="00A71F43">
        <w:t xml:space="preserve">remains to be seen. </w:t>
      </w:r>
    </w:p>
    <w:p w14:paraId="39AE37AF" w14:textId="77777777" w:rsidR="007C6CE5" w:rsidRDefault="007C6CE5">
      <w:pPr>
        <w:rPr>
          <w:b/>
        </w:rPr>
      </w:pPr>
      <w:r>
        <w:rPr>
          <w:b/>
        </w:rPr>
        <w:br w:type="page"/>
      </w:r>
    </w:p>
    <w:p w14:paraId="543759A5" w14:textId="0BD679CC" w:rsidR="00306F41" w:rsidRDefault="009A4D53" w:rsidP="009A4D53">
      <w:pPr>
        <w:jc w:val="center"/>
        <w:rPr>
          <w:b/>
        </w:rPr>
      </w:pPr>
      <w:r w:rsidRPr="00815B3C">
        <w:rPr>
          <w:b/>
        </w:rPr>
        <w:lastRenderedPageBreak/>
        <w:t>References</w:t>
      </w:r>
    </w:p>
    <w:p w14:paraId="77762E2D" w14:textId="5EE5F5D6" w:rsidR="009A4D53" w:rsidRPr="00815B3C" w:rsidRDefault="00306F41" w:rsidP="007F350E">
      <w:pPr>
        <w:rPr>
          <w:b/>
        </w:rPr>
      </w:pPr>
      <w:r>
        <w:rPr>
          <w:b/>
        </w:rPr>
        <w:br w:type="page"/>
      </w:r>
    </w:p>
    <w:p w14:paraId="32AC4D40" w14:textId="77777777" w:rsidR="00412AB0" w:rsidRPr="00815B3C" w:rsidRDefault="00412AB0" w:rsidP="009A4D53">
      <w:pPr>
        <w:jc w:val="center"/>
        <w:rPr>
          <w:b/>
        </w:rPr>
      </w:pPr>
    </w:p>
    <w:p w14:paraId="77526C26" w14:textId="6D9CC54D" w:rsidR="009D2EF1" w:rsidRPr="009D2EF1" w:rsidRDefault="00685492" w:rsidP="009D2EF1">
      <w:pPr>
        <w:widowControl w:val="0"/>
        <w:autoSpaceDE w:val="0"/>
        <w:autoSpaceDN w:val="0"/>
        <w:adjustRightInd w:val="0"/>
        <w:spacing w:line="480" w:lineRule="auto"/>
        <w:ind w:left="480" w:hanging="480"/>
        <w:rPr>
          <w:noProof/>
        </w:rPr>
      </w:pPr>
      <w:r w:rsidRPr="00815B3C">
        <w:fldChar w:fldCharType="begin" w:fldLock="1"/>
      </w:r>
      <w:r w:rsidRPr="00815B3C">
        <w:instrText xml:space="preserve">ADDIN Mendeley Bibliography CSL_BIBLIOGRAPHY </w:instrText>
      </w:r>
      <w:r w:rsidRPr="00815B3C">
        <w:fldChar w:fldCharType="separate"/>
      </w:r>
      <w:r w:rsidR="009D2EF1" w:rsidRPr="009D2EF1">
        <w:rPr>
          <w:noProof/>
        </w:rPr>
        <w:t xml:space="preserve">Allport, G. W. (1966). The religious context of prejudice. </w:t>
      </w:r>
      <w:r w:rsidR="009D2EF1" w:rsidRPr="009D2EF1">
        <w:rPr>
          <w:i/>
          <w:iCs/>
          <w:noProof/>
        </w:rPr>
        <w:t>Journal for the Scientific Study of Religion</w:t>
      </w:r>
      <w:r w:rsidR="009D2EF1" w:rsidRPr="009D2EF1">
        <w:rPr>
          <w:noProof/>
        </w:rPr>
        <w:t xml:space="preserve">, </w:t>
      </w:r>
      <w:r w:rsidR="009D2EF1" w:rsidRPr="009D2EF1">
        <w:rPr>
          <w:i/>
          <w:iCs/>
          <w:noProof/>
        </w:rPr>
        <w:t>5</w:t>
      </w:r>
      <w:r w:rsidR="009D2EF1" w:rsidRPr="009D2EF1">
        <w:rPr>
          <w:noProof/>
        </w:rPr>
        <w:t>(3), 447–457.</w:t>
      </w:r>
    </w:p>
    <w:p w14:paraId="300BEEFB" w14:textId="77777777" w:rsidR="009D2EF1" w:rsidRPr="009D2EF1" w:rsidRDefault="009D2EF1" w:rsidP="009D2EF1">
      <w:pPr>
        <w:widowControl w:val="0"/>
        <w:autoSpaceDE w:val="0"/>
        <w:autoSpaceDN w:val="0"/>
        <w:adjustRightInd w:val="0"/>
        <w:spacing w:line="480" w:lineRule="auto"/>
        <w:ind w:left="480" w:hanging="480"/>
        <w:rPr>
          <w:noProof/>
        </w:rPr>
      </w:pPr>
      <w:r w:rsidRPr="009D2EF1">
        <w:rPr>
          <w:noProof/>
        </w:rPr>
        <w:t xml:space="preserve">Allport, G. W., &amp; Ross, J. M. (1967). Personal religious orientation and prejudice. </w:t>
      </w:r>
      <w:r w:rsidRPr="009D2EF1">
        <w:rPr>
          <w:i/>
          <w:iCs/>
          <w:noProof/>
        </w:rPr>
        <w:t>Journal of Personality and Social Psychology</w:t>
      </w:r>
      <w:r w:rsidRPr="009D2EF1">
        <w:rPr>
          <w:noProof/>
        </w:rPr>
        <w:t xml:space="preserve">, </w:t>
      </w:r>
      <w:r w:rsidRPr="009D2EF1">
        <w:rPr>
          <w:i/>
          <w:iCs/>
          <w:noProof/>
        </w:rPr>
        <w:t>5</w:t>
      </w:r>
      <w:r w:rsidRPr="009D2EF1">
        <w:rPr>
          <w:noProof/>
        </w:rPr>
        <w:t>(4), 432–443. https://doi.org/10.1037/h0021212</w:t>
      </w:r>
    </w:p>
    <w:p w14:paraId="54DBF2B7" w14:textId="77777777" w:rsidR="009D2EF1" w:rsidRPr="009D2EF1" w:rsidRDefault="009D2EF1" w:rsidP="009D2EF1">
      <w:pPr>
        <w:widowControl w:val="0"/>
        <w:autoSpaceDE w:val="0"/>
        <w:autoSpaceDN w:val="0"/>
        <w:adjustRightInd w:val="0"/>
        <w:spacing w:line="480" w:lineRule="auto"/>
        <w:ind w:left="480" w:hanging="480"/>
        <w:rPr>
          <w:noProof/>
        </w:rPr>
      </w:pPr>
      <w:r w:rsidRPr="009D2EF1">
        <w:rPr>
          <w:noProof/>
        </w:rPr>
        <w:t xml:space="preserve">Batson, C. D. (1976). Religion as Prosocial: Agent or Double Agent? </w:t>
      </w:r>
      <w:r w:rsidRPr="009D2EF1">
        <w:rPr>
          <w:i/>
          <w:iCs/>
          <w:noProof/>
        </w:rPr>
        <w:t>Journal for the Scientific Study of Religion</w:t>
      </w:r>
      <w:r w:rsidRPr="009D2EF1">
        <w:rPr>
          <w:noProof/>
        </w:rPr>
        <w:t xml:space="preserve">, </w:t>
      </w:r>
      <w:r w:rsidRPr="009D2EF1">
        <w:rPr>
          <w:i/>
          <w:iCs/>
          <w:noProof/>
        </w:rPr>
        <w:t>15</w:t>
      </w:r>
      <w:r w:rsidRPr="009D2EF1">
        <w:rPr>
          <w:noProof/>
        </w:rPr>
        <w:t>(1), 29. https://doi.org/10.2307/1384312</w:t>
      </w:r>
    </w:p>
    <w:p w14:paraId="14FB4707" w14:textId="77777777" w:rsidR="009D2EF1" w:rsidRPr="009D2EF1" w:rsidRDefault="009D2EF1" w:rsidP="009D2EF1">
      <w:pPr>
        <w:widowControl w:val="0"/>
        <w:autoSpaceDE w:val="0"/>
        <w:autoSpaceDN w:val="0"/>
        <w:adjustRightInd w:val="0"/>
        <w:spacing w:line="480" w:lineRule="auto"/>
        <w:ind w:left="480" w:hanging="480"/>
        <w:rPr>
          <w:noProof/>
        </w:rPr>
      </w:pPr>
      <w:r w:rsidRPr="009D2EF1">
        <w:rPr>
          <w:noProof/>
        </w:rPr>
        <w:t xml:space="preserve">Batson, C. D., &amp; Schoenrade, P. A. (1991a). Measuring Religion as Quest: 1) Validity Concerns. </w:t>
      </w:r>
      <w:r w:rsidRPr="009D2EF1">
        <w:rPr>
          <w:i/>
          <w:iCs/>
          <w:noProof/>
        </w:rPr>
        <w:t>Journal for the Scientific Study of Religion</w:t>
      </w:r>
      <w:r w:rsidRPr="009D2EF1">
        <w:rPr>
          <w:noProof/>
        </w:rPr>
        <w:t xml:space="preserve">, </w:t>
      </w:r>
      <w:r w:rsidRPr="009D2EF1">
        <w:rPr>
          <w:i/>
          <w:iCs/>
          <w:noProof/>
        </w:rPr>
        <w:t>30</w:t>
      </w:r>
      <w:r w:rsidRPr="009D2EF1">
        <w:rPr>
          <w:noProof/>
        </w:rPr>
        <w:t>(4), 430–447.</w:t>
      </w:r>
    </w:p>
    <w:p w14:paraId="06E08447" w14:textId="77777777" w:rsidR="009D2EF1" w:rsidRPr="009D2EF1" w:rsidRDefault="009D2EF1" w:rsidP="009D2EF1">
      <w:pPr>
        <w:widowControl w:val="0"/>
        <w:autoSpaceDE w:val="0"/>
        <w:autoSpaceDN w:val="0"/>
        <w:adjustRightInd w:val="0"/>
        <w:spacing w:line="480" w:lineRule="auto"/>
        <w:ind w:left="480" w:hanging="480"/>
        <w:rPr>
          <w:noProof/>
        </w:rPr>
      </w:pPr>
      <w:r w:rsidRPr="009D2EF1">
        <w:rPr>
          <w:noProof/>
        </w:rPr>
        <w:t xml:space="preserve">Batson, C. D., &amp; Schoenrade, P. A. (1991b). Measuring Religion as Quest: 2) Reliability Concerns. </w:t>
      </w:r>
      <w:r w:rsidRPr="009D2EF1">
        <w:rPr>
          <w:i/>
          <w:iCs/>
          <w:noProof/>
        </w:rPr>
        <w:t>Journal for the Scientific Study of Religion</w:t>
      </w:r>
      <w:r w:rsidRPr="009D2EF1">
        <w:rPr>
          <w:noProof/>
        </w:rPr>
        <w:t xml:space="preserve">, </w:t>
      </w:r>
      <w:r w:rsidRPr="009D2EF1">
        <w:rPr>
          <w:i/>
          <w:iCs/>
          <w:noProof/>
        </w:rPr>
        <w:t>30</w:t>
      </w:r>
      <w:r w:rsidRPr="009D2EF1">
        <w:rPr>
          <w:noProof/>
        </w:rPr>
        <w:t>(4), 430–447.</w:t>
      </w:r>
    </w:p>
    <w:p w14:paraId="6E3F5C20" w14:textId="77777777" w:rsidR="009D2EF1" w:rsidRPr="009D2EF1" w:rsidRDefault="009D2EF1" w:rsidP="009D2EF1">
      <w:pPr>
        <w:widowControl w:val="0"/>
        <w:autoSpaceDE w:val="0"/>
        <w:autoSpaceDN w:val="0"/>
        <w:adjustRightInd w:val="0"/>
        <w:spacing w:line="480" w:lineRule="auto"/>
        <w:ind w:left="480" w:hanging="480"/>
        <w:rPr>
          <w:noProof/>
        </w:rPr>
      </w:pPr>
      <w:r w:rsidRPr="009D2EF1">
        <w:rPr>
          <w:noProof/>
        </w:rPr>
        <w:t xml:space="preserve">Batson, C. D., &amp; Ventis, W. L. (1982). </w:t>
      </w:r>
      <w:r w:rsidRPr="009D2EF1">
        <w:rPr>
          <w:i/>
          <w:iCs/>
          <w:noProof/>
        </w:rPr>
        <w:t>The religious experience: A social-psychological perspective</w:t>
      </w:r>
      <w:r w:rsidRPr="009D2EF1">
        <w:rPr>
          <w:noProof/>
        </w:rPr>
        <w:t>. Oxford Univ. Press.</w:t>
      </w:r>
    </w:p>
    <w:p w14:paraId="0FBE2AA5" w14:textId="77777777" w:rsidR="009D2EF1" w:rsidRPr="009D2EF1" w:rsidRDefault="009D2EF1" w:rsidP="009D2EF1">
      <w:pPr>
        <w:widowControl w:val="0"/>
        <w:autoSpaceDE w:val="0"/>
        <w:autoSpaceDN w:val="0"/>
        <w:adjustRightInd w:val="0"/>
        <w:spacing w:line="480" w:lineRule="auto"/>
        <w:ind w:left="480" w:hanging="480"/>
        <w:rPr>
          <w:noProof/>
        </w:rPr>
      </w:pPr>
      <w:r w:rsidRPr="009D2EF1">
        <w:rPr>
          <w:noProof/>
        </w:rPr>
        <w:t xml:space="preserve">Becker, E. (1971). </w:t>
      </w:r>
      <w:r w:rsidRPr="009D2EF1">
        <w:rPr>
          <w:i/>
          <w:iCs/>
          <w:noProof/>
        </w:rPr>
        <w:t>The Birth and Death of Meaning: An Interdisciplinary Perspective on the Problem of Man. 2d Ed</w:t>
      </w:r>
      <w:r w:rsidRPr="009D2EF1">
        <w:rPr>
          <w:noProof/>
        </w:rPr>
        <w:t>. Free Press.</w:t>
      </w:r>
    </w:p>
    <w:p w14:paraId="0D76A887" w14:textId="77777777" w:rsidR="009D2EF1" w:rsidRPr="009D2EF1" w:rsidRDefault="009D2EF1" w:rsidP="009D2EF1">
      <w:pPr>
        <w:widowControl w:val="0"/>
        <w:autoSpaceDE w:val="0"/>
        <w:autoSpaceDN w:val="0"/>
        <w:adjustRightInd w:val="0"/>
        <w:spacing w:line="480" w:lineRule="auto"/>
        <w:ind w:left="480" w:hanging="480"/>
        <w:rPr>
          <w:noProof/>
        </w:rPr>
      </w:pPr>
      <w:r w:rsidRPr="009D2EF1">
        <w:rPr>
          <w:noProof/>
        </w:rPr>
        <w:t xml:space="preserve">Becker, E. (1973). </w:t>
      </w:r>
      <w:r w:rsidRPr="009D2EF1">
        <w:rPr>
          <w:i/>
          <w:iCs/>
          <w:noProof/>
        </w:rPr>
        <w:t>The denial of death</w:t>
      </w:r>
      <w:r w:rsidRPr="009D2EF1">
        <w:rPr>
          <w:noProof/>
        </w:rPr>
        <w:t>. Simon and Schuster.</w:t>
      </w:r>
    </w:p>
    <w:p w14:paraId="1C2BF972" w14:textId="77777777" w:rsidR="009D2EF1" w:rsidRPr="009D2EF1" w:rsidRDefault="009D2EF1" w:rsidP="009D2EF1">
      <w:pPr>
        <w:widowControl w:val="0"/>
        <w:autoSpaceDE w:val="0"/>
        <w:autoSpaceDN w:val="0"/>
        <w:adjustRightInd w:val="0"/>
        <w:spacing w:line="480" w:lineRule="auto"/>
        <w:ind w:left="480" w:hanging="480"/>
        <w:rPr>
          <w:noProof/>
        </w:rPr>
      </w:pPr>
      <w:r w:rsidRPr="009D2EF1">
        <w:rPr>
          <w:noProof/>
        </w:rPr>
        <w:t xml:space="preserve">Bergin, A. E., Masters, K. S., &amp; Richards, P. S. (1987). Religiousness and Mental Health Reconsidered: A Study of an Intrinsically Religious Sample. </w:t>
      </w:r>
      <w:r w:rsidRPr="009D2EF1">
        <w:rPr>
          <w:i/>
          <w:iCs/>
          <w:noProof/>
        </w:rPr>
        <w:t>Journal of Counseling Psychology</w:t>
      </w:r>
      <w:r w:rsidRPr="009D2EF1">
        <w:rPr>
          <w:noProof/>
        </w:rPr>
        <w:t xml:space="preserve">, </w:t>
      </w:r>
      <w:r w:rsidRPr="009D2EF1">
        <w:rPr>
          <w:i/>
          <w:iCs/>
          <w:noProof/>
        </w:rPr>
        <w:t>34</w:t>
      </w:r>
      <w:r w:rsidRPr="009D2EF1">
        <w:rPr>
          <w:noProof/>
        </w:rPr>
        <w:t>(2), 197–204. https://doi.org/10.1037/0022-0167.34.2.197</w:t>
      </w:r>
    </w:p>
    <w:p w14:paraId="5E0D38F1" w14:textId="77777777" w:rsidR="009D2EF1" w:rsidRPr="009D2EF1" w:rsidRDefault="009D2EF1" w:rsidP="009D2EF1">
      <w:pPr>
        <w:widowControl w:val="0"/>
        <w:autoSpaceDE w:val="0"/>
        <w:autoSpaceDN w:val="0"/>
        <w:adjustRightInd w:val="0"/>
        <w:spacing w:line="480" w:lineRule="auto"/>
        <w:ind w:left="480" w:hanging="480"/>
        <w:rPr>
          <w:noProof/>
        </w:rPr>
      </w:pPr>
      <w:r w:rsidRPr="009D2EF1">
        <w:rPr>
          <w:noProof/>
        </w:rPr>
        <w:t xml:space="preserve">Bloom, P. (2005). Is God an accident? </w:t>
      </w:r>
      <w:r w:rsidRPr="009D2EF1">
        <w:rPr>
          <w:i/>
          <w:iCs/>
          <w:noProof/>
        </w:rPr>
        <w:t>Atlantic Monthly</w:t>
      </w:r>
      <w:r w:rsidRPr="009D2EF1">
        <w:rPr>
          <w:noProof/>
        </w:rPr>
        <w:t xml:space="preserve">, </w:t>
      </w:r>
      <w:r w:rsidRPr="009D2EF1">
        <w:rPr>
          <w:i/>
          <w:iCs/>
          <w:noProof/>
        </w:rPr>
        <w:t>296</w:t>
      </w:r>
      <w:r w:rsidRPr="009D2EF1">
        <w:rPr>
          <w:noProof/>
        </w:rPr>
        <w:t>(5), 105.</w:t>
      </w:r>
    </w:p>
    <w:p w14:paraId="3C4E6E09" w14:textId="77777777" w:rsidR="009D2EF1" w:rsidRPr="009D2EF1" w:rsidRDefault="009D2EF1" w:rsidP="009D2EF1">
      <w:pPr>
        <w:widowControl w:val="0"/>
        <w:autoSpaceDE w:val="0"/>
        <w:autoSpaceDN w:val="0"/>
        <w:adjustRightInd w:val="0"/>
        <w:spacing w:line="480" w:lineRule="auto"/>
        <w:ind w:left="480" w:hanging="480"/>
        <w:rPr>
          <w:noProof/>
        </w:rPr>
      </w:pPr>
      <w:r w:rsidRPr="009D2EF1">
        <w:rPr>
          <w:noProof/>
        </w:rPr>
        <w:t xml:space="preserve">Boyer, P. (2007). </w:t>
      </w:r>
      <w:r w:rsidRPr="009D2EF1">
        <w:rPr>
          <w:i/>
          <w:iCs/>
          <w:noProof/>
        </w:rPr>
        <w:t>Religion explained: The evolutionary origins of religious thought</w:t>
      </w:r>
      <w:r w:rsidRPr="009D2EF1">
        <w:rPr>
          <w:noProof/>
        </w:rPr>
        <w:t>. Basic books.</w:t>
      </w:r>
    </w:p>
    <w:p w14:paraId="27E02C1C" w14:textId="77777777" w:rsidR="009D2EF1" w:rsidRPr="009D2EF1" w:rsidRDefault="009D2EF1" w:rsidP="009D2EF1">
      <w:pPr>
        <w:widowControl w:val="0"/>
        <w:autoSpaceDE w:val="0"/>
        <w:autoSpaceDN w:val="0"/>
        <w:adjustRightInd w:val="0"/>
        <w:spacing w:line="480" w:lineRule="auto"/>
        <w:ind w:left="480" w:hanging="480"/>
        <w:rPr>
          <w:noProof/>
        </w:rPr>
      </w:pPr>
      <w:r w:rsidRPr="009D2EF1">
        <w:rPr>
          <w:noProof/>
        </w:rPr>
        <w:t xml:space="preserve">Burkert, W. (1998). </w:t>
      </w:r>
      <w:r w:rsidRPr="009D2EF1">
        <w:rPr>
          <w:i/>
          <w:iCs/>
          <w:noProof/>
        </w:rPr>
        <w:t>Creation of the sacred: Tracks of biology in early religions</w:t>
      </w:r>
      <w:r w:rsidRPr="009D2EF1">
        <w:rPr>
          <w:noProof/>
        </w:rPr>
        <w:t xml:space="preserve">. Harvard </w:t>
      </w:r>
      <w:r w:rsidRPr="009D2EF1">
        <w:rPr>
          <w:noProof/>
        </w:rPr>
        <w:lastRenderedPageBreak/>
        <w:t>University Press.</w:t>
      </w:r>
    </w:p>
    <w:p w14:paraId="5E08E3AB" w14:textId="77777777" w:rsidR="009D2EF1" w:rsidRPr="009D2EF1" w:rsidRDefault="009D2EF1" w:rsidP="009D2EF1">
      <w:pPr>
        <w:widowControl w:val="0"/>
        <w:autoSpaceDE w:val="0"/>
        <w:autoSpaceDN w:val="0"/>
        <w:adjustRightInd w:val="0"/>
        <w:spacing w:line="480" w:lineRule="auto"/>
        <w:ind w:left="480" w:hanging="480"/>
        <w:rPr>
          <w:noProof/>
        </w:rPr>
      </w:pPr>
      <w:r w:rsidRPr="009D2EF1">
        <w:rPr>
          <w:noProof/>
        </w:rPr>
        <w:t xml:space="preserve">Camus, A. (1955). </w:t>
      </w:r>
      <w:r w:rsidRPr="009D2EF1">
        <w:rPr>
          <w:i/>
          <w:iCs/>
          <w:noProof/>
        </w:rPr>
        <w:t>The Myth of Sisyphus: Translated from the French by Justin O’Brien</w:t>
      </w:r>
      <w:r w:rsidRPr="009D2EF1">
        <w:rPr>
          <w:noProof/>
        </w:rPr>
        <w:t>. H. Hamilton.</w:t>
      </w:r>
    </w:p>
    <w:p w14:paraId="16130B7D" w14:textId="77777777" w:rsidR="009D2EF1" w:rsidRPr="009D2EF1" w:rsidRDefault="009D2EF1" w:rsidP="009D2EF1">
      <w:pPr>
        <w:widowControl w:val="0"/>
        <w:autoSpaceDE w:val="0"/>
        <w:autoSpaceDN w:val="0"/>
        <w:adjustRightInd w:val="0"/>
        <w:spacing w:line="480" w:lineRule="auto"/>
        <w:ind w:left="480" w:hanging="480"/>
        <w:rPr>
          <w:noProof/>
        </w:rPr>
      </w:pPr>
      <w:r w:rsidRPr="009D2EF1">
        <w:rPr>
          <w:noProof/>
        </w:rPr>
        <w:t xml:space="preserve">Cohen, F., Sullivan, D., Solomon, S., Greenberg, J., &amp; Ogilvie, D. M. (2011). Finding everland: Flight fantasies and the desire to transcend mortality. </w:t>
      </w:r>
      <w:r w:rsidRPr="009D2EF1">
        <w:rPr>
          <w:i/>
          <w:iCs/>
          <w:noProof/>
        </w:rPr>
        <w:t>Journal of Experimental Social Psychology</w:t>
      </w:r>
      <w:r w:rsidRPr="009D2EF1">
        <w:rPr>
          <w:noProof/>
        </w:rPr>
        <w:t xml:space="preserve">, </w:t>
      </w:r>
      <w:r w:rsidRPr="009D2EF1">
        <w:rPr>
          <w:i/>
          <w:iCs/>
          <w:noProof/>
        </w:rPr>
        <w:t>47</w:t>
      </w:r>
      <w:r w:rsidRPr="009D2EF1">
        <w:rPr>
          <w:noProof/>
        </w:rPr>
        <w:t>(1), 88–102. https://doi.org/10.1016/j.jesp.2010.08.013</w:t>
      </w:r>
    </w:p>
    <w:p w14:paraId="73AC7141" w14:textId="77777777" w:rsidR="009D2EF1" w:rsidRPr="009D2EF1" w:rsidRDefault="009D2EF1" w:rsidP="009D2EF1">
      <w:pPr>
        <w:widowControl w:val="0"/>
        <w:autoSpaceDE w:val="0"/>
        <w:autoSpaceDN w:val="0"/>
        <w:adjustRightInd w:val="0"/>
        <w:spacing w:line="480" w:lineRule="auto"/>
        <w:ind w:left="480" w:hanging="480"/>
        <w:rPr>
          <w:noProof/>
        </w:rPr>
      </w:pPr>
      <w:r w:rsidRPr="009D2EF1">
        <w:rPr>
          <w:noProof/>
        </w:rPr>
        <w:t xml:space="preserve">Crowell, S. (2020). Existentialism. In E. N. Zalta (Ed.), </w:t>
      </w:r>
      <w:r w:rsidRPr="009D2EF1">
        <w:rPr>
          <w:i/>
          <w:iCs/>
          <w:noProof/>
        </w:rPr>
        <w:t>The {Stanford} Encyclopedia of Philosophy</w:t>
      </w:r>
      <w:r w:rsidRPr="009D2EF1">
        <w:rPr>
          <w:noProof/>
        </w:rPr>
        <w:t xml:space="preserve"> (Summer 202). Metaphysics Research Lab, Stanford University.</w:t>
      </w:r>
    </w:p>
    <w:p w14:paraId="3981C951" w14:textId="77777777" w:rsidR="009D2EF1" w:rsidRPr="009D2EF1" w:rsidRDefault="009D2EF1" w:rsidP="009D2EF1">
      <w:pPr>
        <w:widowControl w:val="0"/>
        <w:autoSpaceDE w:val="0"/>
        <w:autoSpaceDN w:val="0"/>
        <w:adjustRightInd w:val="0"/>
        <w:spacing w:line="480" w:lineRule="auto"/>
        <w:ind w:left="480" w:hanging="480"/>
        <w:rPr>
          <w:noProof/>
        </w:rPr>
      </w:pPr>
      <w:r w:rsidRPr="009D2EF1">
        <w:rPr>
          <w:noProof/>
        </w:rPr>
        <w:t xml:space="preserve">Dechesne, M., Pyszczynski, T., Arndt, J., Ransom, S., Sheldon, K. M., Van Knippenberg, A., &amp; Janssen, J. (2003). Literal and Symbolic Immortality: The Effect of Evidence of Literal Immortality on Self-Esteem Striving in Response to Mortality Salience. </w:t>
      </w:r>
      <w:r w:rsidRPr="009D2EF1">
        <w:rPr>
          <w:i/>
          <w:iCs/>
          <w:noProof/>
        </w:rPr>
        <w:t>Journal of Personality and Social Psychology</w:t>
      </w:r>
      <w:r w:rsidRPr="009D2EF1">
        <w:rPr>
          <w:noProof/>
        </w:rPr>
        <w:t>, Vol. 84, pp. 722–737. https://doi.org/10.1037/0022-3514.84.4.722</w:t>
      </w:r>
    </w:p>
    <w:p w14:paraId="43150842" w14:textId="77777777" w:rsidR="009D2EF1" w:rsidRPr="009D2EF1" w:rsidRDefault="009D2EF1" w:rsidP="009D2EF1">
      <w:pPr>
        <w:widowControl w:val="0"/>
        <w:autoSpaceDE w:val="0"/>
        <w:autoSpaceDN w:val="0"/>
        <w:adjustRightInd w:val="0"/>
        <w:spacing w:line="480" w:lineRule="auto"/>
        <w:ind w:left="480" w:hanging="480"/>
        <w:rPr>
          <w:noProof/>
        </w:rPr>
      </w:pPr>
      <w:r w:rsidRPr="009D2EF1">
        <w:rPr>
          <w:noProof/>
        </w:rPr>
        <w:t xml:space="preserve">Durkheim, E. (1965). </w:t>
      </w:r>
      <w:r w:rsidRPr="009D2EF1">
        <w:rPr>
          <w:i/>
          <w:iCs/>
          <w:noProof/>
        </w:rPr>
        <w:t>The elementary forms of the religious life [1912]</w:t>
      </w:r>
      <w:r w:rsidRPr="009D2EF1">
        <w:rPr>
          <w:noProof/>
        </w:rPr>
        <w:t>. na.</w:t>
      </w:r>
    </w:p>
    <w:p w14:paraId="18EAB208" w14:textId="77777777" w:rsidR="009D2EF1" w:rsidRPr="009D2EF1" w:rsidRDefault="009D2EF1" w:rsidP="009D2EF1">
      <w:pPr>
        <w:widowControl w:val="0"/>
        <w:autoSpaceDE w:val="0"/>
        <w:autoSpaceDN w:val="0"/>
        <w:adjustRightInd w:val="0"/>
        <w:spacing w:line="480" w:lineRule="auto"/>
        <w:ind w:left="480" w:hanging="480"/>
        <w:rPr>
          <w:noProof/>
        </w:rPr>
      </w:pPr>
      <w:r w:rsidRPr="009D2EF1">
        <w:rPr>
          <w:noProof/>
        </w:rPr>
        <w:t xml:space="preserve">Eysenck, H. J., &amp; Eysenck, S. B. G. (1964). </w:t>
      </w:r>
      <w:r w:rsidRPr="009D2EF1">
        <w:rPr>
          <w:i/>
          <w:iCs/>
          <w:noProof/>
        </w:rPr>
        <w:t>Manual of the Eysenck Personality Inventory: By HJ Eysenck and Sybil BG Eysenck</w:t>
      </w:r>
      <w:r w:rsidRPr="009D2EF1">
        <w:rPr>
          <w:noProof/>
        </w:rPr>
        <w:t>. University of London Press.</w:t>
      </w:r>
    </w:p>
    <w:p w14:paraId="7EBC9F84" w14:textId="77777777" w:rsidR="009D2EF1" w:rsidRPr="009D2EF1" w:rsidRDefault="009D2EF1" w:rsidP="009D2EF1">
      <w:pPr>
        <w:widowControl w:val="0"/>
        <w:autoSpaceDE w:val="0"/>
        <w:autoSpaceDN w:val="0"/>
        <w:adjustRightInd w:val="0"/>
        <w:spacing w:line="480" w:lineRule="auto"/>
        <w:ind w:left="480" w:hanging="480"/>
        <w:rPr>
          <w:noProof/>
        </w:rPr>
      </w:pPr>
      <w:r w:rsidRPr="009D2EF1">
        <w:rPr>
          <w:noProof/>
        </w:rPr>
        <w:t xml:space="preserve">Ferenczi, S. (1955). Final contributions to psycho-analysis. </w:t>
      </w:r>
      <w:r w:rsidRPr="009D2EF1">
        <w:rPr>
          <w:i/>
          <w:iCs/>
          <w:noProof/>
        </w:rPr>
        <w:t>Translated by E. Mosbacher and Others. London: Hogarth</w:t>
      </w:r>
      <w:r w:rsidRPr="009D2EF1">
        <w:rPr>
          <w:noProof/>
        </w:rPr>
        <w:t>.</w:t>
      </w:r>
    </w:p>
    <w:p w14:paraId="25407727" w14:textId="77777777" w:rsidR="009D2EF1" w:rsidRPr="009D2EF1" w:rsidRDefault="009D2EF1" w:rsidP="009D2EF1">
      <w:pPr>
        <w:widowControl w:val="0"/>
        <w:autoSpaceDE w:val="0"/>
        <w:autoSpaceDN w:val="0"/>
        <w:adjustRightInd w:val="0"/>
        <w:spacing w:line="480" w:lineRule="auto"/>
        <w:ind w:left="480" w:hanging="480"/>
        <w:rPr>
          <w:noProof/>
        </w:rPr>
      </w:pPr>
      <w:r w:rsidRPr="009D2EF1">
        <w:rPr>
          <w:noProof/>
        </w:rPr>
        <w:t xml:space="preserve">Flynn, T. (2013). Jean-Paul Sartre. In E. N. Zalta (Ed.), </w:t>
      </w:r>
      <w:r w:rsidRPr="009D2EF1">
        <w:rPr>
          <w:i/>
          <w:iCs/>
          <w:noProof/>
        </w:rPr>
        <w:t>The {Stanford} Encyclopedia of Philosophy</w:t>
      </w:r>
      <w:r w:rsidRPr="009D2EF1">
        <w:rPr>
          <w:noProof/>
        </w:rPr>
        <w:t xml:space="preserve"> (Fall 2013). Metaphysics Research Lab, Stanford University.</w:t>
      </w:r>
    </w:p>
    <w:p w14:paraId="3527D1BC" w14:textId="77777777" w:rsidR="009D2EF1" w:rsidRPr="009D2EF1" w:rsidRDefault="009D2EF1" w:rsidP="009D2EF1">
      <w:pPr>
        <w:widowControl w:val="0"/>
        <w:autoSpaceDE w:val="0"/>
        <w:autoSpaceDN w:val="0"/>
        <w:adjustRightInd w:val="0"/>
        <w:spacing w:line="480" w:lineRule="auto"/>
        <w:ind w:left="480" w:hanging="480"/>
        <w:rPr>
          <w:noProof/>
        </w:rPr>
      </w:pPr>
      <w:r w:rsidRPr="009D2EF1">
        <w:rPr>
          <w:noProof/>
        </w:rPr>
        <w:t xml:space="preserve">Freud, S. (1915). Thoughts for the times on war and death. In </w:t>
      </w:r>
      <w:r w:rsidRPr="009D2EF1">
        <w:rPr>
          <w:i/>
          <w:iCs/>
          <w:noProof/>
        </w:rPr>
        <w:t xml:space="preserve">The Standard Edition of the Complete Psychological Works of Sigmund Freud, Volume XIV (1914-1916): On the </w:t>
      </w:r>
      <w:r w:rsidRPr="009D2EF1">
        <w:rPr>
          <w:i/>
          <w:iCs/>
          <w:noProof/>
        </w:rPr>
        <w:lastRenderedPageBreak/>
        <w:t>History of the Psycho-Analytic Movement, Papers on Metapsychology and Other Works</w:t>
      </w:r>
      <w:r w:rsidRPr="009D2EF1">
        <w:rPr>
          <w:noProof/>
        </w:rPr>
        <w:t xml:space="preserve"> (pp. 273–300).</w:t>
      </w:r>
    </w:p>
    <w:p w14:paraId="53A5E679" w14:textId="77777777" w:rsidR="009D2EF1" w:rsidRPr="009D2EF1" w:rsidRDefault="009D2EF1" w:rsidP="009D2EF1">
      <w:pPr>
        <w:widowControl w:val="0"/>
        <w:autoSpaceDE w:val="0"/>
        <w:autoSpaceDN w:val="0"/>
        <w:adjustRightInd w:val="0"/>
        <w:spacing w:line="480" w:lineRule="auto"/>
        <w:ind w:left="480" w:hanging="480"/>
        <w:rPr>
          <w:noProof/>
        </w:rPr>
      </w:pPr>
      <w:r w:rsidRPr="009D2EF1">
        <w:rPr>
          <w:noProof/>
        </w:rPr>
        <w:t xml:space="preserve">Friedman, M., &amp; Rholes, S. (2007). Successfully challenging fundamentalist beliefs results in increased death awareness. </w:t>
      </w:r>
      <w:r w:rsidRPr="009D2EF1">
        <w:rPr>
          <w:i/>
          <w:iCs/>
          <w:noProof/>
        </w:rPr>
        <w:t>Journal of Experimental Social Psychology</w:t>
      </w:r>
      <w:r w:rsidRPr="009D2EF1">
        <w:rPr>
          <w:noProof/>
        </w:rPr>
        <w:t xml:space="preserve">, </w:t>
      </w:r>
      <w:r w:rsidRPr="009D2EF1">
        <w:rPr>
          <w:i/>
          <w:iCs/>
          <w:noProof/>
        </w:rPr>
        <w:t>43</w:t>
      </w:r>
      <w:r w:rsidRPr="009D2EF1">
        <w:rPr>
          <w:noProof/>
        </w:rPr>
        <w:t>(5), 794–801. https://doi.org/10.1016/j.jesp.2006.07.008</w:t>
      </w:r>
    </w:p>
    <w:p w14:paraId="1E878D3F" w14:textId="77777777" w:rsidR="009D2EF1" w:rsidRPr="009D2EF1" w:rsidRDefault="009D2EF1" w:rsidP="009D2EF1">
      <w:pPr>
        <w:widowControl w:val="0"/>
        <w:autoSpaceDE w:val="0"/>
        <w:autoSpaceDN w:val="0"/>
        <w:adjustRightInd w:val="0"/>
        <w:spacing w:line="480" w:lineRule="auto"/>
        <w:ind w:left="480" w:hanging="480"/>
        <w:rPr>
          <w:noProof/>
        </w:rPr>
      </w:pPr>
      <w:r w:rsidRPr="009D2EF1">
        <w:rPr>
          <w:noProof/>
        </w:rPr>
        <w:t xml:space="preserve">Greenberg, J., Porteus, J., Simon, L., Pyszczynski, T., &amp; Solomon, S. (1995). Evidence of a terror management function of cultural icons: The effects of mortality salience on the inappropriate use of cherished cultural symbols. </w:t>
      </w:r>
      <w:r w:rsidRPr="009D2EF1">
        <w:rPr>
          <w:i/>
          <w:iCs/>
          <w:noProof/>
        </w:rPr>
        <w:t>Personality and Social Psychology Bulletin</w:t>
      </w:r>
      <w:r w:rsidRPr="009D2EF1">
        <w:rPr>
          <w:noProof/>
        </w:rPr>
        <w:t xml:space="preserve">, </w:t>
      </w:r>
      <w:r w:rsidRPr="009D2EF1">
        <w:rPr>
          <w:i/>
          <w:iCs/>
          <w:noProof/>
        </w:rPr>
        <w:t>21</w:t>
      </w:r>
      <w:r w:rsidRPr="009D2EF1">
        <w:rPr>
          <w:noProof/>
        </w:rPr>
        <w:t>(11), 1221–1228. Retrieved from http://hjb.sagepub.com.proxy.lib.umich.edu/content/9/2/183.full.pdf+html</w:t>
      </w:r>
    </w:p>
    <w:p w14:paraId="514262D5" w14:textId="77777777" w:rsidR="009D2EF1" w:rsidRPr="009D2EF1" w:rsidRDefault="009D2EF1" w:rsidP="009D2EF1">
      <w:pPr>
        <w:widowControl w:val="0"/>
        <w:autoSpaceDE w:val="0"/>
        <w:autoSpaceDN w:val="0"/>
        <w:adjustRightInd w:val="0"/>
        <w:spacing w:line="480" w:lineRule="auto"/>
        <w:ind w:left="480" w:hanging="480"/>
        <w:rPr>
          <w:noProof/>
        </w:rPr>
      </w:pPr>
      <w:r w:rsidRPr="009D2EF1">
        <w:rPr>
          <w:noProof/>
        </w:rPr>
        <w:t xml:space="preserve">Greenberg, J., Pyszczynski, T., &amp; Solomon, S. (1986). The Causes and Consequences of a Need for Self-Esteem: A Terror Management Theory. </w:t>
      </w:r>
      <w:r w:rsidRPr="009D2EF1">
        <w:rPr>
          <w:i/>
          <w:iCs/>
          <w:noProof/>
        </w:rPr>
        <w:t>Public Self and Private Self</w:t>
      </w:r>
      <w:r w:rsidRPr="009D2EF1">
        <w:rPr>
          <w:noProof/>
        </w:rPr>
        <w:t>, 189–212. https://doi.org/10.1007/978-1-4613-9564-5_10</w:t>
      </w:r>
    </w:p>
    <w:p w14:paraId="7AD66103" w14:textId="77777777" w:rsidR="009D2EF1" w:rsidRPr="009D2EF1" w:rsidRDefault="009D2EF1" w:rsidP="009D2EF1">
      <w:pPr>
        <w:widowControl w:val="0"/>
        <w:autoSpaceDE w:val="0"/>
        <w:autoSpaceDN w:val="0"/>
        <w:adjustRightInd w:val="0"/>
        <w:spacing w:line="480" w:lineRule="auto"/>
        <w:ind w:left="480" w:hanging="480"/>
        <w:rPr>
          <w:noProof/>
        </w:rPr>
      </w:pPr>
      <w:r w:rsidRPr="009D2EF1">
        <w:rPr>
          <w:noProof/>
        </w:rPr>
        <w:t xml:space="preserve">Greenberg, J., Pyszczynski, T., Solomon, S., Simon, L., &amp; Breus, M. (1994). Role of Consciousness and Accessibility of Death-Related Thoughts in Mortality Salience Effects. </w:t>
      </w:r>
      <w:r w:rsidRPr="009D2EF1">
        <w:rPr>
          <w:i/>
          <w:iCs/>
          <w:noProof/>
        </w:rPr>
        <w:t>Journal of Personality and Social Psychology</w:t>
      </w:r>
      <w:r w:rsidRPr="009D2EF1">
        <w:rPr>
          <w:noProof/>
        </w:rPr>
        <w:t xml:space="preserve">, </w:t>
      </w:r>
      <w:r w:rsidRPr="009D2EF1">
        <w:rPr>
          <w:i/>
          <w:iCs/>
          <w:noProof/>
        </w:rPr>
        <w:t>67</w:t>
      </w:r>
      <w:r w:rsidRPr="009D2EF1">
        <w:rPr>
          <w:noProof/>
        </w:rPr>
        <w:t>(4), 627–637. https://doi.org/10.1037/0022-3514.67.4.627</w:t>
      </w:r>
    </w:p>
    <w:p w14:paraId="0D54B5EA" w14:textId="77777777" w:rsidR="009D2EF1" w:rsidRPr="009D2EF1" w:rsidRDefault="009D2EF1" w:rsidP="009D2EF1">
      <w:pPr>
        <w:widowControl w:val="0"/>
        <w:autoSpaceDE w:val="0"/>
        <w:autoSpaceDN w:val="0"/>
        <w:adjustRightInd w:val="0"/>
        <w:spacing w:line="480" w:lineRule="auto"/>
        <w:ind w:left="480" w:hanging="480"/>
        <w:rPr>
          <w:noProof/>
        </w:rPr>
      </w:pPr>
      <w:r w:rsidRPr="009D2EF1">
        <w:rPr>
          <w:noProof/>
        </w:rPr>
        <w:t xml:space="preserve">Greenberg, J., Solomon, S., &amp; Pyszczynski, T. (1997). Terror Management Theory of Self-Esteem and Cultural Worldviews: Empirical Assessments and Conceptual Refinements. </w:t>
      </w:r>
      <w:r w:rsidRPr="009D2EF1">
        <w:rPr>
          <w:i/>
          <w:iCs/>
          <w:noProof/>
        </w:rPr>
        <w:t>Advances in Experimental Social Psychology</w:t>
      </w:r>
      <w:r w:rsidRPr="009D2EF1">
        <w:rPr>
          <w:noProof/>
        </w:rPr>
        <w:t xml:space="preserve">, </w:t>
      </w:r>
      <w:r w:rsidRPr="009D2EF1">
        <w:rPr>
          <w:i/>
          <w:iCs/>
          <w:noProof/>
        </w:rPr>
        <w:t>29</w:t>
      </w:r>
      <w:r w:rsidRPr="009D2EF1">
        <w:rPr>
          <w:noProof/>
        </w:rPr>
        <w:t>(C), 61–139. https://doi.org/10.1016/S0065-2601(08)60016-7</w:t>
      </w:r>
    </w:p>
    <w:p w14:paraId="05D3955F" w14:textId="77777777" w:rsidR="009D2EF1" w:rsidRPr="009D2EF1" w:rsidRDefault="009D2EF1" w:rsidP="009D2EF1">
      <w:pPr>
        <w:widowControl w:val="0"/>
        <w:autoSpaceDE w:val="0"/>
        <w:autoSpaceDN w:val="0"/>
        <w:adjustRightInd w:val="0"/>
        <w:spacing w:line="480" w:lineRule="auto"/>
        <w:ind w:left="480" w:hanging="480"/>
        <w:rPr>
          <w:noProof/>
        </w:rPr>
      </w:pPr>
      <w:r w:rsidRPr="009D2EF1">
        <w:rPr>
          <w:noProof/>
        </w:rPr>
        <w:t xml:space="preserve">Greenberg, J., Solomon, S., Pyszczynski, T., Rosenblatt, A., Burling, J., Lyon, D., … Pinel, E. </w:t>
      </w:r>
      <w:r w:rsidRPr="009D2EF1">
        <w:rPr>
          <w:noProof/>
        </w:rPr>
        <w:lastRenderedPageBreak/>
        <w:t xml:space="preserve">(1992). Why Do People Need Self-Esteem? Converging Evidence That Self-Esteem Serves an Anxiety-Buffering Function. </w:t>
      </w:r>
      <w:r w:rsidRPr="009D2EF1">
        <w:rPr>
          <w:i/>
          <w:iCs/>
          <w:noProof/>
        </w:rPr>
        <w:t>Journal of Personality and Social Psychology</w:t>
      </w:r>
      <w:r w:rsidRPr="009D2EF1">
        <w:rPr>
          <w:noProof/>
        </w:rPr>
        <w:t xml:space="preserve">, </w:t>
      </w:r>
      <w:r w:rsidRPr="009D2EF1">
        <w:rPr>
          <w:i/>
          <w:iCs/>
          <w:noProof/>
        </w:rPr>
        <w:t>63</w:t>
      </w:r>
      <w:r w:rsidRPr="009D2EF1">
        <w:rPr>
          <w:noProof/>
        </w:rPr>
        <w:t>(6), 913–922. https://doi.org/10.1037/0022-3514.63.6.913</w:t>
      </w:r>
    </w:p>
    <w:p w14:paraId="21161C4E" w14:textId="77777777" w:rsidR="009D2EF1" w:rsidRPr="009D2EF1" w:rsidRDefault="009D2EF1" w:rsidP="009D2EF1">
      <w:pPr>
        <w:widowControl w:val="0"/>
        <w:autoSpaceDE w:val="0"/>
        <w:autoSpaceDN w:val="0"/>
        <w:adjustRightInd w:val="0"/>
        <w:spacing w:line="480" w:lineRule="auto"/>
        <w:ind w:left="480" w:hanging="480"/>
        <w:rPr>
          <w:noProof/>
        </w:rPr>
      </w:pPr>
      <w:r w:rsidRPr="009D2EF1">
        <w:rPr>
          <w:noProof/>
        </w:rPr>
        <w:t xml:space="preserve">Harmon-Jones, E., Simon, L., Greenberg, J., Solomon, S., Pyszczynski, T., &amp; McGregor, H. (1997). Terror Management Theory and Self-Esteem: Evidence That Increased Self-Esteem Reduces Mortality Salience Effects. </w:t>
      </w:r>
      <w:r w:rsidRPr="009D2EF1">
        <w:rPr>
          <w:i/>
          <w:iCs/>
          <w:noProof/>
        </w:rPr>
        <w:t>Journal of Personality and Social Psychology</w:t>
      </w:r>
      <w:r w:rsidRPr="009D2EF1">
        <w:rPr>
          <w:noProof/>
        </w:rPr>
        <w:t xml:space="preserve">, </w:t>
      </w:r>
      <w:r w:rsidRPr="009D2EF1">
        <w:rPr>
          <w:i/>
          <w:iCs/>
          <w:noProof/>
        </w:rPr>
        <w:t>72</w:t>
      </w:r>
      <w:r w:rsidRPr="009D2EF1">
        <w:rPr>
          <w:noProof/>
        </w:rPr>
        <w:t>(1), 24–36. https://doi.org/10.1037/0022-3514.72.1.24</w:t>
      </w:r>
    </w:p>
    <w:p w14:paraId="6848980D" w14:textId="77777777" w:rsidR="009D2EF1" w:rsidRPr="009D2EF1" w:rsidRDefault="009D2EF1" w:rsidP="009D2EF1">
      <w:pPr>
        <w:widowControl w:val="0"/>
        <w:autoSpaceDE w:val="0"/>
        <w:autoSpaceDN w:val="0"/>
        <w:adjustRightInd w:val="0"/>
        <w:spacing w:line="480" w:lineRule="auto"/>
        <w:ind w:left="480" w:hanging="480"/>
        <w:rPr>
          <w:noProof/>
        </w:rPr>
      </w:pPr>
      <w:r w:rsidRPr="009D2EF1">
        <w:rPr>
          <w:noProof/>
        </w:rPr>
        <w:t xml:space="preserve">Hayes, J., Schimel, J., Arndt, J., &amp; Faucher, E. H. (2010). A theoretical and empirical review of the death-thought accessibility concept in terror management research. </w:t>
      </w:r>
      <w:r w:rsidRPr="009D2EF1">
        <w:rPr>
          <w:i/>
          <w:iCs/>
          <w:noProof/>
        </w:rPr>
        <w:t>Psychological Bulletin</w:t>
      </w:r>
      <w:r w:rsidRPr="009D2EF1">
        <w:rPr>
          <w:noProof/>
        </w:rPr>
        <w:t xml:space="preserve">, </w:t>
      </w:r>
      <w:r w:rsidRPr="009D2EF1">
        <w:rPr>
          <w:i/>
          <w:iCs/>
          <w:noProof/>
        </w:rPr>
        <w:t>136</w:t>
      </w:r>
      <w:r w:rsidRPr="009D2EF1">
        <w:rPr>
          <w:noProof/>
        </w:rPr>
        <w:t>(5), 699–739. https://doi.org/10.1037/a0020524</w:t>
      </w:r>
    </w:p>
    <w:p w14:paraId="43FE2202" w14:textId="77777777" w:rsidR="009D2EF1" w:rsidRPr="009D2EF1" w:rsidRDefault="009D2EF1" w:rsidP="009D2EF1">
      <w:pPr>
        <w:widowControl w:val="0"/>
        <w:autoSpaceDE w:val="0"/>
        <w:autoSpaceDN w:val="0"/>
        <w:adjustRightInd w:val="0"/>
        <w:spacing w:line="480" w:lineRule="auto"/>
        <w:ind w:left="480" w:hanging="480"/>
        <w:rPr>
          <w:noProof/>
        </w:rPr>
      </w:pPr>
      <w:r w:rsidRPr="009D2EF1">
        <w:rPr>
          <w:noProof/>
        </w:rPr>
        <w:t xml:space="preserve">Hayes, J., Schimel, J., Faucher, E. H., &amp; Williams, T. J. (2008). Evidence for the DTA hypothesis II: Threatening self-esteem increases death-thought accessibility. </w:t>
      </w:r>
      <w:r w:rsidRPr="009D2EF1">
        <w:rPr>
          <w:i/>
          <w:iCs/>
          <w:noProof/>
        </w:rPr>
        <w:t>Journal of Experimental Social Psychology</w:t>
      </w:r>
      <w:r w:rsidRPr="009D2EF1">
        <w:rPr>
          <w:noProof/>
        </w:rPr>
        <w:t xml:space="preserve">, </w:t>
      </w:r>
      <w:r w:rsidRPr="009D2EF1">
        <w:rPr>
          <w:i/>
          <w:iCs/>
          <w:noProof/>
        </w:rPr>
        <w:t>44</w:t>
      </w:r>
      <w:r w:rsidRPr="009D2EF1">
        <w:rPr>
          <w:noProof/>
        </w:rPr>
        <w:t>(3), 600–613. https://doi.org/10.1016/j.jesp.2008.01.004</w:t>
      </w:r>
    </w:p>
    <w:p w14:paraId="076B872A" w14:textId="77777777" w:rsidR="009D2EF1" w:rsidRPr="009D2EF1" w:rsidRDefault="009D2EF1" w:rsidP="009D2EF1">
      <w:pPr>
        <w:widowControl w:val="0"/>
        <w:autoSpaceDE w:val="0"/>
        <w:autoSpaceDN w:val="0"/>
        <w:adjustRightInd w:val="0"/>
        <w:spacing w:line="480" w:lineRule="auto"/>
        <w:ind w:left="480" w:hanging="480"/>
        <w:rPr>
          <w:noProof/>
        </w:rPr>
      </w:pPr>
      <w:r w:rsidRPr="009D2EF1">
        <w:rPr>
          <w:noProof/>
        </w:rPr>
        <w:t xml:space="preserve">Hayes, J., Schimel, J., Williams, T. J., Howard, A. L., Webber, D., &amp; Faucher, E. H. (2015). Worldview Accommodation: Selectively Modifying Committed Beliefs Provides Defense Against Worldview Threat. </w:t>
      </w:r>
      <w:r w:rsidRPr="009D2EF1">
        <w:rPr>
          <w:i/>
          <w:iCs/>
          <w:noProof/>
        </w:rPr>
        <w:t>Self and Identity</w:t>
      </w:r>
      <w:r w:rsidRPr="009D2EF1">
        <w:rPr>
          <w:noProof/>
        </w:rPr>
        <w:t xml:space="preserve">, </w:t>
      </w:r>
      <w:r w:rsidRPr="009D2EF1">
        <w:rPr>
          <w:i/>
          <w:iCs/>
          <w:noProof/>
        </w:rPr>
        <w:t>14</w:t>
      </w:r>
      <w:r w:rsidRPr="009D2EF1">
        <w:rPr>
          <w:noProof/>
        </w:rPr>
        <w:t>(5), 521–548. https://doi.org/10.1080/15298868.2015.1036919</w:t>
      </w:r>
    </w:p>
    <w:p w14:paraId="432D00F8" w14:textId="77777777" w:rsidR="009D2EF1" w:rsidRPr="009D2EF1" w:rsidRDefault="009D2EF1" w:rsidP="009D2EF1">
      <w:pPr>
        <w:widowControl w:val="0"/>
        <w:autoSpaceDE w:val="0"/>
        <w:autoSpaceDN w:val="0"/>
        <w:adjustRightInd w:val="0"/>
        <w:spacing w:line="480" w:lineRule="auto"/>
        <w:ind w:left="480" w:hanging="480"/>
        <w:rPr>
          <w:noProof/>
        </w:rPr>
      </w:pPr>
      <w:r w:rsidRPr="009D2EF1">
        <w:rPr>
          <w:noProof/>
        </w:rPr>
        <w:t xml:space="preserve">Hazan, C., &amp; Shaver, P. (1987). Romantic love conceptualized as an attachment process. </w:t>
      </w:r>
      <w:r w:rsidRPr="009D2EF1">
        <w:rPr>
          <w:i/>
          <w:iCs/>
          <w:noProof/>
        </w:rPr>
        <w:t>Journal of Personality and Social Psychology</w:t>
      </w:r>
      <w:r w:rsidRPr="009D2EF1">
        <w:rPr>
          <w:noProof/>
        </w:rPr>
        <w:t xml:space="preserve">, </w:t>
      </w:r>
      <w:r w:rsidRPr="009D2EF1">
        <w:rPr>
          <w:i/>
          <w:iCs/>
          <w:noProof/>
        </w:rPr>
        <w:t>52</w:t>
      </w:r>
      <w:r w:rsidRPr="009D2EF1">
        <w:rPr>
          <w:noProof/>
        </w:rPr>
        <w:t>(3), 511–524. https://doi.org/10.1037/0022-3514.52.3.511</w:t>
      </w:r>
    </w:p>
    <w:p w14:paraId="308AF21A" w14:textId="77777777" w:rsidR="009D2EF1" w:rsidRPr="009D2EF1" w:rsidRDefault="009D2EF1" w:rsidP="009D2EF1">
      <w:pPr>
        <w:widowControl w:val="0"/>
        <w:autoSpaceDE w:val="0"/>
        <w:autoSpaceDN w:val="0"/>
        <w:adjustRightInd w:val="0"/>
        <w:spacing w:line="480" w:lineRule="auto"/>
        <w:ind w:left="480" w:hanging="480"/>
        <w:rPr>
          <w:noProof/>
        </w:rPr>
      </w:pPr>
      <w:r w:rsidRPr="009D2EF1">
        <w:rPr>
          <w:noProof/>
        </w:rPr>
        <w:t xml:space="preserve">Hills, P., Francis, L. J., &amp; Robbins, M. (2005). The development of the Revised Religious Life Inventory (RLI-R) by exploratory and confirmatory factor analysis. </w:t>
      </w:r>
      <w:r w:rsidRPr="009D2EF1">
        <w:rPr>
          <w:i/>
          <w:iCs/>
          <w:noProof/>
        </w:rPr>
        <w:t xml:space="preserve">Personality and </w:t>
      </w:r>
      <w:r w:rsidRPr="009D2EF1">
        <w:rPr>
          <w:i/>
          <w:iCs/>
          <w:noProof/>
        </w:rPr>
        <w:lastRenderedPageBreak/>
        <w:t>Individual Differences</w:t>
      </w:r>
      <w:r w:rsidRPr="009D2EF1">
        <w:rPr>
          <w:noProof/>
        </w:rPr>
        <w:t xml:space="preserve">, </w:t>
      </w:r>
      <w:r w:rsidRPr="009D2EF1">
        <w:rPr>
          <w:i/>
          <w:iCs/>
          <w:noProof/>
        </w:rPr>
        <w:t>38</w:t>
      </w:r>
      <w:r w:rsidRPr="009D2EF1">
        <w:rPr>
          <w:noProof/>
        </w:rPr>
        <w:t>(6), 1389–1399. https://doi.org/10.1016/j.paid.2004.09.006</w:t>
      </w:r>
    </w:p>
    <w:p w14:paraId="5D769846" w14:textId="77777777" w:rsidR="009D2EF1" w:rsidRPr="009D2EF1" w:rsidRDefault="009D2EF1" w:rsidP="009D2EF1">
      <w:pPr>
        <w:widowControl w:val="0"/>
        <w:autoSpaceDE w:val="0"/>
        <w:autoSpaceDN w:val="0"/>
        <w:adjustRightInd w:val="0"/>
        <w:spacing w:line="480" w:lineRule="auto"/>
        <w:ind w:left="480" w:hanging="480"/>
        <w:rPr>
          <w:noProof/>
        </w:rPr>
      </w:pPr>
      <w:r w:rsidRPr="009D2EF1">
        <w:rPr>
          <w:noProof/>
        </w:rPr>
        <w:t xml:space="preserve">Jonas, E., &amp; Fischer, P. (2006). Terror management and religion: Evidence that intrinsic religiousness mitigates worldview defense following mortality salience. </w:t>
      </w:r>
      <w:r w:rsidRPr="009D2EF1">
        <w:rPr>
          <w:i/>
          <w:iCs/>
          <w:noProof/>
        </w:rPr>
        <w:t>Journal of Personality and Social Psychology</w:t>
      </w:r>
      <w:r w:rsidRPr="009D2EF1">
        <w:rPr>
          <w:noProof/>
        </w:rPr>
        <w:t xml:space="preserve">, </w:t>
      </w:r>
      <w:r w:rsidRPr="009D2EF1">
        <w:rPr>
          <w:i/>
          <w:iCs/>
          <w:noProof/>
        </w:rPr>
        <w:t>91</w:t>
      </w:r>
      <w:r w:rsidRPr="009D2EF1">
        <w:rPr>
          <w:noProof/>
        </w:rPr>
        <w:t>(3), 553–567. https://doi.org/10.1037/0022-3514.91.3.553</w:t>
      </w:r>
    </w:p>
    <w:p w14:paraId="29BCA48D" w14:textId="77777777" w:rsidR="009D2EF1" w:rsidRPr="009D2EF1" w:rsidRDefault="009D2EF1" w:rsidP="009D2EF1">
      <w:pPr>
        <w:widowControl w:val="0"/>
        <w:autoSpaceDE w:val="0"/>
        <w:autoSpaceDN w:val="0"/>
        <w:adjustRightInd w:val="0"/>
        <w:spacing w:line="480" w:lineRule="auto"/>
        <w:ind w:left="480" w:hanging="480"/>
        <w:rPr>
          <w:noProof/>
        </w:rPr>
      </w:pPr>
      <w:r w:rsidRPr="009D2EF1">
        <w:rPr>
          <w:noProof/>
        </w:rPr>
        <w:t xml:space="preserve">Kierkegaard, S. (1846). </w:t>
      </w:r>
      <w:r w:rsidRPr="009D2EF1">
        <w:rPr>
          <w:i/>
          <w:iCs/>
          <w:noProof/>
        </w:rPr>
        <w:t>Concluding unscientific postscript</w:t>
      </w:r>
      <w:r w:rsidRPr="009D2EF1">
        <w:rPr>
          <w:noProof/>
        </w:rPr>
        <w:t>. Princeton University Press.</w:t>
      </w:r>
    </w:p>
    <w:p w14:paraId="45017702" w14:textId="77777777" w:rsidR="009D2EF1" w:rsidRPr="009D2EF1" w:rsidRDefault="009D2EF1" w:rsidP="009D2EF1">
      <w:pPr>
        <w:widowControl w:val="0"/>
        <w:autoSpaceDE w:val="0"/>
        <w:autoSpaceDN w:val="0"/>
        <w:adjustRightInd w:val="0"/>
        <w:spacing w:line="480" w:lineRule="auto"/>
        <w:ind w:left="480" w:hanging="480"/>
        <w:rPr>
          <w:noProof/>
        </w:rPr>
      </w:pPr>
      <w:r w:rsidRPr="009D2EF1">
        <w:rPr>
          <w:noProof/>
        </w:rPr>
        <w:t xml:space="preserve">Kirkpatrick, L. A. (2005). </w:t>
      </w:r>
      <w:r w:rsidRPr="009D2EF1">
        <w:rPr>
          <w:i/>
          <w:iCs/>
          <w:noProof/>
        </w:rPr>
        <w:t>Attachment, evolution, and the psychology of religion</w:t>
      </w:r>
      <w:r w:rsidRPr="009D2EF1">
        <w:rPr>
          <w:noProof/>
        </w:rPr>
        <w:t>. Guilford Press.</w:t>
      </w:r>
    </w:p>
    <w:p w14:paraId="643F73FF" w14:textId="77777777" w:rsidR="009D2EF1" w:rsidRPr="009D2EF1" w:rsidRDefault="009D2EF1" w:rsidP="009D2EF1">
      <w:pPr>
        <w:widowControl w:val="0"/>
        <w:autoSpaceDE w:val="0"/>
        <w:autoSpaceDN w:val="0"/>
        <w:adjustRightInd w:val="0"/>
        <w:spacing w:line="480" w:lineRule="auto"/>
        <w:ind w:left="480" w:hanging="480"/>
        <w:rPr>
          <w:noProof/>
        </w:rPr>
      </w:pPr>
      <w:r w:rsidRPr="009D2EF1">
        <w:rPr>
          <w:noProof/>
        </w:rPr>
        <w:t xml:space="preserve">Lifton, R. J. (1996). </w:t>
      </w:r>
      <w:r w:rsidRPr="009D2EF1">
        <w:rPr>
          <w:i/>
          <w:iCs/>
          <w:noProof/>
        </w:rPr>
        <w:t>The broken connection: On death and the continuity of life</w:t>
      </w:r>
      <w:r w:rsidRPr="009D2EF1">
        <w:rPr>
          <w:noProof/>
        </w:rPr>
        <w:t>. American Psychiatric Pub.</w:t>
      </w:r>
    </w:p>
    <w:p w14:paraId="7151E988" w14:textId="77777777" w:rsidR="009D2EF1" w:rsidRPr="009D2EF1" w:rsidRDefault="009D2EF1" w:rsidP="009D2EF1">
      <w:pPr>
        <w:widowControl w:val="0"/>
        <w:autoSpaceDE w:val="0"/>
        <w:autoSpaceDN w:val="0"/>
        <w:adjustRightInd w:val="0"/>
        <w:spacing w:line="480" w:lineRule="auto"/>
        <w:ind w:left="480" w:hanging="480"/>
        <w:rPr>
          <w:noProof/>
        </w:rPr>
      </w:pPr>
      <w:r w:rsidRPr="009D2EF1">
        <w:rPr>
          <w:noProof/>
        </w:rPr>
        <w:t xml:space="preserve">Maltby, J., &amp; Day, L. (2000). Depressive symptoms and religious orientation: Examining the relationship between religiosity and depression within the context of other correlates of depression. </w:t>
      </w:r>
      <w:r w:rsidRPr="009D2EF1">
        <w:rPr>
          <w:i/>
          <w:iCs/>
          <w:noProof/>
        </w:rPr>
        <w:t>Personality and Individual Differences</w:t>
      </w:r>
      <w:r w:rsidRPr="009D2EF1">
        <w:rPr>
          <w:noProof/>
        </w:rPr>
        <w:t xml:space="preserve">, </w:t>
      </w:r>
      <w:r w:rsidRPr="009D2EF1">
        <w:rPr>
          <w:i/>
          <w:iCs/>
          <w:noProof/>
        </w:rPr>
        <w:t>28</w:t>
      </w:r>
      <w:r w:rsidRPr="009D2EF1">
        <w:rPr>
          <w:noProof/>
        </w:rPr>
        <w:t>(2), 383–393. https://doi.org/10.1016/S0191-8869(99)00108-7</w:t>
      </w:r>
    </w:p>
    <w:p w14:paraId="6E78F5D2" w14:textId="77777777" w:rsidR="009D2EF1" w:rsidRPr="009D2EF1" w:rsidRDefault="009D2EF1" w:rsidP="009D2EF1">
      <w:pPr>
        <w:widowControl w:val="0"/>
        <w:autoSpaceDE w:val="0"/>
        <w:autoSpaceDN w:val="0"/>
        <w:adjustRightInd w:val="0"/>
        <w:spacing w:line="480" w:lineRule="auto"/>
        <w:ind w:left="480" w:hanging="480"/>
        <w:rPr>
          <w:noProof/>
        </w:rPr>
      </w:pPr>
      <w:r w:rsidRPr="009D2EF1">
        <w:rPr>
          <w:noProof/>
        </w:rPr>
        <w:t xml:space="preserve">Maltby, J., &amp; Day, L. (2004). Should never the twain meet? Integrating models of religious personality and religious mental health. </w:t>
      </w:r>
      <w:r w:rsidRPr="009D2EF1">
        <w:rPr>
          <w:i/>
          <w:iCs/>
          <w:noProof/>
        </w:rPr>
        <w:t>Personality and Individual Differences</w:t>
      </w:r>
      <w:r w:rsidRPr="009D2EF1">
        <w:rPr>
          <w:noProof/>
        </w:rPr>
        <w:t xml:space="preserve">, </w:t>
      </w:r>
      <w:r w:rsidRPr="009D2EF1">
        <w:rPr>
          <w:i/>
          <w:iCs/>
          <w:noProof/>
        </w:rPr>
        <w:t>36</w:t>
      </w:r>
      <w:r w:rsidRPr="009D2EF1">
        <w:rPr>
          <w:noProof/>
        </w:rPr>
        <w:t>(6), 1275–1290. https://doi.org/10.1016/S0191-8869(03)00215-0</w:t>
      </w:r>
    </w:p>
    <w:p w14:paraId="317B7D64" w14:textId="77777777" w:rsidR="009D2EF1" w:rsidRPr="009D2EF1" w:rsidRDefault="009D2EF1" w:rsidP="009D2EF1">
      <w:pPr>
        <w:widowControl w:val="0"/>
        <w:autoSpaceDE w:val="0"/>
        <w:autoSpaceDN w:val="0"/>
        <w:adjustRightInd w:val="0"/>
        <w:spacing w:line="480" w:lineRule="auto"/>
        <w:ind w:left="480" w:hanging="480"/>
        <w:rPr>
          <w:noProof/>
        </w:rPr>
      </w:pPr>
      <w:r w:rsidRPr="009D2EF1">
        <w:rPr>
          <w:noProof/>
        </w:rPr>
        <w:t xml:space="preserve">McAdams, D. P. (2009). The moral personality. </w:t>
      </w:r>
      <w:r w:rsidRPr="009D2EF1">
        <w:rPr>
          <w:i/>
          <w:iCs/>
          <w:noProof/>
        </w:rPr>
        <w:t>Personality, Identity, and Character: Explorations in Moral Psychology</w:t>
      </w:r>
      <w:r w:rsidRPr="009D2EF1">
        <w:rPr>
          <w:noProof/>
        </w:rPr>
        <w:t>, 11–29.</w:t>
      </w:r>
    </w:p>
    <w:p w14:paraId="698621CB" w14:textId="77777777" w:rsidR="009D2EF1" w:rsidRPr="009D2EF1" w:rsidRDefault="009D2EF1" w:rsidP="009D2EF1">
      <w:pPr>
        <w:widowControl w:val="0"/>
        <w:autoSpaceDE w:val="0"/>
        <w:autoSpaceDN w:val="0"/>
        <w:adjustRightInd w:val="0"/>
        <w:spacing w:line="480" w:lineRule="auto"/>
        <w:ind w:left="480" w:hanging="480"/>
        <w:rPr>
          <w:noProof/>
        </w:rPr>
      </w:pPr>
      <w:r w:rsidRPr="009D2EF1">
        <w:rPr>
          <w:noProof/>
        </w:rPr>
        <w:t xml:space="preserve">Ogilvie, D. M., Cohen, F., &amp; Solomon, S. (2008). The undesired self: Deadly connotations. </w:t>
      </w:r>
      <w:r w:rsidRPr="009D2EF1">
        <w:rPr>
          <w:i/>
          <w:iCs/>
          <w:noProof/>
        </w:rPr>
        <w:t>Journal of Research in Personality</w:t>
      </w:r>
      <w:r w:rsidRPr="009D2EF1">
        <w:rPr>
          <w:noProof/>
        </w:rPr>
        <w:t xml:space="preserve">, </w:t>
      </w:r>
      <w:r w:rsidRPr="009D2EF1">
        <w:rPr>
          <w:i/>
          <w:iCs/>
          <w:noProof/>
        </w:rPr>
        <w:t>42</w:t>
      </w:r>
      <w:r w:rsidRPr="009D2EF1">
        <w:rPr>
          <w:noProof/>
        </w:rPr>
        <w:t>(3), 564–576. https://doi.org/10.1016/j.jrp.2007.07.012</w:t>
      </w:r>
    </w:p>
    <w:p w14:paraId="59CB58FD" w14:textId="77777777" w:rsidR="009D2EF1" w:rsidRPr="009D2EF1" w:rsidRDefault="009D2EF1" w:rsidP="009D2EF1">
      <w:pPr>
        <w:widowControl w:val="0"/>
        <w:autoSpaceDE w:val="0"/>
        <w:autoSpaceDN w:val="0"/>
        <w:adjustRightInd w:val="0"/>
        <w:spacing w:line="480" w:lineRule="auto"/>
        <w:ind w:left="480" w:hanging="480"/>
        <w:rPr>
          <w:noProof/>
        </w:rPr>
      </w:pPr>
      <w:r w:rsidRPr="009D2EF1">
        <w:rPr>
          <w:noProof/>
        </w:rPr>
        <w:t xml:space="preserve">Osarchuk, M., &amp; Tatz, S. J. (1973). Effect of induced fear of death on belief in afterlife. </w:t>
      </w:r>
      <w:r w:rsidRPr="009D2EF1">
        <w:rPr>
          <w:i/>
          <w:iCs/>
          <w:noProof/>
        </w:rPr>
        <w:t xml:space="preserve">Journal </w:t>
      </w:r>
      <w:r w:rsidRPr="009D2EF1">
        <w:rPr>
          <w:i/>
          <w:iCs/>
          <w:noProof/>
        </w:rPr>
        <w:lastRenderedPageBreak/>
        <w:t>of Personality and Social Psychology</w:t>
      </w:r>
      <w:r w:rsidRPr="009D2EF1">
        <w:rPr>
          <w:noProof/>
        </w:rPr>
        <w:t xml:space="preserve">, </w:t>
      </w:r>
      <w:r w:rsidRPr="009D2EF1">
        <w:rPr>
          <w:i/>
          <w:iCs/>
          <w:noProof/>
        </w:rPr>
        <w:t>27</w:t>
      </w:r>
      <w:r w:rsidRPr="009D2EF1">
        <w:rPr>
          <w:noProof/>
        </w:rPr>
        <w:t>(2), 256–260. https://doi.org/10.1037/h0034769</w:t>
      </w:r>
    </w:p>
    <w:p w14:paraId="6921BF7E" w14:textId="77777777" w:rsidR="009D2EF1" w:rsidRPr="009D2EF1" w:rsidRDefault="009D2EF1" w:rsidP="009D2EF1">
      <w:pPr>
        <w:widowControl w:val="0"/>
        <w:autoSpaceDE w:val="0"/>
        <w:autoSpaceDN w:val="0"/>
        <w:adjustRightInd w:val="0"/>
        <w:spacing w:line="480" w:lineRule="auto"/>
        <w:ind w:left="480" w:hanging="480"/>
        <w:rPr>
          <w:noProof/>
        </w:rPr>
      </w:pPr>
      <w:r w:rsidRPr="009D2EF1">
        <w:rPr>
          <w:noProof/>
        </w:rPr>
        <w:t xml:space="preserve">Pyszczynski, T., Solomon, S., Greenberg, J., Arndt, J., &amp; Schimel, J. (2004). Why do people need self-esteem? A theoretical and empirical review. </w:t>
      </w:r>
      <w:r w:rsidRPr="009D2EF1">
        <w:rPr>
          <w:i/>
          <w:iCs/>
          <w:noProof/>
        </w:rPr>
        <w:t>Psychological Bulletin</w:t>
      </w:r>
      <w:r w:rsidRPr="009D2EF1">
        <w:rPr>
          <w:noProof/>
        </w:rPr>
        <w:t xml:space="preserve">, </w:t>
      </w:r>
      <w:r w:rsidRPr="009D2EF1">
        <w:rPr>
          <w:i/>
          <w:iCs/>
          <w:noProof/>
        </w:rPr>
        <w:t>130</w:t>
      </w:r>
      <w:r w:rsidRPr="009D2EF1">
        <w:rPr>
          <w:noProof/>
        </w:rPr>
        <w:t>(3), 435–468. https://doi.org/10.1037/0033-2909.130.3.435</w:t>
      </w:r>
    </w:p>
    <w:p w14:paraId="4EBC3FF4" w14:textId="77777777" w:rsidR="009D2EF1" w:rsidRPr="009D2EF1" w:rsidRDefault="009D2EF1" w:rsidP="009D2EF1">
      <w:pPr>
        <w:widowControl w:val="0"/>
        <w:autoSpaceDE w:val="0"/>
        <w:autoSpaceDN w:val="0"/>
        <w:adjustRightInd w:val="0"/>
        <w:spacing w:line="480" w:lineRule="auto"/>
        <w:ind w:left="480" w:hanging="480"/>
        <w:rPr>
          <w:noProof/>
        </w:rPr>
      </w:pPr>
      <w:r w:rsidRPr="009D2EF1">
        <w:rPr>
          <w:noProof/>
        </w:rPr>
        <w:t xml:space="preserve">Rosenblatt, A., Greenberg, J., Solomon, S., Pyszczynski, T., &amp; Lyon, D. (1989). Evidence For Terror Management Theory: I. The Effects of Mortality Salience on Reactions to Those Who Violate or Uphold Cultural Values. </w:t>
      </w:r>
      <w:r w:rsidRPr="009D2EF1">
        <w:rPr>
          <w:i/>
          <w:iCs/>
          <w:noProof/>
        </w:rPr>
        <w:t>Journal of Personality and Social Psychology</w:t>
      </w:r>
      <w:r w:rsidRPr="009D2EF1">
        <w:rPr>
          <w:noProof/>
        </w:rPr>
        <w:t xml:space="preserve">, </w:t>
      </w:r>
      <w:r w:rsidRPr="009D2EF1">
        <w:rPr>
          <w:i/>
          <w:iCs/>
          <w:noProof/>
        </w:rPr>
        <w:t>57</w:t>
      </w:r>
      <w:r w:rsidRPr="009D2EF1">
        <w:rPr>
          <w:noProof/>
        </w:rPr>
        <w:t>(4), 681–690. https://doi.org/10.1037/0022-3514.57.4.681</w:t>
      </w:r>
    </w:p>
    <w:p w14:paraId="26EE6529" w14:textId="77777777" w:rsidR="009D2EF1" w:rsidRPr="009D2EF1" w:rsidRDefault="009D2EF1" w:rsidP="009D2EF1">
      <w:pPr>
        <w:widowControl w:val="0"/>
        <w:autoSpaceDE w:val="0"/>
        <w:autoSpaceDN w:val="0"/>
        <w:adjustRightInd w:val="0"/>
        <w:spacing w:line="480" w:lineRule="auto"/>
        <w:ind w:left="480" w:hanging="480"/>
        <w:rPr>
          <w:noProof/>
        </w:rPr>
      </w:pPr>
      <w:r w:rsidRPr="009D2EF1">
        <w:rPr>
          <w:noProof/>
        </w:rPr>
        <w:t xml:space="preserve">Rutjens, B. T., van der Pligt, J., &amp; van Harreveld, F. (2009). Things will get better: The anxiety-buffering qualities of progressive hope. </w:t>
      </w:r>
      <w:r w:rsidRPr="009D2EF1">
        <w:rPr>
          <w:i/>
          <w:iCs/>
          <w:noProof/>
        </w:rPr>
        <w:t>Personality and Social Psychology Bulletin</w:t>
      </w:r>
      <w:r w:rsidRPr="009D2EF1">
        <w:rPr>
          <w:noProof/>
        </w:rPr>
        <w:t xml:space="preserve">, </w:t>
      </w:r>
      <w:r w:rsidRPr="009D2EF1">
        <w:rPr>
          <w:i/>
          <w:iCs/>
          <w:noProof/>
        </w:rPr>
        <w:t>35</w:t>
      </w:r>
      <w:r w:rsidRPr="009D2EF1">
        <w:rPr>
          <w:noProof/>
        </w:rPr>
        <w:t>(5), 535–543. https://doi.org/10.1177/0146167208331252</w:t>
      </w:r>
    </w:p>
    <w:p w14:paraId="22AB907E" w14:textId="77777777" w:rsidR="009D2EF1" w:rsidRPr="009D2EF1" w:rsidRDefault="009D2EF1" w:rsidP="009D2EF1">
      <w:pPr>
        <w:widowControl w:val="0"/>
        <w:autoSpaceDE w:val="0"/>
        <w:autoSpaceDN w:val="0"/>
        <w:adjustRightInd w:val="0"/>
        <w:spacing w:line="480" w:lineRule="auto"/>
        <w:ind w:left="480" w:hanging="480"/>
        <w:rPr>
          <w:noProof/>
        </w:rPr>
      </w:pPr>
      <w:r w:rsidRPr="009D2EF1">
        <w:rPr>
          <w:noProof/>
        </w:rPr>
        <w:t xml:space="preserve">Saroglou, V. (2002). Religion and the five factors of personality: A meta-analytic review. </w:t>
      </w:r>
      <w:r w:rsidRPr="009D2EF1">
        <w:rPr>
          <w:i/>
          <w:iCs/>
          <w:noProof/>
        </w:rPr>
        <w:t>Personality and Individual Differences</w:t>
      </w:r>
      <w:r w:rsidRPr="009D2EF1">
        <w:rPr>
          <w:noProof/>
        </w:rPr>
        <w:t xml:space="preserve">, </w:t>
      </w:r>
      <w:r w:rsidRPr="009D2EF1">
        <w:rPr>
          <w:i/>
          <w:iCs/>
          <w:noProof/>
        </w:rPr>
        <w:t>32</w:t>
      </w:r>
      <w:r w:rsidRPr="009D2EF1">
        <w:rPr>
          <w:noProof/>
        </w:rPr>
        <w:t>(1), 15–25. https://doi.org/10.1016/S0191-8869(00)00233-6</w:t>
      </w:r>
    </w:p>
    <w:p w14:paraId="2AD2E6E6" w14:textId="77777777" w:rsidR="009D2EF1" w:rsidRPr="009D2EF1" w:rsidRDefault="009D2EF1" w:rsidP="009D2EF1">
      <w:pPr>
        <w:widowControl w:val="0"/>
        <w:autoSpaceDE w:val="0"/>
        <w:autoSpaceDN w:val="0"/>
        <w:adjustRightInd w:val="0"/>
        <w:spacing w:line="480" w:lineRule="auto"/>
        <w:ind w:left="480" w:hanging="480"/>
        <w:rPr>
          <w:noProof/>
        </w:rPr>
      </w:pPr>
      <w:r w:rsidRPr="009D2EF1">
        <w:rPr>
          <w:noProof/>
        </w:rPr>
        <w:t xml:space="preserve">Sartre, J.-P. (1956). Being and Nothingness, trans. </w:t>
      </w:r>
      <w:r w:rsidRPr="009D2EF1">
        <w:rPr>
          <w:i/>
          <w:iCs/>
          <w:noProof/>
        </w:rPr>
        <w:t>Hazel E. Barnes (New York: Philosophical Library, 1956)</w:t>
      </w:r>
      <w:r w:rsidRPr="009D2EF1">
        <w:rPr>
          <w:noProof/>
        </w:rPr>
        <w:t xml:space="preserve">, </w:t>
      </w:r>
      <w:r w:rsidRPr="009D2EF1">
        <w:rPr>
          <w:i/>
          <w:iCs/>
          <w:noProof/>
        </w:rPr>
        <w:t>330</w:t>
      </w:r>
      <w:r w:rsidRPr="009D2EF1">
        <w:rPr>
          <w:noProof/>
        </w:rPr>
        <w:t>.</w:t>
      </w:r>
    </w:p>
    <w:p w14:paraId="77F0D713" w14:textId="77777777" w:rsidR="009D2EF1" w:rsidRPr="009D2EF1" w:rsidRDefault="009D2EF1" w:rsidP="009D2EF1">
      <w:pPr>
        <w:widowControl w:val="0"/>
        <w:autoSpaceDE w:val="0"/>
        <w:autoSpaceDN w:val="0"/>
        <w:adjustRightInd w:val="0"/>
        <w:spacing w:line="480" w:lineRule="auto"/>
        <w:ind w:left="480" w:hanging="480"/>
        <w:rPr>
          <w:noProof/>
        </w:rPr>
      </w:pPr>
      <w:r w:rsidRPr="009D2EF1">
        <w:rPr>
          <w:noProof/>
        </w:rPr>
        <w:t xml:space="preserve">Schimel, J., Hayes, J., Williams, T., &amp; Jahrig, J. (2007). Is death really the worm at the core? Converging evidence that worldview threat increases death-thought accessibility. </w:t>
      </w:r>
      <w:r w:rsidRPr="009D2EF1">
        <w:rPr>
          <w:i/>
          <w:iCs/>
          <w:noProof/>
        </w:rPr>
        <w:t>Journal of Personality and Social Psychology</w:t>
      </w:r>
      <w:r w:rsidRPr="009D2EF1">
        <w:rPr>
          <w:noProof/>
        </w:rPr>
        <w:t xml:space="preserve">, </w:t>
      </w:r>
      <w:r w:rsidRPr="009D2EF1">
        <w:rPr>
          <w:i/>
          <w:iCs/>
          <w:noProof/>
        </w:rPr>
        <w:t>92</w:t>
      </w:r>
      <w:r w:rsidRPr="009D2EF1">
        <w:rPr>
          <w:noProof/>
        </w:rPr>
        <w:t>(5), 789–803. https://doi.org/10.1037/0022-3514.92.5.789</w:t>
      </w:r>
    </w:p>
    <w:p w14:paraId="6D77E5B7" w14:textId="77777777" w:rsidR="009D2EF1" w:rsidRPr="009D2EF1" w:rsidRDefault="009D2EF1" w:rsidP="009D2EF1">
      <w:pPr>
        <w:widowControl w:val="0"/>
        <w:autoSpaceDE w:val="0"/>
        <w:autoSpaceDN w:val="0"/>
        <w:adjustRightInd w:val="0"/>
        <w:spacing w:line="480" w:lineRule="auto"/>
        <w:ind w:left="480" w:hanging="480"/>
        <w:rPr>
          <w:noProof/>
        </w:rPr>
      </w:pPr>
      <w:r w:rsidRPr="009D2EF1">
        <w:rPr>
          <w:noProof/>
        </w:rPr>
        <w:t xml:space="preserve">Schoenrade, P. A. (1989). When I die... Belief in afterlife as a response to mortality. </w:t>
      </w:r>
      <w:r w:rsidRPr="009D2EF1">
        <w:rPr>
          <w:i/>
          <w:iCs/>
          <w:noProof/>
        </w:rPr>
        <w:t>Personality and Social Psychology Bulletin</w:t>
      </w:r>
      <w:r w:rsidRPr="009D2EF1">
        <w:rPr>
          <w:noProof/>
        </w:rPr>
        <w:t xml:space="preserve">, </w:t>
      </w:r>
      <w:r w:rsidRPr="009D2EF1">
        <w:rPr>
          <w:i/>
          <w:iCs/>
          <w:noProof/>
        </w:rPr>
        <w:t>15</w:t>
      </w:r>
      <w:r w:rsidRPr="009D2EF1">
        <w:rPr>
          <w:noProof/>
        </w:rPr>
        <w:t>(1), 91–100.</w:t>
      </w:r>
    </w:p>
    <w:p w14:paraId="2BB49A63" w14:textId="77777777" w:rsidR="009D2EF1" w:rsidRPr="009D2EF1" w:rsidRDefault="009D2EF1" w:rsidP="009D2EF1">
      <w:pPr>
        <w:widowControl w:val="0"/>
        <w:autoSpaceDE w:val="0"/>
        <w:autoSpaceDN w:val="0"/>
        <w:adjustRightInd w:val="0"/>
        <w:spacing w:line="480" w:lineRule="auto"/>
        <w:ind w:left="480" w:hanging="480"/>
        <w:rPr>
          <w:noProof/>
        </w:rPr>
      </w:pPr>
      <w:r w:rsidRPr="009D2EF1">
        <w:rPr>
          <w:noProof/>
        </w:rPr>
        <w:lastRenderedPageBreak/>
        <w:t xml:space="preserve">Simon, L., Greenberg, J., Harmon-Jones, E., Pyszczynski, T., Solomon, S., Arndt, J., &amp; Abend, T. (1997). Terror management and cognitive-experiential self-theory: Evidence that terror management occurs in the experiential system. </w:t>
      </w:r>
      <w:r w:rsidRPr="009D2EF1">
        <w:rPr>
          <w:i/>
          <w:iCs/>
          <w:noProof/>
        </w:rPr>
        <w:t>Journal of Personality and Social Psychology</w:t>
      </w:r>
      <w:r w:rsidRPr="009D2EF1">
        <w:rPr>
          <w:noProof/>
        </w:rPr>
        <w:t xml:space="preserve">, </w:t>
      </w:r>
      <w:r w:rsidRPr="009D2EF1">
        <w:rPr>
          <w:i/>
          <w:iCs/>
          <w:noProof/>
        </w:rPr>
        <w:t>72</w:t>
      </w:r>
      <w:r w:rsidRPr="009D2EF1">
        <w:rPr>
          <w:noProof/>
        </w:rPr>
        <w:t>(5), 1132–1146. https://doi.org/10.1037/0022-3514.72.5.1132</w:t>
      </w:r>
    </w:p>
    <w:p w14:paraId="4A939A03" w14:textId="77777777" w:rsidR="009D2EF1" w:rsidRPr="009D2EF1" w:rsidRDefault="009D2EF1" w:rsidP="009D2EF1">
      <w:pPr>
        <w:widowControl w:val="0"/>
        <w:autoSpaceDE w:val="0"/>
        <w:autoSpaceDN w:val="0"/>
        <w:adjustRightInd w:val="0"/>
        <w:spacing w:line="480" w:lineRule="auto"/>
        <w:ind w:left="480" w:hanging="480"/>
        <w:rPr>
          <w:noProof/>
        </w:rPr>
      </w:pPr>
      <w:r w:rsidRPr="009D2EF1">
        <w:rPr>
          <w:noProof/>
        </w:rPr>
        <w:t xml:space="preserve">Solomon, S., Greenberg, J., &amp; Pyszczynski, T. A. (2015). </w:t>
      </w:r>
      <w:r w:rsidRPr="009D2EF1">
        <w:rPr>
          <w:i/>
          <w:iCs/>
          <w:noProof/>
        </w:rPr>
        <w:t>The worm at the core: On the role of death in life</w:t>
      </w:r>
      <w:r w:rsidRPr="009D2EF1">
        <w:rPr>
          <w:noProof/>
        </w:rPr>
        <w:t>.</w:t>
      </w:r>
    </w:p>
    <w:p w14:paraId="1B883AF6" w14:textId="77777777" w:rsidR="009D2EF1" w:rsidRPr="009D2EF1" w:rsidRDefault="009D2EF1" w:rsidP="009D2EF1">
      <w:pPr>
        <w:widowControl w:val="0"/>
        <w:autoSpaceDE w:val="0"/>
        <w:autoSpaceDN w:val="0"/>
        <w:adjustRightInd w:val="0"/>
        <w:spacing w:line="480" w:lineRule="auto"/>
        <w:ind w:left="480" w:hanging="480"/>
        <w:rPr>
          <w:noProof/>
        </w:rPr>
      </w:pPr>
      <w:r w:rsidRPr="009D2EF1">
        <w:rPr>
          <w:noProof/>
        </w:rPr>
        <w:t xml:space="preserve">Vail, K. E., Rothschild, Z. K., Weise, D. R., Solomon, S., Pyszczynski, T., &amp; Greenberg, J. (2010). A terror management analysis of the psychological functions of religion. </w:t>
      </w:r>
      <w:r w:rsidRPr="009D2EF1">
        <w:rPr>
          <w:i/>
          <w:iCs/>
          <w:noProof/>
        </w:rPr>
        <w:t>Personality and Social Psychology Review</w:t>
      </w:r>
      <w:r w:rsidRPr="009D2EF1">
        <w:rPr>
          <w:noProof/>
        </w:rPr>
        <w:t xml:space="preserve">, </w:t>
      </w:r>
      <w:r w:rsidRPr="009D2EF1">
        <w:rPr>
          <w:i/>
          <w:iCs/>
          <w:noProof/>
        </w:rPr>
        <w:t>14</w:t>
      </w:r>
      <w:r w:rsidRPr="009D2EF1">
        <w:rPr>
          <w:noProof/>
        </w:rPr>
        <w:t>(1), 84–94. https://doi.org/10.1177/1088868309351165</w:t>
      </w:r>
    </w:p>
    <w:p w14:paraId="544AA8FC" w14:textId="77777777" w:rsidR="009D2EF1" w:rsidRPr="009D2EF1" w:rsidRDefault="009D2EF1" w:rsidP="009D2EF1">
      <w:pPr>
        <w:widowControl w:val="0"/>
        <w:autoSpaceDE w:val="0"/>
        <w:autoSpaceDN w:val="0"/>
        <w:adjustRightInd w:val="0"/>
        <w:spacing w:line="480" w:lineRule="auto"/>
        <w:ind w:left="480" w:hanging="480"/>
        <w:rPr>
          <w:noProof/>
        </w:rPr>
      </w:pPr>
      <w:r w:rsidRPr="009D2EF1">
        <w:rPr>
          <w:noProof/>
        </w:rPr>
        <w:t xml:space="preserve">Van Tongeren, D. R., Davis, D. E., Hook, J. N., &amp; Johnson, K. A. (2016). Security versus growth: Existential tradeoffs of various religious perspectives. </w:t>
      </w:r>
      <w:r w:rsidRPr="009D2EF1">
        <w:rPr>
          <w:i/>
          <w:iCs/>
          <w:noProof/>
        </w:rPr>
        <w:t>Psychology of Religion and Spirituality</w:t>
      </w:r>
      <w:r w:rsidRPr="009D2EF1">
        <w:rPr>
          <w:noProof/>
        </w:rPr>
        <w:t xml:space="preserve">, </w:t>
      </w:r>
      <w:r w:rsidRPr="009D2EF1">
        <w:rPr>
          <w:i/>
          <w:iCs/>
          <w:noProof/>
        </w:rPr>
        <w:t>8</w:t>
      </w:r>
      <w:r w:rsidRPr="009D2EF1">
        <w:rPr>
          <w:noProof/>
        </w:rPr>
        <w:t>(1), 77–88. https://doi.org/10.1037/rel0000050</w:t>
      </w:r>
    </w:p>
    <w:p w14:paraId="4F41BF89" w14:textId="77777777" w:rsidR="009D2EF1" w:rsidRPr="009D2EF1" w:rsidRDefault="009D2EF1" w:rsidP="009D2EF1">
      <w:pPr>
        <w:widowControl w:val="0"/>
        <w:autoSpaceDE w:val="0"/>
        <w:autoSpaceDN w:val="0"/>
        <w:adjustRightInd w:val="0"/>
        <w:spacing w:line="480" w:lineRule="auto"/>
        <w:ind w:left="480" w:hanging="480"/>
        <w:rPr>
          <w:noProof/>
        </w:rPr>
      </w:pPr>
      <w:r w:rsidRPr="009D2EF1">
        <w:rPr>
          <w:noProof/>
        </w:rPr>
        <w:t xml:space="preserve">Watson, D., &amp; Clark, L. A. (1994). The Panas-X. </w:t>
      </w:r>
      <w:r w:rsidRPr="009D2EF1">
        <w:rPr>
          <w:i/>
          <w:iCs/>
          <w:noProof/>
        </w:rPr>
        <w:t>Manual for the Positive and Negative Affect Schedule-Expanded Form. The University of Iowa</w:t>
      </w:r>
      <w:r w:rsidRPr="009D2EF1">
        <w:rPr>
          <w:noProof/>
        </w:rPr>
        <w:t>.</w:t>
      </w:r>
    </w:p>
    <w:p w14:paraId="285DCB81" w14:textId="77777777" w:rsidR="009D2EF1" w:rsidRPr="009D2EF1" w:rsidRDefault="009D2EF1" w:rsidP="009D2EF1">
      <w:pPr>
        <w:widowControl w:val="0"/>
        <w:autoSpaceDE w:val="0"/>
        <w:autoSpaceDN w:val="0"/>
        <w:adjustRightInd w:val="0"/>
        <w:spacing w:line="480" w:lineRule="auto"/>
        <w:ind w:left="480" w:hanging="480"/>
        <w:rPr>
          <w:noProof/>
        </w:rPr>
      </w:pPr>
      <w:r w:rsidRPr="009D2EF1">
        <w:rPr>
          <w:noProof/>
        </w:rPr>
        <w:t xml:space="preserve">Webber, J. (2018). </w:t>
      </w:r>
      <w:r w:rsidRPr="009D2EF1">
        <w:rPr>
          <w:i/>
          <w:iCs/>
          <w:noProof/>
        </w:rPr>
        <w:t>Rethinking existentialism</w:t>
      </w:r>
      <w:r w:rsidRPr="009D2EF1">
        <w:rPr>
          <w:noProof/>
        </w:rPr>
        <w:t>. Oxford University Press.</w:t>
      </w:r>
    </w:p>
    <w:p w14:paraId="3154DA72" w14:textId="77777777" w:rsidR="009D2EF1" w:rsidRPr="009D2EF1" w:rsidRDefault="009D2EF1" w:rsidP="009D2EF1">
      <w:pPr>
        <w:widowControl w:val="0"/>
        <w:autoSpaceDE w:val="0"/>
        <w:autoSpaceDN w:val="0"/>
        <w:adjustRightInd w:val="0"/>
        <w:spacing w:line="480" w:lineRule="auto"/>
        <w:ind w:left="480" w:hanging="480"/>
        <w:rPr>
          <w:noProof/>
        </w:rPr>
      </w:pPr>
      <w:r w:rsidRPr="009D2EF1">
        <w:rPr>
          <w:noProof/>
        </w:rPr>
        <w:t xml:space="preserve">Yang, Y. Y. (Sylvia). (2022). </w:t>
      </w:r>
      <w:r w:rsidRPr="009D2EF1">
        <w:rPr>
          <w:i/>
          <w:iCs/>
          <w:noProof/>
        </w:rPr>
        <w:t>The Effect of Gratitude and Mortality Salience on Death Thought Accessibility</w:t>
      </w:r>
      <w:r w:rsidRPr="009D2EF1">
        <w:rPr>
          <w:noProof/>
        </w:rPr>
        <w:t>.</w:t>
      </w:r>
    </w:p>
    <w:p w14:paraId="171C4C92" w14:textId="1F4D254D" w:rsidR="00412AB0" w:rsidRPr="00815B3C" w:rsidRDefault="00685492" w:rsidP="009D2EF1">
      <w:pPr>
        <w:widowControl w:val="0"/>
        <w:autoSpaceDE w:val="0"/>
        <w:autoSpaceDN w:val="0"/>
        <w:adjustRightInd w:val="0"/>
        <w:spacing w:line="480" w:lineRule="auto"/>
        <w:ind w:left="480" w:hanging="480"/>
      </w:pPr>
      <w:r w:rsidRPr="00815B3C">
        <w:fldChar w:fldCharType="end"/>
      </w:r>
    </w:p>
    <w:p w14:paraId="07CE1273" w14:textId="77777777" w:rsidR="001A2326" w:rsidRPr="00815B3C" w:rsidRDefault="001A2326" w:rsidP="009A4D53">
      <w:pPr>
        <w:jc w:val="center"/>
        <w:rPr>
          <w:b/>
        </w:rPr>
      </w:pPr>
    </w:p>
    <w:p w14:paraId="6EB6135C" w14:textId="77777777" w:rsidR="009A4D53" w:rsidRPr="00815B3C" w:rsidRDefault="009A4D53" w:rsidP="00184B0F"/>
    <w:p w14:paraId="5A11AAC7" w14:textId="74594B10" w:rsidR="00ED1DC7" w:rsidRPr="00815B3C" w:rsidRDefault="00ED1DC7">
      <w:r w:rsidRPr="00815B3C">
        <w:br w:type="page"/>
      </w:r>
    </w:p>
    <w:p w14:paraId="20A1AC83" w14:textId="21CDE28E" w:rsidR="00ED1DC7" w:rsidRPr="00815B3C" w:rsidRDefault="00ED1DC7" w:rsidP="00ED1DC7">
      <w:pPr>
        <w:jc w:val="center"/>
        <w:rPr>
          <w:b/>
          <w:bCs/>
        </w:rPr>
      </w:pPr>
      <w:r w:rsidRPr="00815B3C">
        <w:rPr>
          <w:b/>
          <w:bCs/>
        </w:rPr>
        <w:lastRenderedPageBreak/>
        <w:t>Appendices</w:t>
      </w:r>
    </w:p>
    <w:p w14:paraId="72792817" w14:textId="77777777" w:rsidR="00ED1DC7" w:rsidRPr="00815B3C" w:rsidRDefault="00ED1DC7">
      <w:pPr>
        <w:rPr>
          <w:b/>
          <w:bCs/>
        </w:rPr>
      </w:pPr>
      <w:r w:rsidRPr="00815B3C">
        <w:rPr>
          <w:b/>
          <w:bCs/>
        </w:rPr>
        <w:br w:type="page"/>
      </w:r>
    </w:p>
    <w:p w14:paraId="2801B71B" w14:textId="6ECBF8C8" w:rsidR="006A725E" w:rsidRDefault="00ED1DC7" w:rsidP="00A960F5">
      <w:pPr>
        <w:jc w:val="center"/>
        <w:rPr>
          <w:b/>
          <w:bCs/>
        </w:rPr>
      </w:pPr>
      <w:r w:rsidRPr="00815B3C">
        <w:rPr>
          <w:b/>
          <w:bCs/>
        </w:rPr>
        <w:lastRenderedPageBreak/>
        <w:t>Appendix A:</w:t>
      </w:r>
      <w:r w:rsidR="00A960F5">
        <w:rPr>
          <w:b/>
          <w:bCs/>
        </w:rPr>
        <w:t xml:space="preserve"> I</w:t>
      </w:r>
      <w:r w:rsidR="006A725E">
        <w:rPr>
          <w:b/>
          <w:bCs/>
        </w:rPr>
        <w:t>nformed Consent</w:t>
      </w:r>
    </w:p>
    <w:p w14:paraId="4DA30D60" w14:textId="3F49512D" w:rsidR="006A725E" w:rsidRDefault="006A725E" w:rsidP="00A960F5">
      <w:pPr>
        <w:jc w:val="center"/>
        <w:rPr>
          <w:b/>
          <w:bCs/>
        </w:rPr>
      </w:pPr>
    </w:p>
    <w:p w14:paraId="6B42D7BD" w14:textId="77777777" w:rsidR="006A725E" w:rsidRPr="005F50A5" w:rsidRDefault="006A725E" w:rsidP="006A725E">
      <w:pPr>
        <w:pBdr>
          <w:top w:val="single" w:sz="4" w:space="1" w:color="auto"/>
        </w:pBdr>
        <w:spacing w:after="240"/>
        <w:jc w:val="center"/>
        <w:rPr>
          <w:rFonts w:ascii="Open Sans" w:eastAsia="Calibri" w:hAnsi="Open Sans" w:cs="Open Sans"/>
          <w:b/>
          <w:sz w:val="26"/>
          <w:szCs w:val="22"/>
        </w:rPr>
      </w:pPr>
      <w:r w:rsidRPr="005F50A5">
        <w:rPr>
          <w:rFonts w:ascii="Open Sans" w:eastAsia="Calibri" w:hAnsi="Open Sans" w:cs="Open Sans"/>
          <w:b/>
          <w:sz w:val="26"/>
          <w:szCs w:val="22"/>
        </w:rPr>
        <w:t>Consent for Research Participation</w:t>
      </w:r>
    </w:p>
    <w:p w14:paraId="7E5B52CF" w14:textId="77777777" w:rsidR="006A725E" w:rsidRPr="005F50A5" w:rsidRDefault="006A725E" w:rsidP="006A725E">
      <w:pPr>
        <w:tabs>
          <w:tab w:val="left" w:pos="2430"/>
        </w:tabs>
        <w:spacing w:after="120"/>
        <w:rPr>
          <w:rFonts w:ascii="Open Sans" w:eastAsia="Calibri" w:hAnsi="Open Sans" w:cs="Open Sans"/>
          <w:sz w:val="20"/>
          <w:szCs w:val="22"/>
        </w:rPr>
      </w:pPr>
      <w:r w:rsidRPr="005F50A5">
        <w:rPr>
          <w:rFonts w:ascii="Open Sans" w:eastAsia="Calibri" w:hAnsi="Open Sans" w:cs="Open Sans"/>
          <w:b/>
          <w:sz w:val="20"/>
          <w:szCs w:val="22"/>
        </w:rPr>
        <w:t>Research Study Title:</w:t>
      </w:r>
      <w:r w:rsidRPr="005F50A5">
        <w:rPr>
          <w:rFonts w:ascii="Open Sans" w:eastAsia="Calibri" w:hAnsi="Open Sans" w:cs="Open Sans"/>
          <w:b/>
          <w:sz w:val="20"/>
          <w:szCs w:val="22"/>
        </w:rPr>
        <w:tab/>
      </w:r>
      <w:r w:rsidRPr="005F50A5">
        <w:rPr>
          <w:rFonts w:ascii="Open Sans" w:eastAsia="Calibri" w:hAnsi="Open Sans" w:cs="Open Sans"/>
          <w:sz w:val="20"/>
          <w:szCs w:val="22"/>
        </w:rPr>
        <w:t>Personality Assessment</w:t>
      </w:r>
    </w:p>
    <w:p w14:paraId="1084D7CC" w14:textId="77777777" w:rsidR="006A725E" w:rsidRPr="005F50A5" w:rsidRDefault="006A725E" w:rsidP="006A725E">
      <w:pPr>
        <w:tabs>
          <w:tab w:val="left" w:pos="1710"/>
        </w:tabs>
        <w:rPr>
          <w:rFonts w:ascii="Open Sans" w:eastAsia="Calibri" w:hAnsi="Open Sans" w:cs="Open Sans"/>
          <w:sz w:val="20"/>
          <w:szCs w:val="18"/>
        </w:rPr>
      </w:pPr>
      <w:r w:rsidRPr="005F50A5">
        <w:rPr>
          <w:rFonts w:ascii="Open Sans" w:eastAsia="Calibri" w:hAnsi="Open Sans" w:cs="Open Sans"/>
          <w:b/>
          <w:sz w:val="20"/>
          <w:szCs w:val="18"/>
        </w:rPr>
        <w:t xml:space="preserve">Researcher(s): </w:t>
      </w:r>
      <w:r w:rsidRPr="005F50A5">
        <w:rPr>
          <w:rFonts w:ascii="Open Sans" w:eastAsia="Calibri" w:hAnsi="Open Sans" w:cs="Open Sans"/>
          <w:b/>
          <w:sz w:val="20"/>
          <w:szCs w:val="18"/>
        </w:rPr>
        <w:tab/>
      </w:r>
      <w:r w:rsidRPr="005F50A5">
        <w:rPr>
          <w:rFonts w:ascii="Open Sans" w:eastAsia="Calibri" w:hAnsi="Open Sans" w:cs="Open Sans"/>
          <w:sz w:val="20"/>
          <w:szCs w:val="18"/>
        </w:rPr>
        <w:t>Connor L. Smith, University of Tennessee, Knoxville</w:t>
      </w:r>
    </w:p>
    <w:p w14:paraId="535765AE" w14:textId="77777777" w:rsidR="006A725E" w:rsidRPr="005F50A5" w:rsidRDefault="006A725E" w:rsidP="006A725E">
      <w:pPr>
        <w:tabs>
          <w:tab w:val="left" w:pos="1710"/>
        </w:tabs>
        <w:rPr>
          <w:rFonts w:ascii="Open Sans" w:eastAsia="Calibri" w:hAnsi="Open Sans" w:cs="Open Sans"/>
          <w:sz w:val="20"/>
          <w:szCs w:val="18"/>
        </w:rPr>
      </w:pPr>
      <w:r w:rsidRPr="005F50A5">
        <w:rPr>
          <w:rFonts w:ascii="Open Sans" w:eastAsia="Calibri" w:hAnsi="Open Sans" w:cs="Open Sans"/>
          <w:sz w:val="20"/>
          <w:szCs w:val="18"/>
        </w:rPr>
        <w:tab/>
        <w:t>Timothy Hulsey, Ph.D., University of Tennessee, Knoxville</w:t>
      </w:r>
    </w:p>
    <w:p w14:paraId="5AE4A35E" w14:textId="77777777" w:rsidR="006A725E" w:rsidRPr="005F50A5" w:rsidRDefault="006A725E" w:rsidP="006A725E">
      <w:pPr>
        <w:pBdr>
          <w:bottom w:val="single" w:sz="4" w:space="1" w:color="auto"/>
        </w:pBdr>
        <w:tabs>
          <w:tab w:val="left" w:pos="2610"/>
        </w:tabs>
        <w:rPr>
          <w:rFonts w:ascii="Open Sans" w:eastAsia="Calibri" w:hAnsi="Open Sans" w:cs="Open Sans"/>
          <w:sz w:val="22"/>
          <w:szCs w:val="18"/>
        </w:rPr>
      </w:pPr>
    </w:p>
    <w:p w14:paraId="105C4137" w14:textId="77777777" w:rsidR="006A725E" w:rsidRPr="005F50A5" w:rsidRDefault="006A725E" w:rsidP="006A725E">
      <w:pPr>
        <w:widowControl w:val="0"/>
        <w:autoSpaceDE w:val="0"/>
        <w:autoSpaceDN w:val="0"/>
        <w:spacing w:line="216" w:lineRule="exact"/>
        <w:ind w:left="126"/>
        <w:rPr>
          <w:rFonts w:ascii="Open Sans" w:eastAsia="Open Sans" w:hAnsi="Open Sans" w:cs="Open Sans"/>
          <w:sz w:val="14"/>
          <w:szCs w:val="20"/>
          <w:lang w:bidi="en-US"/>
        </w:rPr>
      </w:pPr>
    </w:p>
    <w:p w14:paraId="3E3E9C52" w14:textId="77777777" w:rsidR="006A725E" w:rsidRPr="005F50A5" w:rsidRDefault="006A725E" w:rsidP="006A725E">
      <w:pPr>
        <w:keepNext/>
        <w:keepLines/>
        <w:pBdr>
          <w:top w:val="single" w:sz="4" w:space="2" w:color="auto"/>
          <w:left w:val="single" w:sz="4" w:space="2" w:color="auto"/>
          <w:bottom w:val="single" w:sz="4" w:space="2" w:color="auto"/>
          <w:right w:val="single" w:sz="4" w:space="2" w:color="auto"/>
        </w:pBdr>
        <w:shd w:val="pct10" w:color="auto" w:fill="auto"/>
        <w:spacing w:before="200" w:after="200"/>
        <w:jc w:val="center"/>
        <w:outlineLvl w:val="2"/>
        <w:rPr>
          <w:rFonts w:ascii="Open Sans" w:hAnsi="Open Sans"/>
          <w:b/>
          <w:sz w:val="22"/>
        </w:rPr>
      </w:pPr>
      <w:r w:rsidRPr="005F50A5">
        <w:rPr>
          <w:rFonts w:ascii="Open Sans" w:hAnsi="Open Sans"/>
          <w:b/>
          <w:sz w:val="22"/>
        </w:rPr>
        <w:t>Why am I being asked to be in this research study?</w:t>
      </w:r>
    </w:p>
    <w:p w14:paraId="02FFB841" w14:textId="77777777" w:rsidR="006A725E" w:rsidRPr="005F50A5" w:rsidRDefault="006A725E" w:rsidP="006A725E">
      <w:pPr>
        <w:spacing w:after="120"/>
        <w:rPr>
          <w:rFonts w:ascii="Open Sans" w:eastAsia="Calibri" w:hAnsi="Open Sans"/>
          <w:sz w:val="20"/>
          <w:szCs w:val="22"/>
        </w:rPr>
      </w:pPr>
      <w:r w:rsidRPr="005F50A5">
        <w:rPr>
          <w:rFonts w:ascii="Open Sans" w:eastAsia="Calibri" w:hAnsi="Open Sans"/>
          <w:sz w:val="20"/>
          <w:szCs w:val="22"/>
        </w:rPr>
        <w:t>We are asking you to be in this research study because</w:t>
      </w:r>
      <w:r w:rsidRPr="005F50A5">
        <w:rPr>
          <w:rFonts w:ascii="Open Sans" w:eastAsia="Calibri" w:hAnsi="Open Sans" w:cs="Open Sans"/>
          <w:color w:val="0033CC"/>
          <w:sz w:val="20"/>
          <w:szCs w:val="22"/>
        </w:rPr>
        <w:t xml:space="preserve"> </w:t>
      </w:r>
      <w:r w:rsidRPr="005F50A5">
        <w:rPr>
          <w:rFonts w:ascii="Open Sans" w:eastAsia="Calibri" w:hAnsi="Open Sans" w:cs="Open Sans"/>
          <w:color w:val="000000"/>
          <w:sz w:val="20"/>
          <w:szCs w:val="22"/>
        </w:rPr>
        <w:t>we are interested in exploring how various different aspects of personality are related with students enrolled in undergraduate psychology courses</w:t>
      </w:r>
      <w:r w:rsidRPr="005F50A5">
        <w:rPr>
          <w:rFonts w:ascii="Open Sans" w:eastAsia="Calibri" w:hAnsi="Open Sans"/>
          <w:color w:val="000000"/>
          <w:sz w:val="20"/>
          <w:szCs w:val="22"/>
        </w:rPr>
        <w:t>.</w:t>
      </w:r>
    </w:p>
    <w:p w14:paraId="274C4D83" w14:textId="77777777" w:rsidR="006A725E" w:rsidRPr="005F50A5" w:rsidRDefault="006A725E" w:rsidP="006A725E">
      <w:pPr>
        <w:keepNext/>
        <w:keepLines/>
        <w:pBdr>
          <w:top w:val="single" w:sz="4" w:space="2" w:color="auto"/>
          <w:left w:val="single" w:sz="4" w:space="2" w:color="auto"/>
          <w:bottom w:val="single" w:sz="4" w:space="2" w:color="auto"/>
          <w:right w:val="single" w:sz="4" w:space="2" w:color="auto"/>
        </w:pBdr>
        <w:shd w:val="pct10" w:color="auto" w:fill="auto"/>
        <w:spacing w:before="200" w:after="200"/>
        <w:jc w:val="center"/>
        <w:outlineLvl w:val="2"/>
        <w:rPr>
          <w:rFonts w:ascii="Open Sans" w:hAnsi="Open Sans"/>
          <w:b/>
          <w:sz w:val="22"/>
          <w:szCs w:val="28"/>
        </w:rPr>
      </w:pPr>
      <w:r w:rsidRPr="005F50A5">
        <w:rPr>
          <w:rFonts w:ascii="Open Sans" w:hAnsi="Open Sans"/>
          <w:b/>
          <w:sz w:val="22"/>
        </w:rPr>
        <w:t>What is this research study about?</w:t>
      </w:r>
    </w:p>
    <w:p w14:paraId="35466167" w14:textId="77777777" w:rsidR="006A725E" w:rsidRPr="005F50A5" w:rsidRDefault="006A725E" w:rsidP="006A725E">
      <w:pPr>
        <w:spacing w:after="120"/>
        <w:rPr>
          <w:rFonts w:ascii="Open Sans" w:eastAsia="Calibri" w:hAnsi="Open Sans"/>
          <w:color w:val="000000"/>
          <w:sz w:val="20"/>
          <w:szCs w:val="22"/>
        </w:rPr>
      </w:pPr>
      <w:r w:rsidRPr="005F50A5">
        <w:rPr>
          <w:rFonts w:ascii="Open Sans" w:eastAsia="Calibri" w:hAnsi="Open Sans"/>
          <w:sz w:val="20"/>
          <w:szCs w:val="22"/>
        </w:rPr>
        <w:t>The purpose of the research study is to examine how various different aspects of personality are related to one another</w:t>
      </w:r>
      <w:r w:rsidRPr="005F50A5">
        <w:rPr>
          <w:rFonts w:ascii="Open Sans" w:eastAsia="Calibri" w:hAnsi="Open Sans"/>
          <w:color w:val="000000"/>
          <w:sz w:val="20"/>
          <w:szCs w:val="22"/>
        </w:rPr>
        <w:t xml:space="preserve">. </w:t>
      </w:r>
    </w:p>
    <w:p w14:paraId="6813697B" w14:textId="77777777" w:rsidR="006A725E" w:rsidRPr="005F50A5" w:rsidRDefault="006A725E" w:rsidP="006A725E">
      <w:pPr>
        <w:keepNext/>
        <w:keepLines/>
        <w:pBdr>
          <w:top w:val="single" w:sz="4" w:space="2" w:color="auto"/>
          <w:left w:val="single" w:sz="4" w:space="2" w:color="auto"/>
          <w:bottom w:val="single" w:sz="4" w:space="2" w:color="auto"/>
          <w:right w:val="single" w:sz="4" w:space="2" w:color="auto"/>
        </w:pBdr>
        <w:shd w:val="pct10" w:color="auto" w:fill="auto"/>
        <w:spacing w:before="200" w:after="200"/>
        <w:jc w:val="center"/>
        <w:outlineLvl w:val="2"/>
        <w:rPr>
          <w:rFonts w:ascii="Open Sans" w:hAnsi="Open Sans"/>
          <w:b/>
          <w:sz w:val="22"/>
        </w:rPr>
      </w:pPr>
      <w:r w:rsidRPr="005F50A5">
        <w:rPr>
          <w:rFonts w:ascii="Open Sans" w:hAnsi="Open Sans"/>
          <w:b/>
          <w:sz w:val="22"/>
        </w:rPr>
        <w:t>How long will I be in the research study?</w:t>
      </w:r>
    </w:p>
    <w:p w14:paraId="4BC2954F" w14:textId="77777777" w:rsidR="006A725E" w:rsidRPr="005F50A5" w:rsidRDefault="006A725E" w:rsidP="006A725E">
      <w:pPr>
        <w:spacing w:after="120"/>
        <w:rPr>
          <w:rFonts w:ascii="Open Sans" w:eastAsia="Calibri" w:hAnsi="Open Sans"/>
          <w:sz w:val="20"/>
          <w:szCs w:val="22"/>
        </w:rPr>
      </w:pPr>
      <w:r w:rsidRPr="005F50A5">
        <w:rPr>
          <w:rFonts w:ascii="Open Sans" w:eastAsia="Calibri" w:hAnsi="Open Sans"/>
          <w:sz w:val="20"/>
          <w:szCs w:val="22"/>
        </w:rPr>
        <w:t>If you agree to be in the study, your participation will last for approximately 50-60 minutes.</w:t>
      </w:r>
    </w:p>
    <w:p w14:paraId="02E6DAAF" w14:textId="77777777" w:rsidR="006A725E" w:rsidRPr="005F50A5" w:rsidRDefault="006A725E" w:rsidP="006A725E">
      <w:pPr>
        <w:keepNext/>
        <w:keepLines/>
        <w:pBdr>
          <w:top w:val="single" w:sz="4" w:space="2" w:color="auto"/>
          <w:left w:val="single" w:sz="4" w:space="2" w:color="auto"/>
          <w:bottom w:val="single" w:sz="4" w:space="2" w:color="auto"/>
          <w:right w:val="single" w:sz="4" w:space="2" w:color="auto"/>
        </w:pBdr>
        <w:shd w:val="pct10" w:color="auto" w:fill="auto"/>
        <w:spacing w:before="200" w:after="200"/>
        <w:jc w:val="center"/>
        <w:outlineLvl w:val="2"/>
        <w:rPr>
          <w:rFonts w:ascii="Open Sans" w:hAnsi="Open Sans"/>
          <w:b/>
          <w:sz w:val="22"/>
        </w:rPr>
      </w:pPr>
      <w:r w:rsidRPr="005F50A5">
        <w:rPr>
          <w:rFonts w:ascii="Open Sans" w:hAnsi="Open Sans"/>
          <w:b/>
          <w:sz w:val="22"/>
        </w:rPr>
        <w:t xml:space="preserve">What will happen if I say “Yes, I want to be in this research study”? </w:t>
      </w:r>
    </w:p>
    <w:p w14:paraId="6D601D06" w14:textId="77777777" w:rsidR="006A725E" w:rsidRPr="005F50A5" w:rsidRDefault="006A725E" w:rsidP="006A725E">
      <w:pPr>
        <w:spacing w:after="120"/>
        <w:rPr>
          <w:rFonts w:ascii="Open Sans" w:eastAsia="Calibri" w:hAnsi="Open Sans"/>
          <w:sz w:val="20"/>
          <w:szCs w:val="22"/>
        </w:rPr>
      </w:pPr>
      <w:r w:rsidRPr="005F50A5">
        <w:rPr>
          <w:rFonts w:ascii="Open Sans" w:eastAsia="Calibri" w:hAnsi="Open Sans"/>
          <w:sz w:val="20"/>
          <w:szCs w:val="22"/>
        </w:rPr>
        <w:t>If you agree to be in this study, we will ask you to:</w:t>
      </w:r>
    </w:p>
    <w:p w14:paraId="1B466AE4" w14:textId="77777777" w:rsidR="006A725E" w:rsidRPr="005F50A5" w:rsidRDefault="006A725E" w:rsidP="006A725E">
      <w:pPr>
        <w:numPr>
          <w:ilvl w:val="0"/>
          <w:numId w:val="7"/>
        </w:numPr>
        <w:spacing w:after="120"/>
        <w:rPr>
          <w:rFonts w:ascii="Open Sans" w:eastAsia="Calibri" w:hAnsi="Open Sans"/>
          <w:sz w:val="20"/>
          <w:szCs w:val="22"/>
        </w:rPr>
      </w:pPr>
      <w:r w:rsidRPr="005F50A5">
        <w:rPr>
          <w:rFonts w:ascii="Open Sans" w:eastAsia="Calibri" w:hAnsi="Open Sans"/>
          <w:sz w:val="20"/>
          <w:szCs w:val="22"/>
        </w:rPr>
        <w:t>Fill out brief demographic information</w:t>
      </w:r>
    </w:p>
    <w:p w14:paraId="777F7308" w14:textId="77777777" w:rsidR="006A725E" w:rsidRPr="005F50A5" w:rsidRDefault="006A725E" w:rsidP="006A725E">
      <w:pPr>
        <w:numPr>
          <w:ilvl w:val="0"/>
          <w:numId w:val="7"/>
        </w:numPr>
        <w:spacing w:after="120"/>
        <w:rPr>
          <w:rFonts w:ascii="Open Sans" w:eastAsia="Calibri" w:hAnsi="Open Sans"/>
          <w:sz w:val="20"/>
          <w:szCs w:val="22"/>
        </w:rPr>
      </w:pPr>
      <w:r w:rsidRPr="005F50A5">
        <w:rPr>
          <w:rFonts w:ascii="Open Sans" w:eastAsia="Calibri" w:hAnsi="Open Sans"/>
          <w:sz w:val="20"/>
          <w:szCs w:val="22"/>
        </w:rPr>
        <w:t>Answer a free-response question</w:t>
      </w:r>
    </w:p>
    <w:p w14:paraId="6F6D01AC" w14:textId="77777777" w:rsidR="006A725E" w:rsidRPr="005F50A5" w:rsidRDefault="006A725E" w:rsidP="006A725E">
      <w:pPr>
        <w:numPr>
          <w:ilvl w:val="0"/>
          <w:numId w:val="7"/>
        </w:numPr>
        <w:spacing w:after="120"/>
        <w:rPr>
          <w:rFonts w:ascii="Open Sans" w:eastAsia="Calibri" w:hAnsi="Open Sans"/>
          <w:sz w:val="20"/>
          <w:szCs w:val="22"/>
        </w:rPr>
      </w:pPr>
      <w:r w:rsidRPr="005F50A5">
        <w:rPr>
          <w:rFonts w:ascii="Open Sans" w:eastAsia="Calibri" w:hAnsi="Open Sans"/>
          <w:sz w:val="20"/>
          <w:szCs w:val="22"/>
        </w:rPr>
        <w:t>Complete three questionnaires</w:t>
      </w:r>
    </w:p>
    <w:p w14:paraId="43E628C8" w14:textId="77777777" w:rsidR="006A725E" w:rsidRPr="005F50A5" w:rsidRDefault="006A725E" w:rsidP="006A725E">
      <w:pPr>
        <w:keepNext/>
        <w:keepLines/>
        <w:pBdr>
          <w:top w:val="single" w:sz="4" w:space="2" w:color="auto"/>
          <w:left w:val="single" w:sz="4" w:space="2" w:color="auto"/>
          <w:bottom w:val="single" w:sz="4" w:space="2" w:color="auto"/>
          <w:right w:val="single" w:sz="4" w:space="2" w:color="auto"/>
        </w:pBdr>
        <w:shd w:val="pct10" w:color="auto" w:fill="auto"/>
        <w:spacing w:before="200" w:after="200"/>
        <w:jc w:val="center"/>
        <w:outlineLvl w:val="2"/>
        <w:rPr>
          <w:rFonts w:ascii="Open Sans" w:hAnsi="Open Sans"/>
          <w:b/>
          <w:sz w:val="22"/>
        </w:rPr>
      </w:pPr>
      <w:r w:rsidRPr="005F50A5">
        <w:rPr>
          <w:rFonts w:ascii="Open Sans" w:hAnsi="Open Sans"/>
          <w:b/>
          <w:sz w:val="22"/>
        </w:rPr>
        <w:t>What happens if I say “No, I do not want to be in this research study”?</w:t>
      </w:r>
    </w:p>
    <w:p w14:paraId="6FB75FE3" w14:textId="77777777" w:rsidR="006A725E" w:rsidRPr="005F50A5" w:rsidRDefault="006A725E" w:rsidP="006A725E">
      <w:pPr>
        <w:spacing w:after="120"/>
        <w:rPr>
          <w:rFonts w:ascii="Open Sans" w:eastAsia="Calibri" w:hAnsi="Open Sans"/>
          <w:sz w:val="20"/>
          <w:szCs w:val="22"/>
        </w:rPr>
      </w:pPr>
      <w:r w:rsidRPr="005F50A5">
        <w:rPr>
          <w:rFonts w:ascii="Open Sans" w:eastAsia="Calibri" w:hAnsi="Open Sans"/>
          <w:color w:val="000000"/>
          <w:sz w:val="20"/>
          <w:szCs w:val="22"/>
        </w:rPr>
        <w:t xml:space="preserve">Being in this study is up to you.  You can say no now. Either way, your decision to participate or not will not affect your grades, your relationship with your instructors, or </w:t>
      </w:r>
      <w:proofErr w:type="gramStart"/>
      <w:r w:rsidRPr="005F50A5">
        <w:rPr>
          <w:rFonts w:ascii="Open Sans" w:eastAsia="Calibri" w:hAnsi="Open Sans"/>
          <w:color w:val="000000"/>
          <w:sz w:val="20"/>
          <w:szCs w:val="22"/>
        </w:rPr>
        <w:t>your</w:t>
      </w:r>
      <w:proofErr w:type="gramEnd"/>
      <w:r w:rsidRPr="005F50A5">
        <w:rPr>
          <w:rFonts w:ascii="Open Sans" w:eastAsia="Calibri" w:hAnsi="Open Sans"/>
          <w:color w:val="000000"/>
          <w:sz w:val="20"/>
          <w:szCs w:val="22"/>
        </w:rPr>
        <w:t xml:space="preserve"> standing with the University.</w:t>
      </w:r>
    </w:p>
    <w:p w14:paraId="68E6827F" w14:textId="77777777" w:rsidR="006A725E" w:rsidRPr="005F50A5" w:rsidRDefault="006A725E" w:rsidP="006A725E">
      <w:pPr>
        <w:keepNext/>
        <w:keepLines/>
        <w:pBdr>
          <w:top w:val="single" w:sz="4" w:space="2" w:color="auto"/>
          <w:left w:val="single" w:sz="4" w:space="2" w:color="auto"/>
          <w:bottom w:val="single" w:sz="4" w:space="2" w:color="auto"/>
          <w:right w:val="single" w:sz="4" w:space="2" w:color="auto"/>
        </w:pBdr>
        <w:shd w:val="pct10" w:color="auto" w:fill="auto"/>
        <w:spacing w:before="200" w:after="200"/>
        <w:jc w:val="center"/>
        <w:outlineLvl w:val="2"/>
        <w:rPr>
          <w:rFonts w:ascii="Open Sans" w:hAnsi="Open Sans"/>
          <w:b/>
          <w:sz w:val="22"/>
        </w:rPr>
      </w:pPr>
      <w:r w:rsidRPr="005F50A5">
        <w:rPr>
          <w:rFonts w:ascii="Open Sans" w:hAnsi="Open Sans"/>
          <w:b/>
          <w:sz w:val="22"/>
        </w:rPr>
        <w:t>What happens if I say “Yes” but change my mind later?</w:t>
      </w:r>
    </w:p>
    <w:p w14:paraId="6E2925DD" w14:textId="77777777" w:rsidR="006A725E" w:rsidRPr="005F50A5" w:rsidRDefault="006A725E" w:rsidP="006A725E">
      <w:pPr>
        <w:spacing w:after="120"/>
        <w:rPr>
          <w:rFonts w:ascii="Open Sans" w:eastAsia="Calibri" w:hAnsi="Open Sans"/>
          <w:sz w:val="20"/>
          <w:szCs w:val="22"/>
        </w:rPr>
      </w:pPr>
      <w:r w:rsidRPr="005F50A5">
        <w:rPr>
          <w:rFonts w:ascii="Open Sans" w:eastAsia="Calibri" w:hAnsi="Open Sans"/>
          <w:sz w:val="20"/>
          <w:szCs w:val="22"/>
        </w:rPr>
        <w:t xml:space="preserve">Even if you decide to be in the study now, you can change your mind and stop at any time. </w:t>
      </w:r>
    </w:p>
    <w:p w14:paraId="3B9E866C" w14:textId="77777777" w:rsidR="006A725E" w:rsidRPr="005F50A5" w:rsidRDefault="006A725E" w:rsidP="006A725E">
      <w:pPr>
        <w:spacing w:after="120"/>
        <w:rPr>
          <w:rFonts w:ascii="Open Sans" w:eastAsia="Calibri" w:hAnsi="Open Sans"/>
          <w:color w:val="0033CC"/>
          <w:sz w:val="20"/>
          <w:szCs w:val="22"/>
        </w:rPr>
      </w:pPr>
      <w:r w:rsidRPr="005F50A5">
        <w:rPr>
          <w:rFonts w:ascii="Open Sans" w:eastAsia="Calibri" w:hAnsi="Open Sans"/>
          <w:sz w:val="20"/>
          <w:szCs w:val="22"/>
        </w:rPr>
        <w:lastRenderedPageBreak/>
        <w:t>If you decide to stop before the study is completed, your information will be discarded and your responses will not be used for the purposes of this study.</w:t>
      </w:r>
    </w:p>
    <w:p w14:paraId="4B97AFE1" w14:textId="77777777" w:rsidR="006A725E" w:rsidRPr="005F50A5" w:rsidRDefault="006A725E" w:rsidP="006A725E">
      <w:pPr>
        <w:keepNext/>
        <w:keepLines/>
        <w:pBdr>
          <w:top w:val="single" w:sz="4" w:space="2" w:color="auto"/>
          <w:left w:val="single" w:sz="4" w:space="2" w:color="auto"/>
          <w:bottom w:val="single" w:sz="4" w:space="2" w:color="auto"/>
          <w:right w:val="single" w:sz="4" w:space="2" w:color="auto"/>
        </w:pBdr>
        <w:shd w:val="pct10" w:color="auto" w:fill="auto"/>
        <w:spacing w:before="200" w:after="200"/>
        <w:jc w:val="center"/>
        <w:outlineLvl w:val="2"/>
        <w:rPr>
          <w:rFonts w:ascii="Open Sans" w:hAnsi="Open Sans"/>
          <w:b/>
          <w:sz w:val="22"/>
        </w:rPr>
      </w:pPr>
      <w:r w:rsidRPr="005F50A5">
        <w:rPr>
          <w:rFonts w:ascii="Open Sans" w:hAnsi="Open Sans"/>
          <w:b/>
          <w:sz w:val="22"/>
        </w:rPr>
        <w:t>Are there any possible risks to me?</w:t>
      </w:r>
    </w:p>
    <w:p w14:paraId="5ED34E93" w14:textId="172030AE" w:rsidR="006A725E" w:rsidRPr="005F50A5" w:rsidRDefault="006A725E" w:rsidP="006A725E">
      <w:pPr>
        <w:spacing w:after="120"/>
        <w:rPr>
          <w:rFonts w:ascii="Open Sans" w:eastAsia="Calibri" w:hAnsi="Open Sans"/>
          <w:sz w:val="20"/>
          <w:szCs w:val="22"/>
        </w:rPr>
      </w:pPr>
      <w:r w:rsidRPr="005F50A5">
        <w:rPr>
          <w:rFonts w:ascii="Open Sans" w:eastAsia="Calibri" w:hAnsi="Open Sans"/>
          <w:sz w:val="20"/>
          <w:szCs w:val="22"/>
        </w:rPr>
        <w:t>The risks associated with this task are minimal, and no greater than one would encounter in daily life. You may stop participating whenever you like without penalty.</w:t>
      </w:r>
    </w:p>
    <w:p w14:paraId="6B7A4A45" w14:textId="77777777" w:rsidR="006A725E" w:rsidRPr="005F50A5" w:rsidRDefault="006A725E" w:rsidP="006A725E">
      <w:pPr>
        <w:keepNext/>
        <w:keepLines/>
        <w:pBdr>
          <w:top w:val="single" w:sz="4" w:space="2" w:color="auto"/>
          <w:left w:val="single" w:sz="4" w:space="2" w:color="auto"/>
          <w:bottom w:val="single" w:sz="4" w:space="2" w:color="auto"/>
          <w:right w:val="single" w:sz="4" w:space="2" w:color="auto"/>
        </w:pBdr>
        <w:shd w:val="pct10" w:color="auto" w:fill="auto"/>
        <w:spacing w:before="200" w:after="200"/>
        <w:jc w:val="center"/>
        <w:outlineLvl w:val="2"/>
        <w:rPr>
          <w:rFonts w:ascii="Open Sans" w:hAnsi="Open Sans"/>
          <w:b/>
          <w:sz w:val="22"/>
        </w:rPr>
      </w:pPr>
      <w:r w:rsidRPr="005F50A5">
        <w:rPr>
          <w:rFonts w:ascii="Open Sans" w:hAnsi="Open Sans"/>
          <w:b/>
          <w:sz w:val="22"/>
        </w:rPr>
        <w:t>Are there any benefits to being in this research study?</w:t>
      </w:r>
    </w:p>
    <w:p w14:paraId="4D803659" w14:textId="77777777" w:rsidR="006A725E" w:rsidRPr="005F50A5" w:rsidRDefault="006A725E" w:rsidP="006A725E">
      <w:pPr>
        <w:spacing w:after="120"/>
        <w:rPr>
          <w:rFonts w:ascii="Open Sans" w:eastAsia="Calibri" w:hAnsi="Open Sans"/>
          <w:sz w:val="20"/>
          <w:szCs w:val="22"/>
        </w:rPr>
      </w:pPr>
      <w:r w:rsidRPr="005F50A5">
        <w:rPr>
          <w:rFonts w:ascii="Open Sans" w:eastAsia="Calibri" w:hAnsi="Open Sans"/>
          <w:sz w:val="20"/>
          <w:szCs w:val="22"/>
        </w:rPr>
        <w:t>We do not expect you to benefit from being in this study. Your participation may help us learn more about how personality characteristics are related. We hope the knowledge gained from this study will benefit others in the future.</w:t>
      </w:r>
    </w:p>
    <w:p w14:paraId="4AB1C2C8" w14:textId="77777777" w:rsidR="006A725E" w:rsidRPr="005F50A5" w:rsidRDefault="006A725E" w:rsidP="006A725E">
      <w:pPr>
        <w:keepNext/>
        <w:keepLines/>
        <w:pBdr>
          <w:top w:val="single" w:sz="4" w:space="2" w:color="auto"/>
          <w:left w:val="single" w:sz="4" w:space="2" w:color="auto"/>
          <w:bottom w:val="single" w:sz="4" w:space="2" w:color="auto"/>
          <w:right w:val="single" w:sz="4" w:space="2" w:color="auto"/>
        </w:pBdr>
        <w:shd w:val="pct10" w:color="auto" w:fill="auto"/>
        <w:spacing w:before="200" w:after="200"/>
        <w:jc w:val="center"/>
        <w:outlineLvl w:val="2"/>
        <w:rPr>
          <w:rFonts w:ascii="Open Sans" w:hAnsi="Open Sans"/>
          <w:b/>
          <w:sz w:val="22"/>
        </w:rPr>
      </w:pPr>
      <w:r w:rsidRPr="005F50A5">
        <w:rPr>
          <w:rFonts w:ascii="Open Sans" w:hAnsi="Open Sans"/>
          <w:b/>
          <w:sz w:val="22"/>
        </w:rPr>
        <w:t>Compensation</w:t>
      </w:r>
    </w:p>
    <w:p w14:paraId="208A5351" w14:textId="77777777" w:rsidR="006A725E" w:rsidRPr="005F50A5" w:rsidRDefault="006A725E" w:rsidP="006A725E">
      <w:pPr>
        <w:spacing w:after="120"/>
        <w:rPr>
          <w:rFonts w:ascii="Open Sans" w:eastAsia="Calibri" w:hAnsi="Open Sans"/>
          <w:sz w:val="20"/>
          <w:szCs w:val="22"/>
        </w:rPr>
      </w:pPr>
      <w:r w:rsidRPr="005F50A5">
        <w:rPr>
          <w:rFonts w:ascii="Open Sans" w:eastAsia="Calibri" w:hAnsi="Open Sans"/>
          <w:sz w:val="20"/>
          <w:szCs w:val="22"/>
        </w:rPr>
        <w:t>You will receive 1.0 SONA credits as compensation for your participation in this study. If you decide to discontinue the survey at any time, you will receive 0.5 SONA credits.</w:t>
      </w:r>
    </w:p>
    <w:p w14:paraId="75AB0A09" w14:textId="77777777" w:rsidR="006A725E" w:rsidRPr="005F50A5" w:rsidRDefault="006A725E" w:rsidP="006A725E">
      <w:pPr>
        <w:keepNext/>
        <w:keepLines/>
        <w:pBdr>
          <w:top w:val="single" w:sz="4" w:space="2" w:color="auto"/>
          <w:left w:val="single" w:sz="4" w:space="2" w:color="auto"/>
          <w:bottom w:val="single" w:sz="4" w:space="2" w:color="auto"/>
          <w:right w:val="single" w:sz="4" w:space="2" w:color="auto"/>
        </w:pBdr>
        <w:shd w:val="pct10" w:color="auto" w:fill="auto"/>
        <w:spacing w:before="200" w:after="200"/>
        <w:jc w:val="center"/>
        <w:outlineLvl w:val="2"/>
        <w:rPr>
          <w:rFonts w:ascii="Open Sans" w:hAnsi="Open Sans"/>
          <w:b/>
          <w:sz w:val="22"/>
        </w:rPr>
      </w:pPr>
      <w:r w:rsidRPr="005F50A5">
        <w:rPr>
          <w:rFonts w:ascii="Open Sans" w:hAnsi="Open Sans"/>
          <w:b/>
          <w:sz w:val="22"/>
        </w:rPr>
        <w:t>Who can see or use the information collected for this research study?</w:t>
      </w:r>
    </w:p>
    <w:p w14:paraId="3DAD03A4" w14:textId="77777777" w:rsidR="006A725E" w:rsidRPr="005F50A5" w:rsidRDefault="006A725E" w:rsidP="006A725E">
      <w:pPr>
        <w:spacing w:after="120"/>
        <w:rPr>
          <w:rFonts w:ascii="Open Sans" w:eastAsia="Calibri" w:hAnsi="Open Sans"/>
          <w:color w:val="000000"/>
          <w:sz w:val="20"/>
          <w:szCs w:val="22"/>
        </w:rPr>
      </w:pPr>
      <w:r w:rsidRPr="005F50A5">
        <w:rPr>
          <w:rFonts w:ascii="Open Sans" w:eastAsia="Calibri" w:hAnsi="Open Sans"/>
          <w:color w:val="000000"/>
          <w:sz w:val="20"/>
          <w:szCs w:val="22"/>
        </w:rPr>
        <w:t>The records of this study will be kept private and will only be accessible by the primary researcher listed for this study (Connor Smith). Data collected from this study will be in no way associated with identifying characteristics of participants (</w:t>
      </w:r>
      <w:proofErr w:type="gramStart"/>
      <w:r w:rsidRPr="005F50A5">
        <w:rPr>
          <w:rFonts w:ascii="Open Sans" w:eastAsia="Calibri" w:hAnsi="Open Sans"/>
          <w:color w:val="000000"/>
          <w:sz w:val="20"/>
          <w:szCs w:val="22"/>
        </w:rPr>
        <w:t>e.g.</w:t>
      </w:r>
      <w:proofErr w:type="gramEnd"/>
      <w:r w:rsidRPr="005F50A5">
        <w:rPr>
          <w:rFonts w:ascii="Open Sans" w:eastAsia="Calibri" w:hAnsi="Open Sans"/>
          <w:color w:val="000000"/>
          <w:sz w:val="20"/>
          <w:szCs w:val="22"/>
        </w:rPr>
        <w:t xml:space="preserve"> name, e-mail address) and will be stored electronically.</w:t>
      </w:r>
    </w:p>
    <w:p w14:paraId="31717489" w14:textId="77777777" w:rsidR="006A725E" w:rsidRPr="005F50A5" w:rsidRDefault="006A725E" w:rsidP="006A725E">
      <w:pPr>
        <w:spacing w:after="120"/>
        <w:rPr>
          <w:rFonts w:ascii="Open Sans" w:eastAsia="Calibri" w:hAnsi="Open Sans"/>
          <w:color w:val="000000"/>
          <w:sz w:val="20"/>
          <w:szCs w:val="22"/>
        </w:rPr>
      </w:pPr>
      <w:r w:rsidRPr="005F50A5">
        <w:rPr>
          <w:rFonts w:ascii="Open Sans" w:eastAsia="Calibri" w:hAnsi="Open Sans"/>
          <w:color w:val="000000"/>
          <w:sz w:val="20"/>
          <w:szCs w:val="22"/>
        </w:rPr>
        <w:t>If information from this study is published or presented at scientific meetings, names and other personal information will not be used.</w:t>
      </w:r>
    </w:p>
    <w:p w14:paraId="689069F5" w14:textId="77777777" w:rsidR="006A725E" w:rsidRPr="005F50A5" w:rsidRDefault="006A725E" w:rsidP="006A725E">
      <w:pPr>
        <w:keepNext/>
        <w:keepLines/>
        <w:pBdr>
          <w:top w:val="single" w:sz="4" w:space="2" w:color="auto"/>
          <w:left w:val="single" w:sz="4" w:space="2" w:color="auto"/>
          <w:bottom w:val="single" w:sz="4" w:space="2" w:color="auto"/>
          <w:right w:val="single" w:sz="4" w:space="2" w:color="auto"/>
        </w:pBdr>
        <w:shd w:val="pct10" w:color="auto" w:fill="auto"/>
        <w:spacing w:before="200" w:after="200"/>
        <w:jc w:val="center"/>
        <w:outlineLvl w:val="2"/>
        <w:rPr>
          <w:rFonts w:ascii="Open Sans" w:hAnsi="Open Sans"/>
          <w:b/>
          <w:sz w:val="22"/>
        </w:rPr>
      </w:pPr>
      <w:r w:rsidRPr="005F50A5">
        <w:rPr>
          <w:rFonts w:ascii="Open Sans" w:hAnsi="Open Sans"/>
          <w:b/>
          <w:sz w:val="22"/>
        </w:rPr>
        <w:t>Who can answer my questions about this research study?</w:t>
      </w:r>
    </w:p>
    <w:p w14:paraId="073DD312" w14:textId="77777777" w:rsidR="006A725E" w:rsidRPr="005F50A5" w:rsidRDefault="006A725E" w:rsidP="006A725E">
      <w:pPr>
        <w:spacing w:after="120"/>
        <w:rPr>
          <w:rFonts w:ascii="Open Sans" w:eastAsia="Calibri" w:hAnsi="Open Sans"/>
          <w:sz w:val="20"/>
          <w:szCs w:val="22"/>
        </w:rPr>
      </w:pPr>
      <w:r w:rsidRPr="005F50A5">
        <w:rPr>
          <w:rFonts w:ascii="Open Sans" w:eastAsia="Calibri" w:hAnsi="Open Sans"/>
          <w:sz w:val="20"/>
          <w:szCs w:val="22"/>
        </w:rPr>
        <w:t xml:space="preserve">If you would like to schedule a meeting to ask questions regarding the nature of this study prior to participating, please click the following link to schedule a time </w:t>
      </w:r>
      <w:hyperlink r:id="rId10" w:history="1">
        <w:r w:rsidRPr="005F50A5">
          <w:rPr>
            <w:rFonts w:ascii="Open Sans" w:eastAsia="Calibri" w:hAnsi="Open Sans"/>
            <w:b/>
            <w:color w:val="006C93"/>
            <w:sz w:val="20"/>
            <w:szCs w:val="22"/>
            <w:u w:val="single"/>
          </w:rPr>
          <w:t>https://calendly.com/csmit347/research-study-questions</w:t>
        </w:r>
      </w:hyperlink>
    </w:p>
    <w:p w14:paraId="69D6FEB4" w14:textId="77777777" w:rsidR="006A725E" w:rsidRPr="005F50A5" w:rsidRDefault="006A725E" w:rsidP="006A725E">
      <w:pPr>
        <w:spacing w:after="120"/>
        <w:rPr>
          <w:rFonts w:ascii="Open Sans" w:eastAsia="Calibri" w:hAnsi="Open Sans"/>
          <w:sz w:val="20"/>
          <w:szCs w:val="22"/>
        </w:rPr>
      </w:pPr>
      <w:r w:rsidRPr="005F50A5">
        <w:rPr>
          <w:rFonts w:ascii="Open Sans" w:eastAsia="Calibri" w:hAnsi="Open Sans"/>
          <w:sz w:val="20"/>
          <w:szCs w:val="22"/>
        </w:rPr>
        <w:t xml:space="preserve">If you have other questions or concerns about this study, or have experienced a research related problem or injury, contact the researchers, Connor Smith, </w:t>
      </w:r>
      <w:hyperlink r:id="rId11" w:history="1">
        <w:r w:rsidRPr="005F50A5">
          <w:rPr>
            <w:rFonts w:ascii="Open Sans" w:eastAsia="Calibri" w:hAnsi="Open Sans"/>
            <w:b/>
            <w:color w:val="006C93"/>
            <w:sz w:val="20"/>
            <w:szCs w:val="22"/>
            <w:u w:val="single"/>
          </w:rPr>
          <w:t>csmit347@vols.utk.edu</w:t>
        </w:r>
      </w:hyperlink>
      <w:r w:rsidRPr="005F50A5">
        <w:rPr>
          <w:rFonts w:ascii="Open Sans" w:eastAsia="Calibri" w:hAnsi="Open Sans"/>
          <w:sz w:val="20"/>
          <w:szCs w:val="22"/>
        </w:rPr>
        <w:t xml:space="preserve">, 734-709-7505, Timothy Hulsey, </w:t>
      </w:r>
      <w:hyperlink r:id="rId12" w:history="1">
        <w:r w:rsidRPr="005F50A5">
          <w:rPr>
            <w:rFonts w:ascii="Open Sans" w:eastAsia="Calibri" w:hAnsi="Open Sans"/>
            <w:b/>
            <w:color w:val="006C93"/>
            <w:sz w:val="20"/>
            <w:szCs w:val="22"/>
            <w:u w:val="single"/>
          </w:rPr>
          <w:t>thulsey@utk.edu</w:t>
        </w:r>
      </w:hyperlink>
      <w:r w:rsidRPr="005F50A5">
        <w:rPr>
          <w:rFonts w:ascii="Open Sans" w:eastAsia="Calibri" w:hAnsi="Open Sans"/>
          <w:sz w:val="20"/>
          <w:szCs w:val="22"/>
        </w:rPr>
        <w:t xml:space="preserve">.  </w:t>
      </w:r>
    </w:p>
    <w:p w14:paraId="77F61CD3" w14:textId="77777777" w:rsidR="006A725E" w:rsidRPr="005F50A5" w:rsidRDefault="006A725E" w:rsidP="006A725E">
      <w:pPr>
        <w:spacing w:after="120"/>
        <w:rPr>
          <w:rFonts w:ascii="Open Sans" w:eastAsia="Calibri" w:hAnsi="Open Sans"/>
          <w:sz w:val="20"/>
          <w:szCs w:val="22"/>
        </w:rPr>
      </w:pPr>
      <w:r w:rsidRPr="005F50A5">
        <w:rPr>
          <w:rFonts w:ascii="Open Sans" w:eastAsia="Calibri" w:hAnsi="Open Sans"/>
          <w:sz w:val="20"/>
          <w:szCs w:val="22"/>
        </w:rPr>
        <w:t xml:space="preserve">For questions or concerns about your rights or to speak with someone other than the research team about the study, please contact: </w:t>
      </w:r>
    </w:p>
    <w:p w14:paraId="37BCB7E6" w14:textId="77777777" w:rsidR="006A725E" w:rsidRPr="005F50A5" w:rsidRDefault="006A725E" w:rsidP="006A725E">
      <w:pPr>
        <w:rPr>
          <w:rFonts w:ascii="Open Sans" w:eastAsia="Calibri" w:hAnsi="Open Sans"/>
          <w:sz w:val="20"/>
          <w:szCs w:val="22"/>
        </w:rPr>
      </w:pPr>
      <w:r w:rsidRPr="005F50A5">
        <w:rPr>
          <w:rFonts w:ascii="Open Sans" w:eastAsia="Calibri" w:hAnsi="Open Sans"/>
          <w:sz w:val="20"/>
          <w:szCs w:val="22"/>
        </w:rPr>
        <w:t>Institutional Review Board</w:t>
      </w:r>
    </w:p>
    <w:p w14:paraId="5DE7C619" w14:textId="77777777" w:rsidR="006A725E" w:rsidRPr="005F50A5" w:rsidRDefault="006A725E" w:rsidP="006A725E">
      <w:pPr>
        <w:rPr>
          <w:rFonts w:ascii="Open Sans" w:eastAsia="Calibri" w:hAnsi="Open Sans"/>
          <w:sz w:val="20"/>
          <w:szCs w:val="22"/>
        </w:rPr>
      </w:pPr>
      <w:r w:rsidRPr="005F50A5">
        <w:rPr>
          <w:rFonts w:ascii="Open Sans" w:eastAsia="Calibri" w:hAnsi="Open Sans"/>
          <w:sz w:val="20"/>
          <w:szCs w:val="22"/>
        </w:rPr>
        <w:t>The University of Tennessee, Knoxville</w:t>
      </w:r>
    </w:p>
    <w:p w14:paraId="1FA79B3B" w14:textId="77777777" w:rsidR="006A725E" w:rsidRPr="005F50A5" w:rsidRDefault="006A725E" w:rsidP="006A725E">
      <w:pPr>
        <w:rPr>
          <w:rFonts w:ascii="Open Sans" w:eastAsia="Calibri" w:hAnsi="Open Sans"/>
          <w:sz w:val="20"/>
          <w:szCs w:val="22"/>
        </w:rPr>
      </w:pPr>
      <w:r w:rsidRPr="005F50A5">
        <w:rPr>
          <w:rFonts w:ascii="Open Sans" w:eastAsia="Calibri" w:hAnsi="Open Sans"/>
          <w:sz w:val="20"/>
          <w:szCs w:val="22"/>
        </w:rPr>
        <w:t>Phone: 865-974-7697</w:t>
      </w:r>
    </w:p>
    <w:p w14:paraId="7BFADA5B" w14:textId="77777777" w:rsidR="006A725E" w:rsidRPr="005F50A5" w:rsidRDefault="006A725E" w:rsidP="006A725E">
      <w:pPr>
        <w:rPr>
          <w:rFonts w:ascii="Open Sans" w:eastAsia="Calibri" w:hAnsi="Open Sans"/>
          <w:sz w:val="20"/>
          <w:szCs w:val="22"/>
        </w:rPr>
      </w:pPr>
      <w:r w:rsidRPr="005F50A5">
        <w:rPr>
          <w:rFonts w:ascii="Open Sans" w:eastAsia="Calibri" w:hAnsi="Open Sans"/>
          <w:sz w:val="20"/>
          <w:szCs w:val="22"/>
        </w:rPr>
        <w:t>Email: utkirb@utk.edu</w:t>
      </w:r>
    </w:p>
    <w:p w14:paraId="6197D08A" w14:textId="77777777" w:rsidR="006A725E" w:rsidRPr="005F50A5" w:rsidRDefault="006A725E" w:rsidP="006A725E">
      <w:pPr>
        <w:keepNext/>
        <w:keepLines/>
        <w:pBdr>
          <w:top w:val="single" w:sz="4" w:space="2" w:color="auto"/>
          <w:left w:val="single" w:sz="4" w:space="2" w:color="auto"/>
          <w:bottom w:val="single" w:sz="4" w:space="2" w:color="auto"/>
          <w:right w:val="single" w:sz="4" w:space="2" w:color="auto"/>
        </w:pBdr>
        <w:shd w:val="pct10" w:color="auto" w:fill="auto"/>
        <w:spacing w:before="200" w:after="200"/>
        <w:jc w:val="center"/>
        <w:outlineLvl w:val="2"/>
        <w:rPr>
          <w:rFonts w:ascii="Open Sans" w:hAnsi="Open Sans"/>
          <w:b/>
          <w:sz w:val="22"/>
        </w:rPr>
      </w:pPr>
      <w:r w:rsidRPr="005F50A5">
        <w:rPr>
          <w:rFonts w:ascii="Open Sans" w:hAnsi="Open Sans"/>
          <w:b/>
          <w:sz w:val="22"/>
        </w:rPr>
        <w:lastRenderedPageBreak/>
        <w:t>STATEMENT OF CONSENT</w:t>
      </w:r>
    </w:p>
    <w:p w14:paraId="18282529" w14:textId="77777777" w:rsidR="006A725E" w:rsidRPr="005F50A5" w:rsidRDefault="006A725E" w:rsidP="006A725E">
      <w:pPr>
        <w:spacing w:after="120"/>
        <w:rPr>
          <w:rFonts w:ascii="Open Sans" w:eastAsia="Calibri" w:hAnsi="Open Sans"/>
          <w:sz w:val="20"/>
          <w:szCs w:val="22"/>
        </w:rPr>
      </w:pPr>
      <w:r w:rsidRPr="005F50A5">
        <w:rPr>
          <w:rFonts w:ascii="Open Sans" w:eastAsia="Calibri" w:hAnsi="Open Sans"/>
          <w:sz w:val="20"/>
          <w:szCs w:val="22"/>
        </w:rPr>
        <w:t>I have read this form and the research study has been explained to me.  I have been given the chance to ask questions and my questions have been answered.  If I have more questions, I have been told who to contact.  By signing this document, I am agreeing to be in this study.  I will receive a copy of this document after I sign it.</w:t>
      </w:r>
    </w:p>
    <w:p w14:paraId="5726665E" w14:textId="77777777" w:rsidR="006A725E" w:rsidRPr="005F50A5" w:rsidRDefault="006A725E" w:rsidP="006A725E">
      <w:pPr>
        <w:keepNext/>
        <w:tabs>
          <w:tab w:val="right" w:pos="3780"/>
          <w:tab w:val="right" w:pos="3870"/>
          <w:tab w:val="left" w:pos="8100"/>
          <w:tab w:val="left" w:pos="8280"/>
          <w:tab w:val="right" w:pos="10080"/>
        </w:tabs>
        <w:spacing w:after="120"/>
        <w:rPr>
          <w:rFonts w:ascii="Open Sans" w:hAnsi="Open Sans" w:cs="Open Sans"/>
          <w:sz w:val="22"/>
          <w:szCs w:val="20"/>
          <w:u w:val="single"/>
        </w:rPr>
      </w:pPr>
    </w:p>
    <w:p w14:paraId="77320122" w14:textId="77777777" w:rsidR="006A725E" w:rsidRPr="005F50A5" w:rsidRDefault="006A725E" w:rsidP="006A725E">
      <w:pPr>
        <w:keepNext/>
        <w:tabs>
          <w:tab w:val="right" w:pos="3780"/>
          <w:tab w:val="right" w:pos="3870"/>
          <w:tab w:val="left" w:pos="8100"/>
          <w:tab w:val="left" w:pos="8280"/>
          <w:tab w:val="right" w:pos="10080"/>
        </w:tabs>
        <w:rPr>
          <w:rFonts w:ascii="Open Sans" w:hAnsi="Open Sans" w:cs="Open Sans"/>
          <w:sz w:val="22"/>
          <w:szCs w:val="20"/>
          <w:u w:val="single"/>
        </w:rPr>
      </w:pPr>
      <w:r w:rsidRPr="005F50A5">
        <w:rPr>
          <w:rFonts w:ascii="Open Sans" w:hAnsi="Open Sans" w:cs="Open Sans"/>
          <w:sz w:val="22"/>
          <w:szCs w:val="20"/>
          <w:u w:val="single"/>
        </w:rPr>
        <w:tab/>
      </w:r>
      <w:r w:rsidRPr="005F50A5">
        <w:rPr>
          <w:rFonts w:ascii="Open Sans" w:hAnsi="Open Sans" w:cs="Open Sans"/>
          <w:sz w:val="22"/>
          <w:szCs w:val="20"/>
        </w:rPr>
        <w:tab/>
      </w:r>
      <w:r w:rsidRPr="005F50A5">
        <w:rPr>
          <w:rFonts w:ascii="Open Sans" w:hAnsi="Open Sans" w:cs="Open Sans"/>
          <w:sz w:val="22"/>
          <w:szCs w:val="20"/>
          <w:u w:val="single"/>
        </w:rPr>
        <w:tab/>
      </w:r>
      <w:r w:rsidRPr="005F50A5">
        <w:rPr>
          <w:rFonts w:ascii="Open Sans" w:hAnsi="Open Sans" w:cs="Open Sans"/>
          <w:sz w:val="22"/>
          <w:szCs w:val="20"/>
        </w:rPr>
        <w:tab/>
      </w:r>
      <w:r w:rsidRPr="005F50A5">
        <w:rPr>
          <w:rFonts w:ascii="Open Sans" w:hAnsi="Open Sans" w:cs="Open Sans"/>
          <w:sz w:val="22"/>
          <w:szCs w:val="20"/>
          <w:u w:val="single"/>
        </w:rPr>
        <w:tab/>
      </w:r>
    </w:p>
    <w:p w14:paraId="54625F26" w14:textId="77777777" w:rsidR="006A725E" w:rsidRPr="005F50A5" w:rsidRDefault="006A725E" w:rsidP="006A725E">
      <w:pPr>
        <w:tabs>
          <w:tab w:val="right" w:pos="3960"/>
          <w:tab w:val="right" w:pos="4320"/>
          <w:tab w:val="left" w:pos="8010"/>
          <w:tab w:val="left" w:pos="9000"/>
          <w:tab w:val="right" w:pos="10080"/>
        </w:tabs>
        <w:spacing w:after="120"/>
        <w:rPr>
          <w:rFonts w:ascii="Open Sans" w:hAnsi="Open Sans" w:cs="Open Sans"/>
          <w:sz w:val="20"/>
          <w:szCs w:val="20"/>
        </w:rPr>
      </w:pPr>
      <w:r w:rsidRPr="005F50A5">
        <w:rPr>
          <w:rFonts w:ascii="Open Sans" w:hAnsi="Open Sans" w:cs="Open Sans"/>
          <w:sz w:val="20"/>
          <w:szCs w:val="20"/>
        </w:rPr>
        <w:t>Name of Adult Participant</w:t>
      </w:r>
      <w:r w:rsidRPr="005F50A5">
        <w:rPr>
          <w:rFonts w:ascii="Open Sans" w:hAnsi="Open Sans" w:cs="Open Sans"/>
          <w:sz w:val="20"/>
          <w:szCs w:val="20"/>
        </w:rPr>
        <w:tab/>
      </w:r>
      <w:r w:rsidRPr="005F50A5">
        <w:rPr>
          <w:rFonts w:ascii="Open Sans" w:hAnsi="Open Sans" w:cs="Open Sans"/>
          <w:sz w:val="20"/>
          <w:szCs w:val="20"/>
        </w:rPr>
        <w:tab/>
        <w:t>Signature of Adult Participant</w:t>
      </w:r>
      <w:r w:rsidRPr="005F50A5">
        <w:rPr>
          <w:rFonts w:ascii="Open Sans" w:hAnsi="Open Sans" w:cs="Open Sans"/>
          <w:sz w:val="20"/>
          <w:szCs w:val="20"/>
        </w:rPr>
        <w:tab/>
        <w:t xml:space="preserve">     Date</w:t>
      </w:r>
    </w:p>
    <w:p w14:paraId="7ABBF393" w14:textId="77777777" w:rsidR="006A725E" w:rsidRDefault="006A725E" w:rsidP="00A960F5">
      <w:pPr>
        <w:jc w:val="center"/>
        <w:rPr>
          <w:b/>
          <w:bCs/>
        </w:rPr>
      </w:pPr>
    </w:p>
    <w:p w14:paraId="02852599" w14:textId="6F3DCE63" w:rsidR="00A960F5" w:rsidRDefault="006A725E" w:rsidP="005F50A5">
      <w:pPr>
        <w:rPr>
          <w:b/>
          <w:bCs/>
        </w:rPr>
      </w:pPr>
      <w:r>
        <w:rPr>
          <w:b/>
          <w:bCs/>
        </w:rPr>
        <w:br w:type="page"/>
      </w:r>
    </w:p>
    <w:p w14:paraId="06668D8F" w14:textId="386BF0FA" w:rsidR="00A960F5" w:rsidRDefault="00A960F5">
      <w:pPr>
        <w:rPr>
          <w:b/>
          <w:bCs/>
        </w:rPr>
      </w:pPr>
    </w:p>
    <w:p w14:paraId="016A8F64" w14:textId="7D4312D8" w:rsidR="0048194E" w:rsidRPr="0048194E" w:rsidRDefault="00A960F5" w:rsidP="00A960F5">
      <w:pPr>
        <w:jc w:val="center"/>
        <w:rPr>
          <w:b/>
          <w:bCs/>
        </w:rPr>
      </w:pPr>
      <w:r w:rsidRPr="0048194E">
        <w:rPr>
          <w:b/>
          <w:bCs/>
        </w:rPr>
        <w:t xml:space="preserve">Appendix </w:t>
      </w:r>
      <w:r w:rsidR="00A32296">
        <w:rPr>
          <w:b/>
          <w:bCs/>
        </w:rPr>
        <w:t>B</w:t>
      </w:r>
      <w:r w:rsidRPr="0048194E">
        <w:rPr>
          <w:b/>
          <w:bCs/>
        </w:rPr>
        <w:t xml:space="preserve">: </w:t>
      </w:r>
      <w:r w:rsidR="0048194E" w:rsidRPr="005F50A5">
        <w:rPr>
          <w:b/>
          <w:bCs/>
        </w:rPr>
        <w:t>Neuroticism Subscale of the Eysenck Personality Inventory</w:t>
      </w:r>
    </w:p>
    <w:p w14:paraId="03708790" w14:textId="0F3C6E76" w:rsidR="0048194E" w:rsidRDefault="0048194E" w:rsidP="00A960F5">
      <w:pPr>
        <w:jc w:val="center"/>
        <w:rPr>
          <w:b/>
          <w:bCs/>
        </w:rPr>
      </w:pPr>
    </w:p>
    <w:p w14:paraId="559882A9" w14:textId="77777777" w:rsidR="0048194E" w:rsidRPr="0048194E" w:rsidRDefault="0048194E" w:rsidP="0048194E">
      <w:pPr>
        <w:rPr>
          <w:b/>
          <w:szCs w:val="20"/>
          <w:u w:val="single"/>
        </w:rPr>
      </w:pPr>
      <w:r w:rsidRPr="0048194E">
        <w:rPr>
          <w:szCs w:val="20"/>
        </w:rPr>
        <w:tab/>
      </w:r>
      <w:r w:rsidRPr="0048194E">
        <w:rPr>
          <w:szCs w:val="20"/>
        </w:rPr>
        <w:tab/>
      </w:r>
      <w:r w:rsidRPr="0048194E">
        <w:rPr>
          <w:szCs w:val="20"/>
        </w:rPr>
        <w:tab/>
        <w:t xml:space="preserve">             </w:t>
      </w:r>
      <w:r w:rsidRPr="0048194E">
        <w:rPr>
          <w:b/>
          <w:szCs w:val="20"/>
          <w:u w:val="single"/>
        </w:rPr>
        <w:t xml:space="preserve">Personality Inventory </w:t>
      </w:r>
    </w:p>
    <w:p w14:paraId="56D9746B" w14:textId="77777777" w:rsidR="0048194E" w:rsidRPr="0048194E" w:rsidRDefault="0048194E" w:rsidP="0048194E">
      <w:pPr>
        <w:rPr>
          <w:b/>
          <w:szCs w:val="20"/>
          <w:u w:val="single"/>
        </w:rPr>
      </w:pPr>
    </w:p>
    <w:p w14:paraId="6F5423B4" w14:textId="77777777" w:rsidR="0048194E" w:rsidRPr="0048194E" w:rsidRDefault="0048194E" w:rsidP="0048194E">
      <w:pPr>
        <w:rPr>
          <w:szCs w:val="20"/>
        </w:rPr>
      </w:pPr>
      <w:r w:rsidRPr="0048194E">
        <w:rPr>
          <w:szCs w:val="20"/>
        </w:rPr>
        <w:t xml:space="preserve">Please answer each question by circling either “Y” for yes or “No” following the question. There are no right or wrong answers, and no trick questions. Work quickly and do not think too long about the exact meaning </w:t>
      </w:r>
      <w:proofErr w:type="gramStart"/>
      <w:r w:rsidRPr="0048194E">
        <w:rPr>
          <w:szCs w:val="20"/>
        </w:rPr>
        <w:t>of  the</w:t>
      </w:r>
      <w:proofErr w:type="gramEnd"/>
      <w:r w:rsidRPr="0048194E">
        <w:rPr>
          <w:szCs w:val="20"/>
        </w:rPr>
        <w:t xml:space="preserve"> question.</w:t>
      </w:r>
    </w:p>
    <w:p w14:paraId="09EAB3BE" w14:textId="77777777" w:rsidR="0048194E" w:rsidRPr="0048194E" w:rsidRDefault="0048194E" w:rsidP="0048194E">
      <w:pPr>
        <w:rPr>
          <w:szCs w:val="20"/>
        </w:rPr>
      </w:pPr>
    </w:p>
    <w:p w14:paraId="0BFE438A" w14:textId="77777777" w:rsidR="0048194E" w:rsidRPr="0048194E" w:rsidRDefault="0048194E" w:rsidP="0048194E">
      <w:pPr>
        <w:numPr>
          <w:ilvl w:val="0"/>
          <w:numId w:val="8"/>
        </w:numPr>
        <w:spacing w:line="360" w:lineRule="auto"/>
        <w:rPr>
          <w:szCs w:val="20"/>
        </w:rPr>
      </w:pPr>
      <w:r w:rsidRPr="0048194E">
        <w:rPr>
          <w:szCs w:val="20"/>
        </w:rPr>
        <w:t>Does your mood often go up or down? Y or N</w:t>
      </w:r>
    </w:p>
    <w:p w14:paraId="3471AB7F" w14:textId="77777777" w:rsidR="0048194E" w:rsidRPr="0048194E" w:rsidRDefault="0048194E" w:rsidP="0048194E">
      <w:pPr>
        <w:numPr>
          <w:ilvl w:val="0"/>
          <w:numId w:val="8"/>
        </w:numPr>
        <w:spacing w:line="360" w:lineRule="auto"/>
        <w:rPr>
          <w:szCs w:val="20"/>
        </w:rPr>
      </w:pPr>
      <w:r w:rsidRPr="0048194E">
        <w:rPr>
          <w:szCs w:val="20"/>
        </w:rPr>
        <w:t>Do you ever feel “just miserable” for no reason? Y or N</w:t>
      </w:r>
    </w:p>
    <w:p w14:paraId="07CD00FB" w14:textId="77777777" w:rsidR="0048194E" w:rsidRPr="0048194E" w:rsidRDefault="0048194E" w:rsidP="0048194E">
      <w:pPr>
        <w:numPr>
          <w:ilvl w:val="0"/>
          <w:numId w:val="8"/>
        </w:numPr>
        <w:spacing w:line="360" w:lineRule="auto"/>
        <w:rPr>
          <w:szCs w:val="20"/>
        </w:rPr>
      </w:pPr>
      <w:r w:rsidRPr="0048194E">
        <w:rPr>
          <w:szCs w:val="20"/>
        </w:rPr>
        <w:t>Do you often worry about things you should not have done or said? Y or N</w:t>
      </w:r>
    </w:p>
    <w:p w14:paraId="5EAB487E" w14:textId="77777777" w:rsidR="0048194E" w:rsidRPr="0048194E" w:rsidRDefault="0048194E" w:rsidP="0048194E">
      <w:pPr>
        <w:numPr>
          <w:ilvl w:val="0"/>
          <w:numId w:val="8"/>
        </w:numPr>
        <w:spacing w:line="360" w:lineRule="auto"/>
        <w:rPr>
          <w:szCs w:val="20"/>
        </w:rPr>
      </w:pPr>
      <w:r w:rsidRPr="0048194E">
        <w:rPr>
          <w:szCs w:val="20"/>
        </w:rPr>
        <w:t>Are you an irritable person? Y or N</w:t>
      </w:r>
    </w:p>
    <w:p w14:paraId="6C08E329" w14:textId="77777777" w:rsidR="0048194E" w:rsidRPr="0048194E" w:rsidRDefault="0048194E" w:rsidP="0048194E">
      <w:pPr>
        <w:numPr>
          <w:ilvl w:val="0"/>
          <w:numId w:val="8"/>
        </w:numPr>
        <w:spacing w:line="360" w:lineRule="auto"/>
        <w:rPr>
          <w:szCs w:val="20"/>
        </w:rPr>
      </w:pPr>
      <w:r w:rsidRPr="0048194E">
        <w:rPr>
          <w:szCs w:val="20"/>
        </w:rPr>
        <w:t>Are your feelings easily hurt? Y or N</w:t>
      </w:r>
    </w:p>
    <w:p w14:paraId="2BFF907C" w14:textId="77777777" w:rsidR="0048194E" w:rsidRPr="0048194E" w:rsidRDefault="0048194E" w:rsidP="0048194E">
      <w:pPr>
        <w:numPr>
          <w:ilvl w:val="0"/>
          <w:numId w:val="8"/>
        </w:numPr>
        <w:spacing w:line="360" w:lineRule="auto"/>
        <w:rPr>
          <w:szCs w:val="20"/>
        </w:rPr>
      </w:pPr>
      <w:r w:rsidRPr="0048194E">
        <w:rPr>
          <w:szCs w:val="20"/>
        </w:rPr>
        <w:t>Do you often feel fed up? Y or N</w:t>
      </w:r>
    </w:p>
    <w:p w14:paraId="0656B0CE" w14:textId="77777777" w:rsidR="0048194E" w:rsidRPr="0048194E" w:rsidRDefault="0048194E" w:rsidP="0048194E">
      <w:pPr>
        <w:numPr>
          <w:ilvl w:val="0"/>
          <w:numId w:val="8"/>
        </w:numPr>
        <w:spacing w:line="360" w:lineRule="auto"/>
        <w:rPr>
          <w:szCs w:val="20"/>
        </w:rPr>
      </w:pPr>
      <w:r w:rsidRPr="0048194E">
        <w:rPr>
          <w:szCs w:val="20"/>
        </w:rPr>
        <w:t>Are you often troubled about feelings of guilt? Y or N</w:t>
      </w:r>
    </w:p>
    <w:p w14:paraId="46C97473" w14:textId="77777777" w:rsidR="0048194E" w:rsidRPr="0048194E" w:rsidRDefault="0048194E" w:rsidP="0048194E">
      <w:pPr>
        <w:numPr>
          <w:ilvl w:val="0"/>
          <w:numId w:val="8"/>
        </w:numPr>
        <w:spacing w:line="360" w:lineRule="auto"/>
        <w:rPr>
          <w:szCs w:val="20"/>
        </w:rPr>
      </w:pPr>
      <w:r w:rsidRPr="0048194E">
        <w:rPr>
          <w:szCs w:val="20"/>
        </w:rPr>
        <w:t>Would you call yourself a nervous person? Y or N</w:t>
      </w:r>
    </w:p>
    <w:p w14:paraId="398540A9" w14:textId="77777777" w:rsidR="0048194E" w:rsidRPr="0048194E" w:rsidRDefault="0048194E" w:rsidP="0048194E">
      <w:pPr>
        <w:numPr>
          <w:ilvl w:val="0"/>
          <w:numId w:val="8"/>
        </w:numPr>
        <w:spacing w:line="360" w:lineRule="auto"/>
        <w:rPr>
          <w:szCs w:val="20"/>
        </w:rPr>
      </w:pPr>
      <w:r w:rsidRPr="0048194E">
        <w:rPr>
          <w:szCs w:val="20"/>
        </w:rPr>
        <w:t>Are you a worrier? Y or N</w:t>
      </w:r>
    </w:p>
    <w:p w14:paraId="480E67EA" w14:textId="77777777" w:rsidR="0048194E" w:rsidRPr="0048194E" w:rsidRDefault="0048194E" w:rsidP="0048194E">
      <w:pPr>
        <w:numPr>
          <w:ilvl w:val="0"/>
          <w:numId w:val="8"/>
        </w:numPr>
        <w:spacing w:line="360" w:lineRule="auto"/>
        <w:rPr>
          <w:szCs w:val="20"/>
        </w:rPr>
      </w:pPr>
      <w:r w:rsidRPr="0048194E">
        <w:rPr>
          <w:szCs w:val="20"/>
        </w:rPr>
        <w:t>Do you worry about awful things that might happen? Y or N</w:t>
      </w:r>
    </w:p>
    <w:p w14:paraId="6BB551A6" w14:textId="77777777" w:rsidR="0048194E" w:rsidRPr="0048194E" w:rsidRDefault="0048194E" w:rsidP="0048194E">
      <w:pPr>
        <w:numPr>
          <w:ilvl w:val="0"/>
          <w:numId w:val="8"/>
        </w:numPr>
        <w:spacing w:line="360" w:lineRule="auto"/>
        <w:rPr>
          <w:szCs w:val="20"/>
        </w:rPr>
      </w:pPr>
      <w:r w:rsidRPr="0048194E">
        <w:rPr>
          <w:szCs w:val="20"/>
        </w:rPr>
        <w:t>Would you call yourself tense or “high strung”? Y or N</w:t>
      </w:r>
    </w:p>
    <w:p w14:paraId="260A3EBF" w14:textId="77777777" w:rsidR="0048194E" w:rsidRPr="0048194E" w:rsidRDefault="0048194E" w:rsidP="0048194E">
      <w:pPr>
        <w:numPr>
          <w:ilvl w:val="0"/>
          <w:numId w:val="8"/>
        </w:numPr>
        <w:spacing w:line="360" w:lineRule="auto"/>
        <w:rPr>
          <w:szCs w:val="20"/>
        </w:rPr>
      </w:pPr>
      <w:r w:rsidRPr="0048194E">
        <w:rPr>
          <w:szCs w:val="20"/>
        </w:rPr>
        <w:t>Do you worry about your health? Y or N</w:t>
      </w:r>
    </w:p>
    <w:p w14:paraId="7215FF86" w14:textId="77777777" w:rsidR="0048194E" w:rsidRPr="0048194E" w:rsidRDefault="0048194E" w:rsidP="0048194E">
      <w:pPr>
        <w:numPr>
          <w:ilvl w:val="0"/>
          <w:numId w:val="8"/>
        </w:numPr>
        <w:spacing w:line="360" w:lineRule="auto"/>
        <w:rPr>
          <w:szCs w:val="20"/>
        </w:rPr>
      </w:pPr>
      <w:r w:rsidRPr="0048194E">
        <w:rPr>
          <w:szCs w:val="20"/>
        </w:rPr>
        <w:t>Do you suffer from sleeplessness? Y or N</w:t>
      </w:r>
    </w:p>
    <w:p w14:paraId="50F8A539" w14:textId="77777777" w:rsidR="0048194E" w:rsidRPr="0048194E" w:rsidRDefault="0048194E" w:rsidP="0048194E">
      <w:pPr>
        <w:numPr>
          <w:ilvl w:val="0"/>
          <w:numId w:val="8"/>
        </w:numPr>
        <w:spacing w:line="360" w:lineRule="auto"/>
        <w:rPr>
          <w:szCs w:val="20"/>
        </w:rPr>
      </w:pPr>
      <w:r w:rsidRPr="0048194E">
        <w:rPr>
          <w:szCs w:val="20"/>
        </w:rPr>
        <w:t>Have you often felt listless and tired for no reason? Y or N</w:t>
      </w:r>
    </w:p>
    <w:p w14:paraId="6DE76B1F" w14:textId="77777777" w:rsidR="0048194E" w:rsidRPr="0048194E" w:rsidRDefault="0048194E" w:rsidP="0048194E">
      <w:pPr>
        <w:numPr>
          <w:ilvl w:val="0"/>
          <w:numId w:val="8"/>
        </w:numPr>
        <w:spacing w:line="360" w:lineRule="auto"/>
        <w:rPr>
          <w:szCs w:val="20"/>
        </w:rPr>
      </w:pPr>
      <w:r w:rsidRPr="0048194E">
        <w:rPr>
          <w:szCs w:val="20"/>
        </w:rPr>
        <w:t xml:space="preserve"> Do you often fell life is very dull? Y or N</w:t>
      </w:r>
    </w:p>
    <w:p w14:paraId="62058849" w14:textId="77777777" w:rsidR="0048194E" w:rsidRPr="0048194E" w:rsidRDefault="0048194E" w:rsidP="0048194E">
      <w:pPr>
        <w:numPr>
          <w:ilvl w:val="0"/>
          <w:numId w:val="8"/>
        </w:numPr>
        <w:spacing w:line="360" w:lineRule="auto"/>
        <w:rPr>
          <w:szCs w:val="20"/>
        </w:rPr>
      </w:pPr>
      <w:r w:rsidRPr="0048194E">
        <w:rPr>
          <w:szCs w:val="20"/>
        </w:rPr>
        <w:t>Do you worry a lot about your looks? Y or N</w:t>
      </w:r>
    </w:p>
    <w:p w14:paraId="094A3476" w14:textId="77777777" w:rsidR="0048194E" w:rsidRPr="0048194E" w:rsidRDefault="0048194E" w:rsidP="0048194E">
      <w:pPr>
        <w:numPr>
          <w:ilvl w:val="0"/>
          <w:numId w:val="8"/>
        </w:numPr>
        <w:spacing w:line="360" w:lineRule="auto"/>
        <w:rPr>
          <w:szCs w:val="20"/>
        </w:rPr>
      </w:pPr>
      <w:r w:rsidRPr="0048194E">
        <w:rPr>
          <w:szCs w:val="20"/>
        </w:rPr>
        <w:t>Have you ever wished that you were dead? Y or N</w:t>
      </w:r>
    </w:p>
    <w:p w14:paraId="7ECB4178" w14:textId="77777777" w:rsidR="0048194E" w:rsidRPr="0048194E" w:rsidRDefault="0048194E" w:rsidP="0048194E">
      <w:pPr>
        <w:numPr>
          <w:ilvl w:val="0"/>
          <w:numId w:val="8"/>
        </w:numPr>
        <w:spacing w:line="360" w:lineRule="auto"/>
        <w:rPr>
          <w:szCs w:val="20"/>
        </w:rPr>
      </w:pPr>
      <w:r w:rsidRPr="0048194E">
        <w:rPr>
          <w:szCs w:val="20"/>
        </w:rPr>
        <w:t>Do you worry too long after an embarrassing experience? Y or N</w:t>
      </w:r>
    </w:p>
    <w:p w14:paraId="569B980C" w14:textId="77777777" w:rsidR="0048194E" w:rsidRPr="0048194E" w:rsidRDefault="0048194E" w:rsidP="0048194E">
      <w:pPr>
        <w:numPr>
          <w:ilvl w:val="0"/>
          <w:numId w:val="8"/>
        </w:numPr>
        <w:spacing w:line="360" w:lineRule="auto"/>
        <w:rPr>
          <w:szCs w:val="20"/>
        </w:rPr>
      </w:pPr>
      <w:r w:rsidRPr="0048194E">
        <w:rPr>
          <w:szCs w:val="20"/>
        </w:rPr>
        <w:t>Do you suffer from nerves? Y or N</w:t>
      </w:r>
    </w:p>
    <w:p w14:paraId="2A24DD27" w14:textId="77777777" w:rsidR="0048194E" w:rsidRPr="0048194E" w:rsidRDefault="0048194E" w:rsidP="0048194E">
      <w:pPr>
        <w:numPr>
          <w:ilvl w:val="0"/>
          <w:numId w:val="8"/>
        </w:numPr>
        <w:spacing w:line="360" w:lineRule="auto"/>
        <w:rPr>
          <w:szCs w:val="20"/>
        </w:rPr>
      </w:pPr>
      <w:r w:rsidRPr="0048194E">
        <w:rPr>
          <w:szCs w:val="20"/>
        </w:rPr>
        <w:t>Do you often feel lonely? Y or N</w:t>
      </w:r>
    </w:p>
    <w:p w14:paraId="6344DE02" w14:textId="77777777" w:rsidR="0048194E" w:rsidRPr="0048194E" w:rsidRDefault="0048194E" w:rsidP="0048194E">
      <w:pPr>
        <w:numPr>
          <w:ilvl w:val="0"/>
          <w:numId w:val="8"/>
        </w:numPr>
        <w:spacing w:line="360" w:lineRule="auto"/>
        <w:rPr>
          <w:szCs w:val="20"/>
        </w:rPr>
      </w:pPr>
      <w:r w:rsidRPr="0048194E">
        <w:rPr>
          <w:szCs w:val="20"/>
        </w:rPr>
        <w:t>Are you easily hurt when people find fault with you or the work you do? Y or N</w:t>
      </w:r>
    </w:p>
    <w:p w14:paraId="6405DF72" w14:textId="77777777" w:rsidR="0048194E" w:rsidRPr="0048194E" w:rsidRDefault="0048194E" w:rsidP="0048194E">
      <w:pPr>
        <w:numPr>
          <w:ilvl w:val="0"/>
          <w:numId w:val="8"/>
        </w:numPr>
        <w:spacing w:line="360" w:lineRule="auto"/>
        <w:rPr>
          <w:szCs w:val="20"/>
        </w:rPr>
      </w:pPr>
      <w:r w:rsidRPr="0048194E">
        <w:rPr>
          <w:szCs w:val="20"/>
        </w:rPr>
        <w:t>Are you sometimes bubbling over with energy and sometimes very sluggish? Y or N</w:t>
      </w:r>
    </w:p>
    <w:p w14:paraId="1C666229" w14:textId="3B4608AA" w:rsidR="0048194E" w:rsidRPr="00D955DD" w:rsidRDefault="0048194E" w:rsidP="00D955DD">
      <w:pPr>
        <w:numPr>
          <w:ilvl w:val="0"/>
          <w:numId w:val="8"/>
        </w:numPr>
        <w:spacing w:line="360" w:lineRule="auto"/>
        <w:rPr>
          <w:szCs w:val="20"/>
        </w:rPr>
      </w:pPr>
      <w:r w:rsidRPr="0048194E">
        <w:rPr>
          <w:szCs w:val="20"/>
        </w:rPr>
        <w:t xml:space="preserve">Are you touchy about things? Y or N </w:t>
      </w:r>
    </w:p>
    <w:p w14:paraId="2C3D5EB4" w14:textId="01F83045" w:rsidR="0048194E" w:rsidRDefault="0048194E" w:rsidP="00D955DD">
      <w:pPr>
        <w:jc w:val="center"/>
        <w:rPr>
          <w:b/>
          <w:bCs/>
        </w:rPr>
      </w:pPr>
      <w:r>
        <w:rPr>
          <w:b/>
          <w:bCs/>
        </w:rPr>
        <w:lastRenderedPageBreak/>
        <w:t xml:space="preserve">Appendix </w:t>
      </w:r>
      <w:r w:rsidR="00A32296">
        <w:rPr>
          <w:b/>
          <w:bCs/>
        </w:rPr>
        <w:t>C</w:t>
      </w:r>
      <w:r>
        <w:rPr>
          <w:b/>
          <w:bCs/>
        </w:rPr>
        <w:t>: Adult Attachment Inventory</w:t>
      </w:r>
    </w:p>
    <w:p w14:paraId="7AA1D994" w14:textId="2E24EC7E" w:rsidR="0048194E" w:rsidRDefault="0048194E" w:rsidP="00A960F5">
      <w:pPr>
        <w:jc w:val="center"/>
        <w:rPr>
          <w:b/>
          <w:bCs/>
        </w:rPr>
      </w:pPr>
    </w:p>
    <w:p w14:paraId="72DB9B33" w14:textId="77777777" w:rsidR="0048194E" w:rsidRDefault="0048194E" w:rsidP="0048194E">
      <w:pPr>
        <w:spacing w:line="360" w:lineRule="auto"/>
      </w:pPr>
      <w:r>
        <w:t>Which of these best describes you feeling? (</w:t>
      </w:r>
      <w:proofErr w:type="gramStart"/>
      <w:r>
        <w:t>check</w:t>
      </w:r>
      <w:proofErr w:type="gramEnd"/>
      <w:r>
        <w:t xml:space="preserve"> one):</w:t>
      </w:r>
    </w:p>
    <w:p w14:paraId="6DDDEE1C" w14:textId="77777777" w:rsidR="0048194E" w:rsidRDefault="0048194E" w:rsidP="0048194E">
      <w:pPr>
        <w:spacing w:line="360" w:lineRule="auto"/>
      </w:pPr>
    </w:p>
    <w:p w14:paraId="7604884D" w14:textId="77777777" w:rsidR="0048194E" w:rsidRDefault="0048194E" w:rsidP="0048194E">
      <w:pPr>
        <w:spacing w:line="360" w:lineRule="auto"/>
      </w:pPr>
      <w:r>
        <w:t>______ I find it relatively easy to get close to others and am comfortable depending on them and having them depend on me. I don’t worry about being abandoned or about someone getting close to me.</w:t>
      </w:r>
    </w:p>
    <w:p w14:paraId="26EDF3FA" w14:textId="77777777" w:rsidR="0048194E" w:rsidRDefault="0048194E" w:rsidP="0048194E">
      <w:pPr>
        <w:spacing w:line="360" w:lineRule="auto"/>
      </w:pPr>
    </w:p>
    <w:p w14:paraId="11B576FE" w14:textId="77777777" w:rsidR="0048194E" w:rsidRDefault="0048194E" w:rsidP="0048194E">
      <w:pPr>
        <w:spacing w:line="360" w:lineRule="auto"/>
      </w:pPr>
      <w:r>
        <w:t>______ I am somewhat uncomfortable being close to others; I find it difficult to trust them completely and difficult to allow myself to depend on them. I am nervous when anyone gets too close, and often, love partners want to be more intimate than I feel comfortable being.</w:t>
      </w:r>
    </w:p>
    <w:p w14:paraId="79A2B873" w14:textId="77777777" w:rsidR="0048194E" w:rsidRDefault="0048194E" w:rsidP="0048194E">
      <w:pPr>
        <w:spacing w:line="360" w:lineRule="auto"/>
      </w:pPr>
    </w:p>
    <w:p w14:paraId="728B0D3C" w14:textId="77777777" w:rsidR="0048194E" w:rsidRDefault="0048194E" w:rsidP="0048194E">
      <w:pPr>
        <w:spacing w:line="360" w:lineRule="auto"/>
      </w:pPr>
      <w:r>
        <w:t>______ I find that others are reluctant to get as close as I would often like. I often worry that my partner doesn’t really love me or won’t stay with me. I want to merge completely with another person, and this desire sometimes scares people away.</w:t>
      </w:r>
    </w:p>
    <w:p w14:paraId="59915CA3" w14:textId="77777777" w:rsidR="0048194E" w:rsidRDefault="0048194E" w:rsidP="00A960F5">
      <w:pPr>
        <w:jc w:val="center"/>
        <w:rPr>
          <w:b/>
          <w:bCs/>
        </w:rPr>
      </w:pPr>
    </w:p>
    <w:p w14:paraId="46CAC1E4" w14:textId="7166F41F" w:rsidR="00B41041" w:rsidRDefault="0048194E" w:rsidP="005F50A5">
      <w:pPr>
        <w:rPr>
          <w:b/>
          <w:bCs/>
        </w:rPr>
      </w:pPr>
      <w:r>
        <w:rPr>
          <w:b/>
          <w:bCs/>
        </w:rPr>
        <w:br w:type="page"/>
      </w:r>
    </w:p>
    <w:p w14:paraId="68009F2F" w14:textId="15B04BDD" w:rsidR="00B41041" w:rsidRDefault="00B41041">
      <w:pPr>
        <w:rPr>
          <w:b/>
          <w:bCs/>
        </w:rPr>
      </w:pPr>
    </w:p>
    <w:p w14:paraId="6D0FD5C0" w14:textId="70731279" w:rsidR="00A960F5" w:rsidRPr="00A960F5" w:rsidRDefault="00B41041" w:rsidP="00A960F5">
      <w:pPr>
        <w:jc w:val="center"/>
        <w:rPr>
          <w:b/>
          <w:bCs/>
        </w:rPr>
      </w:pPr>
      <w:r>
        <w:rPr>
          <w:b/>
          <w:bCs/>
        </w:rPr>
        <w:t xml:space="preserve">Appendix </w:t>
      </w:r>
      <w:r w:rsidR="00A32296">
        <w:rPr>
          <w:b/>
          <w:bCs/>
        </w:rPr>
        <w:t>D</w:t>
      </w:r>
      <w:r>
        <w:rPr>
          <w:b/>
          <w:bCs/>
        </w:rPr>
        <w:t xml:space="preserve">: </w:t>
      </w:r>
      <w:r w:rsidR="00106D00">
        <w:rPr>
          <w:b/>
          <w:bCs/>
        </w:rPr>
        <w:t>PANAS-X</w:t>
      </w:r>
    </w:p>
    <w:p w14:paraId="01D26990" w14:textId="7613F8A5" w:rsidR="00EC0D2A" w:rsidRDefault="00EC0D2A" w:rsidP="00ED1DC7">
      <w:pPr>
        <w:jc w:val="center"/>
        <w:rPr>
          <w:b/>
          <w:bCs/>
        </w:rPr>
      </w:pPr>
    </w:p>
    <w:p w14:paraId="0D38984D" w14:textId="77777777" w:rsidR="00106D00" w:rsidRPr="00B41041" w:rsidRDefault="00106D00" w:rsidP="00106D00">
      <w:pPr>
        <w:spacing w:line="360" w:lineRule="auto"/>
        <w:rPr>
          <w:szCs w:val="20"/>
        </w:rPr>
      </w:pPr>
      <w:r w:rsidRPr="00B41041">
        <w:rPr>
          <w:szCs w:val="20"/>
        </w:rPr>
        <w:t xml:space="preserve">This scale consists of a number of words and phrases that describe different feelings and emotions. Read each item and then mark the appropriate answer in the space next to that word. Indicate </w:t>
      </w:r>
      <w:r w:rsidRPr="00B41041">
        <w:rPr>
          <w:b/>
          <w:szCs w:val="20"/>
          <w:u w:val="single"/>
        </w:rPr>
        <w:t>to what extent you feel this way right now</w:t>
      </w:r>
      <w:r w:rsidRPr="00B41041">
        <w:rPr>
          <w:szCs w:val="20"/>
        </w:rPr>
        <w:t>. Use the following scale to record your answers.</w:t>
      </w:r>
    </w:p>
    <w:p w14:paraId="4F377FF0" w14:textId="77777777" w:rsidR="00106D00" w:rsidRPr="00B41041" w:rsidRDefault="00106D00" w:rsidP="00106D00">
      <w:pPr>
        <w:spacing w:line="360" w:lineRule="auto"/>
        <w:rPr>
          <w:szCs w:val="20"/>
        </w:rPr>
      </w:pPr>
      <w:r w:rsidRPr="00B41041">
        <w:rPr>
          <w:szCs w:val="20"/>
        </w:rPr>
        <w:tab/>
        <w:t>1</w:t>
      </w:r>
      <w:r w:rsidRPr="00B41041">
        <w:rPr>
          <w:szCs w:val="20"/>
        </w:rPr>
        <w:tab/>
      </w:r>
      <w:proofErr w:type="gramStart"/>
      <w:r w:rsidRPr="00B41041">
        <w:rPr>
          <w:szCs w:val="20"/>
        </w:rPr>
        <w:tab/>
        <w:t xml:space="preserve">  2</w:t>
      </w:r>
      <w:proofErr w:type="gramEnd"/>
      <w:r w:rsidRPr="00B41041">
        <w:rPr>
          <w:szCs w:val="20"/>
        </w:rPr>
        <w:tab/>
      </w:r>
      <w:r w:rsidRPr="00B41041">
        <w:rPr>
          <w:szCs w:val="20"/>
        </w:rPr>
        <w:tab/>
        <w:t xml:space="preserve">    3</w:t>
      </w:r>
      <w:r w:rsidRPr="00B41041">
        <w:rPr>
          <w:szCs w:val="20"/>
        </w:rPr>
        <w:tab/>
      </w:r>
      <w:r w:rsidRPr="00B41041">
        <w:rPr>
          <w:szCs w:val="20"/>
        </w:rPr>
        <w:tab/>
        <w:t xml:space="preserve">      4</w:t>
      </w:r>
      <w:r w:rsidRPr="00B41041">
        <w:rPr>
          <w:szCs w:val="20"/>
        </w:rPr>
        <w:tab/>
      </w:r>
      <w:r w:rsidRPr="00B41041">
        <w:rPr>
          <w:szCs w:val="20"/>
        </w:rPr>
        <w:tab/>
        <w:t xml:space="preserve">        5</w:t>
      </w:r>
    </w:p>
    <w:p w14:paraId="1F33FC59" w14:textId="77777777" w:rsidR="00106D00" w:rsidRPr="00B41041" w:rsidRDefault="00106D00" w:rsidP="00106D00">
      <w:pPr>
        <w:spacing w:line="360" w:lineRule="auto"/>
        <w:rPr>
          <w:szCs w:val="20"/>
        </w:rPr>
      </w:pPr>
      <w:r w:rsidRPr="00B41041">
        <w:rPr>
          <w:szCs w:val="20"/>
        </w:rPr>
        <w:t>very slightly             a little             moderately        quite a bit           extremely</w:t>
      </w:r>
    </w:p>
    <w:p w14:paraId="286493DD" w14:textId="77777777" w:rsidR="00106D00" w:rsidRPr="00B41041" w:rsidRDefault="00106D00" w:rsidP="00106D00">
      <w:pPr>
        <w:spacing w:line="360" w:lineRule="auto"/>
        <w:rPr>
          <w:szCs w:val="20"/>
        </w:rPr>
      </w:pPr>
      <w:r w:rsidRPr="00B41041">
        <w:rPr>
          <w:szCs w:val="20"/>
        </w:rPr>
        <w:t>or not at all</w:t>
      </w:r>
    </w:p>
    <w:p w14:paraId="35893B3C" w14:textId="77777777" w:rsidR="00106D00" w:rsidRPr="00B41041" w:rsidRDefault="00106D00" w:rsidP="00106D00">
      <w:pPr>
        <w:spacing w:line="360" w:lineRule="auto"/>
        <w:rPr>
          <w:szCs w:val="20"/>
        </w:rPr>
      </w:pPr>
    </w:p>
    <w:p w14:paraId="6CB23E3E" w14:textId="77777777" w:rsidR="00106D00" w:rsidRPr="00B41041" w:rsidRDefault="00106D00" w:rsidP="00106D00">
      <w:pPr>
        <w:spacing w:line="360" w:lineRule="auto"/>
        <w:rPr>
          <w:szCs w:val="20"/>
        </w:rPr>
      </w:pPr>
      <w:r w:rsidRPr="00B41041">
        <w:rPr>
          <w:szCs w:val="20"/>
        </w:rPr>
        <w:t>____ cheerful               ____ sad                 ____ active           ____angry at self</w:t>
      </w:r>
    </w:p>
    <w:p w14:paraId="0D0ABB60" w14:textId="77777777" w:rsidR="00106D00" w:rsidRPr="00B41041" w:rsidRDefault="00106D00" w:rsidP="00106D00">
      <w:pPr>
        <w:spacing w:line="360" w:lineRule="auto"/>
        <w:rPr>
          <w:szCs w:val="20"/>
        </w:rPr>
      </w:pPr>
      <w:r w:rsidRPr="00B41041">
        <w:rPr>
          <w:szCs w:val="20"/>
        </w:rPr>
        <w:t>____ disgusted</w:t>
      </w:r>
      <w:r w:rsidRPr="00B41041">
        <w:rPr>
          <w:szCs w:val="20"/>
        </w:rPr>
        <w:tab/>
        <w:t xml:space="preserve"> ____ calm </w:t>
      </w:r>
      <w:r w:rsidRPr="00B41041">
        <w:rPr>
          <w:szCs w:val="20"/>
        </w:rPr>
        <w:tab/>
        <w:t xml:space="preserve">        ____ guilty</w:t>
      </w:r>
      <w:proofErr w:type="gramStart"/>
      <w:r w:rsidRPr="00B41041">
        <w:rPr>
          <w:szCs w:val="20"/>
        </w:rPr>
        <w:tab/>
        <w:t xml:space="preserve">  _</w:t>
      </w:r>
      <w:proofErr w:type="gramEnd"/>
      <w:r w:rsidRPr="00B41041">
        <w:rPr>
          <w:szCs w:val="20"/>
        </w:rPr>
        <w:t>___ enthusiastic</w:t>
      </w:r>
    </w:p>
    <w:p w14:paraId="6FC3063F" w14:textId="77777777" w:rsidR="00106D00" w:rsidRPr="00B41041" w:rsidRDefault="00106D00" w:rsidP="00106D00">
      <w:pPr>
        <w:spacing w:line="360" w:lineRule="auto"/>
        <w:rPr>
          <w:szCs w:val="20"/>
        </w:rPr>
      </w:pPr>
      <w:r w:rsidRPr="00B41041">
        <w:rPr>
          <w:szCs w:val="20"/>
        </w:rPr>
        <w:t xml:space="preserve">____ attentive </w:t>
      </w:r>
      <w:r w:rsidRPr="00B41041">
        <w:rPr>
          <w:szCs w:val="20"/>
        </w:rPr>
        <w:tab/>
      </w:r>
      <w:r w:rsidRPr="00B41041">
        <w:rPr>
          <w:szCs w:val="20"/>
        </w:rPr>
        <w:tab/>
        <w:t xml:space="preserve"> ____ afraid</w:t>
      </w:r>
      <w:r w:rsidRPr="00B41041">
        <w:rPr>
          <w:szCs w:val="20"/>
        </w:rPr>
        <w:tab/>
        <w:t xml:space="preserve">        ____ joyful</w:t>
      </w:r>
      <w:proofErr w:type="gramStart"/>
      <w:r w:rsidRPr="00B41041">
        <w:rPr>
          <w:szCs w:val="20"/>
        </w:rPr>
        <w:tab/>
        <w:t xml:space="preserve">  _</w:t>
      </w:r>
      <w:proofErr w:type="gramEnd"/>
      <w:r w:rsidRPr="00B41041">
        <w:rPr>
          <w:szCs w:val="20"/>
        </w:rPr>
        <w:t>___ downhearted</w:t>
      </w:r>
    </w:p>
    <w:p w14:paraId="27D39DD1" w14:textId="77777777" w:rsidR="00106D00" w:rsidRPr="00B41041" w:rsidRDefault="00106D00" w:rsidP="00106D00">
      <w:pPr>
        <w:spacing w:line="360" w:lineRule="auto"/>
        <w:rPr>
          <w:szCs w:val="20"/>
        </w:rPr>
      </w:pPr>
      <w:r w:rsidRPr="00B41041">
        <w:rPr>
          <w:szCs w:val="20"/>
        </w:rPr>
        <w:t>____ bashful</w:t>
      </w:r>
      <w:r w:rsidRPr="00B41041">
        <w:rPr>
          <w:szCs w:val="20"/>
        </w:rPr>
        <w:tab/>
      </w:r>
      <w:r w:rsidRPr="00B41041">
        <w:rPr>
          <w:szCs w:val="20"/>
        </w:rPr>
        <w:tab/>
        <w:t xml:space="preserve"> ____ tired</w:t>
      </w:r>
      <w:r w:rsidRPr="00B41041">
        <w:rPr>
          <w:szCs w:val="20"/>
        </w:rPr>
        <w:tab/>
        <w:t xml:space="preserve">        ____ </w:t>
      </w:r>
      <w:proofErr w:type="gramStart"/>
      <w:r w:rsidRPr="00B41041">
        <w:rPr>
          <w:szCs w:val="20"/>
        </w:rPr>
        <w:t xml:space="preserve">nervous  </w:t>
      </w:r>
      <w:r w:rsidRPr="00B41041">
        <w:rPr>
          <w:szCs w:val="20"/>
        </w:rPr>
        <w:tab/>
      </w:r>
      <w:proofErr w:type="gramEnd"/>
      <w:r w:rsidRPr="00B41041">
        <w:rPr>
          <w:szCs w:val="20"/>
        </w:rPr>
        <w:t xml:space="preserve">  ____ sheepish</w:t>
      </w:r>
    </w:p>
    <w:p w14:paraId="7C5A295F" w14:textId="77777777" w:rsidR="00106D00" w:rsidRPr="00B41041" w:rsidRDefault="00106D00" w:rsidP="00106D00">
      <w:pPr>
        <w:spacing w:line="360" w:lineRule="auto"/>
        <w:rPr>
          <w:szCs w:val="20"/>
        </w:rPr>
      </w:pPr>
      <w:r w:rsidRPr="00B41041">
        <w:rPr>
          <w:szCs w:val="20"/>
        </w:rPr>
        <w:t>____ sluggish</w:t>
      </w:r>
      <w:r w:rsidRPr="00B41041">
        <w:rPr>
          <w:szCs w:val="20"/>
        </w:rPr>
        <w:tab/>
      </w:r>
      <w:r w:rsidRPr="00B41041">
        <w:rPr>
          <w:szCs w:val="20"/>
        </w:rPr>
        <w:tab/>
        <w:t xml:space="preserve"> ____ amazed</w:t>
      </w:r>
      <w:r w:rsidRPr="00B41041">
        <w:rPr>
          <w:szCs w:val="20"/>
        </w:rPr>
        <w:tab/>
        <w:t xml:space="preserve">        ____ lonely</w:t>
      </w:r>
      <w:proofErr w:type="gramStart"/>
      <w:r w:rsidRPr="00B41041">
        <w:rPr>
          <w:szCs w:val="20"/>
        </w:rPr>
        <w:tab/>
        <w:t xml:space="preserve">  _</w:t>
      </w:r>
      <w:proofErr w:type="gramEnd"/>
      <w:r w:rsidRPr="00B41041">
        <w:rPr>
          <w:szCs w:val="20"/>
        </w:rPr>
        <w:t>___ distressed</w:t>
      </w:r>
    </w:p>
    <w:p w14:paraId="29F22889" w14:textId="77777777" w:rsidR="00106D00" w:rsidRPr="00B41041" w:rsidRDefault="00106D00" w:rsidP="00106D00">
      <w:pPr>
        <w:spacing w:line="360" w:lineRule="auto"/>
        <w:rPr>
          <w:szCs w:val="20"/>
        </w:rPr>
      </w:pPr>
      <w:r w:rsidRPr="00B41041">
        <w:rPr>
          <w:szCs w:val="20"/>
        </w:rPr>
        <w:t>____ daring</w:t>
      </w:r>
      <w:r w:rsidRPr="00B41041">
        <w:rPr>
          <w:szCs w:val="20"/>
        </w:rPr>
        <w:tab/>
      </w:r>
      <w:r w:rsidRPr="00B41041">
        <w:rPr>
          <w:szCs w:val="20"/>
        </w:rPr>
        <w:tab/>
        <w:t xml:space="preserve"> ____ shaky</w:t>
      </w:r>
      <w:r w:rsidRPr="00B41041">
        <w:rPr>
          <w:szCs w:val="20"/>
        </w:rPr>
        <w:tab/>
        <w:t xml:space="preserve">        ____ sleepy</w:t>
      </w:r>
      <w:proofErr w:type="gramStart"/>
      <w:r w:rsidRPr="00B41041">
        <w:rPr>
          <w:szCs w:val="20"/>
        </w:rPr>
        <w:tab/>
        <w:t xml:space="preserve">  _</w:t>
      </w:r>
      <w:proofErr w:type="gramEnd"/>
      <w:r w:rsidRPr="00B41041">
        <w:rPr>
          <w:szCs w:val="20"/>
        </w:rPr>
        <w:t>___ blameworthy</w:t>
      </w:r>
    </w:p>
    <w:p w14:paraId="4A09CF89" w14:textId="77777777" w:rsidR="00106D00" w:rsidRPr="00B41041" w:rsidRDefault="00106D00" w:rsidP="00106D00">
      <w:pPr>
        <w:spacing w:line="360" w:lineRule="auto"/>
        <w:rPr>
          <w:szCs w:val="20"/>
        </w:rPr>
      </w:pPr>
      <w:r w:rsidRPr="00B41041">
        <w:rPr>
          <w:szCs w:val="20"/>
        </w:rPr>
        <w:t>____ surprised</w:t>
      </w:r>
      <w:r w:rsidRPr="00B41041">
        <w:rPr>
          <w:szCs w:val="20"/>
        </w:rPr>
        <w:tab/>
      </w:r>
      <w:r w:rsidRPr="00B41041">
        <w:rPr>
          <w:szCs w:val="20"/>
        </w:rPr>
        <w:tab/>
        <w:t xml:space="preserve"> ____ happy</w:t>
      </w:r>
      <w:r w:rsidRPr="00B41041">
        <w:rPr>
          <w:szCs w:val="20"/>
        </w:rPr>
        <w:tab/>
        <w:t xml:space="preserve">        ____ excited</w:t>
      </w:r>
      <w:proofErr w:type="gramStart"/>
      <w:r w:rsidRPr="00B41041">
        <w:rPr>
          <w:szCs w:val="20"/>
        </w:rPr>
        <w:tab/>
        <w:t xml:space="preserve">  _</w:t>
      </w:r>
      <w:proofErr w:type="gramEnd"/>
      <w:r w:rsidRPr="00B41041">
        <w:rPr>
          <w:szCs w:val="20"/>
        </w:rPr>
        <w:t>___ determined</w:t>
      </w:r>
    </w:p>
    <w:p w14:paraId="756B8459" w14:textId="77777777" w:rsidR="00106D00" w:rsidRPr="00B41041" w:rsidRDefault="00106D00" w:rsidP="00106D00">
      <w:pPr>
        <w:spacing w:line="360" w:lineRule="auto"/>
        <w:rPr>
          <w:szCs w:val="20"/>
        </w:rPr>
      </w:pPr>
      <w:r w:rsidRPr="00B41041">
        <w:rPr>
          <w:szCs w:val="20"/>
        </w:rPr>
        <w:t>____ strong</w:t>
      </w:r>
      <w:r w:rsidRPr="00B41041">
        <w:rPr>
          <w:szCs w:val="20"/>
        </w:rPr>
        <w:tab/>
      </w:r>
      <w:r w:rsidRPr="00B41041">
        <w:rPr>
          <w:szCs w:val="20"/>
        </w:rPr>
        <w:tab/>
        <w:t xml:space="preserve"> ____ timid</w:t>
      </w:r>
      <w:r w:rsidRPr="00B41041">
        <w:rPr>
          <w:szCs w:val="20"/>
        </w:rPr>
        <w:tab/>
        <w:t xml:space="preserve">        ____ hostile</w:t>
      </w:r>
      <w:proofErr w:type="gramStart"/>
      <w:r w:rsidRPr="00B41041">
        <w:rPr>
          <w:szCs w:val="20"/>
        </w:rPr>
        <w:tab/>
        <w:t xml:space="preserve">  _</w:t>
      </w:r>
      <w:proofErr w:type="gramEnd"/>
      <w:r w:rsidRPr="00B41041">
        <w:rPr>
          <w:szCs w:val="20"/>
        </w:rPr>
        <w:t>___ frightened</w:t>
      </w:r>
    </w:p>
    <w:p w14:paraId="38C13268" w14:textId="77777777" w:rsidR="00106D00" w:rsidRPr="00B41041" w:rsidRDefault="00106D00" w:rsidP="00106D00">
      <w:pPr>
        <w:spacing w:line="360" w:lineRule="auto"/>
        <w:rPr>
          <w:szCs w:val="20"/>
        </w:rPr>
      </w:pPr>
      <w:r w:rsidRPr="00B41041">
        <w:rPr>
          <w:szCs w:val="20"/>
        </w:rPr>
        <w:t>____ scornful</w:t>
      </w:r>
      <w:r w:rsidRPr="00B41041">
        <w:rPr>
          <w:szCs w:val="20"/>
        </w:rPr>
        <w:tab/>
      </w:r>
      <w:r w:rsidRPr="00B41041">
        <w:rPr>
          <w:szCs w:val="20"/>
        </w:rPr>
        <w:tab/>
        <w:t xml:space="preserve"> ____ alone</w:t>
      </w:r>
      <w:r w:rsidRPr="00B41041">
        <w:rPr>
          <w:szCs w:val="20"/>
        </w:rPr>
        <w:tab/>
        <w:t xml:space="preserve">        ____ proud</w:t>
      </w:r>
      <w:proofErr w:type="gramStart"/>
      <w:r w:rsidRPr="00B41041">
        <w:rPr>
          <w:szCs w:val="20"/>
        </w:rPr>
        <w:tab/>
        <w:t xml:space="preserve">  _</w:t>
      </w:r>
      <w:proofErr w:type="gramEnd"/>
      <w:r w:rsidRPr="00B41041">
        <w:rPr>
          <w:szCs w:val="20"/>
        </w:rPr>
        <w:t>___ astonished</w:t>
      </w:r>
    </w:p>
    <w:p w14:paraId="66B7A528" w14:textId="77777777" w:rsidR="00106D00" w:rsidRPr="00B41041" w:rsidRDefault="00106D00" w:rsidP="00106D00">
      <w:pPr>
        <w:spacing w:line="360" w:lineRule="auto"/>
        <w:rPr>
          <w:szCs w:val="20"/>
        </w:rPr>
      </w:pPr>
      <w:r w:rsidRPr="00B41041">
        <w:rPr>
          <w:szCs w:val="20"/>
        </w:rPr>
        <w:t>____ relaxed</w:t>
      </w:r>
      <w:r w:rsidRPr="00B41041">
        <w:rPr>
          <w:szCs w:val="20"/>
        </w:rPr>
        <w:tab/>
      </w:r>
      <w:r w:rsidRPr="00B41041">
        <w:rPr>
          <w:szCs w:val="20"/>
        </w:rPr>
        <w:tab/>
        <w:t xml:space="preserve"> ____ alert</w:t>
      </w:r>
      <w:r w:rsidRPr="00B41041">
        <w:rPr>
          <w:szCs w:val="20"/>
        </w:rPr>
        <w:tab/>
        <w:t xml:space="preserve">        ____ jittery</w:t>
      </w:r>
      <w:proofErr w:type="gramStart"/>
      <w:r w:rsidRPr="00B41041">
        <w:rPr>
          <w:szCs w:val="20"/>
        </w:rPr>
        <w:tab/>
        <w:t xml:space="preserve">  _</w:t>
      </w:r>
      <w:proofErr w:type="gramEnd"/>
      <w:r w:rsidRPr="00B41041">
        <w:rPr>
          <w:szCs w:val="20"/>
        </w:rPr>
        <w:t>___ interested</w:t>
      </w:r>
    </w:p>
    <w:p w14:paraId="2E47E685" w14:textId="77777777" w:rsidR="00106D00" w:rsidRPr="00B41041" w:rsidRDefault="00106D00" w:rsidP="00106D00">
      <w:pPr>
        <w:spacing w:line="360" w:lineRule="auto"/>
        <w:rPr>
          <w:szCs w:val="20"/>
        </w:rPr>
      </w:pPr>
      <w:r w:rsidRPr="00B41041">
        <w:rPr>
          <w:szCs w:val="20"/>
        </w:rPr>
        <w:t>____ irritable</w:t>
      </w:r>
      <w:r w:rsidRPr="00B41041">
        <w:rPr>
          <w:szCs w:val="20"/>
        </w:rPr>
        <w:tab/>
      </w:r>
      <w:r w:rsidRPr="00B41041">
        <w:rPr>
          <w:szCs w:val="20"/>
        </w:rPr>
        <w:tab/>
        <w:t xml:space="preserve"> ____ upset</w:t>
      </w:r>
      <w:r w:rsidRPr="00B41041">
        <w:rPr>
          <w:szCs w:val="20"/>
        </w:rPr>
        <w:tab/>
        <w:t xml:space="preserve">        ____ lively</w:t>
      </w:r>
      <w:proofErr w:type="gramStart"/>
      <w:r w:rsidRPr="00B41041">
        <w:rPr>
          <w:szCs w:val="20"/>
        </w:rPr>
        <w:tab/>
        <w:t xml:space="preserve">  _</w:t>
      </w:r>
      <w:proofErr w:type="gramEnd"/>
      <w:r w:rsidRPr="00B41041">
        <w:rPr>
          <w:szCs w:val="20"/>
        </w:rPr>
        <w:t>___ loathing</w:t>
      </w:r>
    </w:p>
    <w:p w14:paraId="176340E1" w14:textId="77777777" w:rsidR="00106D00" w:rsidRPr="00B41041" w:rsidRDefault="00106D00" w:rsidP="00106D00">
      <w:pPr>
        <w:spacing w:line="360" w:lineRule="auto"/>
        <w:rPr>
          <w:szCs w:val="20"/>
        </w:rPr>
      </w:pPr>
      <w:r w:rsidRPr="00B41041">
        <w:rPr>
          <w:szCs w:val="20"/>
        </w:rPr>
        <w:t>____ delighted</w:t>
      </w:r>
      <w:r w:rsidRPr="00B41041">
        <w:rPr>
          <w:szCs w:val="20"/>
        </w:rPr>
        <w:tab/>
      </w:r>
      <w:r w:rsidRPr="00B41041">
        <w:rPr>
          <w:szCs w:val="20"/>
        </w:rPr>
        <w:tab/>
        <w:t xml:space="preserve"> ____ angry</w:t>
      </w:r>
      <w:r w:rsidRPr="00B41041">
        <w:rPr>
          <w:szCs w:val="20"/>
        </w:rPr>
        <w:tab/>
        <w:t xml:space="preserve">        ____ ashamed</w:t>
      </w:r>
      <w:proofErr w:type="gramStart"/>
      <w:r w:rsidRPr="00B41041">
        <w:rPr>
          <w:szCs w:val="20"/>
        </w:rPr>
        <w:tab/>
        <w:t xml:space="preserve">  _</w:t>
      </w:r>
      <w:proofErr w:type="gramEnd"/>
      <w:r w:rsidRPr="00B41041">
        <w:rPr>
          <w:szCs w:val="20"/>
        </w:rPr>
        <w:t>___ confident</w:t>
      </w:r>
    </w:p>
    <w:p w14:paraId="55BCB2EE" w14:textId="77777777" w:rsidR="00106D00" w:rsidRPr="00B41041" w:rsidRDefault="00106D00" w:rsidP="00106D00">
      <w:pPr>
        <w:spacing w:line="360" w:lineRule="auto"/>
        <w:rPr>
          <w:szCs w:val="20"/>
        </w:rPr>
      </w:pPr>
      <w:r w:rsidRPr="00B41041">
        <w:rPr>
          <w:szCs w:val="20"/>
        </w:rPr>
        <w:t>____ inspired</w:t>
      </w:r>
      <w:r w:rsidRPr="00B41041">
        <w:rPr>
          <w:szCs w:val="20"/>
        </w:rPr>
        <w:tab/>
      </w:r>
      <w:r w:rsidRPr="00B41041">
        <w:rPr>
          <w:szCs w:val="20"/>
        </w:rPr>
        <w:tab/>
        <w:t xml:space="preserve"> ____ bold</w:t>
      </w:r>
      <w:r w:rsidRPr="00B41041">
        <w:rPr>
          <w:szCs w:val="20"/>
        </w:rPr>
        <w:tab/>
        <w:t xml:space="preserve">        ____ at ease</w:t>
      </w:r>
      <w:proofErr w:type="gramStart"/>
      <w:r w:rsidRPr="00B41041">
        <w:rPr>
          <w:szCs w:val="20"/>
        </w:rPr>
        <w:tab/>
        <w:t xml:space="preserve">  _</w:t>
      </w:r>
      <w:proofErr w:type="gramEnd"/>
      <w:r w:rsidRPr="00B41041">
        <w:rPr>
          <w:szCs w:val="20"/>
        </w:rPr>
        <w:t>___ energetic</w:t>
      </w:r>
    </w:p>
    <w:p w14:paraId="43294155" w14:textId="77777777" w:rsidR="00106D00" w:rsidRPr="00B41041" w:rsidRDefault="00106D00" w:rsidP="00106D00">
      <w:pPr>
        <w:spacing w:line="360" w:lineRule="auto"/>
        <w:rPr>
          <w:szCs w:val="20"/>
        </w:rPr>
      </w:pPr>
      <w:r w:rsidRPr="00B41041">
        <w:rPr>
          <w:szCs w:val="20"/>
        </w:rPr>
        <w:t>____ fearless</w:t>
      </w:r>
      <w:r w:rsidRPr="00B41041">
        <w:rPr>
          <w:szCs w:val="20"/>
        </w:rPr>
        <w:tab/>
      </w:r>
      <w:r w:rsidRPr="00B41041">
        <w:rPr>
          <w:szCs w:val="20"/>
        </w:rPr>
        <w:tab/>
        <w:t xml:space="preserve"> ____ blue</w:t>
      </w:r>
      <w:r w:rsidRPr="00B41041">
        <w:rPr>
          <w:szCs w:val="20"/>
        </w:rPr>
        <w:tab/>
        <w:t xml:space="preserve">        ____ scared</w:t>
      </w:r>
      <w:proofErr w:type="gramStart"/>
      <w:r w:rsidRPr="00B41041">
        <w:rPr>
          <w:szCs w:val="20"/>
        </w:rPr>
        <w:tab/>
        <w:t xml:space="preserve">  _</w:t>
      </w:r>
      <w:proofErr w:type="gramEnd"/>
      <w:r w:rsidRPr="00B41041">
        <w:rPr>
          <w:szCs w:val="20"/>
        </w:rPr>
        <w:t>___ concentrating</w:t>
      </w:r>
    </w:p>
    <w:p w14:paraId="20BC30CC" w14:textId="77777777" w:rsidR="00106D00" w:rsidRPr="00B41041" w:rsidRDefault="00106D00" w:rsidP="00106D00">
      <w:pPr>
        <w:spacing w:line="360" w:lineRule="auto"/>
        <w:rPr>
          <w:szCs w:val="20"/>
        </w:rPr>
      </w:pPr>
      <w:r w:rsidRPr="00B41041">
        <w:rPr>
          <w:szCs w:val="20"/>
        </w:rPr>
        <w:t>____ disgusted with     ____ shy</w:t>
      </w:r>
      <w:r w:rsidRPr="00B41041">
        <w:rPr>
          <w:szCs w:val="20"/>
        </w:rPr>
        <w:tab/>
        <w:t xml:space="preserve">        ____ drowsy</w:t>
      </w:r>
      <w:proofErr w:type="gramStart"/>
      <w:r w:rsidRPr="00B41041">
        <w:rPr>
          <w:szCs w:val="20"/>
        </w:rPr>
        <w:tab/>
        <w:t xml:space="preserve">  _</w:t>
      </w:r>
      <w:proofErr w:type="gramEnd"/>
      <w:r w:rsidRPr="00B41041">
        <w:rPr>
          <w:szCs w:val="20"/>
        </w:rPr>
        <w:t>___ dissatisfied</w:t>
      </w:r>
    </w:p>
    <w:p w14:paraId="6EA8D08F" w14:textId="1C6C8615" w:rsidR="00106D00" w:rsidRDefault="00106D00" w:rsidP="00D96855">
      <w:pPr>
        <w:pStyle w:val="BodyText2"/>
        <w:spacing w:line="360" w:lineRule="auto"/>
        <w:rPr>
          <w:b/>
          <w:bCs/>
        </w:rPr>
      </w:pPr>
      <w:r w:rsidRPr="00B41041">
        <w:rPr>
          <w:sz w:val="20"/>
        </w:rPr>
        <w:t xml:space="preserve">     </w:t>
      </w:r>
      <w:r w:rsidR="00D96855">
        <w:rPr>
          <w:sz w:val="20"/>
        </w:rPr>
        <w:tab/>
      </w:r>
      <w:r w:rsidRPr="00B41041">
        <w:rPr>
          <w:sz w:val="20"/>
        </w:rPr>
        <w:t xml:space="preserve"> self</w:t>
      </w:r>
      <w:r w:rsidRPr="00B41041">
        <w:rPr>
          <w:sz w:val="20"/>
        </w:rPr>
        <w:tab/>
      </w:r>
      <w:r w:rsidRPr="00B41041">
        <w:rPr>
          <w:sz w:val="20"/>
        </w:rPr>
        <w:tab/>
      </w:r>
      <w:r w:rsidRPr="00B41041">
        <w:rPr>
          <w:sz w:val="20"/>
        </w:rPr>
        <w:tab/>
      </w:r>
      <w:r w:rsidRPr="00B41041">
        <w:rPr>
          <w:sz w:val="20"/>
        </w:rPr>
        <w:tab/>
      </w:r>
      <w:r w:rsidRPr="00B41041">
        <w:rPr>
          <w:sz w:val="20"/>
        </w:rPr>
        <w:tab/>
      </w:r>
      <w:r w:rsidR="00D96855">
        <w:rPr>
          <w:sz w:val="20"/>
        </w:rPr>
        <w:tab/>
      </w:r>
      <w:r w:rsidR="00D96855">
        <w:rPr>
          <w:sz w:val="20"/>
        </w:rPr>
        <w:tab/>
      </w:r>
      <w:r w:rsidR="00D96855">
        <w:rPr>
          <w:sz w:val="20"/>
        </w:rPr>
        <w:tab/>
      </w:r>
      <w:r w:rsidRPr="00B41041">
        <w:rPr>
          <w:sz w:val="20"/>
        </w:rPr>
        <w:t>with self</w:t>
      </w:r>
    </w:p>
    <w:p w14:paraId="7736C5DA" w14:textId="77777777" w:rsidR="00106D00" w:rsidRPr="00815B3C" w:rsidRDefault="00106D00" w:rsidP="00ED1DC7">
      <w:pPr>
        <w:jc w:val="center"/>
        <w:rPr>
          <w:b/>
          <w:bCs/>
        </w:rPr>
      </w:pPr>
    </w:p>
    <w:p w14:paraId="549F6B00" w14:textId="77777777" w:rsidR="00EC0D2A" w:rsidRDefault="00EC0D2A">
      <w:pPr>
        <w:rPr>
          <w:rStyle w:val="CommentReference"/>
          <w:rFonts w:eastAsiaTheme="minorEastAsia"/>
        </w:rPr>
      </w:pPr>
    </w:p>
    <w:p w14:paraId="17B7DFB7" w14:textId="14C735D5" w:rsidR="00ED1DC7" w:rsidRPr="00815B3C" w:rsidRDefault="00ED1DC7" w:rsidP="00EC0D2A">
      <w:pPr>
        <w:jc w:val="center"/>
        <w:rPr>
          <w:b/>
          <w:bCs/>
        </w:rPr>
      </w:pPr>
    </w:p>
    <w:p w14:paraId="3ABE5399" w14:textId="77777777" w:rsidR="00EC0D2A" w:rsidRDefault="00EC0D2A">
      <w:pPr>
        <w:rPr>
          <w:b/>
          <w:bCs/>
        </w:rPr>
      </w:pPr>
      <w:r>
        <w:rPr>
          <w:b/>
          <w:bCs/>
        </w:rPr>
        <w:br w:type="page"/>
      </w:r>
    </w:p>
    <w:p w14:paraId="046D7FF2" w14:textId="07918409" w:rsidR="00ED1DC7" w:rsidRPr="00815B3C" w:rsidRDefault="00ED1DC7" w:rsidP="00ED1DC7">
      <w:pPr>
        <w:jc w:val="center"/>
        <w:rPr>
          <w:b/>
          <w:bCs/>
        </w:rPr>
      </w:pPr>
      <w:r w:rsidRPr="00815B3C">
        <w:rPr>
          <w:b/>
          <w:bCs/>
        </w:rPr>
        <w:lastRenderedPageBreak/>
        <w:t xml:space="preserve">Appendix </w:t>
      </w:r>
      <w:r w:rsidR="00A32296">
        <w:rPr>
          <w:b/>
          <w:bCs/>
        </w:rPr>
        <w:t>E</w:t>
      </w:r>
      <w:r w:rsidRPr="00815B3C">
        <w:rPr>
          <w:b/>
          <w:bCs/>
        </w:rPr>
        <w:t xml:space="preserve">: </w:t>
      </w:r>
      <w:r w:rsidR="00106D00">
        <w:rPr>
          <w:b/>
          <w:bCs/>
        </w:rPr>
        <w:t>Questing</w:t>
      </w:r>
      <w:r w:rsidR="00106D00" w:rsidRPr="00815B3C">
        <w:rPr>
          <w:b/>
          <w:bCs/>
        </w:rPr>
        <w:t xml:space="preserve"> </w:t>
      </w:r>
      <w:r w:rsidRPr="00815B3C">
        <w:rPr>
          <w:b/>
          <w:bCs/>
        </w:rPr>
        <w:t>Image</w:t>
      </w:r>
    </w:p>
    <w:p w14:paraId="48E66D69" w14:textId="3FF82E4F" w:rsidR="00ED1DC7" w:rsidRDefault="00ED1DC7" w:rsidP="00ED1DC7">
      <w:pPr>
        <w:jc w:val="center"/>
        <w:rPr>
          <w:b/>
          <w:bCs/>
        </w:rPr>
      </w:pPr>
    </w:p>
    <w:p w14:paraId="2F155229" w14:textId="786DE68F" w:rsidR="00106D00" w:rsidRDefault="00106D00" w:rsidP="00ED1DC7">
      <w:pPr>
        <w:jc w:val="center"/>
        <w:rPr>
          <w:b/>
          <w:bCs/>
        </w:rPr>
      </w:pPr>
      <w:r w:rsidRPr="00815B3C">
        <w:rPr>
          <w:b/>
          <w:bCs/>
          <w:noProof/>
        </w:rPr>
        <w:drawing>
          <wp:inline distT="0" distB="0" distL="0" distR="0" wp14:anchorId="2B32E8AC" wp14:editId="4E87AC2F">
            <wp:extent cx="5943600" cy="39008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3900805"/>
                    </a:xfrm>
                    <a:prstGeom prst="rect">
                      <a:avLst/>
                    </a:prstGeom>
                  </pic:spPr>
                </pic:pic>
              </a:graphicData>
            </a:graphic>
          </wp:inline>
        </w:drawing>
      </w:r>
    </w:p>
    <w:p w14:paraId="4027CA8A" w14:textId="2BC6E43A" w:rsidR="00EC0D2A" w:rsidRPr="00815B3C" w:rsidRDefault="00EC0D2A" w:rsidP="00ED1DC7">
      <w:pPr>
        <w:jc w:val="center"/>
        <w:rPr>
          <w:b/>
          <w:bCs/>
        </w:rPr>
      </w:pPr>
    </w:p>
    <w:p w14:paraId="505728B8" w14:textId="748306F6" w:rsidR="00ED1DC7" w:rsidRPr="00815B3C" w:rsidRDefault="00ED1DC7" w:rsidP="00EC0D2A">
      <w:pPr>
        <w:jc w:val="center"/>
        <w:rPr>
          <w:b/>
          <w:bCs/>
        </w:rPr>
      </w:pPr>
    </w:p>
    <w:p w14:paraId="566BBDF1" w14:textId="77777777" w:rsidR="00ED1DC7" w:rsidRPr="00815B3C" w:rsidRDefault="00ED1DC7">
      <w:pPr>
        <w:rPr>
          <w:b/>
          <w:bCs/>
        </w:rPr>
      </w:pPr>
    </w:p>
    <w:p w14:paraId="6A82E118" w14:textId="0D437313" w:rsidR="00ED1DC7" w:rsidRPr="00815B3C" w:rsidRDefault="00ED1DC7" w:rsidP="00ED1DC7"/>
    <w:p w14:paraId="1A0A852A" w14:textId="3A025326" w:rsidR="00ED1DC7" w:rsidRPr="00815B3C" w:rsidRDefault="00ED1DC7">
      <w:pPr>
        <w:rPr>
          <w:b/>
          <w:bCs/>
        </w:rPr>
      </w:pPr>
    </w:p>
    <w:p w14:paraId="4DE2BCB5" w14:textId="77777777" w:rsidR="00ED1DC7" w:rsidRPr="00815B3C" w:rsidRDefault="00ED1DC7">
      <w:pPr>
        <w:rPr>
          <w:b/>
          <w:bCs/>
          <w:szCs w:val="20"/>
        </w:rPr>
      </w:pPr>
      <w:r w:rsidRPr="00815B3C">
        <w:rPr>
          <w:b/>
          <w:bCs/>
        </w:rPr>
        <w:br w:type="page"/>
      </w:r>
    </w:p>
    <w:p w14:paraId="60D865C2" w14:textId="12927AD7" w:rsidR="00B41041" w:rsidRDefault="00ED1DC7" w:rsidP="00ED1DC7">
      <w:pPr>
        <w:pStyle w:val="BodyText2"/>
        <w:spacing w:line="360" w:lineRule="auto"/>
        <w:jc w:val="center"/>
        <w:rPr>
          <w:b/>
          <w:bCs/>
        </w:rPr>
      </w:pPr>
      <w:r w:rsidRPr="00815B3C">
        <w:rPr>
          <w:b/>
          <w:bCs/>
        </w:rPr>
        <w:lastRenderedPageBreak/>
        <w:t xml:space="preserve">Appendix </w:t>
      </w:r>
      <w:r w:rsidR="00A32296">
        <w:rPr>
          <w:b/>
          <w:bCs/>
        </w:rPr>
        <w:t>F</w:t>
      </w:r>
      <w:r w:rsidRPr="00815B3C">
        <w:rPr>
          <w:b/>
          <w:bCs/>
        </w:rPr>
        <w:t xml:space="preserve">: </w:t>
      </w:r>
      <w:r w:rsidR="00106D00">
        <w:rPr>
          <w:b/>
          <w:bCs/>
        </w:rPr>
        <w:t>Vacationing Image</w:t>
      </w:r>
    </w:p>
    <w:p w14:paraId="1F6C4E38" w14:textId="06E661DD" w:rsidR="00B41041" w:rsidRDefault="00106D00" w:rsidP="00106D00">
      <w:pPr>
        <w:pStyle w:val="BodyText2"/>
        <w:spacing w:line="360" w:lineRule="auto"/>
        <w:jc w:val="center"/>
        <w:rPr>
          <w:b/>
          <w:bCs/>
        </w:rPr>
      </w:pPr>
      <w:r w:rsidRPr="00815B3C">
        <w:fldChar w:fldCharType="begin"/>
      </w:r>
      <w:r w:rsidRPr="00815B3C">
        <w:instrText xml:space="preserve"> INCLUDEPICTURE "https://www.pointfranchise.co.uk/images/zoom/adventurer.jpeg" \* MERGEFORMATINET </w:instrText>
      </w:r>
      <w:r w:rsidRPr="00815B3C">
        <w:fldChar w:fldCharType="separate"/>
      </w:r>
      <w:r w:rsidRPr="00815B3C">
        <w:rPr>
          <w:noProof/>
        </w:rPr>
        <w:drawing>
          <wp:inline distT="0" distB="0" distL="0" distR="0" wp14:anchorId="4F452277" wp14:editId="2A481E80">
            <wp:extent cx="6120946" cy="4085863"/>
            <wp:effectExtent l="0" t="0" r="635"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946" cy="4085863"/>
                    </a:xfrm>
                    <a:prstGeom prst="rect">
                      <a:avLst/>
                    </a:prstGeom>
                    <a:noFill/>
                    <a:ln>
                      <a:noFill/>
                    </a:ln>
                  </pic:spPr>
                </pic:pic>
              </a:graphicData>
            </a:graphic>
          </wp:inline>
        </w:drawing>
      </w:r>
      <w:r w:rsidRPr="00815B3C">
        <w:fldChar w:fldCharType="end"/>
      </w:r>
    </w:p>
    <w:p w14:paraId="5638B5D6" w14:textId="77777777" w:rsidR="00B41041" w:rsidRDefault="00B41041">
      <w:pPr>
        <w:rPr>
          <w:b/>
          <w:bCs/>
          <w:szCs w:val="20"/>
        </w:rPr>
      </w:pPr>
      <w:r>
        <w:rPr>
          <w:b/>
          <w:bCs/>
        </w:rPr>
        <w:br w:type="page"/>
      </w:r>
    </w:p>
    <w:p w14:paraId="645C5D5E" w14:textId="0CF66DE9" w:rsidR="00ED1DC7" w:rsidRPr="00815B3C" w:rsidRDefault="00B41041" w:rsidP="00ED1DC7">
      <w:pPr>
        <w:pStyle w:val="BodyText2"/>
        <w:spacing w:line="360" w:lineRule="auto"/>
        <w:jc w:val="center"/>
        <w:rPr>
          <w:b/>
          <w:bCs/>
        </w:rPr>
      </w:pPr>
      <w:r>
        <w:rPr>
          <w:b/>
          <w:bCs/>
        </w:rPr>
        <w:lastRenderedPageBreak/>
        <w:t xml:space="preserve">Appendix </w:t>
      </w:r>
      <w:r w:rsidR="00A32296">
        <w:rPr>
          <w:b/>
          <w:bCs/>
        </w:rPr>
        <w:t>G</w:t>
      </w:r>
      <w:r>
        <w:rPr>
          <w:b/>
          <w:bCs/>
        </w:rPr>
        <w:t>: Literary Preference Questionnaire</w:t>
      </w:r>
    </w:p>
    <w:p w14:paraId="2689138D" w14:textId="7CC62B20" w:rsidR="00ED1DC7" w:rsidRPr="00815B3C" w:rsidRDefault="00ED1DC7" w:rsidP="00ED1DC7">
      <w:pPr>
        <w:pStyle w:val="BodyText2"/>
        <w:spacing w:line="360" w:lineRule="auto"/>
      </w:pPr>
      <w:r w:rsidRPr="00815B3C">
        <w:t>Literary Preference Questionnaire</w:t>
      </w:r>
    </w:p>
    <w:p w14:paraId="68C49D63" w14:textId="77777777" w:rsidR="00ED1DC7" w:rsidRPr="00815B3C" w:rsidRDefault="00ED1DC7" w:rsidP="00ED1DC7">
      <w:pPr>
        <w:pStyle w:val="BodyText2"/>
        <w:spacing w:line="360" w:lineRule="auto"/>
      </w:pPr>
      <w:r w:rsidRPr="00815B3C">
        <w:t>Please read the following short passage from a novel and answer the questions below it.</w:t>
      </w:r>
    </w:p>
    <w:p w14:paraId="59D6DDF8" w14:textId="77777777" w:rsidR="00ED1DC7" w:rsidRPr="00815B3C" w:rsidRDefault="00ED1DC7" w:rsidP="00ED1DC7">
      <w:pPr>
        <w:pStyle w:val="BodyText2"/>
      </w:pPr>
      <w:r w:rsidRPr="00815B3C">
        <w:tab/>
        <w:t>The automobile swung clumsily around the curve in the red sandstone trail, now a mass of mud. The headlights suddenly picked out in the night—first on one side of the road, then on the other—two wooden huts with sheet metal roofs. On the right near the second one, a tower of course beams could be made out in the light fog. From the top of the tower a metal cable, invisible at its starting-point, shone as it sloped down into the light from the car before disappearing behind the embankment that blocked the road. The car slowed down and stopped a few yards from the huts.</w:t>
      </w:r>
    </w:p>
    <w:p w14:paraId="230E485D" w14:textId="77777777" w:rsidR="00ED1DC7" w:rsidRPr="00815B3C" w:rsidRDefault="00ED1DC7" w:rsidP="00ED1DC7">
      <w:pPr>
        <w:pStyle w:val="BodyText2"/>
      </w:pPr>
      <w:r w:rsidRPr="00815B3C">
        <w:tab/>
        <w:t xml:space="preserve">The man who emerged from the seat to the right of the driver labored to extricate himself from the car. As he stood up, his huge, broad frame lurched a little. In the shadow beside the car, solidly planted on the ground and weighed down by fatigue, he seemed to be listening to the idling motor. Then he walked in the direction of the embankment and entered the cone of light from the headlights. He stopped at the top of the slope, his broad back outlined against the darkness. After a moment he turned around. In the light from the </w:t>
      </w:r>
      <w:proofErr w:type="gramStart"/>
      <w:r w:rsidRPr="00815B3C">
        <w:t>dashboard</w:t>
      </w:r>
      <w:proofErr w:type="gramEnd"/>
      <w:r w:rsidRPr="00815B3C">
        <w:t xml:space="preserve"> he could see the chauffeur’s black face, smiling. The man signaled and the chauffeur turned </w:t>
      </w:r>
      <w:proofErr w:type="spellStart"/>
      <w:r w:rsidRPr="00815B3C">
        <w:t>of</w:t>
      </w:r>
      <w:proofErr w:type="spellEnd"/>
      <w:r w:rsidRPr="00815B3C">
        <w:t xml:space="preserve"> the motor. At once a vast cool silence fell over the trail and the forest. Then the sound of the water could be heard.</w:t>
      </w:r>
    </w:p>
    <w:p w14:paraId="75FAE662" w14:textId="77777777" w:rsidR="00ED1DC7" w:rsidRPr="00815B3C" w:rsidRDefault="00ED1DC7" w:rsidP="00ED1DC7">
      <w:pPr>
        <w:pStyle w:val="BodyText2"/>
      </w:pPr>
      <w:r w:rsidRPr="00815B3C">
        <w:tab/>
        <w:t xml:space="preserve">The man looked at the river below him, visible </w:t>
      </w:r>
      <w:proofErr w:type="spellStart"/>
      <w:r w:rsidRPr="00815B3C">
        <w:t>soley</w:t>
      </w:r>
      <w:proofErr w:type="spellEnd"/>
      <w:r w:rsidRPr="00815B3C">
        <w:t xml:space="preserve"> as a broad dark motion flecked with occasional shimmers. A denser motionless darkness, far beyond, must be the other bank. By looking fixedly, however, one could see on that still bank a yellowish light like an oil lamp in the distance. The big man turned back toward the car and nodded. The chauffeur switched off the lights, turned them on again, then blinked them regularly. On the embankment the man appeared and disappeared, taller and more massive each time he came back to life. Suddenly, on the other bank of the river, a lantern held up by an invisible arm back and forth several times. At a final signal from the lookout, the man disappeared into the night. With the lights out, the river was shining intermittently. On each side of the road, the dark masses of forest foliage stood out against the sky and seemed very </w:t>
      </w:r>
      <w:proofErr w:type="gramStart"/>
      <w:r w:rsidRPr="00815B3C">
        <w:t>near</w:t>
      </w:r>
      <w:proofErr w:type="gramEnd"/>
      <w:r w:rsidRPr="00815B3C">
        <w:t xml:space="preserve">. The fine rain that had soaked the trail an hour earlier was still hovering in the warm air, intensifying the silence and immobility of this broad clearing in the virgin forest. In the black sky misty stars flickered.  </w:t>
      </w:r>
    </w:p>
    <w:p w14:paraId="35652C32" w14:textId="77777777" w:rsidR="00ED1DC7" w:rsidRPr="00815B3C" w:rsidRDefault="00ED1DC7" w:rsidP="00ED1DC7">
      <w:pPr>
        <w:pStyle w:val="BodyText2"/>
      </w:pPr>
    </w:p>
    <w:p w14:paraId="055D57E7" w14:textId="77777777" w:rsidR="00ED1DC7" w:rsidRPr="00815B3C" w:rsidRDefault="00ED1DC7" w:rsidP="00ED1DC7">
      <w:pPr>
        <w:pStyle w:val="BodyText2"/>
      </w:pPr>
      <w:r w:rsidRPr="00815B3C">
        <w:t>How do you feel about the overall descriptive qualities of the story?</w:t>
      </w:r>
    </w:p>
    <w:p w14:paraId="6901F54F" w14:textId="77777777" w:rsidR="00ED1DC7" w:rsidRPr="00815B3C" w:rsidRDefault="00ED1DC7" w:rsidP="00ED1DC7">
      <w:pPr>
        <w:pStyle w:val="BodyText2"/>
      </w:pPr>
    </w:p>
    <w:p w14:paraId="0B2CC0FA" w14:textId="77777777" w:rsidR="00ED1DC7" w:rsidRPr="00815B3C" w:rsidRDefault="00ED1DC7" w:rsidP="00ED1DC7">
      <w:pPr>
        <w:pStyle w:val="BodyText2"/>
      </w:pPr>
      <w:r w:rsidRPr="00815B3C">
        <w:t xml:space="preserve">        1      2      3       4      5       6        7        8       9</w:t>
      </w:r>
    </w:p>
    <w:p w14:paraId="4EF3F22A" w14:textId="53CC451B" w:rsidR="00ED1DC7" w:rsidRPr="00815B3C" w:rsidRDefault="00ED1DC7" w:rsidP="00ED1DC7">
      <w:pPr>
        <w:pStyle w:val="BodyText2"/>
      </w:pPr>
      <w:r w:rsidRPr="00815B3C">
        <w:t xml:space="preserve">not at all                   somewhat                     </w:t>
      </w:r>
      <w:r w:rsidR="00D96855">
        <w:tab/>
      </w:r>
      <w:r w:rsidRPr="00815B3C">
        <w:t xml:space="preserve">  </w:t>
      </w:r>
      <w:r w:rsidR="00D96855">
        <w:t xml:space="preserve">  </w:t>
      </w:r>
      <w:r w:rsidRPr="00815B3C">
        <w:t>very</w:t>
      </w:r>
    </w:p>
    <w:p w14:paraId="7F9E09B3" w14:textId="7E263F5E" w:rsidR="00ED1DC7" w:rsidRPr="00815B3C" w:rsidRDefault="00ED1DC7" w:rsidP="00ED1DC7">
      <w:pPr>
        <w:pStyle w:val="BodyText2"/>
      </w:pPr>
      <w:r w:rsidRPr="00815B3C">
        <w:t xml:space="preserve">descriptive               </w:t>
      </w:r>
      <w:proofErr w:type="spellStart"/>
      <w:r w:rsidRPr="00815B3C">
        <w:t>descriptive</w:t>
      </w:r>
      <w:proofErr w:type="spellEnd"/>
      <w:r w:rsidRPr="00815B3C">
        <w:t xml:space="preserve">                </w:t>
      </w:r>
      <w:r w:rsidR="00D96855">
        <w:tab/>
      </w:r>
      <w:proofErr w:type="spellStart"/>
      <w:r w:rsidRPr="00815B3C">
        <w:t>descriptive</w:t>
      </w:r>
      <w:proofErr w:type="spellEnd"/>
    </w:p>
    <w:p w14:paraId="6CE70D10" w14:textId="77777777" w:rsidR="00ED1DC7" w:rsidRPr="00815B3C" w:rsidRDefault="00ED1DC7" w:rsidP="00ED1DC7">
      <w:pPr>
        <w:pStyle w:val="BodyText2"/>
      </w:pPr>
    </w:p>
    <w:p w14:paraId="76ED1486" w14:textId="77777777" w:rsidR="00ED1DC7" w:rsidRPr="00815B3C" w:rsidRDefault="00ED1DC7" w:rsidP="00ED1DC7">
      <w:pPr>
        <w:pStyle w:val="BodyText2"/>
      </w:pPr>
      <w:r w:rsidRPr="00815B3C">
        <w:t>Do you think the author of this story is male or female?</w:t>
      </w:r>
    </w:p>
    <w:p w14:paraId="0039404F" w14:textId="77777777" w:rsidR="00ED1DC7" w:rsidRPr="00815B3C" w:rsidRDefault="00ED1DC7" w:rsidP="00ED1DC7">
      <w:pPr>
        <w:pStyle w:val="BodyText2"/>
      </w:pPr>
    </w:p>
    <w:p w14:paraId="2F64D245" w14:textId="77777777" w:rsidR="00ED1DC7" w:rsidRPr="00815B3C" w:rsidRDefault="00ED1DC7" w:rsidP="00ED1DC7">
      <w:pPr>
        <w:pStyle w:val="BodyText2"/>
      </w:pPr>
      <w:r w:rsidRPr="00815B3C">
        <w:t>_______ male       _______ female</w:t>
      </w:r>
    </w:p>
    <w:p w14:paraId="3BFD4475" w14:textId="25CB8ADD" w:rsidR="00306F41" w:rsidRDefault="00306F41">
      <w:pPr>
        <w:rPr>
          <w:b/>
          <w:bCs/>
        </w:rPr>
      </w:pPr>
      <w:r>
        <w:rPr>
          <w:b/>
          <w:bCs/>
        </w:rPr>
        <w:br w:type="page"/>
      </w:r>
    </w:p>
    <w:p w14:paraId="0C9B10B0" w14:textId="52AF585D" w:rsidR="00ED1DC7" w:rsidRDefault="00306F41" w:rsidP="00306F41">
      <w:pPr>
        <w:jc w:val="center"/>
        <w:rPr>
          <w:b/>
          <w:bCs/>
        </w:rPr>
      </w:pPr>
      <w:r>
        <w:rPr>
          <w:b/>
          <w:bCs/>
        </w:rPr>
        <w:lastRenderedPageBreak/>
        <w:t>Vita</w:t>
      </w:r>
    </w:p>
    <w:p w14:paraId="2BDDB989" w14:textId="77777777" w:rsidR="00A427D8" w:rsidRDefault="00A427D8" w:rsidP="00306F41">
      <w:pPr>
        <w:jc w:val="center"/>
        <w:rPr>
          <w:b/>
          <w:bCs/>
        </w:rPr>
      </w:pPr>
    </w:p>
    <w:p w14:paraId="1AF195A8" w14:textId="6DF217E9" w:rsidR="00A427D8" w:rsidRPr="00B864DB" w:rsidRDefault="00A427D8" w:rsidP="00A427D8">
      <w:pPr>
        <w:spacing w:line="480" w:lineRule="auto"/>
        <w:ind w:firstLine="720"/>
      </w:pPr>
      <w:r w:rsidRPr="00B864DB">
        <w:t>Connor Smith was born in Ann Arbor, Michigan to Janet Smith and Barry Smith. He has one older brother, Graham</w:t>
      </w:r>
      <w:r>
        <w:t>, a sister-in-law Sara, and a niece Amalia</w:t>
      </w:r>
      <w:r w:rsidRPr="00B864DB">
        <w:t xml:space="preserve">. He attended Eastern Michigan University where he obtained his B.S. in secondary education (mathematics) and psychology. Upon graduating, he applied and was accepted to the University of Tennessee Knoxville </w:t>
      </w:r>
      <w:r w:rsidR="002268C5">
        <w:t xml:space="preserve">Clinical Psychology </w:t>
      </w:r>
      <w:proofErr w:type="spellStart"/>
      <w:proofErr w:type="gramStart"/>
      <w:r w:rsidRPr="00B864DB">
        <w:t>Ph.D</w:t>
      </w:r>
      <w:proofErr w:type="spellEnd"/>
      <w:proofErr w:type="gramEnd"/>
      <w:r w:rsidRPr="00B864DB">
        <w:t xml:space="preserve"> program under the mentorship of Dr. Michael R. Nash</w:t>
      </w:r>
      <w:r>
        <w:t>. After Dr. Nash retired, he sought and received mentorship from</w:t>
      </w:r>
      <w:r w:rsidRPr="00B864DB">
        <w:t xml:space="preserve"> Timothy </w:t>
      </w:r>
      <w:r w:rsidR="002268C5">
        <w:t xml:space="preserve">L. </w:t>
      </w:r>
      <w:r w:rsidRPr="00B864DB">
        <w:t xml:space="preserve">Hulsey. He </w:t>
      </w:r>
      <w:r>
        <w:t xml:space="preserve">currently resides in Troy, New York with his loving and supportive girlfriend Kelly Inglis and is completing his internship program at Albany Medical College. </w:t>
      </w:r>
      <w:r w:rsidRPr="00B864DB">
        <w:t>After graduating, he plans to continue with his clinical work</w:t>
      </w:r>
      <w:r>
        <w:t xml:space="preserve"> and psychotherapy practice.</w:t>
      </w:r>
    </w:p>
    <w:p w14:paraId="1665051E" w14:textId="77777777" w:rsidR="00306F41" w:rsidRPr="00EC0D2A" w:rsidRDefault="00306F41" w:rsidP="007F350E">
      <w:pPr>
        <w:spacing w:line="480" w:lineRule="auto"/>
        <w:rPr>
          <w:b/>
          <w:bCs/>
        </w:rPr>
      </w:pPr>
    </w:p>
    <w:sectPr w:rsidR="00306F41" w:rsidRPr="00EC0D2A" w:rsidSect="00A427D8">
      <w:pgSz w:w="12240" w:h="15840"/>
      <w:pgMar w:top="1440" w:right="1440" w:bottom="1440" w:left="1440" w:header="144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FAB1C" w14:textId="77777777" w:rsidR="00872F00" w:rsidRDefault="00872F00" w:rsidP="00275FC2">
      <w:r>
        <w:separator/>
      </w:r>
    </w:p>
  </w:endnote>
  <w:endnote w:type="continuationSeparator" w:id="0">
    <w:p w14:paraId="787DCBE8" w14:textId="77777777" w:rsidR="00872F00" w:rsidRDefault="00872F00" w:rsidP="00275F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Open Sans">
    <w:panose1 w:val="020B0604020202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143F0" w14:textId="77777777" w:rsidR="00872F00" w:rsidRDefault="00872F00" w:rsidP="00275FC2">
      <w:r>
        <w:separator/>
      </w:r>
    </w:p>
  </w:footnote>
  <w:footnote w:type="continuationSeparator" w:id="0">
    <w:p w14:paraId="71038242" w14:textId="77777777" w:rsidR="00872F00" w:rsidRDefault="00872F00" w:rsidP="00275FC2">
      <w:r>
        <w:continuationSeparator/>
      </w:r>
    </w:p>
  </w:footnote>
  <w:footnote w:id="1">
    <w:p w14:paraId="22976338" w14:textId="01B7B013" w:rsidR="00197E3A" w:rsidRPr="00115306" w:rsidRDefault="00197E3A" w:rsidP="00E82F2E">
      <w:pPr>
        <w:pStyle w:val="Footer"/>
        <w:ind w:left="180" w:hanging="180"/>
        <w:rPr>
          <w:rFonts w:ascii="Times New Roman" w:hAnsi="Times New Roman" w:cs="Times New Roman"/>
        </w:rPr>
      </w:pPr>
      <w:r>
        <w:rPr>
          <w:rStyle w:val="FootnoteReference"/>
        </w:rPr>
        <w:footnoteRef/>
      </w:r>
      <w:r>
        <w:t xml:space="preserve"> </w:t>
      </w:r>
      <w:r w:rsidR="00367760">
        <w:t xml:space="preserve"> </w:t>
      </w:r>
      <w:r w:rsidRPr="00115306">
        <w:rPr>
          <w:rFonts w:ascii="Times New Roman" w:hAnsi="Times New Roman" w:cs="Times New Roman"/>
        </w:rPr>
        <w:t>Religious orientation was originally measured according to guidelines laid out by Allport and Ross (intrinsic and extrinsic</w:t>
      </w:r>
      <w:r w:rsidRPr="00115306">
        <w:rPr>
          <w:rFonts w:ascii="Times New Roman" w:hAnsi="Times New Roman" w:cs="Times New Roman"/>
        </w:rPr>
        <w:fldChar w:fldCharType="begin" w:fldLock="1"/>
      </w:r>
      <w:r w:rsidRPr="00115306">
        <w:rPr>
          <w:rFonts w:ascii="Times New Roman" w:hAnsi="Times New Roman" w:cs="Times New Roman"/>
        </w:rPr>
        <w:instrText>ADDIN CSL_CITATION {"citationItems":[{"id":"ITEM-1","itemData":{"DOI":"10.1037/h0021212","ISSN":"00223514","PMID":"6051769","abstract":"journal abstract: 3 generalizations seem well established concerning the relationship between subjective religion and ethnic prejudice: (a) On the average churchgoers are more prejudiced than nonchurchgoers; (b) the relationship is curvilinear; (c) people with an extrinsic religious orientation are significantly more prejudiced than people with an intrinsic religious orientation. With the aid of a scale to measure extrinsic and intrinsic orientation this research confirmed previous findings and added a 4th: people who are indiscriminately proreligious are the most prejudiced of all. The interpretations offered are in terms of cognitive style. (PsycINFO Database Record (c) 2006 APA, all rights reserved). © 1967 American Psychological Association.","author":[{"dropping-particle":"","family":"Allport","given":"Gordon W.","non-dropping-particle":"","parse-names":false,"suffix":""},{"dropping-particle":"","family":"Ross","given":"J. Michael","non-dropping-particle":"","parse-names":false,"suffix":""}],"container-title":"Journal of Personality and Social Psychology","id":"ITEM-1","issue":"4","issued":{"date-parts":[["1967"]]},"page":"432-443","title":"Personal religious orientation and prejudice","type":"article-journal","volume":"5"},"uris":["http://www.mendeley.com/documents/?uuid=85ab6e39-98c7-486c-b0e8-075c6ae346aa"]}],"mendeley":{"formattedCitation":"(Allport &amp; Ross, 1967)","manualFormatting":"; 1967)","plainTextFormattedCitation":"(Allport &amp; Ross, 1967)","previouslyFormattedCitation":"(Allport &amp; Ross, 1967)"},"properties":{"noteIndex":0},"schema":"https://github.com/citation-style-language/schema/raw/master/csl-citation.json"}</w:instrText>
      </w:r>
      <w:r w:rsidRPr="00115306">
        <w:rPr>
          <w:rFonts w:ascii="Times New Roman" w:hAnsi="Times New Roman" w:cs="Times New Roman"/>
        </w:rPr>
        <w:fldChar w:fldCharType="separate"/>
      </w:r>
      <w:r w:rsidRPr="00115306">
        <w:rPr>
          <w:rFonts w:ascii="Times New Roman" w:hAnsi="Times New Roman" w:cs="Times New Roman"/>
          <w:noProof/>
        </w:rPr>
        <w:t>; 1967)</w:t>
      </w:r>
      <w:r w:rsidRPr="00115306">
        <w:rPr>
          <w:rFonts w:ascii="Times New Roman" w:hAnsi="Times New Roman" w:cs="Times New Roman"/>
        </w:rPr>
        <w:fldChar w:fldCharType="end"/>
      </w:r>
      <w:r w:rsidRPr="00115306">
        <w:rPr>
          <w:rFonts w:ascii="Times New Roman" w:hAnsi="Times New Roman" w:cs="Times New Roman"/>
        </w:rPr>
        <w:t xml:space="preserve">. In 1982, Batson and Ventis developed a 6-item measure called the Interactional (or quest) Scale that was intended to get at the more questioning nature not present in Allport and Ross’s approach </w:t>
      </w:r>
      <w:r w:rsidRPr="00115306">
        <w:rPr>
          <w:rFonts w:ascii="Times New Roman" w:hAnsi="Times New Roman" w:cs="Times New Roman"/>
        </w:rPr>
        <w:fldChar w:fldCharType="begin" w:fldLock="1"/>
      </w:r>
      <w:r w:rsidRPr="00115306">
        <w:rPr>
          <w:rFonts w:ascii="Times New Roman" w:hAnsi="Times New Roman" w:cs="Times New Roman"/>
        </w:rPr>
        <w:instrText>ADDIN CSL_CITATION {"citationItems":[{"id":"ITEM-1","itemData":{"author":[{"dropping-particle":"","family":"Batson","given":"C. Daniel","non-dropping-particle":"","parse-names":false,"suffix":""},{"dropping-particle":"","family":"Ventis","given":"W Larry","non-dropping-particle":"","parse-names":false,"suffix":""}],"id":"ITEM-1","issued":{"date-parts":[["1982"]]},"publisher":"Oxford Univ. Press","title":"The religious experience: A social-psychological perspective","type":"book"},"uris":["http://www.mendeley.com/documents/?uuid=e86dde0f-0fed-47c0-9a9c-9b75f489a56c"]}],"mendeley":{"formattedCitation":"(Batson &amp; Ventis, 1982)","manualFormatting":"(Batson &amp; Ventis, 1982)","plainTextFormattedCitation":"(Batson &amp; Ventis, 1982)","previouslyFormattedCitation":"(Batson &amp; Ventis, 1982)"},"properties":{"noteIndex":0},"schema":"https://github.com/citation-style-language/schema/raw/master/csl-citation.json"}</w:instrText>
      </w:r>
      <w:r w:rsidRPr="00115306">
        <w:rPr>
          <w:rFonts w:ascii="Times New Roman" w:hAnsi="Times New Roman" w:cs="Times New Roman"/>
        </w:rPr>
        <w:fldChar w:fldCharType="separate"/>
      </w:r>
      <w:r w:rsidRPr="00115306">
        <w:rPr>
          <w:rFonts w:ascii="Times New Roman" w:hAnsi="Times New Roman" w:cs="Times New Roman"/>
          <w:noProof/>
        </w:rPr>
        <w:t>(Batson &amp; Ventis, 1982)</w:t>
      </w:r>
      <w:r w:rsidRPr="00115306">
        <w:rPr>
          <w:rFonts w:ascii="Times New Roman" w:hAnsi="Times New Roman" w:cs="Times New Roman"/>
        </w:rPr>
        <w:fldChar w:fldCharType="end"/>
      </w:r>
      <w:r w:rsidRPr="00115306">
        <w:rPr>
          <w:rFonts w:ascii="Times New Roman" w:hAnsi="Times New Roman" w:cs="Times New Roman"/>
        </w:rPr>
        <w:t xml:space="preserve">. The RLI was developed by Batson and Schoenrade as an extension to the Interactional Scale and measures religious orientation along each of the 3 dimensions, with 9 questions comprising the intrinsic scale, 11 questions for the extrinsic, and 12 questions for quest </w:t>
      </w:r>
      <w:r w:rsidRPr="00115306">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{"citationItems":[{"id":"ITEM-1","itemData":{"author":[{"dropping-particle":"","family":"Batson","given":"C Daniel","non-dropping-particle":"","parse-names":false,"suffix":""},{"dropping-particle":"","family":"Schoenrade","given":"Patricia A","non-dropping-particle":"","parse-names":false,"suffix":""}],"container-title":"Journal for the Scientific Study of Religion","id":"ITEM-1","issue":"4","issued":{"date-parts":[["1991"]]},"page":"430-447","title":"Measuring Religion as Quest: 2) Reliability Concerns","type":"article-journal","volume":"30"},"uris":["http://www.mendeley.com/documents/?uuid=d32701a2-969f-4f7b-b1e9-379a28918e0b"]}],"mendeley":{"formattedCitation":"(Batson &amp; Schoenrade, 1991b)","manualFormatting":"(Batson &amp; Schoenrade, 1991b)","plainTextFormattedCitation":"(Batson &amp; Schoenrade, 1991b)","previouslyFormattedCitation":"(Batson &amp; Schoenrade, 1991b)"},"properties":{"noteIndex":0},"schema":"https://github.com/citation-style-language/schema/raw/master/csl-citation.json"}</w:instrText>
      </w:r>
      <w:r w:rsidRPr="00115306">
        <w:rPr>
          <w:rFonts w:ascii="Times New Roman" w:hAnsi="Times New Roman" w:cs="Times New Roman"/>
        </w:rPr>
        <w:fldChar w:fldCharType="separate"/>
      </w:r>
      <w:r w:rsidRPr="00115306">
        <w:rPr>
          <w:rFonts w:ascii="Times New Roman" w:hAnsi="Times New Roman" w:cs="Times New Roman"/>
          <w:noProof/>
        </w:rPr>
        <w:t>(Batson &amp; Schoenrade, 1991b)</w:t>
      </w:r>
      <w:r w:rsidRPr="00115306">
        <w:rPr>
          <w:rFonts w:ascii="Times New Roman" w:hAnsi="Times New Roman" w:cs="Times New Roman"/>
        </w:rPr>
        <w:fldChar w:fldCharType="end"/>
      </w:r>
    </w:p>
    <w:p w14:paraId="24C6224E" w14:textId="77777777" w:rsidR="00197E3A" w:rsidRDefault="00197E3A" w:rsidP="00197E3A">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66E75" w14:textId="46D7CD80" w:rsidR="00197E3A" w:rsidRDefault="00197E3A" w:rsidP="00290143">
    <w:pPr>
      <w:pStyle w:val="Header"/>
      <w:tabs>
        <w:tab w:val="left" w:pos="274"/>
        <w:tab w:val="right" w:pos="9360"/>
      </w:tabs>
      <w:rPr>
        <w:rStyle w:val="PageNumber"/>
        <w:rFonts w:ascii="Times New Roman" w:hAnsi="Times New Roman" w:cs="Times New Roman"/>
      </w:rPr>
    </w:pPr>
    <w:r w:rsidRPr="00290143">
      <w:rPr>
        <w:rStyle w:val="PageNumber"/>
        <w:rFonts w:ascii="Times New Roman" w:hAnsi="Times New Roman" w:cs="Times New Roman"/>
      </w:rPr>
      <w:tab/>
    </w:r>
    <w:r w:rsidRPr="00290143">
      <w:rPr>
        <w:rStyle w:val="PageNumber"/>
        <w:rFonts w:ascii="Times New Roman" w:hAnsi="Times New Roman" w:cs="Times New Roman"/>
      </w:rPr>
      <w:tab/>
    </w:r>
    <w:r w:rsidRPr="00290143">
      <w:rPr>
        <w:rStyle w:val="PageNumber"/>
        <w:rFonts w:ascii="Times New Roman" w:hAnsi="Times New Roman" w:cs="Times New Roman"/>
      </w:rPr>
      <w:tab/>
    </w:r>
    <w:r w:rsidRPr="00290143">
      <w:rPr>
        <w:rStyle w:val="PageNumber"/>
        <w:rFonts w:ascii="Times New Roman" w:hAnsi="Times New Roman" w:cs="Times New Roman"/>
      </w:rPr>
      <w:fldChar w:fldCharType="begin"/>
    </w:r>
    <w:r w:rsidRPr="00290143">
      <w:rPr>
        <w:rStyle w:val="PageNumber"/>
        <w:rFonts w:ascii="Times New Roman" w:hAnsi="Times New Roman" w:cs="Times New Roman"/>
      </w:rPr>
      <w:instrText xml:space="preserve"> PAGE </w:instrText>
    </w:r>
    <w:r w:rsidRPr="00290143">
      <w:rPr>
        <w:rStyle w:val="PageNumber"/>
        <w:rFonts w:ascii="Times New Roman" w:hAnsi="Times New Roman" w:cs="Times New Roman"/>
      </w:rPr>
      <w:fldChar w:fldCharType="separate"/>
    </w:r>
    <w:r>
      <w:rPr>
        <w:rStyle w:val="PageNumber"/>
        <w:rFonts w:ascii="Times New Roman" w:hAnsi="Times New Roman" w:cs="Times New Roman"/>
        <w:noProof/>
      </w:rPr>
      <w:t>28</w:t>
    </w:r>
    <w:r w:rsidRPr="00290143">
      <w:rPr>
        <w:rStyle w:val="PageNumber"/>
        <w:rFonts w:ascii="Times New Roman" w:hAnsi="Times New Roman" w:cs="Times New Roman"/>
      </w:rPr>
      <w:fldChar w:fldCharType="end"/>
    </w:r>
  </w:p>
  <w:p w14:paraId="5FF3804A" w14:textId="1B8D7A17" w:rsidR="00A427D8" w:rsidRDefault="00A427D8" w:rsidP="00290143">
    <w:pPr>
      <w:pStyle w:val="Header"/>
      <w:tabs>
        <w:tab w:val="left" w:pos="274"/>
        <w:tab w:val="right" w:pos="9360"/>
      </w:tabs>
      <w:rPr>
        <w:rStyle w:val="PageNumber"/>
        <w:rFonts w:ascii="Times New Roman" w:hAnsi="Times New Roman" w:cs="Times New Roman"/>
      </w:rPr>
    </w:pPr>
  </w:p>
  <w:p w14:paraId="1D918AB7" w14:textId="77777777" w:rsidR="00A427D8" w:rsidRPr="00290143" w:rsidRDefault="00A427D8" w:rsidP="00290143">
    <w:pPr>
      <w:pStyle w:val="Header"/>
      <w:tabs>
        <w:tab w:val="left" w:pos="274"/>
        <w:tab w:val="right" w:pos="9360"/>
      </w:tabs>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82D64"/>
    <w:multiLevelType w:val="hybridMultilevel"/>
    <w:tmpl w:val="2526A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546465"/>
    <w:multiLevelType w:val="hybridMultilevel"/>
    <w:tmpl w:val="2A8EE486"/>
    <w:lvl w:ilvl="0" w:tplc="6B04F7CE">
      <w:start w:val="1"/>
      <w:numFmt w:val="upperRoman"/>
      <w:lvlText w:val="%1."/>
      <w:lvlJc w:val="left"/>
      <w:pPr>
        <w:ind w:left="720" w:hanging="360"/>
      </w:pPr>
      <w:rPr>
        <w:rFonts w:ascii="Times New Roman" w:eastAsia="Times New Roman"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6879B2"/>
    <w:multiLevelType w:val="hybridMultilevel"/>
    <w:tmpl w:val="EE3C37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2E5CDC"/>
    <w:multiLevelType w:val="hybridMultilevel"/>
    <w:tmpl w:val="76609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585FD7"/>
    <w:multiLevelType w:val="multilevel"/>
    <w:tmpl w:val="2402C5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53E6E8C"/>
    <w:multiLevelType w:val="hybridMultilevel"/>
    <w:tmpl w:val="9D763E6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7C84EDB"/>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D42780A"/>
    <w:multiLevelType w:val="hybridMultilevel"/>
    <w:tmpl w:val="B1FA588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2DEA1C61"/>
    <w:multiLevelType w:val="hybridMultilevel"/>
    <w:tmpl w:val="68FAD6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175B97"/>
    <w:multiLevelType w:val="hybridMultilevel"/>
    <w:tmpl w:val="E9F4D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B05807"/>
    <w:multiLevelType w:val="hybridMultilevel"/>
    <w:tmpl w:val="BB2E7C0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1" w15:restartNumberingAfterBreak="0">
    <w:nsid w:val="46E03864"/>
    <w:multiLevelType w:val="hybridMultilevel"/>
    <w:tmpl w:val="4724A1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1C34E7"/>
    <w:multiLevelType w:val="singleLevel"/>
    <w:tmpl w:val="0409000F"/>
    <w:lvl w:ilvl="0">
      <w:start w:val="1"/>
      <w:numFmt w:val="decimal"/>
      <w:lvlText w:val="%1."/>
      <w:lvlJc w:val="left"/>
      <w:pPr>
        <w:tabs>
          <w:tab w:val="num" w:pos="360"/>
        </w:tabs>
        <w:ind w:left="360" w:hanging="360"/>
      </w:pPr>
      <w:rPr>
        <w:rFonts w:hint="default"/>
      </w:rPr>
    </w:lvl>
  </w:abstractNum>
  <w:abstractNum w:abstractNumId="13" w15:restartNumberingAfterBreak="0">
    <w:nsid w:val="6D53479A"/>
    <w:multiLevelType w:val="hybridMultilevel"/>
    <w:tmpl w:val="3FB8E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486AA1"/>
    <w:multiLevelType w:val="hybridMultilevel"/>
    <w:tmpl w:val="C0E0E04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16cid:durableId="1086610402">
    <w:abstractNumId w:val="5"/>
  </w:num>
  <w:num w:numId="2" w16cid:durableId="1813450517">
    <w:abstractNumId w:val="3"/>
  </w:num>
  <w:num w:numId="3" w16cid:durableId="1249189605">
    <w:abstractNumId w:val="0"/>
  </w:num>
  <w:num w:numId="4" w16cid:durableId="1783181147">
    <w:abstractNumId w:val="11"/>
  </w:num>
  <w:num w:numId="5" w16cid:durableId="2072458590">
    <w:abstractNumId w:val="6"/>
  </w:num>
  <w:num w:numId="6" w16cid:durableId="1645087668">
    <w:abstractNumId w:val="2"/>
  </w:num>
  <w:num w:numId="7" w16cid:durableId="742991307">
    <w:abstractNumId w:val="7"/>
  </w:num>
  <w:num w:numId="8" w16cid:durableId="1625119113">
    <w:abstractNumId w:val="12"/>
  </w:num>
  <w:num w:numId="9" w16cid:durableId="653486542">
    <w:abstractNumId w:val="10"/>
  </w:num>
  <w:num w:numId="10" w16cid:durableId="1151556867">
    <w:abstractNumId w:val="14"/>
  </w:num>
  <w:num w:numId="11" w16cid:durableId="1968467941">
    <w:abstractNumId w:val="1"/>
  </w:num>
  <w:num w:numId="12" w16cid:durableId="869075600">
    <w:abstractNumId w:val="8"/>
  </w:num>
  <w:num w:numId="13" w16cid:durableId="773356961">
    <w:abstractNumId w:val="13"/>
  </w:num>
  <w:num w:numId="14" w16cid:durableId="60639430">
    <w:abstractNumId w:val="4"/>
  </w:num>
  <w:num w:numId="15" w16cid:durableId="7190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555"/>
    <w:rsid w:val="00000AF5"/>
    <w:rsid w:val="000012D3"/>
    <w:rsid w:val="00003005"/>
    <w:rsid w:val="00003CA6"/>
    <w:rsid w:val="00005FE9"/>
    <w:rsid w:val="00007A06"/>
    <w:rsid w:val="00012A5B"/>
    <w:rsid w:val="00014655"/>
    <w:rsid w:val="00015365"/>
    <w:rsid w:val="000217E3"/>
    <w:rsid w:val="00022608"/>
    <w:rsid w:val="00023D21"/>
    <w:rsid w:val="00023F39"/>
    <w:rsid w:val="00030C19"/>
    <w:rsid w:val="00033796"/>
    <w:rsid w:val="00034631"/>
    <w:rsid w:val="000367ED"/>
    <w:rsid w:val="00041127"/>
    <w:rsid w:val="0004357E"/>
    <w:rsid w:val="00044796"/>
    <w:rsid w:val="00050BFD"/>
    <w:rsid w:val="00053C90"/>
    <w:rsid w:val="00055766"/>
    <w:rsid w:val="00055863"/>
    <w:rsid w:val="00055AF3"/>
    <w:rsid w:val="00056FD9"/>
    <w:rsid w:val="000577FA"/>
    <w:rsid w:val="000614C9"/>
    <w:rsid w:val="000645B5"/>
    <w:rsid w:val="000660C9"/>
    <w:rsid w:val="00070866"/>
    <w:rsid w:val="00070FA8"/>
    <w:rsid w:val="0007109A"/>
    <w:rsid w:val="00071E52"/>
    <w:rsid w:val="00072226"/>
    <w:rsid w:val="0007235D"/>
    <w:rsid w:val="000723FF"/>
    <w:rsid w:val="00075147"/>
    <w:rsid w:val="0007657E"/>
    <w:rsid w:val="00083BFF"/>
    <w:rsid w:val="00085FC9"/>
    <w:rsid w:val="00086398"/>
    <w:rsid w:val="000870F8"/>
    <w:rsid w:val="00087135"/>
    <w:rsid w:val="00090BB7"/>
    <w:rsid w:val="00091537"/>
    <w:rsid w:val="000929C2"/>
    <w:rsid w:val="00092B37"/>
    <w:rsid w:val="000A0DBD"/>
    <w:rsid w:val="000A0FF4"/>
    <w:rsid w:val="000A20A1"/>
    <w:rsid w:val="000A2AF8"/>
    <w:rsid w:val="000A5EF6"/>
    <w:rsid w:val="000A6347"/>
    <w:rsid w:val="000A65EC"/>
    <w:rsid w:val="000B403B"/>
    <w:rsid w:val="000B57D9"/>
    <w:rsid w:val="000B6E5B"/>
    <w:rsid w:val="000C1695"/>
    <w:rsid w:val="000C209C"/>
    <w:rsid w:val="000C26D1"/>
    <w:rsid w:val="000C492A"/>
    <w:rsid w:val="000C50C9"/>
    <w:rsid w:val="000D22FC"/>
    <w:rsid w:val="000E534F"/>
    <w:rsid w:val="000E5977"/>
    <w:rsid w:val="000F022C"/>
    <w:rsid w:val="000F2760"/>
    <w:rsid w:val="000F3629"/>
    <w:rsid w:val="000F3C6E"/>
    <w:rsid w:val="000F467D"/>
    <w:rsid w:val="000F5949"/>
    <w:rsid w:val="000F7042"/>
    <w:rsid w:val="00104958"/>
    <w:rsid w:val="001060C0"/>
    <w:rsid w:val="00106D00"/>
    <w:rsid w:val="0011029B"/>
    <w:rsid w:val="00111F08"/>
    <w:rsid w:val="0012306E"/>
    <w:rsid w:val="00133D11"/>
    <w:rsid w:val="001358D7"/>
    <w:rsid w:val="0014798B"/>
    <w:rsid w:val="00147F6C"/>
    <w:rsid w:val="0015116A"/>
    <w:rsid w:val="001515AE"/>
    <w:rsid w:val="00152059"/>
    <w:rsid w:val="00154B46"/>
    <w:rsid w:val="001554C3"/>
    <w:rsid w:val="0015587A"/>
    <w:rsid w:val="001559C6"/>
    <w:rsid w:val="00160834"/>
    <w:rsid w:val="001615DB"/>
    <w:rsid w:val="001665DD"/>
    <w:rsid w:val="001678EE"/>
    <w:rsid w:val="00171816"/>
    <w:rsid w:val="00172F07"/>
    <w:rsid w:val="00174E7E"/>
    <w:rsid w:val="001753F0"/>
    <w:rsid w:val="0017561F"/>
    <w:rsid w:val="00175EB5"/>
    <w:rsid w:val="0017661E"/>
    <w:rsid w:val="00176A72"/>
    <w:rsid w:val="00180FBD"/>
    <w:rsid w:val="00181122"/>
    <w:rsid w:val="00181FEE"/>
    <w:rsid w:val="001828A5"/>
    <w:rsid w:val="0018470E"/>
    <w:rsid w:val="00184B0F"/>
    <w:rsid w:val="001941D4"/>
    <w:rsid w:val="0019504A"/>
    <w:rsid w:val="001966F5"/>
    <w:rsid w:val="0019735D"/>
    <w:rsid w:val="00197E3A"/>
    <w:rsid w:val="001A033B"/>
    <w:rsid w:val="001A2326"/>
    <w:rsid w:val="001A2AC0"/>
    <w:rsid w:val="001A37E5"/>
    <w:rsid w:val="001A5617"/>
    <w:rsid w:val="001A5BE4"/>
    <w:rsid w:val="001A5F40"/>
    <w:rsid w:val="001B2140"/>
    <w:rsid w:val="001B464A"/>
    <w:rsid w:val="001B7802"/>
    <w:rsid w:val="001B7946"/>
    <w:rsid w:val="001C17BA"/>
    <w:rsid w:val="001C2FB8"/>
    <w:rsid w:val="001C4BE6"/>
    <w:rsid w:val="001C510D"/>
    <w:rsid w:val="001C532C"/>
    <w:rsid w:val="001D1081"/>
    <w:rsid w:val="001D5185"/>
    <w:rsid w:val="001D53AD"/>
    <w:rsid w:val="001D6B95"/>
    <w:rsid w:val="001E26C6"/>
    <w:rsid w:val="001E2C2A"/>
    <w:rsid w:val="001E6D44"/>
    <w:rsid w:val="001E7879"/>
    <w:rsid w:val="001F04CB"/>
    <w:rsid w:val="001F13D6"/>
    <w:rsid w:val="001F21B3"/>
    <w:rsid w:val="001F39D5"/>
    <w:rsid w:val="001F6A20"/>
    <w:rsid w:val="001F77F3"/>
    <w:rsid w:val="001F7A83"/>
    <w:rsid w:val="00200F3D"/>
    <w:rsid w:val="002017C3"/>
    <w:rsid w:val="00204378"/>
    <w:rsid w:val="00213858"/>
    <w:rsid w:val="002153DC"/>
    <w:rsid w:val="0021613F"/>
    <w:rsid w:val="002212A0"/>
    <w:rsid w:val="00221411"/>
    <w:rsid w:val="00223B42"/>
    <w:rsid w:val="00223D48"/>
    <w:rsid w:val="00223F7A"/>
    <w:rsid w:val="00224EAB"/>
    <w:rsid w:val="002268C5"/>
    <w:rsid w:val="002309AB"/>
    <w:rsid w:val="00233C8E"/>
    <w:rsid w:val="002343AD"/>
    <w:rsid w:val="002362A7"/>
    <w:rsid w:val="002374D8"/>
    <w:rsid w:val="002378F4"/>
    <w:rsid w:val="00243338"/>
    <w:rsid w:val="00243D0B"/>
    <w:rsid w:val="00245AAF"/>
    <w:rsid w:val="00252FD5"/>
    <w:rsid w:val="00255DB1"/>
    <w:rsid w:val="0026007F"/>
    <w:rsid w:val="00261710"/>
    <w:rsid w:val="00262F49"/>
    <w:rsid w:val="0026338D"/>
    <w:rsid w:val="002633CB"/>
    <w:rsid w:val="00270089"/>
    <w:rsid w:val="00270625"/>
    <w:rsid w:val="0027210E"/>
    <w:rsid w:val="00273180"/>
    <w:rsid w:val="00275FC2"/>
    <w:rsid w:val="00277301"/>
    <w:rsid w:val="002800C9"/>
    <w:rsid w:val="002834B1"/>
    <w:rsid w:val="0028531B"/>
    <w:rsid w:val="00287359"/>
    <w:rsid w:val="00290143"/>
    <w:rsid w:val="00291F54"/>
    <w:rsid w:val="002923D8"/>
    <w:rsid w:val="00292D06"/>
    <w:rsid w:val="00297234"/>
    <w:rsid w:val="002A5B58"/>
    <w:rsid w:val="002A6A01"/>
    <w:rsid w:val="002B1A0A"/>
    <w:rsid w:val="002B2D12"/>
    <w:rsid w:val="002B3BBB"/>
    <w:rsid w:val="002B466F"/>
    <w:rsid w:val="002C0641"/>
    <w:rsid w:val="002C1CDC"/>
    <w:rsid w:val="002C2276"/>
    <w:rsid w:val="002C31AE"/>
    <w:rsid w:val="002C71C4"/>
    <w:rsid w:val="002C7CBD"/>
    <w:rsid w:val="002D0157"/>
    <w:rsid w:val="002D0291"/>
    <w:rsid w:val="002D56A4"/>
    <w:rsid w:val="002D5E4B"/>
    <w:rsid w:val="002E2832"/>
    <w:rsid w:val="002E3137"/>
    <w:rsid w:val="002E470D"/>
    <w:rsid w:val="002E60B2"/>
    <w:rsid w:val="002E658F"/>
    <w:rsid w:val="002E7091"/>
    <w:rsid w:val="002F2280"/>
    <w:rsid w:val="002F24D6"/>
    <w:rsid w:val="002F6035"/>
    <w:rsid w:val="002F7C73"/>
    <w:rsid w:val="003009B4"/>
    <w:rsid w:val="003018CE"/>
    <w:rsid w:val="003028B4"/>
    <w:rsid w:val="00306F41"/>
    <w:rsid w:val="003074A1"/>
    <w:rsid w:val="00310A2B"/>
    <w:rsid w:val="00310DF9"/>
    <w:rsid w:val="0031145A"/>
    <w:rsid w:val="00311F44"/>
    <w:rsid w:val="0031759E"/>
    <w:rsid w:val="003202C5"/>
    <w:rsid w:val="00321BCF"/>
    <w:rsid w:val="0032312B"/>
    <w:rsid w:val="0032427A"/>
    <w:rsid w:val="003244C1"/>
    <w:rsid w:val="00324F41"/>
    <w:rsid w:val="00325132"/>
    <w:rsid w:val="00325B35"/>
    <w:rsid w:val="003343EC"/>
    <w:rsid w:val="00334461"/>
    <w:rsid w:val="00337C87"/>
    <w:rsid w:val="0034256B"/>
    <w:rsid w:val="00344BC4"/>
    <w:rsid w:val="0034732F"/>
    <w:rsid w:val="003547EF"/>
    <w:rsid w:val="00357636"/>
    <w:rsid w:val="00361801"/>
    <w:rsid w:val="003623F1"/>
    <w:rsid w:val="0036287B"/>
    <w:rsid w:val="00365C79"/>
    <w:rsid w:val="0036632A"/>
    <w:rsid w:val="00367760"/>
    <w:rsid w:val="0037445B"/>
    <w:rsid w:val="0037482D"/>
    <w:rsid w:val="00374CA5"/>
    <w:rsid w:val="003758B8"/>
    <w:rsid w:val="00375B7B"/>
    <w:rsid w:val="00375BF1"/>
    <w:rsid w:val="003837D7"/>
    <w:rsid w:val="00383EC6"/>
    <w:rsid w:val="00385BD3"/>
    <w:rsid w:val="00386135"/>
    <w:rsid w:val="003876C5"/>
    <w:rsid w:val="00396203"/>
    <w:rsid w:val="00396EF7"/>
    <w:rsid w:val="00397FBD"/>
    <w:rsid w:val="003A032B"/>
    <w:rsid w:val="003A24A1"/>
    <w:rsid w:val="003A2D0A"/>
    <w:rsid w:val="003A3A01"/>
    <w:rsid w:val="003A6D04"/>
    <w:rsid w:val="003B2242"/>
    <w:rsid w:val="003B4B6C"/>
    <w:rsid w:val="003B4EEB"/>
    <w:rsid w:val="003B715D"/>
    <w:rsid w:val="003B7511"/>
    <w:rsid w:val="003C4164"/>
    <w:rsid w:val="003D1322"/>
    <w:rsid w:val="003D2E41"/>
    <w:rsid w:val="003D39CF"/>
    <w:rsid w:val="003D44D0"/>
    <w:rsid w:val="003D6BD3"/>
    <w:rsid w:val="003D7970"/>
    <w:rsid w:val="003D7CD4"/>
    <w:rsid w:val="003E0B03"/>
    <w:rsid w:val="003E5F37"/>
    <w:rsid w:val="003F094D"/>
    <w:rsid w:val="00401AF4"/>
    <w:rsid w:val="00403217"/>
    <w:rsid w:val="00403C66"/>
    <w:rsid w:val="00405E5F"/>
    <w:rsid w:val="00406DB7"/>
    <w:rsid w:val="00407BF6"/>
    <w:rsid w:val="00410CAB"/>
    <w:rsid w:val="0041189D"/>
    <w:rsid w:val="00412397"/>
    <w:rsid w:val="00412AB0"/>
    <w:rsid w:val="004132E0"/>
    <w:rsid w:val="0041374A"/>
    <w:rsid w:val="00414D31"/>
    <w:rsid w:val="00417C49"/>
    <w:rsid w:val="00423014"/>
    <w:rsid w:val="00424546"/>
    <w:rsid w:val="004342C9"/>
    <w:rsid w:val="004401AD"/>
    <w:rsid w:val="0044458B"/>
    <w:rsid w:val="00446610"/>
    <w:rsid w:val="00446C53"/>
    <w:rsid w:val="004478E5"/>
    <w:rsid w:val="00454506"/>
    <w:rsid w:val="004547BE"/>
    <w:rsid w:val="00454DDD"/>
    <w:rsid w:val="00457555"/>
    <w:rsid w:val="00457D1D"/>
    <w:rsid w:val="00461500"/>
    <w:rsid w:val="00464C39"/>
    <w:rsid w:val="00470ABF"/>
    <w:rsid w:val="00472310"/>
    <w:rsid w:val="00473ED8"/>
    <w:rsid w:val="00474F73"/>
    <w:rsid w:val="00476D33"/>
    <w:rsid w:val="00476EB4"/>
    <w:rsid w:val="00477E51"/>
    <w:rsid w:val="0048117E"/>
    <w:rsid w:val="0048194E"/>
    <w:rsid w:val="00484590"/>
    <w:rsid w:val="004914BD"/>
    <w:rsid w:val="004918FB"/>
    <w:rsid w:val="00491F3C"/>
    <w:rsid w:val="0049516E"/>
    <w:rsid w:val="00495A21"/>
    <w:rsid w:val="00496E4D"/>
    <w:rsid w:val="00496EF7"/>
    <w:rsid w:val="00497B76"/>
    <w:rsid w:val="004A2016"/>
    <w:rsid w:val="004A28BE"/>
    <w:rsid w:val="004A74CA"/>
    <w:rsid w:val="004B0DDA"/>
    <w:rsid w:val="004B171B"/>
    <w:rsid w:val="004B2906"/>
    <w:rsid w:val="004B4062"/>
    <w:rsid w:val="004C0A08"/>
    <w:rsid w:val="004C4CB2"/>
    <w:rsid w:val="004C6AA8"/>
    <w:rsid w:val="004D0C10"/>
    <w:rsid w:val="004D54F9"/>
    <w:rsid w:val="004D5C2B"/>
    <w:rsid w:val="004E19EA"/>
    <w:rsid w:val="004E29B8"/>
    <w:rsid w:val="004E3314"/>
    <w:rsid w:val="004E6FD8"/>
    <w:rsid w:val="004F22F3"/>
    <w:rsid w:val="004F2B61"/>
    <w:rsid w:val="004F6C10"/>
    <w:rsid w:val="004F6FBA"/>
    <w:rsid w:val="00501DD1"/>
    <w:rsid w:val="00502FEF"/>
    <w:rsid w:val="00504A5B"/>
    <w:rsid w:val="005107A8"/>
    <w:rsid w:val="0051080C"/>
    <w:rsid w:val="00510DBD"/>
    <w:rsid w:val="00520935"/>
    <w:rsid w:val="0052224D"/>
    <w:rsid w:val="00522A46"/>
    <w:rsid w:val="00523FD7"/>
    <w:rsid w:val="00525034"/>
    <w:rsid w:val="00525232"/>
    <w:rsid w:val="00525401"/>
    <w:rsid w:val="005255EE"/>
    <w:rsid w:val="005314FB"/>
    <w:rsid w:val="0053386B"/>
    <w:rsid w:val="00544156"/>
    <w:rsid w:val="00544AE3"/>
    <w:rsid w:val="005458E2"/>
    <w:rsid w:val="0054602E"/>
    <w:rsid w:val="00546D58"/>
    <w:rsid w:val="00550902"/>
    <w:rsid w:val="00550D45"/>
    <w:rsid w:val="00551C5F"/>
    <w:rsid w:val="005521B5"/>
    <w:rsid w:val="005527C7"/>
    <w:rsid w:val="00556A98"/>
    <w:rsid w:val="005571C7"/>
    <w:rsid w:val="005611E7"/>
    <w:rsid w:val="00561321"/>
    <w:rsid w:val="00562161"/>
    <w:rsid w:val="005630CA"/>
    <w:rsid w:val="0056424F"/>
    <w:rsid w:val="005648C6"/>
    <w:rsid w:val="00571BDB"/>
    <w:rsid w:val="00572068"/>
    <w:rsid w:val="0057380F"/>
    <w:rsid w:val="00573B2F"/>
    <w:rsid w:val="0057490A"/>
    <w:rsid w:val="00577DFC"/>
    <w:rsid w:val="0058331B"/>
    <w:rsid w:val="00583832"/>
    <w:rsid w:val="00585634"/>
    <w:rsid w:val="00586507"/>
    <w:rsid w:val="00590FBB"/>
    <w:rsid w:val="005934F0"/>
    <w:rsid w:val="00597842"/>
    <w:rsid w:val="005A030E"/>
    <w:rsid w:val="005A1D9A"/>
    <w:rsid w:val="005A2445"/>
    <w:rsid w:val="005A3565"/>
    <w:rsid w:val="005A4434"/>
    <w:rsid w:val="005B0460"/>
    <w:rsid w:val="005B41B4"/>
    <w:rsid w:val="005B701D"/>
    <w:rsid w:val="005C19D7"/>
    <w:rsid w:val="005C2543"/>
    <w:rsid w:val="005C4D8F"/>
    <w:rsid w:val="005C5991"/>
    <w:rsid w:val="005C67E8"/>
    <w:rsid w:val="005D24BE"/>
    <w:rsid w:val="005D2512"/>
    <w:rsid w:val="005D32AF"/>
    <w:rsid w:val="005D62CB"/>
    <w:rsid w:val="005D6C84"/>
    <w:rsid w:val="005D71CF"/>
    <w:rsid w:val="005E339B"/>
    <w:rsid w:val="005E4928"/>
    <w:rsid w:val="005E4FDA"/>
    <w:rsid w:val="005E61D7"/>
    <w:rsid w:val="005F29F0"/>
    <w:rsid w:val="005F44B6"/>
    <w:rsid w:val="005F50A5"/>
    <w:rsid w:val="005F57F6"/>
    <w:rsid w:val="005F63F7"/>
    <w:rsid w:val="005F6E3A"/>
    <w:rsid w:val="005F71B2"/>
    <w:rsid w:val="006025A3"/>
    <w:rsid w:val="00602DF2"/>
    <w:rsid w:val="006031A5"/>
    <w:rsid w:val="006046C3"/>
    <w:rsid w:val="00604A22"/>
    <w:rsid w:val="00607750"/>
    <w:rsid w:val="0061272F"/>
    <w:rsid w:val="00613C36"/>
    <w:rsid w:val="006241EA"/>
    <w:rsid w:val="00626971"/>
    <w:rsid w:val="00630C19"/>
    <w:rsid w:val="0063179F"/>
    <w:rsid w:val="00632720"/>
    <w:rsid w:val="00632CB4"/>
    <w:rsid w:val="00635247"/>
    <w:rsid w:val="0063540C"/>
    <w:rsid w:val="0063549F"/>
    <w:rsid w:val="00640D9C"/>
    <w:rsid w:val="00644086"/>
    <w:rsid w:val="006460A4"/>
    <w:rsid w:val="00652DF5"/>
    <w:rsid w:val="00653F93"/>
    <w:rsid w:val="00654080"/>
    <w:rsid w:val="0065579E"/>
    <w:rsid w:val="0066220F"/>
    <w:rsid w:val="00662BFC"/>
    <w:rsid w:val="00664092"/>
    <w:rsid w:val="00665103"/>
    <w:rsid w:val="00666748"/>
    <w:rsid w:val="00667EEE"/>
    <w:rsid w:val="0067004E"/>
    <w:rsid w:val="00670F29"/>
    <w:rsid w:val="00672173"/>
    <w:rsid w:val="00675CCD"/>
    <w:rsid w:val="006762D3"/>
    <w:rsid w:val="006826A7"/>
    <w:rsid w:val="00682FDE"/>
    <w:rsid w:val="006852E8"/>
    <w:rsid w:val="00685492"/>
    <w:rsid w:val="006859CB"/>
    <w:rsid w:val="006909E4"/>
    <w:rsid w:val="006924EA"/>
    <w:rsid w:val="00694171"/>
    <w:rsid w:val="006964D7"/>
    <w:rsid w:val="00696DB8"/>
    <w:rsid w:val="006A232C"/>
    <w:rsid w:val="006A2F0F"/>
    <w:rsid w:val="006A3545"/>
    <w:rsid w:val="006A3953"/>
    <w:rsid w:val="006A474E"/>
    <w:rsid w:val="006A6DC4"/>
    <w:rsid w:val="006A725E"/>
    <w:rsid w:val="006B03F0"/>
    <w:rsid w:val="006B11C7"/>
    <w:rsid w:val="006B3746"/>
    <w:rsid w:val="006B6EB4"/>
    <w:rsid w:val="006C01AD"/>
    <w:rsid w:val="006C1BCD"/>
    <w:rsid w:val="006C2244"/>
    <w:rsid w:val="006C3DE5"/>
    <w:rsid w:val="006C4B1C"/>
    <w:rsid w:val="006D22E1"/>
    <w:rsid w:val="006D4553"/>
    <w:rsid w:val="006E37D4"/>
    <w:rsid w:val="006E6A6A"/>
    <w:rsid w:val="006F1D93"/>
    <w:rsid w:val="006F3043"/>
    <w:rsid w:val="006F3FC2"/>
    <w:rsid w:val="006F437D"/>
    <w:rsid w:val="006F6918"/>
    <w:rsid w:val="007015CC"/>
    <w:rsid w:val="00703C42"/>
    <w:rsid w:val="0070513D"/>
    <w:rsid w:val="0070592A"/>
    <w:rsid w:val="007070D3"/>
    <w:rsid w:val="00711978"/>
    <w:rsid w:val="00711B86"/>
    <w:rsid w:val="00714A1A"/>
    <w:rsid w:val="007207F7"/>
    <w:rsid w:val="00721C5A"/>
    <w:rsid w:val="00721E1F"/>
    <w:rsid w:val="007278F6"/>
    <w:rsid w:val="00730915"/>
    <w:rsid w:val="007345AE"/>
    <w:rsid w:val="00735A8D"/>
    <w:rsid w:val="00735BBD"/>
    <w:rsid w:val="00735D82"/>
    <w:rsid w:val="00737F49"/>
    <w:rsid w:val="00740FF4"/>
    <w:rsid w:val="00741CC0"/>
    <w:rsid w:val="00744096"/>
    <w:rsid w:val="00744BB0"/>
    <w:rsid w:val="007453E3"/>
    <w:rsid w:val="00745E1A"/>
    <w:rsid w:val="00746696"/>
    <w:rsid w:val="00750667"/>
    <w:rsid w:val="00750B55"/>
    <w:rsid w:val="00750F6D"/>
    <w:rsid w:val="00751902"/>
    <w:rsid w:val="00754518"/>
    <w:rsid w:val="00755C17"/>
    <w:rsid w:val="007569B9"/>
    <w:rsid w:val="00761FB4"/>
    <w:rsid w:val="00763B3D"/>
    <w:rsid w:val="00773E7C"/>
    <w:rsid w:val="00776800"/>
    <w:rsid w:val="00787B90"/>
    <w:rsid w:val="00793A08"/>
    <w:rsid w:val="00797E38"/>
    <w:rsid w:val="007A12E7"/>
    <w:rsid w:val="007A4163"/>
    <w:rsid w:val="007A5F05"/>
    <w:rsid w:val="007A62B1"/>
    <w:rsid w:val="007A73AB"/>
    <w:rsid w:val="007B012E"/>
    <w:rsid w:val="007B1929"/>
    <w:rsid w:val="007B372E"/>
    <w:rsid w:val="007B4916"/>
    <w:rsid w:val="007B6FE4"/>
    <w:rsid w:val="007B79C8"/>
    <w:rsid w:val="007C0A5A"/>
    <w:rsid w:val="007C0A8C"/>
    <w:rsid w:val="007C3052"/>
    <w:rsid w:val="007C33ED"/>
    <w:rsid w:val="007C5660"/>
    <w:rsid w:val="007C66A6"/>
    <w:rsid w:val="007C6CE5"/>
    <w:rsid w:val="007C6D48"/>
    <w:rsid w:val="007D3CD1"/>
    <w:rsid w:val="007D3F2B"/>
    <w:rsid w:val="007D64DD"/>
    <w:rsid w:val="007E3E14"/>
    <w:rsid w:val="007E4EE7"/>
    <w:rsid w:val="007E5F97"/>
    <w:rsid w:val="007F350E"/>
    <w:rsid w:val="007F78D8"/>
    <w:rsid w:val="00802FCC"/>
    <w:rsid w:val="008131BF"/>
    <w:rsid w:val="00815B3C"/>
    <w:rsid w:val="00817050"/>
    <w:rsid w:val="00817233"/>
    <w:rsid w:val="00820AAE"/>
    <w:rsid w:val="00823115"/>
    <w:rsid w:val="00824519"/>
    <w:rsid w:val="0082627E"/>
    <w:rsid w:val="008263CC"/>
    <w:rsid w:val="00831F38"/>
    <w:rsid w:val="008325BE"/>
    <w:rsid w:val="00832DEB"/>
    <w:rsid w:val="00833061"/>
    <w:rsid w:val="00833B3A"/>
    <w:rsid w:val="008358B5"/>
    <w:rsid w:val="00835B00"/>
    <w:rsid w:val="0083655F"/>
    <w:rsid w:val="00841531"/>
    <w:rsid w:val="00843F3F"/>
    <w:rsid w:val="00845983"/>
    <w:rsid w:val="00845FF4"/>
    <w:rsid w:val="00846309"/>
    <w:rsid w:val="00850DF4"/>
    <w:rsid w:val="0085225C"/>
    <w:rsid w:val="00853483"/>
    <w:rsid w:val="0085671F"/>
    <w:rsid w:val="00857FAB"/>
    <w:rsid w:val="00864A0E"/>
    <w:rsid w:val="00872F00"/>
    <w:rsid w:val="00875114"/>
    <w:rsid w:val="00876B5B"/>
    <w:rsid w:val="00883021"/>
    <w:rsid w:val="008838DE"/>
    <w:rsid w:val="00886221"/>
    <w:rsid w:val="00887AF0"/>
    <w:rsid w:val="00892C53"/>
    <w:rsid w:val="00892C8D"/>
    <w:rsid w:val="008946BB"/>
    <w:rsid w:val="008A0378"/>
    <w:rsid w:val="008A07EC"/>
    <w:rsid w:val="008A25C4"/>
    <w:rsid w:val="008A385C"/>
    <w:rsid w:val="008A640F"/>
    <w:rsid w:val="008A6F6A"/>
    <w:rsid w:val="008B01B4"/>
    <w:rsid w:val="008B4010"/>
    <w:rsid w:val="008B4C27"/>
    <w:rsid w:val="008B5781"/>
    <w:rsid w:val="008B59CD"/>
    <w:rsid w:val="008B72C2"/>
    <w:rsid w:val="008B7A13"/>
    <w:rsid w:val="008C0006"/>
    <w:rsid w:val="008D1B89"/>
    <w:rsid w:val="008D3053"/>
    <w:rsid w:val="008D3345"/>
    <w:rsid w:val="008D6144"/>
    <w:rsid w:val="008D6E99"/>
    <w:rsid w:val="008D770A"/>
    <w:rsid w:val="008E01CA"/>
    <w:rsid w:val="008E1158"/>
    <w:rsid w:val="008E4F86"/>
    <w:rsid w:val="008E59BF"/>
    <w:rsid w:val="008E645F"/>
    <w:rsid w:val="008E717B"/>
    <w:rsid w:val="008F1992"/>
    <w:rsid w:val="008F1AC2"/>
    <w:rsid w:val="008F2EAD"/>
    <w:rsid w:val="008F57D7"/>
    <w:rsid w:val="008F6514"/>
    <w:rsid w:val="008F6FB2"/>
    <w:rsid w:val="00901D1F"/>
    <w:rsid w:val="00906050"/>
    <w:rsid w:val="00912165"/>
    <w:rsid w:val="009130F4"/>
    <w:rsid w:val="00922056"/>
    <w:rsid w:val="00925C44"/>
    <w:rsid w:val="009260F9"/>
    <w:rsid w:val="009269AC"/>
    <w:rsid w:val="00927012"/>
    <w:rsid w:val="00927672"/>
    <w:rsid w:val="00927C59"/>
    <w:rsid w:val="00927D63"/>
    <w:rsid w:val="00932501"/>
    <w:rsid w:val="00935A5B"/>
    <w:rsid w:val="0093651C"/>
    <w:rsid w:val="0094280E"/>
    <w:rsid w:val="00945C0E"/>
    <w:rsid w:val="00945F5D"/>
    <w:rsid w:val="00950165"/>
    <w:rsid w:val="00950A6C"/>
    <w:rsid w:val="009539CD"/>
    <w:rsid w:val="00955E63"/>
    <w:rsid w:val="00957936"/>
    <w:rsid w:val="00957C11"/>
    <w:rsid w:val="00961DD7"/>
    <w:rsid w:val="0096207D"/>
    <w:rsid w:val="00963107"/>
    <w:rsid w:val="00965CAF"/>
    <w:rsid w:val="009835F7"/>
    <w:rsid w:val="009839A7"/>
    <w:rsid w:val="009851A3"/>
    <w:rsid w:val="00985A0D"/>
    <w:rsid w:val="00990100"/>
    <w:rsid w:val="00991842"/>
    <w:rsid w:val="00992A9A"/>
    <w:rsid w:val="00995D14"/>
    <w:rsid w:val="009A15F2"/>
    <w:rsid w:val="009A4D53"/>
    <w:rsid w:val="009B2684"/>
    <w:rsid w:val="009B2D20"/>
    <w:rsid w:val="009B345D"/>
    <w:rsid w:val="009B41FF"/>
    <w:rsid w:val="009B70F8"/>
    <w:rsid w:val="009B7358"/>
    <w:rsid w:val="009B74FF"/>
    <w:rsid w:val="009C0486"/>
    <w:rsid w:val="009C426E"/>
    <w:rsid w:val="009C50E4"/>
    <w:rsid w:val="009D0202"/>
    <w:rsid w:val="009D13A4"/>
    <w:rsid w:val="009D2EF1"/>
    <w:rsid w:val="009D54F1"/>
    <w:rsid w:val="009D7760"/>
    <w:rsid w:val="009E2547"/>
    <w:rsid w:val="009E268A"/>
    <w:rsid w:val="009E4A67"/>
    <w:rsid w:val="009E5BB8"/>
    <w:rsid w:val="009F26BA"/>
    <w:rsid w:val="009F401A"/>
    <w:rsid w:val="009F449A"/>
    <w:rsid w:val="00A00039"/>
    <w:rsid w:val="00A001A7"/>
    <w:rsid w:val="00A06144"/>
    <w:rsid w:val="00A074A4"/>
    <w:rsid w:val="00A07944"/>
    <w:rsid w:val="00A07EAD"/>
    <w:rsid w:val="00A12359"/>
    <w:rsid w:val="00A12DC7"/>
    <w:rsid w:val="00A15AF2"/>
    <w:rsid w:val="00A173A7"/>
    <w:rsid w:val="00A20D6D"/>
    <w:rsid w:val="00A2440B"/>
    <w:rsid w:val="00A254BA"/>
    <w:rsid w:val="00A268EC"/>
    <w:rsid w:val="00A26AC7"/>
    <w:rsid w:val="00A303E6"/>
    <w:rsid w:val="00A3052F"/>
    <w:rsid w:val="00A31BA8"/>
    <w:rsid w:val="00A320C5"/>
    <w:rsid w:val="00A32296"/>
    <w:rsid w:val="00A32382"/>
    <w:rsid w:val="00A362FA"/>
    <w:rsid w:val="00A369D0"/>
    <w:rsid w:val="00A36ABB"/>
    <w:rsid w:val="00A37A12"/>
    <w:rsid w:val="00A37CDA"/>
    <w:rsid w:val="00A4255F"/>
    <w:rsid w:val="00A427D8"/>
    <w:rsid w:val="00A43A0B"/>
    <w:rsid w:val="00A46BBE"/>
    <w:rsid w:val="00A5176A"/>
    <w:rsid w:val="00A5229C"/>
    <w:rsid w:val="00A52F97"/>
    <w:rsid w:val="00A5410A"/>
    <w:rsid w:val="00A57453"/>
    <w:rsid w:val="00A614BB"/>
    <w:rsid w:val="00A62AF3"/>
    <w:rsid w:val="00A63B5C"/>
    <w:rsid w:val="00A64D82"/>
    <w:rsid w:val="00A64F2F"/>
    <w:rsid w:val="00A64FD0"/>
    <w:rsid w:val="00A6537F"/>
    <w:rsid w:val="00A672A8"/>
    <w:rsid w:val="00A67ED4"/>
    <w:rsid w:val="00A70FB4"/>
    <w:rsid w:val="00A71F43"/>
    <w:rsid w:val="00A746FC"/>
    <w:rsid w:val="00A7487E"/>
    <w:rsid w:val="00A83EDC"/>
    <w:rsid w:val="00A8526C"/>
    <w:rsid w:val="00A90AF2"/>
    <w:rsid w:val="00A912DC"/>
    <w:rsid w:val="00A92E18"/>
    <w:rsid w:val="00A93DEB"/>
    <w:rsid w:val="00A94554"/>
    <w:rsid w:val="00A960F5"/>
    <w:rsid w:val="00A96114"/>
    <w:rsid w:val="00A96F02"/>
    <w:rsid w:val="00A972D0"/>
    <w:rsid w:val="00A9795E"/>
    <w:rsid w:val="00AA178B"/>
    <w:rsid w:val="00AA2FE1"/>
    <w:rsid w:val="00AA4CA6"/>
    <w:rsid w:val="00AB09E4"/>
    <w:rsid w:val="00AB1910"/>
    <w:rsid w:val="00AB2A84"/>
    <w:rsid w:val="00AB3035"/>
    <w:rsid w:val="00AC74AB"/>
    <w:rsid w:val="00AD3DCC"/>
    <w:rsid w:val="00AD65CB"/>
    <w:rsid w:val="00AE75C5"/>
    <w:rsid w:val="00AE79FA"/>
    <w:rsid w:val="00AF033B"/>
    <w:rsid w:val="00AF0368"/>
    <w:rsid w:val="00AF1707"/>
    <w:rsid w:val="00AF7DD2"/>
    <w:rsid w:val="00B0266A"/>
    <w:rsid w:val="00B04EDE"/>
    <w:rsid w:val="00B07A6C"/>
    <w:rsid w:val="00B101DC"/>
    <w:rsid w:val="00B10E6A"/>
    <w:rsid w:val="00B11A0C"/>
    <w:rsid w:val="00B13A68"/>
    <w:rsid w:val="00B14546"/>
    <w:rsid w:val="00B23844"/>
    <w:rsid w:val="00B346EB"/>
    <w:rsid w:val="00B34E61"/>
    <w:rsid w:val="00B357FB"/>
    <w:rsid w:val="00B35E6B"/>
    <w:rsid w:val="00B40DCA"/>
    <w:rsid w:val="00B41041"/>
    <w:rsid w:val="00B416E9"/>
    <w:rsid w:val="00B463EE"/>
    <w:rsid w:val="00B47941"/>
    <w:rsid w:val="00B50A38"/>
    <w:rsid w:val="00B60F11"/>
    <w:rsid w:val="00B6195C"/>
    <w:rsid w:val="00B62810"/>
    <w:rsid w:val="00B64EE1"/>
    <w:rsid w:val="00B6533B"/>
    <w:rsid w:val="00B65438"/>
    <w:rsid w:val="00B656F4"/>
    <w:rsid w:val="00B65DF8"/>
    <w:rsid w:val="00B66D6A"/>
    <w:rsid w:val="00B72257"/>
    <w:rsid w:val="00B72813"/>
    <w:rsid w:val="00B74E5E"/>
    <w:rsid w:val="00B806DE"/>
    <w:rsid w:val="00B815E2"/>
    <w:rsid w:val="00B82113"/>
    <w:rsid w:val="00B829DF"/>
    <w:rsid w:val="00B853A9"/>
    <w:rsid w:val="00B8702B"/>
    <w:rsid w:val="00BA11B3"/>
    <w:rsid w:val="00BA379C"/>
    <w:rsid w:val="00BA3C87"/>
    <w:rsid w:val="00BA5CAA"/>
    <w:rsid w:val="00BA6A21"/>
    <w:rsid w:val="00BA7AAC"/>
    <w:rsid w:val="00BB25B2"/>
    <w:rsid w:val="00BB4F6F"/>
    <w:rsid w:val="00BC15CD"/>
    <w:rsid w:val="00BC1862"/>
    <w:rsid w:val="00BC4148"/>
    <w:rsid w:val="00BC4EE6"/>
    <w:rsid w:val="00BC6C56"/>
    <w:rsid w:val="00BD05D2"/>
    <w:rsid w:val="00BD6AAD"/>
    <w:rsid w:val="00BD7641"/>
    <w:rsid w:val="00BE65AE"/>
    <w:rsid w:val="00BF0442"/>
    <w:rsid w:val="00BF08B9"/>
    <w:rsid w:val="00BF3B5E"/>
    <w:rsid w:val="00BF5B8B"/>
    <w:rsid w:val="00C006DA"/>
    <w:rsid w:val="00C01DE3"/>
    <w:rsid w:val="00C02C40"/>
    <w:rsid w:val="00C04358"/>
    <w:rsid w:val="00C06417"/>
    <w:rsid w:val="00C11362"/>
    <w:rsid w:val="00C14C63"/>
    <w:rsid w:val="00C15E6A"/>
    <w:rsid w:val="00C15FED"/>
    <w:rsid w:val="00C17362"/>
    <w:rsid w:val="00C21E87"/>
    <w:rsid w:val="00C3134F"/>
    <w:rsid w:val="00C321D0"/>
    <w:rsid w:val="00C37A9C"/>
    <w:rsid w:val="00C44132"/>
    <w:rsid w:val="00C45CDD"/>
    <w:rsid w:val="00C46276"/>
    <w:rsid w:val="00C537CA"/>
    <w:rsid w:val="00C556E0"/>
    <w:rsid w:val="00C55DB0"/>
    <w:rsid w:val="00C61459"/>
    <w:rsid w:val="00C645CE"/>
    <w:rsid w:val="00C66FFA"/>
    <w:rsid w:val="00C6799B"/>
    <w:rsid w:val="00C71E2C"/>
    <w:rsid w:val="00C73246"/>
    <w:rsid w:val="00C76B34"/>
    <w:rsid w:val="00C80579"/>
    <w:rsid w:val="00C8198D"/>
    <w:rsid w:val="00C8357B"/>
    <w:rsid w:val="00C87DB2"/>
    <w:rsid w:val="00C904AC"/>
    <w:rsid w:val="00C90990"/>
    <w:rsid w:val="00C952DE"/>
    <w:rsid w:val="00C95C65"/>
    <w:rsid w:val="00C97441"/>
    <w:rsid w:val="00CA008E"/>
    <w:rsid w:val="00CA1370"/>
    <w:rsid w:val="00CA147F"/>
    <w:rsid w:val="00CA5A93"/>
    <w:rsid w:val="00CA63A4"/>
    <w:rsid w:val="00CC0969"/>
    <w:rsid w:val="00CC1D06"/>
    <w:rsid w:val="00CC27F7"/>
    <w:rsid w:val="00CC3AC3"/>
    <w:rsid w:val="00CC454B"/>
    <w:rsid w:val="00CC763D"/>
    <w:rsid w:val="00CC7B31"/>
    <w:rsid w:val="00CD4224"/>
    <w:rsid w:val="00CD4FAC"/>
    <w:rsid w:val="00CD6456"/>
    <w:rsid w:val="00CD6974"/>
    <w:rsid w:val="00CE00C3"/>
    <w:rsid w:val="00CE0E62"/>
    <w:rsid w:val="00CE1E68"/>
    <w:rsid w:val="00CE2B06"/>
    <w:rsid w:val="00CF100F"/>
    <w:rsid w:val="00CF13C6"/>
    <w:rsid w:val="00CF1742"/>
    <w:rsid w:val="00CF454A"/>
    <w:rsid w:val="00CF469F"/>
    <w:rsid w:val="00CF4ACB"/>
    <w:rsid w:val="00D00A49"/>
    <w:rsid w:val="00D0208F"/>
    <w:rsid w:val="00D05CD0"/>
    <w:rsid w:val="00D06B0C"/>
    <w:rsid w:val="00D073C0"/>
    <w:rsid w:val="00D102F8"/>
    <w:rsid w:val="00D1202E"/>
    <w:rsid w:val="00D13859"/>
    <w:rsid w:val="00D14965"/>
    <w:rsid w:val="00D17681"/>
    <w:rsid w:val="00D22BC7"/>
    <w:rsid w:val="00D22DE1"/>
    <w:rsid w:val="00D242D2"/>
    <w:rsid w:val="00D24A15"/>
    <w:rsid w:val="00D25751"/>
    <w:rsid w:val="00D324BF"/>
    <w:rsid w:val="00D349DE"/>
    <w:rsid w:val="00D356F8"/>
    <w:rsid w:val="00D379DB"/>
    <w:rsid w:val="00D4018B"/>
    <w:rsid w:val="00D46613"/>
    <w:rsid w:val="00D466C0"/>
    <w:rsid w:val="00D47B4A"/>
    <w:rsid w:val="00D47E40"/>
    <w:rsid w:val="00D50646"/>
    <w:rsid w:val="00D50C48"/>
    <w:rsid w:val="00D53594"/>
    <w:rsid w:val="00D564C1"/>
    <w:rsid w:val="00D60383"/>
    <w:rsid w:val="00D61527"/>
    <w:rsid w:val="00D635C4"/>
    <w:rsid w:val="00D67909"/>
    <w:rsid w:val="00D718B5"/>
    <w:rsid w:val="00D73D93"/>
    <w:rsid w:val="00D73EB4"/>
    <w:rsid w:val="00D7531C"/>
    <w:rsid w:val="00D75781"/>
    <w:rsid w:val="00D77EFC"/>
    <w:rsid w:val="00D811AA"/>
    <w:rsid w:val="00D81662"/>
    <w:rsid w:val="00D865F2"/>
    <w:rsid w:val="00D86615"/>
    <w:rsid w:val="00D912B8"/>
    <w:rsid w:val="00D933AE"/>
    <w:rsid w:val="00D94F8A"/>
    <w:rsid w:val="00D952ED"/>
    <w:rsid w:val="00D95589"/>
    <w:rsid w:val="00D955DD"/>
    <w:rsid w:val="00D96855"/>
    <w:rsid w:val="00DA261C"/>
    <w:rsid w:val="00DA3684"/>
    <w:rsid w:val="00DA4420"/>
    <w:rsid w:val="00DA5172"/>
    <w:rsid w:val="00DB047F"/>
    <w:rsid w:val="00DB2FF3"/>
    <w:rsid w:val="00DB38A2"/>
    <w:rsid w:val="00DB4496"/>
    <w:rsid w:val="00DB5742"/>
    <w:rsid w:val="00DC1316"/>
    <w:rsid w:val="00DC3345"/>
    <w:rsid w:val="00DC4B47"/>
    <w:rsid w:val="00DC5581"/>
    <w:rsid w:val="00DC6469"/>
    <w:rsid w:val="00DC7757"/>
    <w:rsid w:val="00DD0339"/>
    <w:rsid w:val="00DD167D"/>
    <w:rsid w:val="00DD5BE3"/>
    <w:rsid w:val="00DD6299"/>
    <w:rsid w:val="00DE13EF"/>
    <w:rsid w:val="00DE1673"/>
    <w:rsid w:val="00DE6595"/>
    <w:rsid w:val="00DE659D"/>
    <w:rsid w:val="00DF0CB3"/>
    <w:rsid w:val="00DF2B58"/>
    <w:rsid w:val="00DF32CC"/>
    <w:rsid w:val="00DF65DB"/>
    <w:rsid w:val="00E02C57"/>
    <w:rsid w:val="00E05E25"/>
    <w:rsid w:val="00E071FB"/>
    <w:rsid w:val="00E07C9F"/>
    <w:rsid w:val="00E11009"/>
    <w:rsid w:val="00E13D03"/>
    <w:rsid w:val="00E1466F"/>
    <w:rsid w:val="00E17B18"/>
    <w:rsid w:val="00E20229"/>
    <w:rsid w:val="00E2064C"/>
    <w:rsid w:val="00E23BD5"/>
    <w:rsid w:val="00E30ADE"/>
    <w:rsid w:val="00E3256C"/>
    <w:rsid w:val="00E33714"/>
    <w:rsid w:val="00E33733"/>
    <w:rsid w:val="00E36931"/>
    <w:rsid w:val="00E36B3E"/>
    <w:rsid w:val="00E36FBF"/>
    <w:rsid w:val="00E37F83"/>
    <w:rsid w:val="00E40552"/>
    <w:rsid w:val="00E44115"/>
    <w:rsid w:val="00E44BDA"/>
    <w:rsid w:val="00E451AF"/>
    <w:rsid w:val="00E4610A"/>
    <w:rsid w:val="00E47D74"/>
    <w:rsid w:val="00E509B9"/>
    <w:rsid w:val="00E5658A"/>
    <w:rsid w:val="00E57C25"/>
    <w:rsid w:val="00E63605"/>
    <w:rsid w:val="00E63C98"/>
    <w:rsid w:val="00E66D65"/>
    <w:rsid w:val="00E66FC8"/>
    <w:rsid w:val="00E70CF8"/>
    <w:rsid w:val="00E71446"/>
    <w:rsid w:val="00E75746"/>
    <w:rsid w:val="00E77521"/>
    <w:rsid w:val="00E805E7"/>
    <w:rsid w:val="00E82F2E"/>
    <w:rsid w:val="00E867B4"/>
    <w:rsid w:val="00E900C2"/>
    <w:rsid w:val="00E91BDC"/>
    <w:rsid w:val="00E95279"/>
    <w:rsid w:val="00E9575C"/>
    <w:rsid w:val="00E96E07"/>
    <w:rsid w:val="00EA0B71"/>
    <w:rsid w:val="00EA1FC7"/>
    <w:rsid w:val="00EA23B8"/>
    <w:rsid w:val="00EA2AE4"/>
    <w:rsid w:val="00EA4A8C"/>
    <w:rsid w:val="00EA6775"/>
    <w:rsid w:val="00EB0793"/>
    <w:rsid w:val="00EB2C36"/>
    <w:rsid w:val="00EB3BDB"/>
    <w:rsid w:val="00EB49B7"/>
    <w:rsid w:val="00EB6E0A"/>
    <w:rsid w:val="00EC0403"/>
    <w:rsid w:val="00EC0D2A"/>
    <w:rsid w:val="00EC5D30"/>
    <w:rsid w:val="00EC6783"/>
    <w:rsid w:val="00EC7D1B"/>
    <w:rsid w:val="00EC7EB5"/>
    <w:rsid w:val="00ED0A1A"/>
    <w:rsid w:val="00ED1506"/>
    <w:rsid w:val="00ED1DC7"/>
    <w:rsid w:val="00ED2994"/>
    <w:rsid w:val="00ED36D6"/>
    <w:rsid w:val="00ED3FE5"/>
    <w:rsid w:val="00ED66D5"/>
    <w:rsid w:val="00ED6C52"/>
    <w:rsid w:val="00ED6EC1"/>
    <w:rsid w:val="00ED72B3"/>
    <w:rsid w:val="00EE0450"/>
    <w:rsid w:val="00EE05B1"/>
    <w:rsid w:val="00EE25FF"/>
    <w:rsid w:val="00EE6062"/>
    <w:rsid w:val="00EE7E62"/>
    <w:rsid w:val="00EF239C"/>
    <w:rsid w:val="00EF26F2"/>
    <w:rsid w:val="00EF36BF"/>
    <w:rsid w:val="00EF585D"/>
    <w:rsid w:val="00EF5A63"/>
    <w:rsid w:val="00F00EC7"/>
    <w:rsid w:val="00F02CC2"/>
    <w:rsid w:val="00F0329D"/>
    <w:rsid w:val="00F052A8"/>
    <w:rsid w:val="00F05558"/>
    <w:rsid w:val="00F1079B"/>
    <w:rsid w:val="00F11597"/>
    <w:rsid w:val="00F14C6C"/>
    <w:rsid w:val="00F16D7B"/>
    <w:rsid w:val="00F304C4"/>
    <w:rsid w:val="00F3167B"/>
    <w:rsid w:val="00F3242B"/>
    <w:rsid w:val="00F32F79"/>
    <w:rsid w:val="00F3636B"/>
    <w:rsid w:val="00F403C2"/>
    <w:rsid w:val="00F40670"/>
    <w:rsid w:val="00F4172E"/>
    <w:rsid w:val="00F428B0"/>
    <w:rsid w:val="00F43918"/>
    <w:rsid w:val="00F4503F"/>
    <w:rsid w:val="00F462C3"/>
    <w:rsid w:val="00F516F7"/>
    <w:rsid w:val="00F5273B"/>
    <w:rsid w:val="00F55664"/>
    <w:rsid w:val="00F5624C"/>
    <w:rsid w:val="00F57937"/>
    <w:rsid w:val="00F60064"/>
    <w:rsid w:val="00F645FF"/>
    <w:rsid w:val="00F64698"/>
    <w:rsid w:val="00F64BAD"/>
    <w:rsid w:val="00F7303F"/>
    <w:rsid w:val="00F77D8F"/>
    <w:rsid w:val="00F80E75"/>
    <w:rsid w:val="00F8231D"/>
    <w:rsid w:val="00F83020"/>
    <w:rsid w:val="00F87A27"/>
    <w:rsid w:val="00F91AD4"/>
    <w:rsid w:val="00F924C9"/>
    <w:rsid w:val="00F93DB2"/>
    <w:rsid w:val="00F97B26"/>
    <w:rsid w:val="00FA0876"/>
    <w:rsid w:val="00FA1191"/>
    <w:rsid w:val="00FB0518"/>
    <w:rsid w:val="00FB4008"/>
    <w:rsid w:val="00FB40F4"/>
    <w:rsid w:val="00FB5677"/>
    <w:rsid w:val="00FC1772"/>
    <w:rsid w:val="00FC3A09"/>
    <w:rsid w:val="00FC717E"/>
    <w:rsid w:val="00FD3E90"/>
    <w:rsid w:val="00FD4945"/>
    <w:rsid w:val="00FD76FF"/>
    <w:rsid w:val="00FD7B72"/>
    <w:rsid w:val="00FD7DF2"/>
    <w:rsid w:val="00FE0C12"/>
    <w:rsid w:val="00FE13B3"/>
    <w:rsid w:val="00FE161B"/>
    <w:rsid w:val="00FE2C14"/>
    <w:rsid w:val="00FE382A"/>
    <w:rsid w:val="00FE57BB"/>
    <w:rsid w:val="00FE7342"/>
    <w:rsid w:val="00FF30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0534CB5"/>
  <w14:defaultImageDpi w14:val="300"/>
  <w15:docId w15:val="{53933DD4-CBB4-D941-BF6B-961938DEF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12B"/>
    <w:rPr>
      <w:rFonts w:ascii="Times New Roman" w:eastAsia="Times New Roman" w:hAnsi="Times New Roman" w:cs="Times New Roman"/>
    </w:rPr>
  </w:style>
  <w:style w:type="paragraph" w:styleId="Heading1">
    <w:name w:val="heading 1"/>
    <w:basedOn w:val="Normal"/>
    <w:next w:val="Normal"/>
    <w:link w:val="Heading1Char"/>
    <w:uiPriority w:val="9"/>
    <w:qFormat/>
    <w:rsid w:val="00DA261C"/>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3">
    <w:name w:val="heading 3"/>
    <w:basedOn w:val="Normal"/>
    <w:next w:val="Normal"/>
    <w:link w:val="Heading3Char"/>
    <w:uiPriority w:val="9"/>
    <w:semiHidden/>
    <w:unhideWhenUsed/>
    <w:qFormat/>
    <w:rsid w:val="006A725E"/>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261C"/>
    <w:rPr>
      <w:rFonts w:asciiTheme="majorHAnsi" w:eastAsiaTheme="majorEastAsia" w:hAnsiTheme="majorHAnsi" w:cstheme="majorBidi"/>
      <w:b/>
      <w:bCs/>
      <w:color w:val="345A8A" w:themeColor="accent1" w:themeShade="B5"/>
      <w:sz w:val="32"/>
      <w:szCs w:val="32"/>
    </w:rPr>
  </w:style>
  <w:style w:type="paragraph" w:styleId="Header">
    <w:name w:val="header"/>
    <w:basedOn w:val="Normal"/>
    <w:link w:val="HeaderChar"/>
    <w:uiPriority w:val="99"/>
    <w:unhideWhenUsed/>
    <w:rsid w:val="00275FC2"/>
    <w:pPr>
      <w:tabs>
        <w:tab w:val="center" w:pos="4320"/>
        <w:tab w:val="right" w:pos="8640"/>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275FC2"/>
  </w:style>
  <w:style w:type="paragraph" w:styleId="Footer">
    <w:name w:val="footer"/>
    <w:basedOn w:val="Normal"/>
    <w:link w:val="FooterChar"/>
    <w:uiPriority w:val="99"/>
    <w:unhideWhenUsed/>
    <w:rsid w:val="00275FC2"/>
    <w:pPr>
      <w:tabs>
        <w:tab w:val="center" w:pos="4320"/>
        <w:tab w:val="right" w:pos="8640"/>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275FC2"/>
  </w:style>
  <w:style w:type="character" w:styleId="PageNumber">
    <w:name w:val="page number"/>
    <w:basedOn w:val="DefaultParagraphFont"/>
    <w:uiPriority w:val="99"/>
    <w:semiHidden/>
    <w:unhideWhenUsed/>
    <w:rsid w:val="00883021"/>
  </w:style>
  <w:style w:type="paragraph" w:styleId="ListParagraph">
    <w:name w:val="List Paragraph"/>
    <w:basedOn w:val="Normal"/>
    <w:uiPriority w:val="34"/>
    <w:qFormat/>
    <w:rsid w:val="00C44132"/>
    <w:pPr>
      <w:ind w:left="720"/>
      <w:contextualSpacing/>
    </w:pPr>
    <w:rPr>
      <w:rFonts w:asciiTheme="minorHAnsi" w:eastAsiaTheme="minorEastAsia" w:hAnsiTheme="minorHAnsi" w:cstheme="minorBidi"/>
    </w:rPr>
  </w:style>
  <w:style w:type="character" w:styleId="CommentReference">
    <w:name w:val="annotation reference"/>
    <w:basedOn w:val="DefaultParagraphFont"/>
    <w:uiPriority w:val="99"/>
    <w:semiHidden/>
    <w:unhideWhenUsed/>
    <w:rsid w:val="006826A7"/>
    <w:rPr>
      <w:sz w:val="18"/>
      <w:szCs w:val="18"/>
    </w:rPr>
  </w:style>
  <w:style w:type="paragraph" w:styleId="CommentText">
    <w:name w:val="annotation text"/>
    <w:basedOn w:val="Normal"/>
    <w:link w:val="CommentTextChar"/>
    <w:uiPriority w:val="99"/>
    <w:semiHidden/>
    <w:unhideWhenUsed/>
    <w:rsid w:val="006826A7"/>
    <w:rPr>
      <w:rFonts w:asciiTheme="minorHAnsi" w:eastAsiaTheme="minorEastAsia" w:hAnsiTheme="minorHAnsi" w:cstheme="minorBidi"/>
    </w:rPr>
  </w:style>
  <w:style w:type="character" w:customStyle="1" w:styleId="CommentTextChar">
    <w:name w:val="Comment Text Char"/>
    <w:basedOn w:val="DefaultParagraphFont"/>
    <w:link w:val="CommentText"/>
    <w:uiPriority w:val="99"/>
    <w:semiHidden/>
    <w:rsid w:val="006826A7"/>
  </w:style>
  <w:style w:type="paragraph" w:styleId="CommentSubject">
    <w:name w:val="annotation subject"/>
    <w:basedOn w:val="CommentText"/>
    <w:next w:val="CommentText"/>
    <w:link w:val="CommentSubjectChar"/>
    <w:uiPriority w:val="99"/>
    <w:semiHidden/>
    <w:unhideWhenUsed/>
    <w:rsid w:val="006826A7"/>
    <w:rPr>
      <w:b/>
      <w:bCs/>
      <w:sz w:val="20"/>
      <w:szCs w:val="20"/>
    </w:rPr>
  </w:style>
  <w:style w:type="character" w:customStyle="1" w:styleId="CommentSubjectChar">
    <w:name w:val="Comment Subject Char"/>
    <w:basedOn w:val="CommentTextChar"/>
    <w:link w:val="CommentSubject"/>
    <w:uiPriority w:val="99"/>
    <w:semiHidden/>
    <w:rsid w:val="006826A7"/>
    <w:rPr>
      <w:b/>
      <w:bCs/>
      <w:sz w:val="20"/>
      <w:szCs w:val="20"/>
    </w:rPr>
  </w:style>
  <w:style w:type="paragraph" w:styleId="BalloonText">
    <w:name w:val="Balloon Text"/>
    <w:basedOn w:val="Normal"/>
    <w:link w:val="BalloonTextChar"/>
    <w:uiPriority w:val="99"/>
    <w:semiHidden/>
    <w:unhideWhenUsed/>
    <w:rsid w:val="006826A7"/>
    <w:rPr>
      <w:rFonts w:ascii="Lucida Grande" w:eastAsiaTheme="minorEastAsia" w:hAnsi="Lucida Grande" w:cs="Lucida Grande"/>
      <w:sz w:val="18"/>
      <w:szCs w:val="18"/>
    </w:rPr>
  </w:style>
  <w:style w:type="character" w:customStyle="1" w:styleId="BalloonTextChar">
    <w:name w:val="Balloon Text Char"/>
    <w:basedOn w:val="DefaultParagraphFont"/>
    <w:link w:val="BalloonText"/>
    <w:uiPriority w:val="99"/>
    <w:semiHidden/>
    <w:rsid w:val="006826A7"/>
    <w:rPr>
      <w:rFonts w:ascii="Lucida Grande" w:hAnsi="Lucida Grande" w:cs="Lucida Grande"/>
      <w:sz w:val="18"/>
      <w:szCs w:val="18"/>
    </w:rPr>
  </w:style>
  <w:style w:type="paragraph" w:styleId="FootnoteText">
    <w:name w:val="footnote text"/>
    <w:basedOn w:val="Normal"/>
    <w:link w:val="FootnoteTextChar"/>
    <w:uiPriority w:val="99"/>
    <w:semiHidden/>
    <w:unhideWhenUsed/>
    <w:rsid w:val="00955E63"/>
    <w:rPr>
      <w:rFonts w:asciiTheme="minorHAnsi" w:eastAsiaTheme="minorEastAsia" w:hAnsiTheme="minorHAnsi" w:cstheme="minorBidi"/>
      <w:sz w:val="20"/>
      <w:szCs w:val="20"/>
    </w:rPr>
  </w:style>
  <w:style w:type="character" w:customStyle="1" w:styleId="FootnoteTextChar">
    <w:name w:val="Footnote Text Char"/>
    <w:basedOn w:val="DefaultParagraphFont"/>
    <w:link w:val="FootnoteText"/>
    <w:uiPriority w:val="99"/>
    <w:semiHidden/>
    <w:rsid w:val="00955E63"/>
    <w:rPr>
      <w:sz w:val="20"/>
      <w:szCs w:val="20"/>
    </w:rPr>
  </w:style>
  <w:style w:type="character" w:styleId="FootnoteReference">
    <w:name w:val="footnote reference"/>
    <w:basedOn w:val="DefaultParagraphFont"/>
    <w:uiPriority w:val="99"/>
    <w:semiHidden/>
    <w:unhideWhenUsed/>
    <w:rsid w:val="00955E63"/>
    <w:rPr>
      <w:vertAlign w:val="superscript"/>
    </w:rPr>
  </w:style>
  <w:style w:type="paragraph" w:styleId="Revision">
    <w:name w:val="Revision"/>
    <w:hidden/>
    <w:uiPriority w:val="99"/>
    <w:semiHidden/>
    <w:rsid w:val="00CC1D06"/>
  </w:style>
  <w:style w:type="character" w:styleId="Hyperlink">
    <w:name w:val="Hyperlink"/>
    <w:basedOn w:val="DefaultParagraphFont"/>
    <w:uiPriority w:val="99"/>
    <w:semiHidden/>
    <w:unhideWhenUsed/>
    <w:rsid w:val="0032312B"/>
    <w:rPr>
      <w:color w:val="0000FF"/>
      <w:u w:val="single"/>
    </w:rPr>
  </w:style>
  <w:style w:type="paragraph" w:styleId="BodyText2">
    <w:name w:val="Body Text 2"/>
    <w:basedOn w:val="Normal"/>
    <w:link w:val="BodyText2Char"/>
    <w:semiHidden/>
    <w:rsid w:val="00ED1DC7"/>
    <w:rPr>
      <w:szCs w:val="20"/>
    </w:rPr>
  </w:style>
  <w:style w:type="character" w:customStyle="1" w:styleId="BodyText2Char">
    <w:name w:val="Body Text 2 Char"/>
    <w:basedOn w:val="DefaultParagraphFont"/>
    <w:link w:val="BodyText2"/>
    <w:semiHidden/>
    <w:rsid w:val="00ED1DC7"/>
    <w:rPr>
      <w:rFonts w:ascii="Times New Roman" w:eastAsia="Times New Roman" w:hAnsi="Times New Roman" w:cs="Times New Roman"/>
      <w:szCs w:val="20"/>
    </w:rPr>
  </w:style>
  <w:style w:type="paragraph" w:customStyle="1" w:styleId="footnotedescription">
    <w:name w:val="footnote description"/>
    <w:next w:val="Normal"/>
    <w:link w:val="footnotedescriptionChar"/>
    <w:hidden/>
    <w:rsid w:val="00F83020"/>
    <w:pPr>
      <w:spacing w:line="280" w:lineRule="auto"/>
      <w:ind w:firstLine="109"/>
      <w:jc w:val="both"/>
    </w:pPr>
    <w:rPr>
      <w:rFonts w:ascii="Times New Roman" w:eastAsia="Times New Roman" w:hAnsi="Times New Roman" w:cs="Times New Roman"/>
      <w:color w:val="181717"/>
      <w:sz w:val="13"/>
      <w:szCs w:val="22"/>
    </w:rPr>
  </w:style>
  <w:style w:type="character" w:customStyle="1" w:styleId="footnotedescriptionChar">
    <w:name w:val="footnote description Char"/>
    <w:link w:val="footnotedescription"/>
    <w:rsid w:val="00F83020"/>
    <w:rPr>
      <w:rFonts w:ascii="Times New Roman" w:eastAsia="Times New Roman" w:hAnsi="Times New Roman" w:cs="Times New Roman"/>
      <w:color w:val="181717"/>
      <w:sz w:val="13"/>
      <w:szCs w:val="22"/>
    </w:rPr>
  </w:style>
  <w:style w:type="character" w:customStyle="1" w:styleId="footnotemark">
    <w:name w:val="footnote mark"/>
    <w:hidden/>
    <w:rsid w:val="00F83020"/>
    <w:rPr>
      <w:rFonts w:ascii="Times New Roman" w:eastAsia="Times New Roman" w:hAnsi="Times New Roman" w:cs="Times New Roman"/>
      <w:color w:val="181717"/>
      <w:sz w:val="13"/>
      <w:vertAlign w:val="superscript"/>
    </w:rPr>
  </w:style>
  <w:style w:type="paragraph" w:styleId="BodyText">
    <w:name w:val="Body Text"/>
    <w:basedOn w:val="Normal"/>
    <w:link w:val="BodyTextChar"/>
    <w:uiPriority w:val="99"/>
    <w:semiHidden/>
    <w:unhideWhenUsed/>
    <w:rsid w:val="00A960F5"/>
    <w:pPr>
      <w:spacing w:after="120"/>
    </w:pPr>
  </w:style>
  <w:style w:type="character" w:customStyle="1" w:styleId="BodyTextChar">
    <w:name w:val="Body Text Char"/>
    <w:basedOn w:val="DefaultParagraphFont"/>
    <w:link w:val="BodyText"/>
    <w:uiPriority w:val="99"/>
    <w:semiHidden/>
    <w:rsid w:val="00A960F5"/>
    <w:rPr>
      <w:rFonts w:ascii="Times New Roman" w:eastAsia="Times New Roman" w:hAnsi="Times New Roman" w:cs="Times New Roman"/>
    </w:rPr>
  </w:style>
  <w:style w:type="character" w:customStyle="1" w:styleId="Heading3Char">
    <w:name w:val="Heading 3 Char"/>
    <w:basedOn w:val="DefaultParagraphFont"/>
    <w:link w:val="Heading3"/>
    <w:uiPriority w:val="9"/>
    <w:semiHidden/>
    <w:rsid w:val="006A725E"/>
    <w:rPr>
      <w:rFonts w:asciiTheme="majorHAnsi" w:eastAsiaTheme="majorEastAsia" w:hAnsiTheme="majorHAnsi" w:cstheme="majorBidi"/>
      <w:color w:val="243F60" w:themeColor="accent1" w:themeShade="7F"/>
    </w:rPr>
  </w:style>
  <w:style w:type="table" w:styleId="TableGrid">
    <w:name w:val="Table Grid"/>
    <w:basedOn w:val="TableNormal"/>
    <w:uiPriority w:val="59"/>
    <w:rsid w:val="008E01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488269">
      <w:bodyDiv w:val="1"/>
      <w:marLeft w:val="0"/>
      <w:marRight w:val="0"/>
      <w:marTop w:val="0"/>
      <w:marBottom w:val="0"/>
      <w:divBdr>
        <w:top w:val="none" w:sz="0" w:space="0" w:color="auto"/>
        <w:left w:val="none" w:sz="0" w:space="0" w:color="auto"/>
        <w:bottom w:val="none" w:sz="0" w:space="0" w:color="auto"/>
        <w:right w:val="none" w:sz="0" w:space="0" w:color="auto"/>
      </w:divBdr>
    </w:div>
    <w:div w:id="91440765">
      <w:bodyDiv w:val="1"/>
      <w:marLeft w:val="0"/>
      <w:marRight w:val="0"/>
      <w:marTop w:val="0"/>
      <w:marBottom w:val="0"/>
      <w:divBdr>
        <w:top w:val="none" w:sz="0" w:space="0" w:color="auto"/>
        <w:left w:val="none" w:sz="0" w:space="0" w:color="auto"/>
        <w:bottom w:val="none" w:sz="0" w:space="0" w:color="auto"/>
        <w:right w:val="none" w:sz="0" w:space="0" w:color="auto"/>
      </w:divBdr>
    </w:div>
    <w:div w:id="123088572">
      <w:bodyDiv w:val="1"/>
      <w:marLeft w:val="0"/>
      <w:marRight w:val="0"/>
      <w:marTop w:val="0"/>
      <w:marBottom w:val="0"/>
      <w:divBdr>
        <w:top w:val="none" w:sz="0" w:space="0" w:color="auto"/>
        <w:left w:val="none" w:sz="0" w:space="0" w:color="auto"/>
        <w:bottom w:val="none" w:sz="0" w:space="0" w:color="auto"/>
        <w:right w:val="none" w:sz="0" w:space="0" w:color="auto"/>
      </w:divBdr>
    </w:div>
    <w:div w:id="178199973">
      <w:bodyDiv w:val="1"/>
      <w:marLeft w:val="0"/>
      <w:marRight w:val="0"/>
      <w:marTop w:val="0"/>
      <w:marBottom w:val="0"/>
      <w:divBdr>
        <w:top w:val="none" w:sz="0" w:space="0" w:color="auto"/>
        <w:left w:val="none" w:sz="0" w:space="0" w:color="auto"/>
        <w:bottom w:val="none" w:sz="0" w:space="0" w:color="auto"/>
        <w:right w:val="none" w:sz="0" w:space="0" w:color="auto"/>
      </w:divBdr>
    </w:div>
    <w:div w:id="182869163">
      <w:bodyDiv w:val="1"/>
      <w:marLeft w:val="0"/>
      <w:marRight w:val="0"/>
      <w:marTop w:val="0"/>
      <w:marBottom w:val="0"/>
      <w:divBdr>
        <w:top w:val="none" w:sz="0" w:space="0" w:color="auto"/>
        <w:left w:val="none" w:sz="0" w:space="0" w:color="auto"/>
        <w:bottom w:val="none" w:sz="0" w:space="0" w:color="auto"/>
        <w:right w:val="none" w:sz="0" w:space="0" w:color="auto"/>
      </w:divBdr>
    </w:div>
    <w:div w:id="187334260">
      <w:bodyDiv w:val="1"/>
      <w:marLeft w:val="0"/>
      <w:marRight w:val="0"/>
      <w:marTop w:val="0"/>
      <w:marBottom w:val="0"/>
      <w:divBdr>
        <w:top w:val="none" w:sz="0" w:space="0" w:color="auto"/>
        <w:left w:val="none" w:sz="0" w:space="0" w:color="auto"/>
        <w:bottom w:val="none" w:sz="0" w:space="0" w:color="auto"/>
        <w:right w:val="none" w:sz="0" w:space="0" w:color="auto"/>
      </w:divBdr>
    </w:div>
    <w:div w:id="267278318">
      <w:bodyDiv w:val="1"/>
      <w:marLeft w:val="0"/>
      <w:marRight w:val="0"/>
      <w:marTop w:val="0"/>
      <w:marBottom w:val="0"/>
      <w:divBdr>
        <w:top w:val="none" w:sz="0" w:space="0" w:color="auto"/>
        <w:left w:val="none" w:sz="0" w:space="0" w:color="auto"/>
        <w:bottom w:val="none" w:sz="0" w:space="0" w:color="auto"/>
        <w:right w:val="none" w:sz="0" w:space="0" w:color="auto"/>
      </w:divBdr>
    </w:div>
    <w:div w:id="328095297">
      <w:bodyDiv w:val="1"/>
      <w:marLeft w:val="0"/>
      <w:marRight w:val="0"/>
      <w:marTop w:val="0"/>
      <w:marBottom w:val="0"/>
      <w:divBdr>
        <w:top w:val="none" w:sz="0" w:space="0" w:color="auto"/>
        <w:left w:val="none" w:sz="0" w:space="0" w:color="auto"/>
        <w:bottom w:val="none" w:sz="0" w:space="0" w:color="auto"/>
        <w:right w:val="none" w:sz="0" w:space="0" w:color="auto"/>
      </w:divBdr>
    </w:div>
    <w:div w:id="363675208">
      <w:bodyDiv w:val="1"/>
      <w:marLeft w:val="0"/>
      <w:marRight w:val="0"/>
      <w:marTop w:val="0"/>
      <w:marBottom w:val="0"/>
      <w:divBdr>
        <w:top w:val="none" w:sz="0" w:space="0" w:color="auto"/>
        <w:left w:val="none" w:sz="0" w:space="0" w:color="auto"/>
        <w:bottom w:val="none" w:sz="0" w:space="0" w:color="auto"/>
        <w:right w:val="none" w:sz="0" w:space="0" w:color="auto"/>
      </w:divBdr>
    </w:div>
    <w:div w:id="667905422">
      <w:bodyDiv w:val="1"/>
      <w:marLeft w:val="0"/>
      <w:marRight w:val="0"/>
      <w:marTop w:val="0"/>
      <w:marBottom w:val="0"/>
      <w:divBdr>
        <w:top w:val="none" w:sz="0" w:space="0" w:color="auto"/>
        <w:left w:val="none" w:sz="0" w:space="0" w:color="auto"/>
        <w:bottom w:val="none" w:sz="0" w:space="0" w:color="auto"/>
        <w:right w:val="none" w:sz="0" w:space="0" w:color="auto"/>
      </w:divBdr>
    </w:div>
    <w:div w:id="830371751">
      <w:bodyDiv w:val="1"/>
      <w:marLeft w:val="0"/>
      <w:marRight w:val="0"/>
      <w:marTop w:val="0"/>
      <w:marBottom w:val="0"/>
      <w:divBdr>
        <w:top w:val="none" w:sz="0" w:space="0" w:color="auto"/>
        <w:left w:val="none" w:sz="0" w:space="0" w:color="auto"/>
        <w:bottom w:val="none" w:sz="0" w:space="0" w:color="auto"/>
        <w:right w:val="none" w:sz="0" w:space="0" w:color="auto"/>
      </w:divBdr>
    </w:div>
    <w:div w:id="875390813">
      <w:bodyDiv w:val="1"/>
      <w:marLeft w:val="0"/>
      <w:marRight w:val="0"/>
      <w:marTop w:val="0"/>
      <w:marBottom w:val="0"/>
      <w:divBdr>
        <w:top w:val="none" w:sz="0" w:space="0" w:color="auto"/>
        <w:left w:val="none" w:sz="0" w:space="0" w:color="auto"/>
        <w:bottom w:val="none" w:sz="0" w:space="0" w:color="auto"/>
        <w:right w:val="none" w:sz="0" w:space="0" w:color="auto"/>
      </w:divBdr>
    </w:div>
    <w:div w:id="997420835">
      <w:bodyDiv w:val="1"/>
      <w:marLeft w:val="0"/>
      <w:marRight w:val="0"/>
      <w:marTop w:val="0"/>
      <w:marBottom w:val="0"/>
      <w:divBdr>
        <w:top w:val="none" w:sz="0" w:space="0" w:color="auto"/>
        <w:left w:val="none" w:sz="0" w:space="0" w:color="auto"/>
        <w:bottom w:val="none" w:sz="0" w:space="0" w:color="auto"/>
        <w:right w:val="none" w:sz="0" w:space="0" w:color="auto"/>
      </w:divBdr>
    </w:div>
    <w:div w:id="1128276296">
      <w:bodyDiv w:val="1"/>
      <w:marLeft w:val="0"/>
      <w:marRight w:val="0"/>
      <w:marTop w:val="0"/>
      <w:marBottom w:val="0"/>
      <w:divBdr>
        <w:top w:val="none" w:sz="0" w:space="0" w:color="auto"/>
        <w:left w:val="none" w:sz="0" w:space="0" w:color="auto"/>
        <w:bottom w:val="none" w:sz="0" w:space="0" w:color="auto"/>
        <w:right w:val="none" w:sz="0" w:space="0" w:color="auto"/>
      </w:divBdr>
    </w:div>
    <w:div w:id="1440225660">
      <w:bodyDiv w:val="1"/>
      <w:marLeft w:val="0"/>
      <w:marRight w:val="0"/>
      <w:marTop w:val="0"/>
      <w:marBottom w:val="0"/>
      <w:divBdr>
        <w:top w:val="none" w:sz="0" w:space="0" w:color="auto"/>
        <w:left w:val="none" w:sz="0" w:space="0" w:color="auto"/>
        <w:bottom w:val="none" w:sz="0" w:space="0" w:color="auto"/>
        <w:right w:val="none" w:sz="0" w:space="0" w:color="auto"/>
      </w:divBdr>
    </w:div>
    <w:div w:id="1517115052">
      <w:bodyDiv w:val="1"/>
      <w:marLeft w:val="0"/>
      <w:marRight w:val="0"/>
      <w:marTop w:val="0"/>
      <w:marBottom w:val="0"/>
      <w:divBdr>
        <w:top w:val="none" w:sz="0" w:space="0" w:color="auto"/>
        <w:left w:val="none" w:sz="0" w:space="0" w:color="auto"/>
        <w:bottom w:val="none" w:sz="0" w:space="0" w:color="auto"/>
        <w:right w:val="none" w:sz="0" w:space="0" w:color="auto"/>
      </w:divBdr>
    </w:div>
    <w:div w:id="1541093457">
      <w:bodyDiv w:val="1"/>
      <w:marLeft w:val="0"/>
      <w:marRight w:val="0"/>
      <w:marTop w:val="0"/>
      <w:marBottom w:val="0"/>
      <w:divBdr>
        <w:top w:val="none" w:sz="0" w:space="0" w:color="auto"/>
        <w:left w:val="none" w:sz="0" w:space="0" w:color="auto"/>
        <w:bottom w:val="none" w:sz="0" w:space="0" w:color="auto"/>
        <w:right w:val="none" w:sz="0" w:space="0" w:color="auto"/>
      </w:divBdr>
    </w:div>
    <w:div w:id="1566258987">
      <w:bodyDiv w:val="1"/>
      <w:marLeft w:val="0"/>
      <w:marRight w:val="0"/>
      <w:marTop w:val="0"/>
      <w:marBottom w:val="0"/>
      <w:divBdr>
        <w:top w:val="none" w:sz="0" w:space="0" w:color="auto"/>
        <w:left w:val="none" w:sz="0" w:space="0" w:color="auto"/>
        <w:bottom w:val="none" w:sz="0" w:space="0" w:color="auto"/>
        <w:right w:val="none" w:sz="0" w:space="0" w:color="auto"/>
      </w:divBdr>
    </w:div>
    <w:div w:id="16774153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hulsey@utk.ed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smit347@vols.utk.ed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alendly.com/csmit347/research-study-questions"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Death Thought Accessibility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Control</c:v>
                </c:pt>
              </c:strCache>
            </c:strRef>
          </c:tx>
          <c:spPr>
            <a:solidFill>
              <a:schemeClr val="accent1"/>
            </a:solidFill>
            <a:ln>
              <a:noFill/>
            </a:ln>
            <a:effectLst/>
          </c:spPr>
          <c:invertIfNegative val="0"/>
          <c:cat>
            <c:strRef>
              <c:f>Sheet1!$A$2:$A$3</c:f>
              <c:strCache>
                <c:ptCount val="2"/>
                <c:pt idx="0">
                  <c:v>Extreme Pain</c:v>
                </c:pt>
                <c:pt idx="1">
                  <c:v>Mortality Salience</c:v>
                </c:pt>
              </c:strCache>
            </c:strRef>
          </c:cat>
          <c:val>
            <c:numRef>
              <c:f>Sheet1!$B$2:$B$3</c:f>
              <c:numCache>
                <c:formatCode>General</c:formatCode>
                <c:ptCount val="2"/>
                <c:pt idx="0">
                  <c:v>1.0900000000000001</c:v>
                </c:pt>
                <c:pt idx="1">
                  <c:v>1.1499999999999999</c:v>
                </c:pt>
              </c:numCache>
            </c:numRef>
          </c:val>
          <c:extLst>
            <c:ext xmlns:c16="http://schemas.microsoft.com/office/drawing/2014/chart" uri="{C3380CC4-5D6E-409C-BE32-E72D297353CC}">
              <c16:uniqueId val="{00000000-9196-8241-A1DC-43FE0B5E1849}"/>
            </c:ext>
          </c:extLst>
        </c:ser>
        <c:ser>
          <c:idx val="1"/>
          <c:order val="1"/>
          <c:tx>
            <c:strRef>
              <c:f>Sheet1!$C$1</c:f>
              <c:strCache>
                <c:ptCount val="1"/>
                <c:pt idx="0">
                  <c:v>Vacation</c:v>
                </c:pt>
              </c:strCache>
            </c:strRef>
          </c:tx>
          <c:spPr>
            <a:solidFill>
              <a:schemeClr val="accent2"/>
            </a:solidFill>
            <a:ln>
              <a:noFill/>
            </a:ln>
            <a:effectLst/>
          </c:spPr>
          <c:invertIfNegative val="0"/>
          <c:cat>
            <c:strRef>
              <c:f>Sheet1!$A$2:$A$3</c:f>
              <c:strCache>
                <c:ptCount val="2"/>
                <c:pt idx="0">
                  <c:v>Extreme Pain</c:v>
                </c:pt>
                <c:pt idx="1">
                  <c:v>Mortality Salience</c:v>
                </c:pt>
              </c:strCache>
            </c:strRef>
          </c:cat>
          <c:val>
            <c:numRef>
              <c:f>Sheet1!$C$2:$C$3</c:f>
              <c:numCache>
                <c:formatCode>General</c:formatCode>
                <c:ptCount val="2"/>
                <c:pt idx="0">
                  <c:v>1.1399999999999999</c:v>
                </c:pt>
                <c:pt idx="1">
                  <c:v>0.74</c:v>
                </c:pt>
              </c:numCache>
            </c:numRef>
          </c:val>
          <c:extLst>
            <c:ext xmlns:c16="http://schemas.microsoft.com/office/drawing/2014/chart" uri="{C3380CC4-5D6E-409C-BE32-E72D297353CC}">
              <c16:uniqueId val="{00000001-9196-8241-A1DC-43FE0B5E1849}"/>
            </c:ext>
          </c:extLst>
        </c:ser>
        <c:ser>
          <c:idx val="2"/>
          <c:order val="2"/>
          <c:tx>
            <c:strRef>
              <c:f>Sheet1!$D$1</c:f>
              <c:strCache>
                <c:ptCount val="1"/>
                <c:pt idx="0">
                  <c:v>Quest</c:v>
                </c:pt>
              </c:strCache>
            </c:strRef>
          </c:tx>
          <c:spPr>
            <a:solidFill>
              <a:schemeClr val="accent3"/>
            </a:solidFill>
            <a:ln>
              <a:noFill/>
            </a:ln>
            <a:effectLst/>
          </c:spPr>
          <c:invertIfNegative val="0"/>
          <c:cat>
            <c:strRef>
              <c:f>Sheet1!$A$2:$A$3</c:f>
              <c:strCache>
                <c:ptCount val="2"/>
                <c:pt idx="0">
                  <c:v>Extreme Pain</c:v>
                </c:pt>
                <c:pt idx="1">
                  <c:v>Mortality Salience</c:v>
                </c:pt>
              </c:strCache>
            </c:strRef>
          </c:cat>
          <c:val>
            <c:numRef>
              <c:f>Sheet1!$D$2:$D$3</c:f>
              <c:numCache>
                <c:formatCode>General</c:formatCode>
                <c:ptCount val="2"/>
                <c:pt idx="0">
                  <c:v>1.27</c:v>
                </c:pt>
                <c:pt idx="1">
                  <c:v>0.89</c:v>
                </c:pt>
              </c:numCache>
            </c:numRef>
          </c:val>
          <c:extLst>
            <c:ext xmlns:c16="http://schemas.microsoft.com/office/drawing/2014/chart" uri="{C3380CC4-5D6E-409C-BE32-E72D297353CC}">
              <c16:uniqueId val="{00000002-9196-8241-A1DC-43FE0B5E1849}"/>
            </c:ext>
          </c:extLst>
        </c:ser>
        <c:dLbls>
          <c:showLegendKey val="0"/>
          <c:showVal val="0"/>
          <c:showCatName val="0"/>
          <c:showSerName val="0"/>
          <c:showPercent val="0"/>
          <c:showBubbleSize val="0"/>
        </c:dLbls>
        <c:gapWidth val="219"/>
        <c:overlap val="-27"/>
        <c:axId val="1708631232"/>
        <c:axId val="1708632880"/>
      </c:barChart>
      <c:catAx>
        <c:axId val="1708631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08632880"/>
        <c:crosses val="autoZero"/>
        <c:auto val="1"/>
        <c:lblAlgn val="ctr"/>
        <c:lblOffset val="100"/>
        <c:noMultiLvlLbl val="0"/>
      </c:catAx>
      <c:valAx>
        <c:axId val="17086328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08631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8EC9D5-7CBE-40D2-A9A7-DB3F036B0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59</Pages>
  <Words>31641</Words>
  <Characters>180359</Characters>
  <Application>Microsoft Office Word</Application>
  <DocSecurity>0</DocSecurity>
  <Lines>1502</Lines>
  <Paragraphs>423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Connor Smith</dc:creator>
  <cp:keywords/>
  <dc:description/>
  <cp:lastModifiedBy>Connor Smith</cp:lastModifiedBy>
  <cp:revision>5</cp:revision>
  <cp:lastPrinted>2019-05-13T14:08:00Z</cp:lastPrinted>
  <dcterms:created xsi:type="dcterms:W3CDTF">2022-07-13T18:40:00Z</dcterms:created>
  <dcterms:modified xsi:type="dcterms:W3CDTF">2022-07-14T17:10:00Z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babe6d28-7be0-31a7-9441-6917b9e647f3</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