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9EF696" w14:textId="77777777" w:rsidR="00412CC1" w:rsidRPr="006B7838" w:rsidRDefault="006F2116" w:rsidP="001321D7">
      <w:pPr>
        <w:jc w:val="center"/>
        <w:rPr>
          <w:b/>
          <w:lang w:val="en-CA"/>
        </w:rPr>
      </w:pPr>
      <w:r w:rsidRPr="006B7838">
        <w:rPr>
          <w:b/>
          <w:lang w:val="en-CA"/>
        </w:rPr>
        <w:t>PSYCHOLOGICAL FLEXIBILITY, MUSIC PERFORMANCE ANXIETY, AND</w:t>
      </w:r>
      <w:r w:rsidR="00412CC1" w:rsidRPr="006B7838">
        <w:rPr>
          <w:b/>
          <w:lang w:val="en-CA"/>
        </w:rPr>
        <w:t xml:space="preserve"> PERCEIVED PERFORMANCE QUALITY:</w:t>
      </w:r>
    </w:p>
    <w:p w14:paraId="1AD4162C" w14:textId="4B3904C1" w:rsidR="00236E6D" w:rsidRPr="006B7838" w:rsidRDefault="00412CC1" w:rsidP="001321D7">
      <w:pPr>
        <w:jc w:val="center"/>
      </w:pPr>
      <w:r w:rsidRPr="006B7838">
        <w:rPr>
          <w:b/>
          <w:lang w:val="en-CA"/>
        </w:rPr>
        <w:t>A CORRELATIONAL STUDY WITH UNIVERSITY MUSIC STUDENTS</w:t>
      </w:r>
    </w:p>
    <w:p w14:paraId="55635200" w14:textId="77777777" w:rsidR="00236E6D" w:rsidRPr="006B7838" w:rsidRDefault="00236E6D" w:rsidP="001321D7">
      <w:pPr>
        <w:jc w:val="center"/>
      </w:pPr>
    </w:p>
    <w:p w14:paraId="5E4DB6CB" w14:textId="77777777" w:rsidR="00236E6D" w:rsidRPr="006B7838" w:rsidRDefault="00236E6D" w:rsidP="001321D7">
      <w:pPr>
        <w:jc w:val="center"/>
      </w:pPr>
    </w:p>
    <w:p w14:paraId="666A800E" w14:textId="77777777" w:rsidR="009D2AA9" w:rsidRPr="006B7838" w:rsidRDefault="009D2AA9" w:rsidP="001321D7">
      <w:pPr>
        <w:jc w:val="center"/>
      </w:pPr>
    </w:p>
    <w:p w14:paraId="1EBF9206" w14:textId="77777777" w:rsidR="009D2AA9" w:rsidRPr="006B7838" w:rsidRDefault="009D2AA9" w:rsidP="001321D7">
      <w:pPr>
        <w:jc w:val="center"/>
      </w:pPr>
    </w:p>
    <w:p w14:paraId="3651AA1A" w14:textId="6578389A" w:rsidR="009D2AA9" w:rsidRPr="006B7838" w:rsidRDefault="009D2AA9" w:rsidP="001321D7">
      <w:pPr>
        <w:jc w:val="center"/>
      </w:pPr>
    </w:p>
    <w:p w14:paraId="502059A4" w14:textId="041BBF6D" w:rsidR="00412CC1" w:rsidRPr="006B7838" w:rsidRDefault="00412CC1" w:rsidP="001321D7">
      <w:pPr>
        <w:jc w:val="center"/>
      </w:pPr>
    </w:p>
    <w:p w14:paraId="378B59B8" w14:textId="77FDA642" w:rsidR="00412CC1" w:rsidRPr="006B7838" w:rsidRDefault="00412CC1" w:rsidP="001321D7">
      <w:pPr>
        <w:jc w:val="center"/>
      </w:pPr>
    </w:p>
    <w:p w14:paraId="0D9511CF" w14:textId="77777777" w:rsidR="00412CC1" w:rsidRPr="006B7838" w:rsidRDefault="00412CC1" w:rsidP="001321D7">
      <w:pPr>
        <w:jc w:val="center"/>
      </w:pPr>
    </w:p>
    <w:p w14:paraId="75F76A94" w14:textId="77777777" w:rsidR="00236E6D" w:rsidRPr="006B7838" w:rsidRDefault="00236E6D" w:rsidP="001321D7">
      <w:pPr>
        <w:jc w:val="center"/>
      </w:pPr>
    </w:p>
    <w:p w14:paraId="2FC0A661" w14:textId="77777777" w:rsidR="00236E6D" w:rsidRPr="006B7838" w:rsidRDefault="00236E6D" w:rsidP="001321D7">
      <w:pPr>
        <w:jc w:val="center"/>
      </w:pPr>
    </w:p>
    <w:p w14:paraId="0CBB9F66" w14:textId="77777777" w:rsidR="00236E6D" w:rsidRPr="006B7838" w:rsidRDefault="009C755C" w:rsidP="001321D7">
      <w:pPr>
        <w:jc w:val="center"/>
      </w:pPr>
      <w:r w:rsidRPr="006B7838">
        <w:t>A Thesis Presented for</w:t>
      </w:r>
      <w:r w:rsidR="008865B6" w:rsidRPr="006B7838">
        <w:t xml:space="preserve"> the</w:t>
      </w:r>
    </w:p>
    <w:p w14:paraId="14DEBC76" w14:textId="4FE1DB62" w:rsidR="009C755C" w:rsidRPr="006B7838" w:rsidRDefault="00432928" w:rsidP="001321D7">
      <w:pPr>
        <w:jc w:val="center"/>
      </w:pPr>
      <w:r>
        <w:t>Master of Arts</w:t>
      </w:r>
    </w:p>
    <w:p w14:paraId="3FF0BB61" w14:textId="6E978252" w:rsidR="009C755C" w:rsidRPr="006B7838" w:rsidRDefault="009C755C" w:rsidP="001321D7">
      <w:pPr>
        <w:jc w:val="center"/>
      </w:pPr>
      <w:r w:rsidRPr="006B7838">
        <w:t>Degree</w:t>
      </w:r>
    </w:p>
    <w:p w14:paraId="11516124" w14:textId="77777777" w:rsidR="009C755C" w:rsidRPr="006B7838" w:rsidRDefault="009C755C" w:rsidP="001321D7">
      <w:pPr>
        <w:jc w:val="center"/>
      </w:pPr>
      <w:r w:rsidRPr="006B7838">
        <w:t>The University of Tennessee, Knoxville</w:t>
      </w:r>
    </w:p>
    <w:p w14:paraId="7A0860F1" w14:textId="77777777" w:rsidR="00236E6D" w:rsidRPr="006B7838" w:rsidRDefault="00236E6D" w:rsidP="001321D7">
      <w:pPr>
        <w:jc w:val="center"/>
      </w:pPr>
    </w:p>
    <w:p w14:paraId="2E7BE69A" w14:textId="77777777" w:rsidR="00236E6D" w:rsidRPr="006B7838" w:rsidRDefault="00236E6D" w:rsidP="001321D7">
      <w:pPr>
        <w:jc w:val="center"/>
      </w:pPr>
    </w:p>
    <w:p w14:paraId="624A6EE5" w14:textId="77777777" w:rsidR="00236E6D" w:rsidRPr="006B7838" w:rsidRDefault="00236E6D" w:rsidP="001321D7">
      <w:pPr>
        <w:jc w:val="center"/>
      </w:pPr>
    </w:p>
    <w:p w14:paraId="5C8D35EF" w14:textId="77777777" w:rsidR="00236E6D" w:rsidRPr="006B7838" w:rsidRDefault="00236E6D" w:rsidP="001321D7">
      <w:pPr>
        <w:jc w:val="center"/>
      </w:pPr>
    </w:p>
    <w:p w14:paraId="305AFD7F" w14:textId="77777777" w:rsidR="00236E6D" w:rsidRPr="006B7838" w:rsidRDefault="00236E6D" w:rsidP="001321D7">
      <w:pPr>
        <w:jc w:val="center"/>
      </w:pPr>
    </w:p>
    <w:p w14:paraId="2DBBCBA7" w14:textId="77777777" w:rsidR="00236E6D" w:rsidRPr="006B7838" w:rsidRDefault="00236E6D" w:rsidP="001321D7">
      <w:pPr>
        <w:jc w:val="center"/>
      </w:pPr>
    </w:p>
    <w:p w14:paraId="18808955" w14:textId="77777777" w:rsidR="00236E6D" w:rsidRPr="006B7838" w:rsidRDefault="00236E6D" w:rsidP="001321D7">
      <w:pPr>
        <w:jc w:val="center"/>
      </w:pPr>
    </w:p>
    <w:p w14:paraId="1621362F" w14:textId="77777777" w:rsidR="00236E6D" w:rsidRPr="006B7838" w:rsidRDefault="00236E6D" w:rsidP="001321D7">
      <w:pPr>
        <w:jc w:val="center"/>
      </w:pPr>
    </w:p>
    <w:p w14:paraId="13285450" w14:textId="77777777" w:rsidR="00236E6D" w:rsidRPr="006B7838" w:rsidRDefault="00236E6D" w:rsidP="001321D7">
      <w:pPr>
        <w:jc w:val="center"/>
      </w:pPr>
    </w:p>
    <w:p w14:paraId="0D372D20" w14:textId="77777777" w:rsidR="009D2AA9" w:rsidRPr="006B7838" w:rsidRDefault="009D2AA9" w:rsidP="001321D7">
      <w:pPr>
        <w:jc w:val="center"/>
      </w:pPr>
    </w:p>
    <w:p w14:paraId="18CAD09C" w14:textId="77777777" w:rsidR="009D2AA9" w:rsidRPr="006B7838" w:rsidRDefault="009D2AA9" w:rsidP="001321D7">
      <w:pPr>
        <w:jc w:val="center"/>
      </w:pPr>
    </w:p>
    <w:p w14:paraId="37B1BC0D" w14:textId="77777777" w:rsidR="009D2AA9" w:rsidRPr="006B7838" w:rsidRDefault="009D2AA9" w:rsidP="001321D7">
      <w:pPr>
        <w:jc w:val="center"/>
      </w:pPr>
    </w:p>
    <w:p w14:paraId="38880E39" w14:textId="77777777" w:rsidR="009D2AA9" w:rsidRPr="006B7838" w:rsidRDefault="009D2AA9" w:rsidP="001321D7">
      <w:pPr>
        <w:jc w:val="center"/>
      </w:pPr>
    </w:p>
    <w:p w14:paraId="56966FD5" w14:textId="77777777" w:rsidR="009D2AA9" w:rsidRPr="006B7838" w:rsidRDefault="009D2AA9" w:rsidP="001321D7">
      <w:pPr>
        <w:jc w:val="center"/>
      </w:pPr>
    </w:p>
    <w:p w14:paraId="644D1106" w14:textId="77777777" w:rsidR="009D2AA9" w:rsidRPr="006B7838" w:rsidRDefault="009D2AA9" w:rsidP="001321D7">
      <w:pPr>
        <w:jc w:val="center"/>
      </w:pPr>
    </w:p>
    <w:p w14:paraId="7B92FA6D" w14:textId="77777777" w:rsidR="009D2AA9" w:rsidRPr="006B7838" w:rsidRDefault="009D2AA9" w:rsidP="001321D7">
      <w:pPr>
        <w:jc w:val="center"/>
      </w:pPr>
    </w:p>
    <w:p w14:paraId="509E3357" w14:textId="77777777" w:rsidR="009D2AA9" w:rsidRPr="006B7838" w:rsidRDefault="009D2AA9" w:rsidP="001321D7">
      <w:pPr>
        <w:jc w:val="center"/>
      </w:pPr>
    </w:p>
    <w:p w14:paraId="6024614D" w14:textId="77777777" w:rsidR="009D2AA9" w:rsidRPr="006B7838" w:rsidRDefault="009D2AA9" w:rsidP="001321D7">
      <w:pPr>
        <w:jc w:val="center"/>
      </w:pPr>
    </w:p>
    <w:p w14:paraId="6EB5B8DC" w14:textId="77777777" w:rsidR="009D2AA9" w:rsidRPr="006B7838" w:rsidRDefault="009D2AA9" w:rsidP="001321D7">
      <w:pPr>
        <w:jc w:val="center"/>
      </w:pPr>
    </w:p>
    <w:p w14:paraId="4C81D3B8" w14:textId="61F8F726" w:rsidR="009D2AA9" w:rsidRPr="006B7838" w:rsidRDefault="009D2AA9" w:rsidP="001321D7">
      <w:pPr>
        <w:jc w:val="center"/>
      </w:pPr>
    </w:p>
    <w:p w14:paraId="272E599A" w14:textId="383038E5" w:rsidR="00F34E02" w:rsidRPr="006B7838" w:rsidRDefault="00F34E02" w:rsidP="001321D7">
      <w:pPr>
        <w:jc w:val="center"/>
      </w:pPr>
    </w:p>
    <w:p w14:paraId="2D037BC4" w14:textId="79AFC81F" w:rsidR="00F34E02" w:rsidRPr="006B7838" w:rsidRDefault="00F34E02" w:rsidP="001321D7">
      <w:pPr>
        <w:jc w:val="center"/>
      </w:pPr>
    </w:p>
    <w:p w14:paraId="6BF8E56F" w14:textId="77777777" w:rsidR="00F34E02" w:rsidRPr="006B7838" w:rsidRDefault="00F34E02" w:rsidP="001321D7">
      <w:pPr>
        <w:jc w:val="center"/>
      </w:pPr>
    </w:p>
    <w:p w14:paraId="2BA4272A" w14:textId="77777777" w:rsidR="009D2AA9" w:rsidRPr="006B7838" w:rsidRDefault="009D2AA9" w:rsidP="001321D7">
      <w:pPr>
        <w:jc w:val="center"/>
      </w:pPr>
    </w:p>
    <w:p w14:paraId="537F509F" w14:textId="77777777" w:rsidR="00236E6D" w:rsidRPr="006B7838" w:rsidRDefault="00236E6D" w:rsidP="001321D7">
      <w:pPr>
        <w:jc w:val="center"/>
      </w:pPr>
    </w:p>
    <w:p w14:paraId="5644BFD9" w14:textId="77777777" w:rsidR="00236E6D" w:rsidRPr="006B7838" w:rsidRDefault="00236E6D" w:rsidP="001321D7">
      <w:pPr>
        <w:jc w:val="center"/>
      </w:pPr>
    </w:p>
    <w:p w14:paraId="2680CABD" w14:textId="2617FC8E" w:rsidR="00236E6D" w:rsidRPr="006B7838" w:rsidRDefault="006F2116" w:rsidP="001321D7">
      <w:pPr>
        <w:jc w:val="center"/>
      </w:pPr>
      <w:r w:rsidRPr="006B7838">
        <w:t>Tracy L</w:t>
      </w:r>
      <w:r w:rsidR="002F48AB">
        <w:t>ianne</w:t>
      </w:r>
      <w:r w:rsidRPr="006B7838">
        <w:t xml:space="preserve"> Viator</w:t>
      </w:r>
    </w:p>
    <w:p w14:paraId="4A11C2D6" w14:textId="2285283D" w:rsidR="009D2AA9" w:rsidRDefault="002F48AB" w:rsidP="001321D7">
      <w:pPr>
        <w:jc w:val="center"/>
      </w:pPr>
      <w:r>
        <w:t>December</w:t>
      </w:r>
      <w:r w:rsidR="009C755C" w:rsidRPr="006B7838">
        <w:t xml:space="preserve"> </w:t>
      </w:r>
      <w:r w:rsidR="009D2AA9" w:rsidRPr="006B7838">
        <w:t>202</w:t>
      </w:r>
      <w:r w:rsidR="006F2116" w:rsidRPr="006B7838">
        <w:t>2</w:t>
      </w:r>
    </w:p>
    <w:p w14:paraId="56AE959E" w14:textId="77777777" w:rsidR="001B79D9" w:rsidRPr="006B7838" w:rsidRDefault="001B79D9" w:rsidP="001321D7">
      <w:pPr>
        <w:jc w:val="center"/>
      </w:pPr>
    </w:p>
    <w:p w14:paraId="28F1C640" w14:textId="7E1749DC" w:rsidR="00CD73A9" w:rsidRPr="001321D7" w:rsidRDefault="00CD73A9" w:rsidP="001321D7">
      <w:pPr>
        <w:spacing w:line="480" w:lineRule="auto"/>
        <w:jc w:val="center"/>
        <w:rPr>
          <w:b/>
        </w:rPr>
      </w:pPr>
      <w:r w:rsidRPr="006B7838">
        <w:rPr>
          <w:b/>
        </w:rPr>
        <w:lastRenderedPageBreak/>
        <w:t>ACKNOWLEDGEMENTS</w:t>
      </w:r>
    </w:p>
    <w:p w14:paraId="7624DBA9" w14:textId="7C4D3AFD" w:rsidR="002F48AB" w:rsidRDefault="00162666" w:rsidP="00735D18">
      <w:pPr>
        <w:spacing w:line="480" w:lineRule="auto"/>
        <w:ind w:firstLine="720"/>
      </w:pPr>
      <w:r>
        <w:t>Thank you to the members of my committee</w:t>
      </w:r>
      <w:r w:rsidR="00E6557E">
        <w:t xml:space="preserve"> and to</w:t>
      </w:r>
      <w:r>
        <w:t xml:space="preserve"> Dr. Murphy for her assistance with recruitment and facility access. I am especially grateful for my volunteer judges</w:t>
      </w:r>
      <w:r w:rsidR="00D5418C">
        <w:t xml:space="preserve"> from the counseling program and for my undergraduate research assistants </w:t>
      </w:r>
      <w:r>
        <w:t xml:space="preserve">who made data collection </w:t>
      </w:r>
      <w:r w:rsidR="00D5418C">
        <w:t xml:space="preserve">for this project </w:t>
      </w:r>
      <w:r>
        <w:t>possibl</w:t>
      </w:r>
      <w:r w:rsidR="00D5418C">
        <w:t>e.</w:t>
      </w:r>
      <w:r w:rsidR="00C35558">
        <w:t xml:space="preserve"> </w:t>
      </w:r>
      <w:r w:rsidR="00C35558" w:rsidRPr="00C35558">
        <w:t>Finally, thank you to everyone who provided accountability, feedback, and encouragement during the writing of this manuscript, namely Rachel for her expertise in the ACT literature and Denney for their unwavering moral support.</w:t>
      </w:r>
    </w:p>
    <w:p w14:paraId="5B78DC18" w14:textId="77777777" w:rsidR="002F48AB" w:rsidRDefault="002F48AB" w:rsidP="002F48AB">
      <w:pPr>
        <w:spacing w:line="480" w:lineRule="auto"/>
        <w:jc w:val="center"/>
      </w:pPr>
    </w:p>
    <w:p w14:paraId="032C79EC" w14:textId="77777777" w:rsidR="002F48AB" w:rsidRDefault="002F48AB" w:rsidP="002F48AB">
      <w:pPr>
        <w:spacing w:line="480" w:lineRule="auto"/>
        <w:jc w:val="center"/>
      </w:pPr>
    </w:p>
    <w:p w14:paraId="39B58741" w14:textId="77777777" w:rsidR="002F48AB" w:rsidRDefault="002F48AB" w:rsidP="002F48AB">
      <w:pPr>
        <w:spacing w:line="480" w:lineRule="auto"/>
        <w:jc w:val="center"/>
      </w:pPr>
    </w:p>
    <w:p w14:paraId="5E4F41DE" w14:textId="5C4E0F80" w:rsidR="00236E6D" w:rsidRPr="006B7838" w:rsidRDefault="00CD73A9" w:rsidP="002F48AB">
      <w:pPr>
        <w:spacing w:line="480" w:lineRule="auto"/>
        <w:jc w:val="center"/>
      </w:pPr>
      <w:r w:rsidRPr="006B7838">
        <w:br w:type="page"/>
      </w:r>
      <w:r w:rsidR="00236E6D" w:rsidRPr="006B7838">
        <w:rPr>
          <w:b/>
          <w:bCs/>
        </w:rPr>
        <w:lastRenderedPageBreak/>
        <w:t>ABSTRACT</w:t>
      </w:r>
    </w:p>
    <w:p w14:paraId="7E2BD31F" w14:textId="39A6DC2D" w:rsidR="00E15334" w:rsidRDefault="00F56ABF" w:rsidP="0002026A">
      <w:pPr>
        <w:spacing w:line="480" w:lineRule="auto"/>
        <w:ind w:firstLine="720"/>
        <w:rPr>
          <w:color w:val="000000"/>
        </w:rPr>
      </w:pPr>
      <w:r>
        <w:rPr>
          <w:color w:val="000000"/>
        </w:rPr>
        <w:t xml:space="preserve">Despite the pervasiveness of music performance anxiety (MPA) among musicians, the scientific literature on effective psychological interventions is relatively limited. While some </w:t>
      </w:r>
      <w:r w:rsidR="00D50AEF">
        <w:rPr>
          <w:color w:val="000000"/>
        </w:rPr>
        <w:t xml:space="preserve">MPA </w:t>
      </w:r>
      <w:r>
        <w:rPr>
          <w:color w:val="000000"/>
        </w:rPr>
        <w:t xml:space="preserve">researchers regard cognitive-behavioral therapy (CBT) as the best suited psychotherapeutic option, others position </w:t>
      </w:r>
      <w:r w:rsidR="00E6557E">
        <w:rPr>
          <w:color w:val="000000"/>
        </w:rPr>
        <w:t>a</w:t>
      </w:r>
      <w:r>
        <w:rPr>
          <w:color w:val="000000"/>
        </w:rPr>
        <w:t xml:space="preserve">cceptance and </w:t>
      </w:r>
      <w:r w:rsidR="00E6557E">
        <w:rPr>
          <w:color w:val="000000"/>
        </w:rPr>
        <w:t>c</w:t>
      </w:r>
      <w:r>
        <w:rPr>
          <w:color w:val="000000"/>
        </w:rPr>
        <w:t xml:space="preserve">ommitment </w:t>
      </w:r>
      <w:r w:rsidR="00E6557E">
        <w:rPr>
          <w:color w:val="000000"/>
        </w:rPr>
        <w:t>t</w:t>
      </w:r>
      <w:r>
        <w:rPr>
          <w:color w:val="000000"/>
        </w:rPr>
        <w:t xml:space="preserve">herapy (ACT) as both a promising treatment for MPA and </w:t>
      </w:r>
      <w:r w:rsidR="00D50AEF">
        <w:rPr>
          <w:color w:val="000000"/>
        </w:rPr>
        <w:t>means of performance enhancement</w:t>
      </w:r>
      <w:r>
        <w:rPr>
          <w:color w:val="000000"/>
        </w:rPr>
        <w:t xml:space="preserve">. A third-wave behavioral therapy, ACT stands apart from traditional CBT in that the treatment does not attempt to reduce symptoms, but rather aims to increase </w:t>
      </w:r>
      <w:r w:rsidRPr="00303B4B">
        <w:rPr>
          <w:i/>
          <w:iCs/>
          <w:color w:val="000000"/>
        </w:rPr>
        <w:t>psychological flexibility</w:t>
      </w:r>
      <w:r w:rsidR="00C4100A">
        <w:rPr>
          <w:color w:val="000000"/>
        </w:rPr>
        <w:t>:</w:t>
      </w:r>
      <w:r>
        <w:rPr>
          <w:color w:val="000000"/>
        </w:rPr>
        <w:t xml:space="preserve"> the ability to contact the present moment with full awareness and engage in values-congruent action, even if doing so elicits psychological discomfort. To better understand the utility of an ACT-based approach for MPA, the present study explore</w:t>
      </w:r>
      <w:r w:rsidR="0052549B">
        <w:rPr>
          <w:color w:val="000000"/>
        </w:rPr>
        <w:t>d</w:t>
      </w:r>
      <w:r>
        <w:rPr>
          <w:color w:val="000000"/>
        </w:rPr>
        <w:t xml:space="preserve"> relations between </w:t>
      </w:r>
      <w:r w:rsidR="00D50AEF">
        <w:rPr>
          <w:color w:val="000000"/>
        </w:rPr>
        <w:t xml:space="preserve">psychological flexibility, </w:t>
      </w:r>
      <w:r>
        <w:rPr>
          <w:color w:val="000000"/>
        </w:rPr>
        <w:t xml:space="preserve">music performance anxiety, </w:t>
      </w:r>
      <w:r w:rsidR="004555DE">
        <w:rPr>
          <w:color w:val="000000"/>
        </w:rPr>
        <w:t xml:space="preserve">and </w:t>
      </w:r>
      <w:r>
        <w:rPr>
          <w:color w:val="000000"/>
        </w:rPr>
        <w:t>perceived performance quality</w:t>
      </w:r>
      <w:r w:rsidR="00D50AEF">
        <w:rPr>
          <w:color w:val="000000"/>
        </w:rPr>
        <w:t xml:space="preserve"> </w:t>
      </w:r>
      <w:r>
        <w:rPr>
          <w:color w:val="000000"/>
        </w:rPr>
        <w:t xml:space="preserve">among university music students. Results showed a significant positive relationship between psychological flexibility and performance quality and a significant inverse relationship between psychological flexibility and MPA. One facet of psychological flexibility, cognitive defusion, emerged as a significant predictor of both perceived performance quality and MPA. The findings build on existing evidence demonstrating the suitability of ACT as both a treatment for MPA </w:t>
      </w:r>
      <w:r w:rsidR="00CF0D06">
        <w:rPr>
          <w:color w:val="000000"/>
        </w:rPr>
        <w:t>as well as</w:t>
      </w:r>
      <w:r>
        <w:rPr>
          <w:color w:val="000000"/>
        </w:rPr>
        <w:t xml:space="preserve"> </w:t>
      </w:r>
      <w:r w:rsidR="00CF0D06">
        <w:rPr>
          <w:color w:val="000000"/>
        </w:rPr>
        <w:t>method</w:t>
      </w:r>
      <w:r>
        <w:rPr>
          <w:color w:val="000000"/>
        </w:rPr>
        <w:t xml:space="preserve"> of performance enhancement for musicians</w:t>
      </w:r>
      <w:r w:rsidR="00E20495">
        <w:rPr>
          <w:color w:val="000000"/>
        </w:rPr>
        <w:t>. Additionally, results</w:t>
      </w:r>
      <w:r w:rsidR="00CF0D06">
        <w:rPr>
          <w:color w:val="000000"/>
        </w:rPr>
        <w:t xml:space="preserve"> </w:t>
      </w:r>
      <w:r>
        <w:rPr>
          <w:color w:val="000000"/>
        </w:rPr>
        <w:t>provide support for emphasizing defusion processes within an ACT for MPA treatment approach.</w:t>
      </w:r>
      <w:r w:rsidR="00CF0D06">
        <w:rPr>
          <w:color w:val="000000"/>
        </w:rPr>
        <w:t xml:space="preserve"> </w:t>
      </w:r>
      <w:r w:rsidR="00E20495">
        <w:rPr>
          <w:color w:val="000000"/>
        </w:rPr>
        <w:t xml:space="preserve">The </w:t>
      </w:r>
      <w:r w:rsidR="00CF0D06" w:rsidRPr="00CF0D06">
        <w:rPr>
          <w:color w:val="000000"/>
        </w:rPr>
        <w:t xml:space="preserve">study holds particular significance for the population of interest, university music students, who commonly seek out </w:t>
      </w:r>
      <w:r w:rsidR="00F5206B">
        <w:rPr>
          <w:color w:val="000000"/>
        </w:rPr>
        <w:t>specific</w:t>
      </w:r>
      <w:r w:rsidR="00CF0D06" w:rsidRPr="00CF0D06">
        <w:rPr>
          <w:color w:val="000000"/>
        </w:rPr>
        <w:t xml:space="preserve"> skills and strategies for enhancing performance outcomes and managing the effects of MPA.</w:t>
      </w:r>
    </w:p>
    <w:p w14:paraId="66384E5B" w14:textId="77777777" w:rsidR="00E15334" w:rsidRDefault="00E15334" w:rsidP="0002026A">
      <w:pPr>
        <w:spacing w:line="480" w:lineRule="auto"/>
        <w:ind w:firstLine="720"/>
        <w:rPr>
          <w:color w:val="000000"/>
        </w:rPr>
      </w:pPr>
    </w:p>
    <w:p w14:paraId="7D0DE50B" w14:textId="77777777" w:rsidR="00445E22" w:rsidRDefault="00445E22" w:rsidP="00445E22">
      <w:pPr>
        <w:spacing w:line="480" w:lineRule="auto"/>
        <w:ind w:firstLine="720"/>
        <w:jc w:val="center"/>
        <w:rPr>
          <w:b/>
          <w:bCs/>
          <w:color w:val="000000"/>
        </w:rPr>
      </w:pPr>
      <w:r w:rsidRPr="00E15334">
        <w:rPr>
          <w:b/>
          <w:bCs/>
          <w:color w:val="000000"/>
        </w:rPr>
        <w:lastRenderedPageBreak/>
        <w:t>TABLE OF CONTENTS</w:t>
      </w:r>
    </w:p>
    <w:p w14:paraId="1918BF86" w14:textId="2BCEBD04" w:rsidR="00445E22" w:rsidRDefault="00AF6003" w:rsidP="00445E22">
      <w:pPr>
        <w:pStyle w:val="NormalWeb"/>
        <w:tabs>
          <w:tab w:val="left" w:leader="dot" w:pos="8820"/>
        </w:tabs>
        <w:spacing w:before="0" w:beforeAutospacing="0" w:after="0" w:afterAutospacing="0" w:line="480" w:lineRule="auto"/>
        <w:ind w:right="270"/>
      </w:pPr>
      <w:r>
        <w:rPr>
          <w:color w:val="000000"/>
        </w:rPr>
        <w:t>CHAPTER ONE INTRODRUCTION AND LITERATURE REVIEW</w:t>
      </w:r>
      <w:r w:rsidR="00445E22">
        <w:rPr>
          <w:rStyle w:val="apple-tab-span"/>
          <w:color w:val="000000"/>
        </w:rPr>
        <w:tab/>
        <w:t>1</w:t>
      </w:r>
    </w:p>
    <w:p w14:paraId="65783A24" w14:textId="77777777" w:rsidR="00445E22" w:rsidRDefault="00445E22" w:rsidP="00445E22">
      <w:pPr>
        <w:pStyle w:val="NormalWeb"/>
        <w:tabs>
          <w:tab w:val="left" w:leader="dot" w:pos="8820"/>
        </w:tabs>
        <w:spacing w:before="0" w:beforeAutospacing="0" w:after="0" w:afterAutospacing="0" w:line="480" w:lineRule="auto"/>
        <w:ind w:left="288" w:right="270"/>
      </w:pPr>
      <w:r>
        <w:rPr>
          <w:color w:val="000000"/>
        </w:rPr>
        <w:t>Music Performance Anxiety</w:t>
      </w:r>
      <w:r>
        <w:rPr>
          <w:color w:val="000000"/>
        </w:rPr>
        <w:tab/>
        <w:t>1</w:t>
      </w:r>
    </w:p>
    <w:p w14:paraId="505B5556" w14:textId="77777777" w:rsidR="00445E22" w:rsidRDefault="00445E22" w:rsidP="00445E22">
      <w:pPr>
        <w:pStyle w:val="NormalWeb"/>
        <w:tabs>
          <w:tab w:val="left" w:leader="dot" w:pos="8820"/>
        </w:tabs>
        <w:spacing w:before="0" w:beforeAutospacing="0" w:after="0" w:afterAutospacing="0" w:line="480" w:lineRule="auto"/>
        <w:ind w:left="576" w:right="270"/>
      </w:pPr>
      <w:r>
        <w:rPr>
          <w:color w:val="000000"/>
        </w:rPr>
        <w:t>Prevalence of MPA</w:t>
      </w:r>
      <w:r>
        <w:rPr>
          <w:rStyle w:val="apple-tab-span"/>
          <w:color w:val="000000"/>
        </w:rPr>
        <w:tab/>
      </w:r>
      <w:r>
        <w:rPr>
          <w:color w:val="000000"/>
        </w:rPr>
        <w:t>3</w:t>
      </w:r>
    </w:p>
    <w:p w14:paraId="5AE5B169" w14:textId="77777777" w:rsidR="00445E22" w:rsidRDefault="00445E22" w:rsidP="00445E22">
      <w:pPr>
        <w:pStyle w:val="NormalWeb"/>
        <w:tabs>
          <w:tab w:val="left" w:leader="dot" w:pos="8820"/>
        </w:tabs>
        <w:spacing w:before="0" w:beforeAutospacing="0" w:after="0" w:afterAutospacing="0" w:line="480" w:lineRule="auto"/>
        <w:ind w:left="576" w:right="270"/>
      </w:pPr>
      <w:r>
        <w:rPr>
          <w:color w:val="000000"/>
        </w:rPr>
        <w:t>Etiology: Triple Vulnerability Model of MPA</w:t>
      </w:r>
      <w:r>
        <w:rPr>
          <w:rStyle w:val="apple-tab-span"/>
          <w:color w:val="000000"/>
        </w:rPr>
        <w:tab/>
      </w:r>
      <w:r>
        <w:rPr>
          <w:color w:val="000000"/>
        </w:rPr>
        <w:t>4</w:t>
      </w:r>
    </w:p>
    <w:p w14:paraId="38D3FBEF" w14:textId="77777777" w:rsidR="00445E22" w:rsidRDefault="00445E22" w:rsidP="00445E22">
      <w:pPr>
        <w:pStyle w:val="NormalWeb"/>
        <w:tabs>
          <w:tab w:val="left" w:leader="dot" w:pos="8820"/>
        </w:tabs>
        <w:spacing w:before="0" w:beforeAutospacing="0" w:after="0" w:afterAutospacing="0" w:line="480" w:lineRule="auto"/>
        <w:ind w:left="288" w:right="270"/>
      </w:pPr>
      <w:r>
        <w:rPr>
          <w:color w:val="000000"/>
        </w:rPr>
        <w:t>Current MPA Interventions</w:t>
      </w:r>
      <w:r>
        <w:rPr>
          <w:rStyle w:val="apple-tab-span"/>
          <w:color w:val="000000"/>
        </w:rPr>
        <w:tab/>
      </w:r>
      <w:r>
        <w:rPr>
          <w:color w:val="000000"/>
        </w:rPr>
        <w:t>5</w:t>
      </w:r>
    </w:p>
    <w:p w14:paraId="3774E427" w14:textId="77777777" w:rsidR="00445E22" w:rsidRDefault="00445E22" w:rsidP="00445E22">
      <w:pPr>
        <w:pStyle w:val="NormalWeb"/>
        <w:tabs>
          <w:tab w:val="left" w:leader="dot" w:pos="8820"/>
        </w:tabs>
        <w:spacing w:before="0" w:beforeAutospacing="0" w:after="0" w:afterAutospacing="0" w:line="480" w:lineRule="auto"/>
        <w:ind w:left="576" w:right="270"/>
      </w:pPr>
      <w:r>
        <w:rPr>
          <w:color w:val="000000"/>
        </w:rPr>
        <w:t>Limitations of Leading Interventions</w:t>
      </w:r>
      <w:r>
        <w:rPr>
          <w:rStyle w:val="apple-tab-span"/>
          <w:color w:val="000000"/>
        </w:rPr>
        <w:tab/>
      </w:r>
      <w:r>
        <w:rPr>
          <w:color w:val="000000"/>
        </w:rPr>
        <w:t>7</w:t>
      </w:r>
    </w:p>
    <w:p w14:paraId="1A618E54" w14:textId="77777777" w:rsidR="00445E22" w:rsidRDefault="00445E22" w:rsidP="00445E22">
      <w:pPr>
        <w:pStyle w:val="NormalWeb"/>
        <w:tabs>
          <w:tab w:val="left" w:leader="dot" w:pos="8820"/>
        </w:tabs>
        <w:spacing w:before="0" w:beforeAutospacing="0" w:after="0" w:afterAutospacing="0" w:line="480" w:lineRule="auto"/>
        <w:ind w:left="288" w:right="270"/>
      </w:pPr>
      <w:r>
        <w:rPr>
          <w:color w:val="000000"/>
        </w:rPr>
        <w:t>Acceptance and Commitment Therapy for MPA</w:t>
      </w:r>
      <w:r>
        <w:rPr>
          <w:rStyle w:val="apple-tab-span"/>
          <w:color w:val="000000"/>
        </w:rPr>
        <w:tab/>
      </w:r>
      <w:r>
        <w:rPr>
          <w:color w:val="000000"/>
        </w:rPr>
        <w:t>9</w:t>
      </w:r>
    </w:p>
    <w:p w14:paraId="2B9DDE0B" w14:textId="77777777" w:rsidR="00445E22" w:rsidRDefault="00445E22" w:rsidP="00445E22">
      <w:pPr>
        <w:pStyle w:val="NormalWeb"/>
        <w:tabs>
          <w:tab w:val="left" w:leader="dot" w:pos="8820"/>
        </w:tabs>
        <w:spacing w:before="0" w:beforeAutospacing="0" w:after="0" w:afterAutospacing="0" w:line="480" w:lineRule="auto"/>
        <w:ind w:left="576" w:right="270"/>
      </w:pPr>
      <w:r>
        <w:rPr>
          <w:color w:val="000000"/>
        </w:rPr>
        <w:t>Psychological Flexibility and the ACT Hexaflex</w:t>
      </w:r>
      <w:r>
        <w:rPr>
          <w:rStyle w:val="apple-tab-span"/>
          <w:color w:val="000000"/>
        </w:rPr>
        <w:tab/>
      </w:r>
      <w:r>
        <w:rPr>
          <w:color w:val="000000"/>
        </w:rPr>
        <w:t>11</w:t>
      </w:r>
    </w:p>
    <w:p w14:paraId="625C284E" w14:textId="77777777" w:rsidR="00445E22" w:rsidRDefault="00445E22" w:rsidP="00445E22">
      <w:pPr>
        <w:pStyle w:val="NormalWeb"/>
        <w:tabs>
          <w:tab w:val="left" w:leader="dot" w:pos="8820"/>
        </w:tabs>
        <w:spacing w:before="0" w:beforeAutospacing="0" w:after="0" w:afterAutospacing="0" w:line="480" w:lineRule="auto"/>
        <w:ind w:left="576" w:right="270"/>
      </w:pPr>
      <w:r>
        <w:rPr>
          <w:color w:val="000000"/>
        </w:rPr>
        <w:t>ACT for MPA: Empirical Support</w:t>
      </w:r>
      <w:r>
        <w:rPr>
          <w:rStyle w:val="apple-tab-span"/>
          <w:color w:val="000000"/>
        </w:rPr>
        <w:tab/>
      </w:r>
      <w:r>
        <w:rPr>
          <w:color w:val="000000"/>
        </w:rPr>
        <w:t>12</w:t>
      </w:r>
    </w:p>
    <w:p w14:paraId="04833026" w14:textId="77777777" w:rsidR="00445E22" w:rsidRDefault="00445E22" w:rsidP="00445E22">
      <w:pPr>
        <w:pStyle w:val="NormalWeb"/>
        <w:tabs>
          <w:tab w:val="left" w:leader="dot" w:pos="8820"/>
        </w:tabs>
        <w:spacing w:before="0" w:beforeAutospacing="0" w:after="0" w:afterAutospacing="0" w:line="480" w:lineRule="auto"/>
        <w:ind w:left="288" w:right="270"/>
      </w:pPr>
      <w:r>
        <w:rPr>
          <w:color w:val="000000"/>
        </w:rPr>
        <w:t>Purpose of the Present Study</w:t>
      </w:r>
      <w:r>
        <w:rPr>
          <w:rStyle w:val="apple-tab-span"/>
          <w:color w:val="000000"/>
        </w:rPr>
        <w:tab/>
      </w:r>
      <w:r>
        <w:rPr>
          <w:color w:val="000000"/>
        </w:rPr>
        <w:t>15</w:t>
      </w:r>
    </w:p>
    <w:p w14:paraId="37DAE64A" w14:textId="057915B7" w:rsidR="00445E22" w:rsidRDefault="00AF6003" w:rsidP="00445E22">
      <w:pPr>
        <w:pStyle w:val="NormalWeb"/>
        <w:tabs>
          <w:tab w:val="left" w:leader="dot" w:pos="8820"/>
        </w:tabs>
        <w:spacing w:before="0" w:beforeAutospacing="0" w:after="0" w:afterAutospacing="0" w:line="480" w:lineRule="auto"/>
        <w:ind w:right="270"/>
      </w:pPr>
      <w:r>
        <w:rPr>
          <w:color w:val="000000"/>
        </w:rPr>
        <w:t>CHAPTER TWO METHOD</w:t>
      </w:r>
      <w:r w:rsidR="00445E22">
        <w:rPr>
          <w:rStyle w:val="apple-tab-span"/>
          <w:color w:val="000000"/>
        </w:rPr>
        <w:tab/>
      </w:r>
      <w:r w:rsidR="00445E22">
        <w:rPr>
          <w:color w:val="000000"/>
        </w:rPr>
        <w:t>17</w:t>
      </w:r>
    </w:p>
    <w:p w14:paraId="63C17F78" w14:textId="77777777" w:rsidR="00445E22" w:rsidRDefault="00445E22" w:rsidP="00445E22">
      <w:pPr>
        <w:pStyle w:val="NormalWeb"/>
        <w:tabs>
          <w:tab w:val="left" w:leader="dot" w:pos="8820"/>
        </w:tabs>
        <w:spacing w:before="0" w:beforeAutospacing="0" w:after="0" w:afterAutospacing="0" w:line="480" w:lineRule="auto"/>
        <w:ind w:left="288" w:right="270"/>
      </w:pPr>
      <w:r>
        <w:rPr>
          <w:color w:val="000000"/>
        </w:rPr>
        <w:t>Participants</w:t>
      </w:r>
      <w:r>
        <w:rPr>
          <w:rStyle w:val="apple-tab-span"/>
          <w:color w:val="000000"/>
        </w:rPr>
        <w:tab/>
      </w:r>
      <w:r>
        <w:rPr>
          <w:color w:val="000000"/>
        </w:rPr>
        <w:t>17</w:t>
      </w:r>
    </w:p>
    <w:p w14:paraId="11440F97" w14:textId="77777777" w:rsidR="00445E22" w:rsidRDefault="00445E22" w:rsidP="00445E22">
      <w:pPr>
        <w:pStyle w:val="NormalWeb"/>
        <w:tabs>
          <w:tab w:val="left" w:leader="dot" w:pos="8820"/>
        </w:tabs>
        <w:spacing w:before="0" w:beforeAutospacing="0" w:after="0" w:afterAutospacing="0" w:line="480" w:lineRule="auto"/>
        <w:ind w:left="288" w:right="270"/>
      </w:pPr>
      <w:r>
        <w:rPr>
          <w:color w:val="000000"/>
        </w:rPr>
        <w:t>Procedure</w:t>
      </w:r>
      <w:r>
        <w:rPr>
          <w:rStyle w:val="apple-tab-span"/>
          <w:color w:val="000000"/>
        </w:rPr>
        <w:tab/>
      </w:r>
      <w:r>
        <w:rPr>
          <w:color w:val="000000"/>
        </w:rPr>
        <w:t>17</w:t>
      </w:r>
    </w:p>
    <w:p w14:paraId="7B16C408" w14:textId="77777777" w:rsidR="00445E22" w:rsidRDefault="00445E22" w:rsidP="00445E22">
      <w:pPr>
        <w:pStyle w:val="NormalWeb"/>
        <w:tabs>
          <w:tab w:val="left" w:leader="dot" w:pos="8820"/>
        </w:tabs>
        <w:spacing w:before="0" w:beforeAutospacing="0" w:after="0" w:afterAutospacing="0" w:line="480" w:lineRule="auto"/>
        <w:ind w:left="288" w:right="270"/>
      </w:pPr>
      <w:r>
        <w:rPr>
          <w:color w:val="000000"/>
        </w:rPr>
        <w:t>Measures</w:t>
      </w:r>
      <w:r>
        <w:rPr>
          <w:rStyle w:val="apple-tab-span"/>
          <w:color w:val="000000"/>
        </w:rPr>
        <w:tab/>
      </w:r>
      <w:r>
        <w:rPr>
          <w:color w:val="000000"/>
        </w:rPr>
        <w:t>19</w:t>
      </w:r>
    </w:p>
    <w:p w14:paraId="336B5F3E" w14:textId="77777777" w:rsidR="00445E22" w:rsidRDefault="00445E22" w:rsidP="00445E22">
      <w:pPr>
        <w:pStyle w:val="NormalWeb"/>
        <w:tabs>
          <w:tab w:val="left" w:leader="dot" w:pos="8820"/>
        </w:tabs>
        <w:spacing w:before="0" w:beforeAutospacing="0" w:after="0" w:afterAutospacing="0" w:line="480" w:lineRule="auto"/>
        <w:ind w:left="288" w:right="270"/>
      </w:pPr>
      <w:r>
        <w:rPr>
          <w:color w:val="000000"/>
        </w:rPr>
        <w:t>Data Analysis</w:t>
      </w:r>
      <w:r>
        <w:rPr>
          <w:rStyle w:val="apple-tab-span"/>
          <w:color w:val="000000"/>
        </w:rPr>
        <w:tab/>
      </w:r>
      <w:r>
        <w:rPr>
          <w:color w:val="000000"/>
        </w:rPr>
        <w:t>22</w:t>
      </w:r>
    </w:p>
    <w:p w14:paraId="39319C93" w14:textId="667BED8F" w:rsidR="00445E22" w:rsidRDefault="00AF6003" w:rsidP="00445E22">
      <w:pPr>
        <w:pStyle w:val="NormalWeb"/>
        <w:tabs>
          <w:tab w:val="left" w:leader="dot" w:pos="8820"/>
        </w:tabs>
        <w:spacing w:before="0" w:beforeAutospacing="0" w:after="0" w:afterAutospacing="0" w:line="480" w:lineRule="auto"/>
        <w:ind w:right="270"/>
        <w:rPr>
          <w:color w:val="000000"/>
        </w:rPr>
      </w:pPr>
      <w:r>
        <w:rPr>
          <w:color w:val="000000"/>
        </w:rPr>
        <w:t>CHAPTER THREE RESULTS</w:t>
      </w:r>
      <w:r w:rsidR="00445E22">
        <w:rPr>
          <w:color w:val="000000"/>
        </w:rPr>
        <w:t xml:space="preserve"> </w:t>
      </w:r>
      <w:r w:rsidR="00445E22">
        <w:rPr>
          <w:rStyle w:val="apple-tab-span"/>
          <w:color w:val="000000"/>
        </w:rPr>
        <w:tab/>
      </w:r>
      <w:r w:rsidR="00445E22">
        <w:rPr>
          <w:color w:val="000000"/>
        </w:rPr>
        <w:t>23</w:t>
      </w:r>
    </w:p>
    <w:p w14:paraId="3F507F15" w14:textId="77777777" w:rsidR="00445E22" w:rsidRDefault="00445E22" w:rsidP="00445E22">
      <w:pPr>
        <w:pStyle w:val="NormalWeb"/>
        <w:tabs>
          <w:tab w:val="left" w:leader="dot" w:pos="8820"/>
        </w:tabs>
        <w:spacing w:before="0" w:beforeAutospacing="0" w:after="0" w:afterAutospacing="0" w:line="480" w:lineRule="auto"/>
        <w:ind w:left="360" w:right="270" w:hanging="360"/>
        <w:rPr>
          <w:color w:val="000000"/>
        </w:rPr>
      </w:pPr>
      <w:r>
        <w:rPr>
          <w:color w:val="000000"/>
        </w:rPr>
        <w:tab/>
        <w:t>A priori Hypotheses</w:t>
      </w:r>
      <w:r>
        <w:rPr>
          <w:color w:val="000000"/>
        </w:rPr>
        <w:tab/>
        <w:t>23</w:t>
      </w:r>
    </w:p>
    <w:p w14:paraId="0E280DA4" w14:textId="77777777" w:rsidR="00445E22" w:rsidRDefault="00445E22" w:rsidP="00445E22">
      <w:pPr>
        <w:pStyle w:val="NormalWeb"/>
        <w:tabs>
          <w:tab w:val="left" w:leader="dot" w:pos="8820"/>
        </w:tabs>
        <w:spacing w:before="0" w:beforeAutospacing="0" w:after="0" w:afterAutospacing="0" w:line="480" w:lineRule="auto"/>
        <w:ind w:left="360" w:right="270" w:hanging="360"/>
      </w:pPr>
      <w:r>
        <w:rPr>
          <w:color w:val="000000"/>
        </w:rPr>
        <w:tab/>
      </w:r>
      <w:r w:rsidRPr="00F211FB">
        <w:rPr>
          <w:color w:val="000000"/>
        </w:rPr>
        <w:t>Exploratory Examination of Predictors of PPQ and MPA</w:t>
      </w:r>
      <w:r>
        <w:rPr>
          <w:color w:val="000000"/>
        </w:rPr>
        <w:tab/>
        <w:t>23</w:t>
      </w:r>
    </w:p>
    <w:p w14:paraId="31A00B38" w14:textId="5AB1CD9E" w:rsidR="00445E22" w:rsidRDefault="00AF6003" w:rsidP="00445E22">
      <w:pPr>
        <w:pStyle w:val="NormalWeb"/>
        <w:tabs>
          <w:tab w:val="left" w:leader="dot" w:pos="8820"/>
        </w:tabs>
        <w:spacing w:before="0" w:beforeAutospacing="0" w:after="0" w:afterAutospacing="0" w:line="480" w:lineRule="auto"/>
        <w:ind w:right="270"/>
      </w:pPr>
      <w:r>
        <w:rPr>
          <w:color w:val="000000"/>
        </w:rPr>
        <w:t>CHAPTER FOUR DISCUSSION</w:t>
      </w:r>
      <w:r w:rsidR="00445E22">
        <w:rPr>
          <w:rStyle w:val="apple-tab-span"/>
          <w:color w:val="000000"/>
        </w:rPr>
        <w:tab/>
      </w:r>
      <w:r w:rsidR="00445E22">
        <w:rPr>
          <w:color w:val="000000"/>
        </w:rPr>
        <w:t>25</w:t>
      </w:r>
    </w:p>
    <w:p w14:paraId="63DB377D" w14:textId="77777777" w:rsidR="00445E22" w:rsidRDefault="00445E22" w:rsidP="00445E22">
      <w:pPr>
        <w:pStyle w:val="NormalWeb"/>
        <w:tabs>
          <w:tab w:val="left" w:leader="dot" w:pos="8820"/>
        </w:tabs>
        <w:spacing w:before="0" w:beforeAutospacing="0" w:after="0" w:afterAutospacing="0" w:line="480" w:lineRule="auto"/>
        <w:ind w:left="288" w:right="270"/>
      </w:pPr>
      <w:r>
        <w:rPr>
          <w:color w:val="000000"/>
        </w:rPr>
        <w:t>Utility of Cognitive Defusion</w:t>
      </w:r>
      <w:r>
        <w:rPr>
          <w:rStyle w:val="apple-tab-span"/>
          <w:color w:val="000000"/>
        </w:rPr>
        <w:tab/>
      </w:r>
      <w:r>
        <w:rPr>
          <w:color w:val="000000"/>
        </w:rPr>
        <w:t>27</w:t>
      </w:r>
    </w:p>
    <w:p w14:paraId="6BEC8F93" w14:textId="77777777" w:rsidR="00445E22" w:rsidRDefault="00445E22" w:rsidP="00445E22">
      <w:pPr>
        <w:pStyle w:val="NormalWeb"/>
        <w:tabs>
          <w:tab w:val="left" w:leader="dot" w:pos="8820"/>
        </w:tabs>
        <w:spacing w:before="0" w:beforeAutospacing="0" w:after="0" w:afterAutospacing="0" w:line="480" w:lineRule="auto"/>
        <w:ind w:left="288" w:right="270"/>
      </w:pPr>
      <w:r>
        <w:rPr>
          <w:color w:val="000000"/>
        </w:rPr>
        <w:t>Implications for Clinical Practice</w:t>
      </w:r>
      <w:r>
        <w:rPr>
          <w:rStyle w:val="apple-tab-span"/>
          <w:color w:val="000000"/>
        </w:rPr>
        <w:tab/>
      </w:r>
      <w:r>
        <w:rPr>
          <w:color w:val="000000"/>
        </w:rPr>
        <w:t>29</w:t>
      </w:r>
    </w:p>
    <w:p w14:paraId="6D4CDA15" w14:textId="77777777" w:rsidR="00445E22" w:rsidRDefault="00445E22" w:rsidP="00445E22">
      <w:pPr>
        <w:pStyle w:val="NormalWeb"/>
        <w:tabs>
          <w:tab w:val="left" w:leader="dot" w:pos="8820"/>
        </w:tabs>
        <w:spacing w:before="0" w:beforeAutospacing="0" w:after="0" w:afterAutospacing="0" w:line="480" w:lineRule="auto"/>
        <w:ind w:left="288" w:right="270"/>
      </w:pPr>
      <w:r>
        <w:rPr>
          <w:color w:val="000000"/>
        </w:rPr>
        <w:lastRenderedPageBreak/>
        <w:t>Limitations and Considerations for Future Research</w:t>
      </w:r>
      <w:r>
        <w:rPr>
          <w:rStyle w:val="apple-tab-span"/>
          <w:color w:val="000000"/>
        </w:rPr>
        <w:tab/>
      </w:r>
      <w:r>
        <w:rPr>
          <w:color w:val="000000"/>
        </w:rPr>
        <w:t>31</w:t>
      </w:r>
    </w:p>
    <w:p w14:paraId="3857562F" w14:textId="76A285EE" w:rsidR="00445E22" w:rsidRDefault="00AF6003" w:rsidP="00445E22">
      <w:pPr>
        <w:pStyle w:val="NormalWeb"/>
        <w:tabs>
          <w:tab w:val="left" w:leader="dot" w:pos="8820"/>
        </w:tabs>
        <w:spacing w:before="0" w:beforeAutospacing="0" w:after="0" w:afterAutospacing="0" w:line="480" w:lineRule="auto"/>
        <w:ind w:right="270"/>
      </w:pPr>
      <w:r>
        <w:rPr>
          <w:color w:val="000000"/>
        </w:rPr>
        <w:t>CHAPTER FIVE CONCLUSION</w:t>
      </w:r>
      <w:r w:rsidR="00445E22">
        <w:rPr>
          <w:rStyle w:val="apple-tab-span"/>
          <w:color w:val="000000"/>
        </w:rPr>
        <w:tab/>
      </w:r>
      <w:r w:rsidR="00445E22">
        <w:rPr>
          <w:color w:val="000000"/>
        </w:rPr>
        <w:t>34</w:t>
      </w:r>
    </w:p>
    <w:p w14:paraId="09921AF9" w14:textId="77777777" w:rsidR="00445E22" w:rsidRDefault="00445E22" w:rsidP="00445E22">
      <w:pPr>
        <w:pStyle w:val="NormalWeb"/>
        <w:tabs>
          <w:tab w:val="left" w:leader="dot" w:pos="8820"/>
        </w:tabs>
        <w:spacing w:before="0" w:beforeAutospacing="0" w:after="0" w:afterAutospacing="0" w:line="480" w:lineRule="auto"/>
        <w:ind w:right="270"/>
      </w:pPr>
      <w:r>
        <w:rPr>
          <w:color w:val="000000"/>
        </w:rPr>
        <w:t>References</w:t>
      </w:r>
      <w:r>
        <w:rPr>
          <w:rStyle w:val="apple-tab-span"/>
          <w:color w:val="000000"/>
        </w:rPr>
        <w:tab/>
      </w:r>
      <w:r>
        <w:rPr>
          <w:color w:val="000000"/>
        </w:rPr>
        <w:t>35</w:t>
      </w:r>
    </w:p>
    <w:p w14:paraId="45218A63" w14:textId="733D83CB" w:rsidR="00445E22" w:rsidRDefault="00445E22" w:rsidP="00445E22">
      <w:pPr>
        <w:pStyle w:val="NormalWeb"/>
        <w:tabs>
          <w:tab w:val="left" w:leader="dot" w:pos="8820"/>
        </w:tabs>
        <w:spacing w:before="0" w:beforeAutospacing="0" w:after="0" w:afterAutospacing="0" w:line="480" w:lineRule="auto"/>
        <w:ind w:right="270"/>
      </w:pPr>
      <w:r>
        <w:rPr>
          <w:color w:val="000000"/>
        </w:rPr>
        <w:t>Appendix</w:t>
      </w:r>
      <w:r>
        <w:rPr>
          <w:rStyle w:val="apple-tab-span"/>
          <w:color w:val="000000"/>
        </w:rPr>
        <w:tab/>
      </w:r>
      <w:r>
        <w:rPr>
          <w:color w:val="000000"/>
        </w:rPr>
        <w:t>4</w:t>
      </w:r>
      <w:r w:rsidR="009211D4">
        <w:rPr>
          <w:color w:val="000000"/>
        </w:rPr>
        <w:t>5</w:t>
      </w:r>
    </w:p>
    <w:p w14:paraId="394F26B4" w14:textId="1F53D6FA" w:rsidR="00AE5AB4" w:rsidRPr="00445E22" w:rsidRDefault="00445E22" w:rsidP="00445E22">
      <w:pPr>
        <w:tabs>
          <w:tab w:val="left" w:leader="dot" w:pos="8820"/>
        </w:tabs>
        <w:spacing w:line="480" w:lineRule="auto"/>
        <w:ind w:right="270"/>
      </w:pPr>
      <w:r>
        <w:rPr>
          <w:color w:val="000000"/>
        </w:rPr>
        <w:t>Vita</w:t>
      </w:r>
      <w:r>
        <w:rPr>
          <w:rStyle w:val="apple-tab-span"/>
          <w:color w:val="000000"/>
        </w:rPr>
        <w:tab/>
      </w:r>
      <w:r w:rsidR="009211D4">
        <w:rPr>
          <w:color w:val="000000"/>
        </w:rPr>
        <w:t>49</w:t>
      </w:r>
    </w:p>
    <w:p w14:paraId="27158882" w14:textId="0022AC49" w:rsidR="00AE5AB4" w:rsidRDefault="00AE5AB4" w:rsidP="00AE5AB4">
      <w:pPr>
        <w:tabs>
          <w:tab w:val="left" w:pos="8820"/>
        </w:tabs>
        <w:rPr>
          <w:b/>
          <w:bCs/>
        </w:rPr>
      </w:pPr>
    </w:p>
    <w:p w14:paraId="4D3823D1" w14:textId="7DC2E4B6" w:rsidR="00AE5AB4" w:rsidRDefault="00AE5AB4" w:rsidP="00AE5AB4">
      <w:pPr>
        <w:tabs>
          <w:tab w:val="left" w:pos="8820"/>
        </w:tabs>
        <w:rPr>
          <w:b/>
          <w:bCs/>
        </w:rPr>
      </w:pPr>
    </w:p>
    <w:p w14:paraId="38CD15E6" w14:textId="2ECDF518" w:rsidR="00AE5AB4" w:rsidRDefault="00AE5AB4" w:rsidP="00AE5AB4">
      <w:pPr>
        <w:tabs>
          <w:tab w:val="left" w:pos="8820"/>
        </w:tabs>
        <w:rPr>
          <w:b/>
          <w:bCs/>
        </w:rPr>
      </w:pPr>
    </w:p>
    <w:p w14:paraId="2E4059B5" w14:textId="75BE533C" w:rsidR="00AE5AB4" w:rsidRDefault="00AE5AB4" w:rsidP="00AE5AB4">
      <w:pPr>
        <w:tabs>
          <w:tab w:val="left" w:pos="8820"/>
        </w:tabs>
        <w:rPr>
          <w:b/>
          <w:bCs/>
        </w:rPr>
      </w:pPr>
    </w:p>
    <w:p w14:paraId="218C26E0" w14:textId="18BC1F71" w:rsidR="00AE5AB4" w:rsidRDefault="00AE5AB4" w:rsidP="00AE5AB4">
      <w:pPr>
        <w:tabs>
          <w:tab w:val="left" w:pos="8820"/>
        </w:tabs>
        <w:rPr>
          <w:b/>
          <w:bCs/>
        </w:rPr>
      </w:pPr>
    </w:p>
    <w:p w14:paraId="040EF125" w14:textId="4C45C9AB" w:rsidR="00AE5AB4" w:rsidRDefault="00AE5AB4" w:rsidP="00AE5AB4">
      <w:pPr>
        <w:tabs>
          <w:tab w:val="left" w:pos="8820"/>
        </w:tabs>
        <w:rPr>
          <w:b/>
          <w:bCs/>
        </w:rPr>
      </w:pPr>
    </w:p>
    <w:p w14:paraId="2C568BED" w14:textId="0F42BEAB" w:rsidR="00AE5AB4" w:rsidRDefault="00AE5AB4" w:rsidP="00AE5AB4">
      <w:pPr>
        <w:tabs>
          <w:tab w:val="left" w:pos="8820"/>
        </w:tabs>
        <w:rPr>
          <w:b/>
          <w:bCs/>
        </w:rPr>
      </w:pPr>
    </w:p>
    <w:p w14:paraId="0E99691C" w14:textId="2E62197C" w:rsidR="00AE5AB4" w:rsidRDefault="00AE5AB4" w:rsidP="00AE5AB4">
      <w:pPr>
        <w:tabs>
          <w:tab w:val="left" w:pos="8820"/>
        </w:tabs>
        <w:rPr>
          <w:b/>
          <w:bCs/>
        </w:rPr>
      </w:pPr>
    </w:p>
    <w:p w14:paraId="04787A60" w14:textId="1CFB5D90" w:rsidR="00AE5AB4" w:rsidRDefault="00AE5AB4" w:rsidP="00AE5AB4">
      <w:pPr>
        <w:tabs>
          <w:tab w:val="left" w:pos="8820"/>
        </w:tabs>
        <w:rPr>
          <w:b/>
          <w:bCs/>
        </w:rPr>
      </w:pPr>
    </w:p>
    <w:p w14:paraId="724128FD" w14:textId="48CE5D48" w:rsidR="00AE5AB4" w:rsidRDefault="00AE5AB4" w:rsidP="00AE5AB4">
      <w:pPr>
        <w:tabs>
          <w:tab w:val="left" w:pos="8820"/>
        </w:tabs>
        <w:rPr>
          <w:b/>
          <w:bCs/>
        </w:rPr>
      </w:pPr>
    </w:p>
    <w:p w14:paraId="2FDD783C" w14:textId="5E5A70E8" w:rsidR="00AE5AB4" w:rsidRDefault="00AE5AB4" w:rsidP="00AE5AB4">
      <w:pPr>
        <w:tabs>
          <w:tab w:val="left" w:pos="8820"/>
        </w:tabs>
        <w:rPr>
          <w:b/>
          <w:bCs/>
        </w:rPr>
      </w:pPr>
    </w:p>
    <w:p w14:paraId="4EAA6FB0" w14:textId="7B8B92FE" w:rsidR="00AE5AB4" w:rsidRDefault="00AE5AB4" w:rsidP="00AE5AB4">
      <w:pPr>
        <w:tabs>
          <w:tab w:val="left" w:pos="8820"/>
        </w:tabs>
        <w:rPr>
          <w:b/>
          <w:bCs/>
        </w:rPr>
      </w:pPr>
    </w:p>
    <w:p w14:paraId="3493153B" w14:textId="09A25520" w:rsidR="00AE5AB4" w:rsidRDefault="00AE5AB4" w:rsidP="00AE5AB4">
      <w:pPr>
        <w:tabs>
          <w:tab w:val="left" w:pos="8820"/>
        </w:tabs>
        <w:rPr>
          <w:b/>
          <w:bCs/>
        </w:rPr>
      </w:pPr>
    </w:p>
    <w:p w14:paraId="33A85430" w14:textId="5BB28BAE" w:rsidR="00AE5AB4" w:rsidRDefault="00AE5AB4" w:rsidP="00AE5AB4">
      <w:pPr>
        <w:tabs>
          <w:tab w:val="left" w:pos="8820"/>
        </w:tabs>
        <w:rPr>
          <w:b/>
          <w:bCs/>
        </w:rPr>
      </w:pPr>
    </w:p>
    <w:p w14:paraId="6BA56EAC" w14:textId="44939BDE" w:rsidR="00AE5AB4" w:rsidRDefault="00AE5AB4" w:rsidP="00AE5AB4">
      <w:pPr>
        <w:tabs>
          <w:tab w:val="left" w:pos="8820"/>
        </w:tabs>
        <w:rPr>
          <w:b/>
          <w:bCs/>
        </w:rPr>
      </w:pPr>
    </w:p>
    <w:p w14:paraId="6DCF7654" w14:textId="4AFB56D2" w:rsidR="00AE5AB4" w:rsidRDefault="00AE5AB4" w:rsidP="00AE5AB4">
      <w:pPr>
        <w:tabs>
          <w:tab w:val="left" w:pos="8820"/>
        </w:tabs>
        <w:rPr>
          <w:b/>
          <w:bCs/>
        </w:rPr>
      </w:pPr>
    </w:p>
    <w:p w14:paraId="273E9C1E" w14:textId="27F7FEF8" w:rsidR="00AE5AB4" w:rsidRDefault="00AE5AB4" w:rsidP="00AE5AB4">
      <w:pPr>
        <w:tabs>
          <w:tab w:val="left" w:pos="8820"/>
        </w:tabs>
        <w:rPr>
          <w:b/>
          <w:bCs/>
        </w:rPr>
      </w:pPr>
    </w:p>
    <w:p w14:paraId="6FFD424A" w14:textId="61E4F4B0" w:rsidR="00AE5AB4" w:rsidRDefault="00AE5AB4" w:rsidP="00AE5AB4">
      <w:pPr>
        <w:tabs>
          <w:tab w:val="left" w:pos="8820"/>
        </w:tabs>
        <w:rPr>
          <w:b/>
          <w:bCs/>
        </w:rPr>
      </w:pPr>
    </w:p>
    <w:p w14:paraId="278BDBAE" w14:textId="3B777096" w:rsidR="00AE5AB4" w:rsidRDefault="00AE5AB4" w:rsidP="00AE5AB4">
      <w:pPr>
        <w:tabs>
          <w:tab w:val="left" w:pos="8820"/>
        </w:tabs>
        <w:rPr>
          <w:b/>
          <w:bCs/>
        </w:rPr>
      </w:pPr>
    </w:p>
    <w:p w14:paraId="7027042E" w14:textId="23D842D0" w:rsidR="00AE5AB4" w:rsidRDefault="00AE5AB4" w:rsidP="00AE5AB4">
      <w:pPr>
        <w:tabs>
          <w:tab w:val="left" w:pos="8820"/>
        </w:tabs>
        <w:rPr>
          <w:b/>
          <w:bCs/>
        </w:rPr>
      </w:pPr>
    </w:p>
    <w:p w14:paraId="3A87E0D5" w14:textId="09C918DC" w:rsidR="00AE5AB4" w:rsidRDefault="00AE5AB4" w:rsidP="00AE5AB4">
      <w:pPr>
        <w:tabs>
          <w:tab w:val="left" w:pos="8820"/>
        </w:tabs>
        <w:rPr>
          <w:b/>
          <w:bCs/>
        </w:rPr>
      </w:pPr>
    </w:p>
    <w:p w14:paraId="02CB5C5C" w14:textId="4EA2DDE2" w:rsidR="00AE5AB4" w:rsidRDefault="00AE5AB4" w:rsidP="00AE5AB4">
      <w:pPr>
        <w:tabs>
          <w:tab w:val="left" w:pos="8820"/>
        </w:tabs>
        <w:rPr>
          <w:b/>
          <w:bCs/>
        </w:rPr>
      </w:pPr>
    </w:p>
    <w:p w14:paraId="5927043D" w14:textId="48DA8089" w:rsidR="00AE5AB4" w:rsidRDefault="00AE5AB4" w:rsidP="00AE5AB4">
      <w:pPr>
        <w:tabs>
          <w:tab w:val="left" w:pos="8820"/>
        </w:tabs>
        <w:rPr>
          <w:b/>
          <w:bCs/>
        </w:rPr>
      </w:pPr>
    </w:p>
    <w:p w14:paraId="0181E296" w14:textId="6EDE4DA9" w:rsidR="00AE5AB4" w:rsidRDefault="00AE5AB4" w:rsidP="00AE5AB4">
      <w:pPr>
        <w:tabs>
          <w:tab w:val="left" w:pos="8820"/>
        </w:tabs>
        <w:rPr>
          <w:b/>
          <w:bCs/>
        </w:rPr>
      </w:pPr>
    </w:p>
    <w:p w14:paraId="61563CF0" w14:textId="446CA1D2" w:rsidR="00AE5AB4" w:rsidRDefault="00AE5AB4" w:rsidP="00AE5AB4">
      <w:pPr>
        <w:tabs>
          <w:tab w:val="left" w:pos="8820"/>
        </w:tabs>
        <w:rPr>
          <w:b/>
          <w:bCs/>
        </w:rPr>
      </w:pPr>
    </w:p>
    <w:p w14:paraId="1688DEF1" w14:textId="1BDD7B60" w:rsidR="00AE5AB4" w:rsidRDefault="00AE5AB4" w:rsidP="00AE5AB4">
      <w:pPr>
        <w:tabs>
          <w:tab w:val="left" w:pos="8820"/>
        </w:tabs>
        <w:rPr>
          <w:b/>
          <w:bCs/>
        </w:rPr>
      </w:pPr>
    </w:p>
    <w:p w14:paraId="1AD2D1B7" w14:textId="24C42A08" w:rsidR="00AE5AB4" w:rsidRDefault="00AE5AB4" w:rsidP="00AE5AB4">
      <w:pPr>
        <w:tabs>
          <w:tab w:val="left" w:pos="8820"/>
        </w:tabs>
        <w:rPr>
          <w:b/>
          <w:bCs/>
        </w:rPr>
      </w:pPr>
    </w:p>
    <w:p w14:paraId="148D3280" w14:textId="07D717D1" w:rsidR="00AE5AB4" w:rsidRDefault="00AE5AB4" w:rsidP="00AE5AB4">
      <w:pPr>
        <w:tabs>
          <w:tab w:val="left" w:pos="8820"/>
        </w:tabs>
        <w:rPr>
          <w:b/>
          <w:bCs/>
        </w:rPr>
      </w:pPr>
    </w:p>
    <w:p w14:paraId="61B9730F" w14:textId="227FE0E4" w:rsidR="00AE5AB4" w:rsidRDefault="00AE5AB4" w:rsidP="00AE5AB4">
      <w:pPr>
        <w:tabs>
          <w:tab w:val="left" w:pos="8820"/>
        </w:tabs>
        <w:rPr>
          <w:b/>
          <w:bCs/>
        </w:rPr>
      </w:pPr>
    </w:p>
    <w:p w14:paraId="1EE34786" w14:textId="103B981B" w:rsidR="00AE5AB4" w:rsidRDefault="00AE5AB4" w:rsidP="00AE5AB4">
      <w:pPr>
        <w:tabs>
          <w:tab w:val="left" w:pos="8820"/>
        </w:tabs>
        <w:rPr>
          <w:b/>
          <w:bCs/>
        </w:rPr>
      </w:pPr>
    </w:p>
    <w:p w14:paraId="67472CAF" w14:textId="26B60966" w:rsidR="00AE5AB4" w:rsidRDefault="00AE5AB4" w:rsidP="00AE5AB4">
      <w:pPr>
        <w:tabs>
          <w:tab w:val="left" w:pos="8820"/>
        </w:tabs>
        <w:rPr>
          <w:b/>
          <w:bCs/>
        </w:rPr>
      </w:pPr>
    </w:p>
    <w:p w14:paraId="30934DD2" w14:textId="77777777" w:rsidR="00445E22" w:rsidRDefault="00445E22" w:rsidP="00AE5AB4">
      <w:pPr>
        <w:tabs>
          <w:tab w:val="left" w:pos="8820"/>
        </w:tabs>
        <w:rPr>
          <w:b/>
          <w:bCs/>
        </w:rPr>
      </w:pPr>
    </w:p>
    <w:p w14:paraId="403E107A" w14:textId="280AE0DA" w:rsidR="00AE5AB4" w:rsidRDefault="00AE5AB4" w:rsidP="00AE5AB4">
      <w:pPr>
        <w:tabs>
          <w:tab w:val="left" w:pos="8820"/>
        </w:tabs>
        <w:rPr>
          <w:b/>
          <w:bCs/>
        </w:rPr>
      </w:pPr>
    </w:p>
    <w:p w14:paraId="4460DE71" w14:textId="77777777" w:rsidR="00AE5AB4" w:rsidRPr="00AE5AB4" w:rsidRDefault="00AE5AB4" w:rsidP="00AE5AB4">
      <w:pPr>
        <w:tabs>
          <w:tab w:val="left" w:pos="8820"/>
        </w:tabs>
        <w:rPr>
          <w:b/>
          <w:bCs/>
          <w:color w:val="000000"/>
        </w:rPr>
      </w:pPr>
    </w:p>
    <w:p w14:paraId="78D98FF4" w14:textId="331881E7" w:rsidR="00236E6D" w:rsidRPr="001B309E" w:rsidRDefault="00236E6D" w:rsidP="001B309E">
      <w:pPr>
        <w:numPr>
          <w:ilvl w:val="12"/>
          <w:numId w:val="0"/>
        </w:numPr>
        <w:spacing w:line="480" w:lineRule="auto"/>
        <w:jc w:val="center"/>
      </w:pPr>
      <w:r w:rsidRPr="001B309E">
        <w:rPr>
          <w:b/>
          <w:bCs/>
        </w:rPr>
        <w:lastRenderedPageBreak/>
        <w:t>LIST OF TABLES</w:t>
      </w:r>
    </w:p>
    <w:p w14:paraId="442F737F" w14:textId="1683DB9A" w:rsidR="00FA092B" w:rsidRDefault="00FA092B" w:rsidP="00191F37">
      <w:pPr>
        <w:pStyle w:val="TableofFigures"/>
        <w:tabs>
          <w:tab w:val="right" w:leader="dot" w:pos="8910"/>
        </w:tabs>
        <w:spacing w:line="480" w:lineRule="auto"/>
        <w:jc w:val="both"/>
        <w:rPr>
          <w:rFonts w:ascii="Times New Roman" w:hAnsi="Times New Roman" w:cs="Times New Roman"/>
        </w:rPr>
      </w:pPr>
      <w:r>
        <w:rPr>
          <w:rFonts w:ascii="Times New Roman" w:hAnsi="Times New Roman" w:cs="Times New Roman"/>
        </w:rPr>
        <w:t xml:space="preserve">Table 1. </w:t>
      </w:r>
      <w:r w:rsidRPr="00FA092B">
        <w:rPr>
          <w:rFonts w:ascii="Times New Roman" w:hAnsi="Times New Roman" w:cs="Times New Roman"/>
        </w:rPr>
        <w:t>Facets of Psychological Flexibility: The Six Core Processes of ACT</w:t>
      </w:r>
      <w:r w:rsidR="00191F37">
        <w:rPr>
          <w:rFonts w:ascii="Times New Roman" w:hAnsi="Times New Roman" w:cs="Times New Roman"/>
        </w:rPr>
        <w:tab/>
      </w:r>
      <w:r>
        <w:rPr>
          <w:rFonts w:ascii="Times New Roman" w:hAnsi="Times New Roman" w:cs="Times New Roman"/>
        </w:rPr>
        <w:t>4</w:t>
      </w:r>
      <w:r w:rsidR="009211D4">
        <w:rPr>
          <w:rFonts w:ascii="Times New Roman" w:hAnsi="Times New Roman" w:cs="Times New Roman"/>
        </w:rPr>
        <w:t>5</w:t>
      </w:r>
    </w:p>
    <w:p w14:paraId="5BECC400" w14:textId="082D18DB" w:rsidR="00A713B6" w:rsidRPr="001B309E" w:rsidRDefault="00665C7E" w:rsidP="00191F37">
      <w:pPr>
        <w:pStyle w:val="TableofFigures"/>
        <w:tabs>
          <w:tab w:val="right" w:leader="dot" w:pos="8910"/>
        </w:tabs>
        <w:spacing w:line="480" w:lineRule="auto"/>
        <w:jc w:val="both"/>
        <w:rPr>
          <w:rFonts w:ascii="Times New Roman" w:eastAsiaTheme="minorEastAsia" w:hAnsi="Times New Roman" w:cs="Times New Roman"/>
          <w:noProof/>
        </w:rPr>
      </w:pPr>
      <w:r w:rsidRPr="001B309E">
        <w:rPr>
          <w:rFonts w:ascii="Times New Roman" w:hAnsi="Times New Roman" w:cs="Times New Roman"/>
        </w:rPr>
        <w:fldChar w:fldCharType="begin"/>
      </w:r>
      <w:r w:rsidR="00236E6D" w:rsidRPr="001B309E">
        <w:rPr>
          <w:rFonts w:ascii="Times New Roman" w:hAnsi="Times New Roman" w:cs="Times New Roman"/>
        </w:rPr>
        <w:instrText xml:space="preserve"> TOC \h \z \c "Table" </w:instrText>
      </w:r>
      <w:r w:rsidRPr="001B309E">
        <w:rPr>
          <w:rFonts w:ascii="Times New Roman" w:hAnsi="Times New Roman" w:cs="Times New Roman"/>
        </w:rPr>
        <w:fldChar w:fldCharType="separate"/>
      </w:r>
      <w:hyperlink w:anchor="_Toc108273077" w:history="1">
        <w:r w:rsidR="00A713B6" w:rsidRPr="001B309E">
          <w:rPr>
            <w:rStyle w:val="Hyperlink"/>
            <w:rFonts w:ascii="Times New Roman" w:hAnsi="Times New Roman" w:cs="Times New Roman"/>
            <w:noProof/>
          </w:rPr>
          <w:t xml:space="preserve">Table </w:t>
        </w:r>
        <w:r w:rsidR="00FA092B">
          <w:rPr>
            <w:rStyle w:val="Hyperlink"/>
            <w:rFonts w:ascii="Times New Roman" w:hAnsi="Times New Roman" w:cs="Times New Roman"/>
            <w:noProof/>
          </w:rPr>
          <w:t>2</w:t>
        </w:r>
        <w:r w:rsidR="00A713B6" w:rsidRPr="001B309E">
          <w:rPr>
            <w:rStyle w:val="Hyperlink"/>
            <w:rFonts w:ascii="Times New Roman" w:hAnsi="Times New Roman" w:cs="Times New Roman"/>
            <w:noProof/>
          </w:rPr>
          <w:t>. Demographic and Musical Sample Characteristics</w:t>
        </w:r>
        <w:r w:rsidR="00191F37">
          <w:rPr>
            <w:rStyle w:val="Hyperlink"/>
            <w:rFonts w:ascii="Times New Roman" w:hAnsi="Times New Roman" w:cs="Times New Roman"/>
            <w:noProof/>
          </w:rPr>
          <w:tab/>
        </w:r>
        <w:r w:rsidR="00A713B6" w:rsidRPr="001B309E">
          <w:rPr>
            <w:rFonts w:ascii="Times New Roman" w:hAnsi="Times New Roman" w:cs="Times New Roman"/>
            <w:noProof/>
            <w:webHidden/>
          </w:rPr>
          <w:fldChar w:fldCharType="begin"/>
        </w:r>
        <w:r w:rsidR="00A713B6" w:rsidRPr="001B309E">
          <w:rPr>
            <w:rFonts w:ascii="Times New Roman" w:hAnsi="Times New Roman" w:cs="Times New Roman"/>
            <w:noProof/>
            <w:webHidden/>
          </w:rPr>
          <w:instrText xml:space="preserve"> PAGEREF _Toc108273077 \h </w:instrText>
        </w:r>
        <w:r w:rsidR="00A713B6" w:rsidRPr="001B309E">
          <w:rPr>
            <w:rFonts w:ascii="Times New Roman" w:hAnsi="Times New Roman" w:cs="Times New Roman"/>
            <w:noProof/>
            <w:webHidden/>
          </w:rPr>
        </w:r>
        <w:r w:rsidR="00A713B6" w:rsidRPr="001B309E">
          <w:rPr>
            <w:rFonts w:ascii="Times New Roman" w:hAnsi="Times New Roman" w:cs="Times New Roman"/>
            <w:noProof/>
            <w:webHidden/>
          </w:rPr>
          <w:fldChar w:fldCharType="separate"/>
        </w:r>
        <w:r w:rsidR="009211D4">
          <w:rPr>
            <w:rFonts w:ascii="Times New Roman" w:hAnsi="Times New Roman" w:cs="Times New Roman"/>
            <w:noProof/>
            <w:webHidden/>
          </w:rPr>
          <w:t>46</w:t>
        </w:r>
        <w:r w:rsidR="00A713B6" w:rsidRPr="001B309E">
          <w:rPr>
            <w:rFonts w:ascii="Times New Roman" w:hAnsi="Times New Roman" w:cs="Times New Roman"/>
            <w:noProof/>
            <w:webHidden/>
          </w:rPr>
          <w:fldChar w:fldCharType="end"/>
        </w:r>
      </w:hyperlink>
    </w:p>
    <w:p w14:paraId="2CF84FB4" w14:textId="05762D0E" w:rsidR="00236E6D" w:rsidRPr="006B7838" w:rsidRDefault="00000000" w:rsidP="00F5206B">
      <w:pPr>
        <w:tabs>
          <w:tab w:val="right" w:leader="dot" w:pos="8910"/>
        </w:tabs>
        <w:spacing w:line="480" w:lineRule="auto"/>
        <w:rPr>
          <w:noProof/>
        </w:rPr>
      </w:pPr>
      <w:hyperlink w:anchor="_Toc108273078" w:history="1">
        <w:r w:rsidR="00A713B6" w:rsidRPr="001B309E">
          <w:rPr>
            <w:rStyle w:val="Hyperlink"/>
            <w:rFonts w:ascii="Times New Roman" w:hAnsi="Times New Roman"/>
            <w:noProof/>
          </w:rPr>
          <w:t xml:space="preserve">Table </w:t>
        </w:r>
        <w:r w:rsidR="00FA092B">
          <w:rPr>
            <w:rStyle w:val="Hyperlink"/>
            <w:rFonts w:ascii="Times New Roman" w:hAnsi="Times New Roman"/>
            <w:noProof/>
          </w:rPr>
          <w:t>3</w:t>
        </w:r>
        <w:r w:rsidR="00A713B6" w:rsidRPr="001B309E">
          <w:rPr>
            <w:rStyle w:val="Hyperlink"/>
            <w:rFonts w:ascii="Times New Roman" w:hAnsi="Times New Roman"/>
            <w:noProof/>
          </w:rPr>
          <w:t xml:space="preserve">. </w:t>
        </w:r>
        <w:r w:rsidR="001B309E" w:rsidRPr="001B309E">
          <w:rPr>
            <w:noProof/>
            <w:color w:val="000000"/>
          </w:rPr>
          <w:t>Descriptive Statistics and Correlations for Study Variables</w:t>
        </w:r>
        <w:r w:rsidR="00704ACC">
          <w:rPr>
            <w:rStyle w:val="Hyperlink"/>
            <w:rFonts w:ascii="Times New Roman" w:hAnsi="Times New Roman"/>
            <w:noProof/>
          </w:rPr>
          <w:tab/>
        </w:r>
        <w:r w:rsidR="00A713B6" w:rsidRPr="001B309E">
          <w:rPr>
            <w:noProof/>
            <w:webHidden/>
          </w:rPr>
          <w:fldChar w:fldCharType="begin"/>
        </w:r>
        <w:r w:rsidR="00A713B6" w:rsidRPr="001B309E">
          <w:rPr>
            <w:noProof/>
            <w:webHidden/>
          </w:rPr>
          <w:instrText xml:space="preserve"> PAGEREF _Toc108273078 \h </w:instrText>
        </w:r>
        <w:r w:rsidR="00A713B6" w:rsidRPr="001B309E">
          <w:rPr>
            <w:noProof/>
            <w:webHidden/>
          </w:rPr>
        </w:r>
        <w:r w:rsidR="00A713B6" w:rsidRPr="001B309E">
          <w:rPr>
            <w:noProof/>
            <w:webHidden/>
          </w:rPr>
          <w:fldChar w:fldCharType="separate"/>
        </w:r>
        <w:r w:rsidR="009211D4">
          <w:rPr>
            <w:noProof/>
            <w:webHidden/>
          </w:rPr>
          <w:t>47</w:t>
        </w:r>
        <w:r w:rsidR="00A713B6" w:rsidRPr="001B309E">
          <w:rPr>
            <w:noProof/>
            <w:webHidden/>
          </w:rPr>
          <w:fldChar w:fldCharType="end"/>
        </w:r>
      </w:hyperlink>
      <w:r w:rsidR="00665C7E" w:rsidRPr="001B309E">
        <w:fldChar w:fldCharType="end"/>
      </w:r>
    </w:p>
    <w:p w14:paraId="4D167260" w14:textId="77777777" w:rsidR="00236E6D" w:rsidRPr="006B7838" w:rsidRDefault="00236E6D" w:rsidP="006B7838">
      <w:pPr>
        <w:pStyle w:val="Level1"/>
        <w:tabs>
          <w:tab w:val="right" w:leader="dot" w:pos="8228"/>
        </w:tabs>
        <w:spacing w:line="480" w:lineRule="auto"/>
        <w:ind w:left="0"/>
        <w:rPr>
          <w:rFonts w:cs="Times New Roman"/>
          <w:b/>
          <w:bCs/>
        </w:rPr>
      </w:pPr>
    </w:p>
    <w:p w14:paraId="23BEE32D" w14:textId="40669FB0" w:rsidR="00236E6D" w:rsidRPr="00A713B6" w:rsidRDefault="00236E6D" w:rsidP="00A713B6">
      <w:pPr>
        <w:jc w:val="center"/>
        <w:rPr>
          <w:b/>
        </w:rPr>
      </w:pPr>
      <w:r w:rsidRPr="006B7838">
        <w:br w:type="page"/>
      </w:r>
      <w:r w:rsidRPr="006B7838">
        <w:rPr>
          <w:b/>
        </w:rPr>
        <w:lastRenderedPageBreak/>
        <w:t>LIST OF FIGURES</w:t>
      </w:r>
    </w:p>
    <w:p w14:paraId="6D1DED04" w14:textId="77777777" w:rsidR="00236E6D" w:rsidRPr="00C61521" w:rsidRDefault="00236E6D" w:rsidP="001321D7">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ind w:left="8280" w:hanging="8280"/>
      </w:pPr>
    </w:p>
    <w:p w14:paraId="22F06BE7" w14:textId="62628971" w:rsidR="00445E22" w:rsidRPr="00A713B6" w:rsidRDefault="00C61521" w:rsidP="00445E22">
      <w:pPr>
        <w:pStyle w:val="TableofFigures"/>
        <w:tabs>
          <w:tab w:val="right" w:leader="dot" w:pos="8820"/>
        </w:tabs>
        <w:rPr>
          <w:rFonts w:ascii="Times New Roman" w:eastAsiaTheme="minorEastAsia" w:hAnsi="Times New Roman" w:cs="Times New Roman"/>
          <w:noProof/>
        </w:rPr>
      </w:pPr>
      <w:r w:rsidRPr="00A713B6">
        <w:rPr>
          <w:rFonts w:ascii="Times New Roman" w:hAnsi="Times New Roman" w:cs="Times New Roman"/>
        </w:rPr>
        <w:fldChar w:fldCharType="begin"/>
      </w:r>
      <w:r w:rsidRPr="00A713B6">
        <w:rPr>
          <w:rFonts w:ascii="Times New Roman" w:hAnsi="Times New Roman" w:cs="Times New Roman"/>
        </w:rPr>
        <w:instrText xml:space="preserve"> TOC \h \z \c "Figure" </w:instrText>
      </w:r>
      <w:r w:rsidRPr="00A713B6">
        <w:rPr>
          <w:rFonts w:ascii="Times New Roman" w:hAnsi="Times New Roman" w:cs="Times New Roman"/>
        </w:rPr>
        <w:fldChar w:fldCharType="separate"/>
      </w:r>
      <w:r w:rsidR="00445E22" w:rsidRPr="00A713B6">
        <w:rPr>
          <w:rFonts w:ascii="Times New Roman" w:hAnsi="Times New Roman" w:cs="Times New Roman"/>
          <w:noProof/>
        </w:rPr>
        <w:fldChar w:fldCharType="begin"/>
      </w:r>
      <w:r w:rsidR="00445E22" w:rsidRPr="00A713B6">
        <w:rPr>
          <w:rFonts w:ascii="Times New Roman" w:hAnsi="Times New Roman" w:cs="Times New Roman"/>
          <w:noProof/>
        </w:rPr>
        <w:instrText xml:space="preserve"> TOC \h \z \c "Figure" </w:instrText>
      </w:r>
      <w:r w:rsidR="00445E22" w:rsidRPr="00A713B6">
        <w:rPr>
          <w:rFonts w:ascii="Times New Roman" w:hAnsi="Times New Roman" w:cs="Times New Roman"/>
          <w:noProof/>
        </w:rPr>
        <w:fldChar w:fldCharType="separate"/>
      </w:r>
      <w:r w:rsidR="00000000">
        <w:rPr>
          <w:noProof/>
        </w:rPr>
        <w:fldChar w:fldCharType="begin"/>
      </w:r>
      <w:r w:rsidR="00000000">
        <w:rPr>
          <w:noProof/>
        </w:rPr>
        <w:instrText xml:space="preserve"> HYPERLINK \l "_Toc108273129" </w:instrText>
      </w:r>
      <w:r w:rsidR="009211D4">
        <w:rPr>
          <w:noProof/>
        </w:rPr>
      </w:r>
      <w:r w:rsidR="00000000">
        <w:rPr>
          <w:noProof/>
        </w:rPr>
        <w:fldChar w:fldCharType="separate"/>
      </w:r>
      <w:r w:rsidR="00445E22" w:rsidRPr="00A713B6">
        <w:rPr>
          <w:rStyle w:val="Hyperlink"/>
          <w:rFonts w:ascii="Times New Roman" w:hAnsi="Times New Roman" w:cs="Times New Roman"/>
          <w:noProof/>
        </w:rPr>
        <w:t>Figure 1. The ACT Hexaflex</w:t>
      </w:r>
      <w:r w:rsidR="00445E22" w:rsidRPr="00A713B6">
        <w:rPr>
          <w:rFonts w:ascii="Times New Roman" w:hAnsi="Times New Roman" w:cs="Times New Roman"/>
          <w:noProof/>
          <w:webHidden/>
        </w:rPr>
        <w:tab/>
      </w:r>
      <w:r w:rsidR="00445E22" w:rsidRPr="00A713B6">
        <w:rPr>
          <w:rFonts w:ascii="Times New Roman" w:hAnsi="Times New Roman" w:cs="Times New Roman"/>
          <w:noProof/>
          <w:webHidden/>
        </w:rPr>
        <w:fldChar w:fldCharType="begin"/>
      </w:r>
      <w:r w:rsidR="00445E22" w:rsidRPr="00A713B6">
        <w:rPr>
          <w:rFonts w:ascii="Times New Roman" w:hAnsi="Times New Roman" w:cs="Times New Roman"/>
          <w:noProof/>
          <w:webHidden/>
        </w:rPr>
        <w:instrText xml:space="preserve"> PAGEREF _Toc108273129 \h </w:instrText>
      </w:r>
      <w:r w:rsidR="00445E22" w:rsidRPr="00A713B6">
        <w:rPr>
          <w:rFonts w:ascii="Times New Roman" w:hAnsi="Times New Roman" w:cs="Times New Roman"/>
          <w:noProof/>
          <w:webHidden/>
        </w:rPr>
      </w:r>
      <w:r w:rsidR="00445E22" w:rsidRPr="00A713B6">
        <w:rPr>
          <w:rFonts w:ascii="Times New Roman" w:hAnsi="Times New Roman" w:cs="Times New Roman"/>
          <w:noProof/>
          <w:webHidden/>
        </w:rPr>
        <w:fldChar w:fldCharType="separate"/>
      </w:r>
      <w:r w:rsidR="009211D4">
        <w:rPr>
          <w:rFonts w:ascii="Times New Roman" w:hAnsi="Times New Roman" w:cs="Times New Roman"/>
          <w:noProof/>
          <w:webHidden/>
        </w:rPr>
        <w:t>48</w:t>
      </w:r>
      <w:r w:rsidR="00445E22" w:rsidRPr="00A713B6">
        <w:rPr>
          <w:rFonts w:ascii="Times New Roman" w:hAnsi="Times New Roman" w:cs="Times New Roman"/>
          <w:noProof/>
          <w:webHidden/>
        </w:rPr>
        <w:fldChar w:fldCharType="end"/>
      </w:r>
      <w:r w:rsidR="00000000">
        <w:rPr>
          <w:rFonts w:ascii="Times New Roman" w:hAnsi="Times New Roman" w:cs="Times New Roman"/>
          <w:noProof/>
        </w:rPr>
        <w:fldChar w:fldCharType="end"/>
      </w:r>
    </w:p>
    <w:p w14:paraId="131B6F35" w14:textId="7C68515C" w:rsidR="00A713B6" w:rsidRPr="00A713B6" w:rsidRDefault="00445E22" w:rsidP="00445E22">
      <w:pPr>
        <w:pStyle w:val="TableofFigures"/>
        <w:tabs>
          <w:tab w:val="right" w:leader="dot" w:pos="8820"/>
        </w:tabs>
        <w:rPr>
          <w:rFonts w:ascii="Times New Roman" w:eastAsiaTheme="minorEastAsia" w:hAnsi="Times New Roman" w:cs="Times New Roman"/>
          <w:noProof/>
        </w:rPr>
      </w:pPr>
      <w:r w:rsidRPr="00A713B6">
        <w:rPr>
          <w:noProof/>
        </w:rPr>
        <w:fldChar w:fldCharType="end"/>
      </w:r>
    </w:p>
    <w:p w14:paraId="0B084B93" w14:textId="1E85F675" w:rsidR="003C1575" w:rsidRPr="00A713B6" w:rsidRDefault="00C61521" w:rsidP="001321D7">
      <w:pPr>
        <w:numPr>
          <w:ilvl w:val="12"/>
          <w:numId w:val="0"/>
        </w:numPr>
        <w:sectPr w:rsidR="003C1575" w:rsidRPr="00A713B6" w:rsidSect="000453EE">
          <w:headerReference w:type="even" r:id="rId8"/>
          <w:headerReference w:type="default" r:id="rId9"/>
          <w:footerReference w:type="default" r:id="rId10"/>
          <w:pgSz w:w="12240" w:h="15840" w:code="1"/>
          <w:pgMar w:top="1440" w:right="1440" w:bottom="1440" w:left="1440" w:header="720" w:footer="1440" w:gutter="0"/>
          <w:pgNumType w:fmt="lowerRoman" w:start="1"/>
          <w:cols w:space="720"/>
          <w:noEndnote/>
          <w:titlePg/>
        </w:sectPr>
      </w:pPr>
      <w:r w:rsidRPr="00A713B6">
        <w:fldChar w:fldCharType="end"/>
      </w:r>
    </w:p>
    <w:p w14:paraId="794642E9" w14:textId="42FC5731" w:rsidR="00AE5AB4" w:rsidRDefault="00AE5AB4" w:rsidP="00AE5AB4">
      <w:pPr>
        <w:numPr>
          <w:ilvl w:val="12"/>
          <w:numId w:val="0"/>
        </w:numPr>
        <w:spacing w:line="480" w:lineRule="auto"/>
        <w:jc w:val="center"/>
        <w:rPr>
          <w:b/>
          <w:bCs/>
        </w:rPr>
      </w:pPr>
      <w:r>
        <w:rPr>
          <w:b/>
          <w:bCs/>
        </w:rPr>
        <w:lastRenderedPageBreak/>
        <w:t>CHAPTER ONE</w:t>
      </w:r>
    </w:p>
    <w:p w14:paraId="65A9BB2E" w14:textId="0BF13155" w:rsidR="00AE5AB4" w:rsidRPr="00AE5AB4" w:rsidRDefault="00AE5AB4" w:rsidP="00AE5AB4">
      <w:pPr>
        <w:numPr>
          <w:ilvl w:val="12"/>
          <w:numId w:val="0"/>
        </w:numPr>
        <w:spacing w:line="480" w:lineRule="auto"/>
        <w:jc w:val="center"/>
        <w:rPr>
          <w:b/>
          <w:bCs/>
        </w:rPr>
      </w:pPr>
      <w:r>
        <w:rPr>
          <w:b/>
          <w:bCs/>
        </w:rPr>
        <w:t>INTRODUCTION AND LITERATURE REVIEW</w:t>
      </w:r>
    </w:p>
    <w:p w14:paraId="30305B08" w14:textId="2E02CAD8" w:rsidR="00E900CA" w:rsidRDefault="004407F6" w:rsidP="00AE5AB4">
      <w:pPr>
        <w:numPr>
          <w:ilvl w:val="12"/>
          <w:numId w:val="0"/>
        </w:numPr>
        <w:spacing w:line="480" w:lineRule="auto"/>
        <w:ind w:firstLine="480"/>
      </w:pPr>
      <w:r>
        <w:t>Music</w:t>
      </w:r>
      <w:r w:rsidR="001E1329" w:rsidRPr="006B7838">
        <w:t xml:space="preserve"> performance anxiety (MPA) is one of the </w:t>
      </w:r>
      <w:r>
        <w:t>most pervasive</w:t>
      </w:r>
      <w:r w:rsidR="001E1329" w:rsidRPr="006B7838">
        <w:t xml:space="preserve"> mental health concerns among both </w:t>
      </w:r>
      <w:r w:rsidR="003E23EF">
        <w:t>student</w:t>
      </w:r>
      <w:r w:rsidR="001E1329" w:rsidRPr="006B7838">
        <w:t xml:space="preserve"> and professional musicians</w:t>
      </w:r>
      <w:r w:rsidR="003E23EF">
        <w:t xml:space="preserve">, </w:t>
      </w:r>
      <w:r>
        <w:t xml:space="preserve">yet </w:t>
      </w:r>
      <w:r w:rsidR="001E1329" w:rsidRPr="006B7838">
        <w:t xml:space="preserve">the scientific literature on effective psychological interventions </w:t>
      </w:r>
      <w:r w:rsidR="003E23EF">
        <w:t>remains</w:t>
      </w:r>
      <w:r w:rsidR="001E1329" w:rsidRPr="006B7838">
        <w:t xml:space="preserve"> relatively limited. </w:t>
      </w:r>
      <w:r>
        <w:t xml:space="preserve">Recognizing the paucity of empirically validated treatment options, </w:t>
      </w:r>
      <w:r w:rsidR="00F5206B">
        <w:t>a subset of</w:t>
      </w:r>
      <w:r w:rsidR="00CD1712">
        <w:t xml:space="preserve"> </w:t>
      </w:r>
      <w:r w:rsidR="001E1329" w:rsidRPr="006B7838">
        <w:t xml:space="preserve">MPA researchers </w:t>
      </w:r>
      <w:r>
        <w:t xml:space="preserve">recently </w:t>
      </w:r>
      <w:r w:rsidR="00F5206B">
        <w:t xml:space="preserve">began </w:t>
      </w:r>
      <w:r w:rsidR="001E1329" w:rsidRPr="006B7838">
        <w:t>explor</w:t>
      </w:r>
      <w:r w:rsidR="00F5206B">
        <w:t>ing</w:t>
      </w:r>
      <w:r w:rsidR="001E1329" w:rsidRPr="006B7838">
        <w:t xml:space="preserve"> the suitability of </w:t>
      </w:r>
      <w:r w:rsidR="003E23EF">
        <w:t>a</w:t>
      </w:r>
      <w:r w:rsidR="001E1329" w:rsidRPr="006B7838">
        <w:t xml:space="preserve">cceptance and </w:t>
      </w:r>
      <w:r w:rsidR="003E23EF">
        <w:t>c</w:t>
      </w:r>
      <w:r w:rsidR="001E1329" w:rsidRPr="006B7838">
        <w:t xml:space="preserve">ommitment </w:t>
      </w:r>
      <w:r w:rsidR="003E23EF">
        <w:t>t</w:t>
      </w:r>
      <w:r w:rsidR="001E1329" w:rsidRPr="006B7838">
        <w:t xml:space="preserve">herapy (ACT) as both a treatment for MPA and as a method of performance enhancement. A third-wave behavioral therapy, ACT stands apart from </w:t>
      </w:r>
      <w:r w:rsidR="003E23EF">
        <w:t>other therapy interventions</w:t>
      </w:r>
      <w:r w:rsidR="001E1329" w:rsidRPr="006B7838">
        <w:t xml:space="preserve"> in that the treatment does not aim to reduce symptoms. Instead, the goal of ACT treatment is to enhance </w:t>
      </w:r>
      <w:r w:rsidR="001E1329" w:rsidRPr="006B7838">
        <w:rPr>
          <w:i/>
        </w:rPr>
        <w:t>psychological flexibility</w:t>
      </w:r>
      <w:r w:rsidR="001E1329" w:rsidRPr="006B7838">
        <w:t>: the ability to contact the present moment with full awareness and engage in values-congruent action, even if doing so elicits psychological discomfort</w:t>
      </w:r>
      <w:r w:rsidR="002A0050">
        <w:t xml:space="preserve"> (Harris, 2009)</w:t>
      </w:r>
      <w:r w:rsidR="001E1329" w:rsidRPr="006B7838">
        <w:t xml:space="preserve">. The </w:t>
      </w:r>
      <w:r w:rsidR="0052549B">
        <w:t>study’s investigator sought</w:t>
      </w:r>
      <w:r w:rsidR="001E1329" w:rsidRPr="006B7838">
        <w:t xml:space="preserve"> to advance this </w:t>
      </w:r>
      <w:r w:rsidR="00A84B8B">
        <w:t xml:space="preserve">new </w:t>
      </w:r>
      <w:r w:rsidR="001E1329" w:rsidRPr="006B7838">
        <w:t xml:space="preserve">line of inquiry regarding ACT-based treatments for MPA by </w:t>
      </w:r>
      <w:r w:rsidR="001E1329" w:rsidRPr="00485014">
        <w:t>investigating the relationships between psychological flexibility, music performance anxiety, and perceived performance quality among university music students.</w:t>
      </w:r>
      <w:r w:rsidR="001E1329" w:rsidRPr="006B7838">
        <w:t xml:space="preserve"> </w:t>
      </w:r>
      <w:r w:rsidR="00897F7D">
        <w:t xml:space="preserve">The study is also motivated by two pragmatic goals: assisting </w:t>
      </w:r>
      <w:r w:rsidR="001E1329" w:rsidRPr="006B7838">
        <w:t xml:space="preserve">young </w:t>
      </w:r>
      <w:r w:rsidR="0052549B">
        <w:t xml:space="preserve">adult </w:t>
      </w:r>
      <w:r w:rsidR="001E1329" w:rsidRPr="006B7838">
        <w:t xml:space="preserve">musicians during </w:t>
      </w:r>
      <w:r w:rsidR="0052549B">
        <w:t xml:space="preserve">a </w:t>
      </w:r>
      <w:r w:rsidR="001E1329" w:rsidRPr="006B7838">
        <w:t>developmentally sensitive period</w:t>
      </w:r>
      <w:r w:rsidR="009A023D">
        <w:t xml:space="preserve"> </w:t>
      </w:r>
      <w:r>
        <w:t xml:space="preserve">and </w:t>
      </w:r>
      <w:r w:rsidR="001E1329" w:rsidRPr="006B7838">
        <w:t>provid</w:t>
      </w:r>
      <w:r w:rsidR="00897F7D">
        <w:t>ing</w:t>
      </w:r>
      <w:r w:rsidR="001E1329" w:rsidRPr="006B7838">
        <w:t xml:space="preserve"> </w:t>
      </w:r>
      <w:r w:rsidR="00F5206B">
        <w:t xml:space="preserve">both </w:t>
      </w:r>
      <w:r w:rsidR="00A84B8B">
        <w:t xml:space="preserve">music </w:t>
      </w:r>
      <w:r w:rsidR="001E1329" w:rsidRPr="006B7838">
        <w:t xml:space="preserve">students and </w:t>
      </w:r>
      <w:r w:rsidR="00A84B8B">
        <w:t>instructors</w:t>
      </w:r>
      <w:r w:rsidR="001E1329" w:rsidRPr="006B7838">
        <w:t xml:space="preserve"> with specific</w:t>
      </w:r>
      <w:r w:rsidR="009A023D">
        <w:t xml:space="preserve"> psychological</w:t>
      </w:r>
      <w:r w:rsidR="001E1329" w:rsidRPr="006B7838">
        <w:t xml:space="preserve"> </w:t>
      </w:r>
      <w:r w:rsidR="00897F7D">
        <w:t xml:space="preserve">tools for </w:t>
      </w:r>
      <w:r w:rsidR="001E1329" w:rsidRPr="006B7838">
        <w:t>manag</w:t>
      </w:r>
      <w:r w:rsidR="00897F7D">
        <w:t>ing</w:t>
      </w:r>
      <w:r w:rsidR="001E1329" w:rsidRPr="006B7838">
        <w:t xml:space="preserve"> experiences of MPA and improv</w:t>
      </w:r>
      <w:r w:rsidR="00897F7D">
        <w:t>ing</w:t>
      </w:r>
      <w:r w:rsidR="001E1329" w:rsidRPr="006B7838">
        <w:t xml:space="preserve"> performance outcomes.</w:t>
      </w:r>
    </w:p>
    <w:p w14:paraId="283FA673" w14:textId="691E6F5E" w:rsidR="003E23EF" w:rsidRPr="003E23EF" w:rsidRDefault="003E23EF" w:rsidP="003E23EF">
      <w:pPr>
        <w:spacing w:line="480" w:lineRule="auto"/>
        <w:jc w:val="center"/>
        <w:rPr>
          <w:b/>
          <w:bCs/>
        </w:rPr>
      </w:pPr>
      <w:r>
        <w:rPr>
          <w:b/>
          <w:bCs/>
        </w:rPr>
        <w:t>Music Performance Anxiety</w:t>
      </w:r>
    </w:p>
    <w:p w14:paraId="1B0B99BA" w14:textId="5A6A8AC1" w:rsidR="001E1329" w:rsidRPr="006B7838" w:rsidRDefault="001E1329" w:rsidP="006B7838">
      <w:pPr>
        <w:spacing w:line="480" w:lineRule="auto"/>
        <w:ind w:firstLine="720"/>
      </w:pPr>
      <w:r w:rsidRPr="006B7838">
        <w:t>Performance anxiety is a general term used to describe cognitive, behavioral, and/or physiological symptoms related to feared impairment of performance</w:t>
      </w:r>
      <w:r w:rsidR="00B73BA1">
        <w:t xml:space="preserve"> </w:t>
      </w:r>
      <w:r w:rsidRPr="006B7838">
        <w:t>skills in a public context</w:t>
      </w:r>
      <w:r w:rsidR="00C42D76">
        <w:t xml:space="preserve"> (Salmon, 1990)</w:t>
      </w:r>
      <w:r w:rsidRPr="006B7838">
        <w:t xml:space="preserve">. With its inclusion of social evaluative threat, performance anxiety may be </w:t>
      </w:r>
      <w:r w:rsidRPr="006B7838">
        <w:lastRenderedPageBreak/>
        <w:t>conceptualized as a subtype of social anxiety in which the perceived threat of scrutiny generates a state of fearful apprehension in the performer.</w:t>
      </w:r>
      <w:r w:rsidR="00897F7D">
        <w:rPr>
          <w:rStyle w:val="FootnoteReference"/>
        </w:rPr>
        <w:footnoteReference w:id="1"/>
      </w:r>
      <w:r w:rsidRPr="006B7838">
        <w:t xml:space="preserve"> In the case of music performance anxiety (MPA), the debilitating effects may manifest independent of </w:t>
      </w:r>
      <w:r w:rsidR="002A0050">
        <w:t xml:space="preserve">level of accomplishment or </w:t>
      </w:r>
      <w:r w:rsidRPr="006B7838">
        <w:t>years of training</w:t>
      </w:r>
      <w:r w:rsidR="002A0050">
        <w:t xml:space="preserve"> (</w:t>
      </w:r>
      <w:r w:rsidRPr="006B7838">
        <w:t xml:space="preserve">Kenny, 2009b). While earlier definitions of MPA included both pre-performance apprehension as well as actual impaired performance (Salmon, 1990), contemporary research shows that MPA symptoms </w:t>
      </w:r>
      <w:r w:rsidR="002A0050">
        <w:t>“</w:t>
      </w:r>
      <w:r w:rsidRPr="006B7838">
        <w:t>may or may not impair the quality of the musical performance</w:t>
      </w:r>
      <w:r w:rsidR="002A0050">
        <w:t>”</w:t>
      </w:r>
      <w:r w:rsidRPr="006B7838">
        <w:t xml:space="preserve"> (Kenny, 2009b). </w:t>
      </w:r>
      <w:r w:rsidR="00E73577">
        <w:t>T</w:t>
      </w:r>
      <w:r w:rsidR="007942AB">
        <w:t>hus</w:t>
      </w:r>
      <w:r w:rsidRPr="006B7838">
        <w:t>, MPA may best be understood on a spectrum that spans both facilitative and pathological presentations (</w:t>
      </w:r>
      <w:proofErr w:type="spellStart"/>
      <w:r w:rsidRPr="006B7838">
        <w:t>Spahn</w:t>
      </w:r>
      <w:proofErr w:type="spellEnd"/>
      <w:r w:rsidRPr="006B7838">
        <w:t>, 2015).</w:t>
      </w:r>
    </w:p>
    <w:p w14:paraId="58255651" w14:textId="236861C0" w:rsidR="004F08CE" w:rsidRDefault="001E1329" w:rsidP="00DE6E30">
      <w:pPr>
        <w:spacing w:line="480" w:lineRule="auto"/>
        <w:ind w:firstLine="720"/>
      </w:pPr>
      <w:r w:rsidRPr="006B7838">
        <w:t xml:space="preserve">To distinguish more problematic forms of MPA from proportional levels of pre-performance arousal, Juncos and de Paiva e </w:t>
      </w:r>
      <w:proofErr w:type="spellStart"/>
      <w:r w:rsidRPr="006B7838">
        <w:t>Pona</w:t>
      </w:r>
      <w:proofErr w:type="spellEnd"/>
      <w:r w:rsidR="00C337DE">
        <w:t xml:space="preserve"> </w:t>
      </w:r>
      <w:r w:rsidRPr="006B7838">
        <w:t>recommend assessing MPA across four symptom categories: (1) cognitive symptoms (e.g., worry, apprehension, narrowed attention onto perceived threats); (2) physiological symptoms (e.g., shallow breathing, heart palpitations, shaking, sweating, muscular tension); (3) behavioral avoidance (e.g., avoiding exposing performance situations, more challenging repertoire</w:t>
      </w:r>
      <w:r w:rsidR="005C01AE">
        <w:t>, etc.</w:t>
      </w:r>
      <w:r w:rsidRPr="006B7838">
        <w:t>); and (4) subjective distress and/or occupational impairment (e.g., inability to meet job expectations)</w:t>
      </w:r>
      <w:r w:rsidR="00C337DE">
        <w:t xml:space="preserve"> (2018, p. 1-2)</w:t>
      </w:r>
      <w:r w:rsidRPr="006B7838">
        <w:t xml:space="preserve">. </w:t>
      </w:r>
      <w:r w:rsidR="00F1063C">
        <w:t>Relative to milder presentations of MPA, s</w:t>
      </w:r>
      <w:r w:rsidRPr="006B7838">
        <w:t xml:space="preserve">evere </w:t>
      </w:r>
      <w:r w:rsidR="00F1063C">
        <w:t xml:space="preserve">MPA </w:t>
      </w:r>
      <w:r w:rsidRPr="006B7838">
        <w:t>include</w:t>
      </w:r>
      <w:r w:rsidR="00F1063C">
        <w:t>s</w:t>
      </w:r>
      <w:r w:rsidRPr="006B7838">
        <w:t xml:space="preserve"> several symptoms across the four categories</w:t>
      </w:r>
      <w:r w:rsidR="00F1063C">
        <w:t xml:space="preserve"> </w:t>
      </w:r>
      <w:r w:rsidRPr="006B7838">
        <w:t>and</w:t>
      </w:r>
      <w:r w:rsidR="00F1063C">
        <w:t xml:space="preserve"> </w:t>
      </w:r>
      <w:r w:rsidRPr="006B7838">
        <w:t>align</w:t>
      </w:r>
      <w:r w:rsidR="00F1063C">
        <w:t>s</w:t>
      </w:r>
      <w:r w:rsidRPr="006B7838">
        <w:t xml:space="preserve"> more closely with </w:t>
      </w:r>
      <w:r w:rsidR="005C01AE">
        <w:t xml:space="preserve">the </w:t>
      </w:r>
      <w:r w:rsidR="00485014">
        <w:t xml:space="preserve">criteria </w:t>
      </w:r>
      <w:r w:rsidRPr="006B7838">
        <w:t xml:space="preserve">for </w:t>
      </w:r>
      <w:r w:rsidR="004A6E62">
        <w:t xml:space="preserve">the </w:t>
      </w:r>
      <w:r w:rsidRPr="006B7838">
        <w:t>performance-only subtype of social anxiety disorder</w:t>
      </w:r>
      <w:r w:rsidR="00485014">
        <w:t xml:space="preserve"> as outlined in the </w:t>
      </w:r>
      <w:r w:rsidR="00485014" w:rsidRPr="00485014">
        <w:rPr>
          <w:i/>
          <w:iCs/>
        </w:rPr>
        <w:t xml:space="preserve">Diagnostic and Statistical Manual of Mental Disorders, Fifth Edition, Text Revision </w:t>
      </w:r>
      <w:r w:rsidR="00485014">
        <w:t>(</w:t>
      </w:r>
      <w:r w:rsidR="00485014" w:rsidRPr="00485014">
        <w:rPr>
          <w:i/>
          <w:iCs/>
        </w:rPr>
        <w:t>DSM-5-TR</w:t>
      </w:r>
      <w:r w:rsidR="00485014">
        <w:t>)</w:t>
      </w:r>
      <w:r w:rsidRPr="006B7838">
        <w:t>.</w:t>
      </w:r>
      <w:r w:rsidR="00485014">
        <w:rPr>
          <w:rStyle w:val="FootnoteReference"/>
        </w:rPr>
        <w:t>1</w:t>
      </w:r>
      <w:r w:rsidR="00DE6E30">
        <w:t xml:space="preserve"> </w:t>
      </w:r>
      <w:r w:rsidRPr="006B7838">
        <w:t xml:space="preserve">The severity of MPA may also </w:t>
      </w:r>
      <w:r w:rsidR="005C01AE">
        <w:t>vary</w:t>
      </w:r>
      <w:r w:rsidRPr="006B7838">
        <w:t xml:space="preserve"> across performance situations, with the highest levels of MPA usually associated with high personal exposure (solo performances), direct or indirect assessment (e.g., the presence of a jury), fear of failure (e.g., </w:t>
      </w:r>
      <w:r w:rsidRPr="006B7838">
        <w:lastRenderedPageBreak/>
        <w:t xml:space="preserve">losing a competition), and high ego investment </w:t>
      </w:r>
      <w:r w:rsidR="004A6E62">
        <w:t xml:space="preserve">(e.g., </w:t>
      </w:r>
      <w:r w:rsidRPr="006B7838">
        <w:t>the individual overidentifie</w:t>
      </w:r>
      <w:r w:rsidR="005C01AE">
        <w:t>s</w:t>
      </w:r>
      <w:r w:rsidRPr="006B7838">
        <w:t xml:space="preserve"> with performance outcomes</w:t>
      </w:r>
      <w:r w:rsidR="005C01AE">
        <w:t>)</w:t>
      </w:r>
      <w:r w:rsidRPr="006B7838">
        <w:t xml:space="preserve"> (Kenny, 2011; </w:t>
      </w:r>
      <w:proofErr w:type="spellStart"/>
      <w:r w:rsidRPr="006B7838">
        <w:t>Papageorgi</w:t>
      </w:r>
      <w:proofErr w:type="spellEnd"/>
      <w:r w:rsidRPr="006B7838">
        <w:t xml:space="preserve"> &amp; Welch, 2020; </w:t>
      </w:r>
      <w:proofErr w:type="spellStart"/>
      <w:r w:rsidRPr="006B7838">
        <w:t>Spahn</w:t>
      </w:r>
      <w:proofErr w:type="spellEnd"/>
      <w:r w:rsidRPr="006B7838">
        <w:t xml:space="preserve"> et al., 2016). More generally, Valentine (2002) asserts that the experience of MPA is influenced by three main factors: person, task, and situation. In this view, the degree of anxiety is informed by</w:t>
      </w:r>
      <w:r w:rsidR="004A6E62">
        <w:t xml:space="preserve"> the</w:t>
      </w:r>
      <w:r w:rsidRPr="006B7838">
        <w:t xml:space="preserve"> dispositional characteristics of the performer, the difficulty of the task at hand, and the level of pressure within the performance context.</w:t>
      </w:r>
    </w:p>
    <w:p w14:paraId="7E2EB242" w14:textId="7F12CB60" w:rsidR="00DE6E30" w:rsidRPr="00DE6E30" w:rsidRDefault="00DE6E30" w:rsidP="00DE6E30">
      <w:pPr>
        <w:spacing w:line="480" w:lineRule="auto"/>
        <w:rPr>
          <w:b/>
          <w:bCs/>
          <w:i/>
          <w:iCs/>
        </w:rPr>
      </w:pPr>
      <w:r>
        <w:rPr>
          <w:b/>
          <w:bCs/>
          <w:i/>
          <w:iCs/>
        </w:rPr>
        <w:t>Prevalence of MPA</w:t>
      </w:r>
    </w:p>
    <w:p w14:paraId="719D1257" w14:textId="26E8A599" w:rsidR="006109DF" w:rsidRDefault="00C75B20" w:rsidP="006109DF">
      <w:pPr>
        <w:spacing w:line="480" w:lineRule="auto"/>
        <w:ind w:firstLine="720"/>
      </w:pPr>
      <w:bookmarkStart w:id="0" w:name="_Toc420995894"/>
      <w:bookmarkStart w:id="1" w:name="_Toc422997481"/>
      <w:bookmarkStart w:id="2" w:name="_Toc427156464"/>
      <w:r w:rsidRPr="006B7838">
        <w:t>The absence of formalized criteria for MPA as a disorder may help explain why prevalence rates range widely among populations of musicians, with recent reviews estimating rates between 16.5 and 60% among professional musicians (</w:t>
      </w:r>
      <w:proofErr w:type="spellStart"/>
      <w:r w:rsidRPr="006B7838">
        <w:t>Fernholz</w:t>
      </w:r>
      <w:proofErr w:type="spellEnd"/>
      <w:r w:rsidRPr="006B7838">
        <w:t xml:space="preserve"> et al., 2019). For more severe forms of MPA, prevalence estimates are approximately 15–25% for professional musicians and 20–35% for collegiate musicians (Shaw, 2020), which aligns with research indicating that younger music students may be more prone to experience problematic forms of MPA compared to their older, professional musician counterparts (Steptoe &amp; Fidler, 1987; </w:t>
      </w:r>
      <w:proofErr w:type="spellStart"/>
      <w:r w:rsidRPr="006B7838">
        <w:t>Fernholz</w:t>
      </w:r>
      <w:proofErr w:type="spellEnd"/>
      <w:r w:rsidRPr="006B7838">
        <w:t>, 2019). Prevalence studies also show that the relationship between gender and MPA is consistent with rates for general anxiety, in which women</w:t>
      </w:r>
      <w:r w:rsidR="005A607B">
        <w:t xml:space="preserve"> are roughly twice </w:t>
      </w:r>
      <w:r w:rsidR="00D95432">
        <w:t>as</w:t>
      </w:r>
      <w:r w:rsidR="005A607B">
        <w:t xml:space="preserve"> likely to experience anxiety </w:t>
      </w:r>
      <w:r w:rsidRPr="006B7838">
        <w:t>compared to men (</w:t>
      </w:r>
      <w:r w:rsidR="00206911">
        <w:t xml:space="preserve">APA, 2022; </w:t>
      </w:r>
      <w:r w:rsidRPr="006B7838">
        <w:t>Kenny, 2005).</w:t>
      </w:r>
    </w:p>
    <w:p w14:paraId="4F53FAC3" w14:textId="710B48D9" w:rsidR="00C75B20" w:rsidRDefault="00C75B20" w:rsidP="00C549B4">
      <w:pPr>
        <w:spacing w:line="480" w:lineRule="auto"/>
        <w:ind w:firstLine="720"/>
      </w:pPr>
      <w:r w:rsidRPr="006B7838">
        <w:t xml:space="preserve">Among genres of musical performance, research indicates that musicians from the Western classical music tradition experience </w:t>
      </w:r>
      <w:r w:rsidR="00BF63FE">
        <w:t>more severe</w:t>
      </w:r>
      <w:r w:rsidRPr="006B7838">
        <w:t xml:space="preserve"> MPA than jazz or popular musicians (</w:t>
      </w:r>
      <w:proofErr w:type="spellStart"/>
      <w:r w:rsidRPr="006B7838">
        <w:t>Papageorgi</w:t>
      </w:r>
      <w:proofErr w:type="spellEnd"/>
      <w:r w:rsidRPr="006B7838">
        <w:t xml:space="preserve"> et al., 2013). In their discussion of performance anxiety across musical genres, </w:t>
      </w:r>
      <w:proofErr w:type="spellStart"/>
      <w:r w:rsidRPr="006B7838">
        <w:t>Papageorgi</w:t>
      </w:r>
      <w:proofErr w:type="spellEnd"/>
      <w:r w:rsidRPr="006B7838">
        <w:t xml:space="preserve"> and colleagues (2013) suggest that environmental factors such as the strict formality </w:t>
      </w:r>
      <w:r w:rsidR="00E62202">
        <w:t>within</w:t>
      </w:r>
      <w:r w:rsidRPr="006B7838">
        <w:t xml:space="preserve"> Western classical music </w:t>
      </w:r>
      <w:r w:rsidR="00E62202">
        <w:t xml:space="preserve">culture </w:t>
      </w:r>
      <w:r w:rsidRPr="006B7838">
        <w:t xml:space="preserve">may evoke higher levels of pressure, thereby elevating </w:t>
      </w:r>
      <w:r w:rsidRPr="006B7838">
        <w:lastRenderedPageBreak/>
        <w:t>anxiety levels among classical musicians.</w:t>
      </w:r>
      <w:r w:rsidR="006109DF">
        <w:t xml:space="preserve"> </w:t>
      </w:r>
      <w:r w:rsidR="003C48A9">
        <w:t xml:space="preserve">Overall, </w:t>
      </w:r>
      <w:r w:rsidR="003C48A9" w:rsidRPr="006B7838">
        <w:t xml:space="preserve">MPA occurs irrespective of age, training, </w:t>
      </w:r>
      <w:r w:rsidR="003C48A9">
        <w:t xml:space="preserve">or </w:t>
      </w:r>
      <w:r w:rsidR="003C48A9" w:rsidRPr="006B7838">
        <w:t>level of experience</w:t>
      </w:r>
      <w:r w:rsidR="003C48A9">
        <w:t xml:space="preserve">, though </w:t>
      </w:r>
      <w:r w:rsidR="003C48A9" w:rsidRPr="006B7838">
        <w:t>Kenny (2005) notes that MPA is uncommon among young children</w:t>
      </w:r>
      <w:r w:rsidR="003C48A9">
        <w:t>.</w:t>
      </w:r>
      <w:r w:rsidR="006109DF">
        <w:t xml:space="preserve"> </w:t>
      </w:r>
      <w:r w:rsidR="003C48A9" w:rsidRPr="006B7838">
        <w:t xml:space="preserve">Research demonstrates that the highest predictors of MPA are gender and trait anxiety (Osborne &amp; Kenny, 2008), with musicians’ levels of MPA covarying with levels of dispositional trait anxiety (Cox &amp; </w:t>
      </w:r>
      <w:proofErr w:type="spellStart"/>
      <w:r w:rsidR="003C48A9" w:rsidRPr="006B7838">
        <w:t>Kenardy</w:t>
      </w:r>
      <w:proofErr w:type="spellEnd"/>
      <w:r w:rsidR="003C48A9" w:rsidRPr="006B7838">
        <w:t>, 1993).</w:t>
      </w:r>
    </w:p>
    <w:p w14:paraId="22581A57" w14:textId="6A171AAC" w:rsidR="00E723F3" w:rsidRPr="00E723F3" w:rsidRDefault="00E723F3" w:rsidP="00E723F3">
      <w:pPr>
        <w:spacing w:line="480" w:lineRule="auto"/>
        <w:rPr>
          <w:b/>
          <w:bCs/>
          <w:i/>
          <w:iCs/>
        </w:rPr>
      </w:pPr>
      <w:r>
        <w:rPr>
          <w:b/>
          <w:bCs/>
          <w:i/>
          <w:iCs/>
        </w:rPr>
        <w:t>Etiology: Triple Vulnerability Model of MPA</w:t>
      </w:r>
    </w:p>
    <w:bookmarkEnd w:id="0"/>
    <w:bookmarkEnd w:id="1"/>
    <w:bookmarkEnd w:id="2"/>
    <w:p w14:paraId="3E4D5C32" w14:textId="2F716287" w:rsidR="00C75B20" w:rsidRPr="006B7838" w:rsidRDefault="00C75B20" w:rsidP="00A847BE">
      <w:pPr>
        <w:spacing w:line="480" w:lineRule="auto"/>
        <w:ind w:firstLine="720"/>
      </w:pPr>
      <w:r w:rsidRPr="006B7838">
        <w:t>In conceptualizing the development of MPA, Kenny (2005) adopts Barlow’s emotion-based model of anxiety (2000), which theorizes that anxiety disorders develop through a set of triple vulnerabilities: (1) a generalized biological (heritable) vulnerability; (2) a generalized psychological vulnerability based on formative experiences in developing a sense of control over events; and (3) a more specific psychological vulnerability in which anxiety is paired with certain environmental stimuli (via conditioning processes)</w:t>
      </w:r>
      <w:r w:rsidR="00DF6210">
        <w:t xml:space="preserve"> (Barlow, 2000, p. 1247)</w:t>
      </w:r>
      <w:r w:rsidRPr="006B7838">
        <w:t>. Kenny</w:t>
      </w:r>
      <w:r w:rsidR="00C75DCC">
        <w:t xml:space="preserve"> </w:t>
      </w:r>
      <w:r w:rsidRPr="006B7838">
        <w:t>extends the triple vulnerability model to the etiology of MPA by describing performers most at risk as</w:t>
      </w:r>
      <w:r w:rsidR="00485014">
        <w:t xml:space="preserve"> </w:t>
      </w:r>
      <w:r w:rsidRPr="006B7838">
        <w:t>those high in trait anxiety (generalized biological vulnerability), who come from high pressure environments with low emotional support (generalized psychological vulnerability), and who are exposed early</w:t>
      </w:r>
      <w:r w:rsidR="00C75DCC">
        <w:t xml:space="preserve"> to</w:t>
      </w:r>
      <w:r w:rsidRPr="006B7838">
        <w:t xml:space="preserve"> critical </w:t>
      </w:r>
      <w:r w:rsidR="00340675">
        <w:t xml:space="preserve">and competitive </w:t>
      </w:r>
      <w:r w:rsidRPr="006B7838">
        <w:t>evaluations of performances (specific psychological vulnerability)</w:t>
      </w:r>
      <w:r w:rsidR="00340675">
        <w:t xml:space="preserve"> (2005, p. 53)</w:t>
      </w:r>
      <w:r w:rsidRPr="006B7838">
        <w:t xml:space="preserve">. According to this model, performance anxiety may be understood as a defensive means by which to protect the individual against possible re-experiencing of painful emotions such as shame or humiliation. Prior to performance, anxiety may be triggered by cognitive, somatic, or environmental cues associated with performance situations, especially if the performer underwent repeated negative performance experiences during developmentally sensitive periods. Once previous experiences of MPA become activated, </w:t>
      </w:r>
      <w:r w:rsidRPr="006B7838">
        <w:lastRenderedPageBreak/>
        <w:t xml:space="preserve">the performer may readily shift into a self-evaluative state in which attention </w:t>
      </w:r>
      <w:r w:rsidR="00A67787">
        <w:t>focuses</w:t>
      </w:r>
      <w:r w:rsidRPr="006B7838">
        <w:t xml:space="preserve"> on catastrophic cognitions or distressing physiological reactions, leading to the disruption of concentration and performance (Kenny, 2005).</w:t>
      </w:r>
    </w:p>
    <w:p w14:paraId="0A56663B" w14:textId="54FD5EFD" w:rsidR="001321D7" w:rsidRDefault="00C75B20" w:rsidP="00432928">
      <w:pPr>
        <w:numPr>
          <w:ilvl w:val="12"/>
          <w:numId w:val="0"/>
        </w:numPr>
        <w:spacing w:line="480" w:lineRule="auto"/>
      </w:pPr>
      <w:r w:rsidRPr="006B7838">
        <w:tab/>
      </w:r>
      <w:proofErr w:type="gramStart"/>
      <w:r w:rsidRPr="006B7838">
        <w:t>Similar to</w:t>
      </w:r>
      <w:proofErr w:type="gramEnd"/>
      <w:r w:rsidRPr="006B7838">
        <w:t xml:space="preserve"> other anxiety disorders, MPA typically emerges in early adolescence and stabilizes in </w:t>
      </w:r>
      <w:r w:rsidR="00CF488B">
        <w:t>severity</w:t>
      </w:r>
      <w:r w:rsidRPr="006B7838">
        <w:t xml:space="preserve"> b</w:t>
      </w:r>
      <w:r w:rsidR="00136F94">
        <w:t xml:space="preserve">y </w:t>
      </w:r>
      <w:r w:rsidRPr="006B7838">
        <w:t xml:space="preserve">early adulthood (Cox &amp; </w:t>
      </w:r>
      <w:proofErr w:type="spellStart"/>
      <w:r w:rsidRPr="006B7838">
        <w:t>Kenardy</w:t>
      </w:r>
      <w:proofErr w:type="spellEnd"/>
      <w:r w:rsidRPr="006B7838">
        <w:t xml:space="preserve">, 1993; Ryan, 2005). The level of MPA also tends to increase among young musicians who </w:t>
      </w:r>
      <w:r w:rsidR="00136F94">
        <w:t xml:space="preserve">undergo rigorous </w:t>
      </w:r>
      <w:r w:rsidRPr="006B7838">
        <w:t>train</w:t>
      </w:r>
      <w:r w:rsidR="00136F94">
        <w:t>ing</w:t>
      </w:r>
      <w:r w:rsidRPr="006B7838">
        <w:t xml:space="preserve"> and </w:t>
      </w:r>
      <w:r w:rsidR="000B3848">
        <w:t>more</w:t>
      </w:r>
      <w:r w:rsidRPr="006B7838">
        <w:t xml:space="preserve"> </w:t>
      </w:r>
      <w:r w:rsidR="00B71162">
        <w:t>“</w:t>
      </w:r>
      <w:r w:rsidRPr="006B7838">
        <w:t>technically</w:t>
      </w:r>
      <w:r w:rsidR="00CF488B">
        <w:t xml:space="preserve"> </w:t>
      </w:r>
      <w:r w:rsidRPr="006B7838">
        <w:t>demanding performances</w:t>
      </w:r>
      <w:r w:rsidR="00B71162">
        <w:t>”</w:t>
      </w:r>
      <w:r w:rsidRPr="006B7838">
        <w:t xml:space="preserve"> (Osborne, Kenny, </w:t>
      </w:r>
      <w:r w:rsidR="009575F4">
        <w:t>&amp;</w:t>
      </w:r>
      <w:r w:rsidRPr="006B7838">
        <w:t xml:space="preserve"> </w:t>
      </w:r>
      <w:proofErr w:type="spellStart"/>
      <w:r w:rsidRPr="006B7838">
        <w:t>Holsomback</w:t>
      </w:r>
      <w:proofErr w:type="spellEnd"/>
      <w:r w:rsidRPr="006B7838">
        <w:t>, 2005</w:t>
      </w:r>
      <w:r w:rsidR="00B71162">
        <w:t>, p. 323</w:t>
      </w:r>
      <w:r w:rsidRPr="006B7838">
        <w:t xml:space="preserve">). Thus, researchers posit two critical periods for the development of MPA: (1) adolescence, in which there is increased psychological vulnerability (Osborne &amp; Kenny, 2008), and (2) vocational training during emerging adulthood when musical examinations are </w:t>
      </w:r>
      <w:proofErr w:type="gramStart"/>
      <w:r w:rsidR="009575F4">
        <w:t>frequent</w:t>
      </w:r>
      <w:proofErr w:type="gramEnd"/>
      <w:r w:rsidRPr="006B7838">
        <w:t xml:space="preserve"> and the self-concept of a musician becomes crystallized (</w:t>
      </w:r>
      <w:proofErr w:type="spellStart"/>
      <w:r w:rsidRPr="006B7838">
        <w:t>Spahn</w:t>
      </w:r>
      <w:proofErr w:type="spellEnd"/>
      <w:r w:rsidRPr="006B7838">
        <w:t xml:space="preserve">, 2015). Given that music students experience high rates of performance anxiety and commonly request support for managing MPA (Nascimento, 2013; </w:t>
      </w:r>
      <w:proofErr w:type="spellStart"/>
      <w:r w:rsidRPr="006B7838">
        <w:t>Tamborrino</w:t>
      </w:r>
      <w:proofErr w:type="spellEnd"/>
      <w:r w:rsidRPr="006B7838">
        <w:t xml:space="preserve">, 2001; </w:t>
      </w:r>
      <w:proofErr w:type="spellStart"/>
      <w:r w:rsidRPr="006B7838">
        <w:t>Williamon</w:t>
      </w:r>
      <w:proofErr w:type="spellEnd"/>
      <w:r w:rsidRPr="006B7838">
        <w:t xml:space="preserve"> &amp; Thompson, 2006), collegiate music schools may offer prime settings for implementing and refining formal MPA interventions. Further, as performance experiences during undergraduate training may play a significant role </w:t>
      </w:r>
      <w:proofErr w:type="gramStart"/>
      <w:r w:rsidRPr="006B7838">
        <w:t>in the course of</w:t>
      </w:r>
      <w:proofErr w:type="gramEnd"/>
      <w:r w:rsidRPr="006B7838">
        <w:t xml:space="preserve"> MPA development, addressing the needs of undergraduate music students early in their </w:t>
      </w:r>
      <w:r w:rsidR="00F54F5C">
        <w:t>university education</w:t>
      </w:r>
      <w:r w:rsidRPr="006B7838">
        <w:t xml:space="preserve"> may be especially important for targeted prevention and intervention efforts.</w:t>
      </w:r>
    </w:p>
    <w:p w14:paraId="57844E68" w14:textId="0A3CC6E3" w:rsidR="00F54F5C" w:rsidRPr="00F54F5C" w:rsidRDefault="00F54F5C" w:rsidP="00F54F5C">
      <w:pPr>
        <w:numPr>
          <w:ilvl w:val="12"/>
          <w:numId w:val="0"/>
        </w:numPr>
        <w:spacing w:line="480" w:lineRule="auto"/>
        <w:jc w:val="center"/>
        <w:rPr>
          <w:b/>
          <w:bCs/>
        </w:rPr>
      </w:pPr>
      <w:r>
        <w:rPr>
          <w:b/>
          <w:bCs/>
        </w:rPr>
        <w:t>Current MPA Interventions</w:t>
      </w:r>
    </w:p>
    <w:p w14:paraId="5890F2E1" w14:textId="5371CE9C" w:rsidR="00C75B20" w:rsidRPr="006B7838" w:rsidRDefault="00C75B20" w:rsidP="00432928">
      <w:pPr>
        <w:spacing w:line="480" w:lineRule="auto"/>
        <w:ind w:firstLine="720"/>
      </w:pPr>
      <w:r w:rsidRPr="006B7838">
        <w:t>Although numerous treatment approaches are cited in the MPA literature, there is limited evidence for a</w:t>
      </w:r>
      <w:r w:rsidR="002E079A">
        <w:t xml:space="preserve">n </w:t>
      </w:r>
      <w:r w:rsidRPr="006B7838">
        <w:t>empirically validated</w:t>
      </w:r>
      <w:r w:rsidR="003D439B">
        <w:t xml:space="preserve"> </w:t>
      </w:r>
      <w:r w:rsidR="002E079A">
        <w:t xml:space="preserve">MPA </w:t>
      </w:r>
      <w:r w:rsidR="003D439B">
        <w:t xml:space="preserve">intervention </w:t>
      </w:r>
      <w:r w:rsidR="002E079A">
        <w:t xml:space="preserve">using rigorous methodology. </w:t>
      </w:r>
      <w:r w:rsidRPr="006B7838">
        <w:t xml:space="preserve">Recent reviews of intervention studies highlight the difficulty in drawing firm conclusions due to </w:t>
      </w:r>
      <w:r w:rsidR="00076F92">
        <w:t>design</w:t>
      </w:r>
      <w:r w:rsidRPr="006B7838">
        <w:t xml:space="preserve"> limitations such as small sample sizes, lack of control groups, and weak outcome measures </w:t>
      </w:r>
      <w:r w:rsidRPr="006B7838">
        <w:lastRenderedPageBreak/>
        <w:t>(</w:t>
      </w:r>
      <w:proofErr w:type="spellStart"/>
      <w:r w:rsidRPr="006B7838">
        <w:t>Matei</w:t>
      </w:r>
      <w:proofErr w:type="spellEnd"/>
      <w:r w:rsidRPr="006B7838">
        <w:t xml:space="preserve">, 2017). In response to these limitations in the current literature, Juncos and de Paiva e </w:t>
      </w:r>
      <w:proofErr w:type="spellStart"/>
      <w:r w:rsidRPr="006B7838">
        <w:t>Pona</w:t>
      </w:r>
      <w:proofErr w:type="spellEnd"/>
      <w:r w:rsidRPr="006B7838">
        <w:t xml:space="preserve"> (2018) call for future research efforts to adhere to the </w:t>
      </w:r>
      <w:r w:rsidR="00076F92">
        <w:t xml:space="preserve">standards for evidence-based practice established by </w:t>
      </w:r>
      <w:r w:rsidR="00467DE3">
        <w:t xml:space="preserve">the </w:t>
      </w:r>
      <w:r w:rsidR="00076F92">
        <w:t>APA Division 12</w:t>
      </w:r>
      <w:r w:rsidR="00467DE3">
        <w:t xml:space="preserve"> Task Force </w:t>
      </w:r>
      <w:r w:rsidR="00467DE3" w:rsidRPr="00467DE3">
        <w:t>for the Promotion and Dissemination of Psychological Procedure</w:t>
      </w:r>
      <w:r w:rsidR="00467DE3">
        <w:t>s (</w:t>
      </w:r>
      <w:r w:rsidRPr="006B7838">
        <w:t xml:space="preserve">Chambless &amp; </w:t>
      </w:r>
      <w:proofErr w:type="spellStart"/>
      <w:r w:rsidRPr="006B7838">
        <w:t>Hollon</w:t>
      </w:r>
      <w:proofErr w:type="spellEnd"/>
      <w:r w:rsidRPr="006B7838">
        <w:t xml:space="preserve">, 1998). In 2018, Juncos and de Paiva e </w:t>
      </w:r>
      <w:proofErr w:type="spellStart"/>
      <w:r w:rsidRPr="006B7838">
        <w:t>Pona</w:t>
      </w:r>
      <w:proofErr w:type="spellEnd"/>
      <w:r w:rsidRPr="006B7838">
        <w:t xml:space="preserve"> noted that only one empirically reviewed treatment for MPA—cognitive-behavioral therapy (CBT) with exposure—met the </w:t>
      </w:r>
      <w:proofErr w:type="gramStart"/>
      <w:r w:rsidRPr="006B7838">
        <w:t>aforementioned standards</w:t>
      </w:r>
      <w:proofErr w:type="gramEnd"/>
      <w:r w:rsidRPr="006B7838">
        <w:t xml:space="preserve"> and suggested that this may be the reason leading MPA researchers consider CBT as best practice (Kenny, 2011). </w:t>
      </w:r>
    </w:p>
    <w:p w14:paraId="1DC97F34" w14:textId="0AFF5B8F" w:rsidR="00E254D5" w:rsidRDefault="00C75B20" w:rsidP="00A847BE">
      <w:pPr>
        <w:spacing w:line="480" w:lineRule="auto"/>
        <w:ind w:firstLine="720"/>
      </w:pPr>
      <w:r w:rsidRPr="006B7838">
        <w:t>A recent systematic review of treatment procedures for MPA (</w:t>
      </w:r>
      <w:proofErr w:type="spellStart"/>
      <w:r w:rsidRPr="006B7838">
        <w:t>Fernholz</w:t>
      </w:r>
      <w:proofErr w:type="spellEnd"/>
      <w:r w:rsidRPr="006B7838">
        <w:t xml:space="preserve"> et al., 2019) showed that the two most studied treatments were CBT and the use of beta-adrenoceptor blocking medications (“beta-blockers”), with CBT generating the most evidence for significantly reducing mild to moderate MPA symptoms. However, </w:t>
      </w:r>
      <w:r w:rsidR="00C6272A">
        <w:t xml:space="preserve">the </w:t>
      </w:r>
      <w:r w:rsidRPr="006B7838">
        <w:t xml:space="preserve">authors advise caution in the interpretation of these findings, noting that additional studies with </w:t>
      </w:r>
      <w:r w:rsidR="00662744">
        <w:t>sufficient</w:t>
      </w:r>
      <w:r w:rsidRPr="006B7838">
        <w:t xml:space="preserve"> control</w:t>
      </w:r>
      <w:r w:rsidR="00662744">
        <w:t xml:space="preserve">s </w:t>
      </w:r>
      <w:r w:rsidRPr="006B7838">
        <w:t xml:space="preserve">are needed to clarify the efficacy of CBT interventions. This conclusion aligns with those of previous reviews that show mixed findings for CBT interventions and highlight methodological weaknesses across studies </w:t>
      </w:r>
      <w:r w:rsidR="00EE2FB2">
        <w:t xml:space="preserve">including small sample sizes, unstandardized intervention delivery, lack of control groups, and discrepancies among chosen outcome measures </w:t>
      </w:r>
      <w:r w:rsidRPr="006B7838">
        <w:t xml:space="preserve">(Burin &amp; </w:t>
      </w:r>
      <w:proofErr w:type="spellStart"/>
      <w:r w:rsidRPr="006B7838">
        <w:t>Osório</w:t>
      </w:r>
      <w:proofErr w:type="spellEnd"/>
      <w:r w:rsidRPr="006B7838">
        <w:t>, 2017</w:t>
      </w:r>
      <w:r w:rsidR="00EE2FB2">
        <w:t xml:space="preserve">; </w:t>
      </w:r>
      <w:proofErr w:type="spellStart"/>
      <w:r w:rsidR="00EE2FB2">
        <w:t>Matei</w:t>
      </w:r>
      <w:proofErr w:type="spellEnd"/>
      <w:r w:rsidR="00EE2FB2">
        <w:t>, 2017</w:t>
      </w:r>
      <w:r w:rsidRPr="006B7838">
        <w:t xml:space="preserve">). Beyond CBT, other therapy modalities for MPA include psychodynamic therapy for more severe </w:t>
      </w:r>
      <w:r w:rsidR="00662744">
        <w:t>presentations</w:t>
      </w:r>
      <w:r w:rsidRPr="006B7838">
        <w:t xml:space="preserve"> of MPA with depression (Kenny, 2016; Kenny, </w:t>
      </w:r>
      <w:proofErr w:type="spellStart"/>
      <w:r w:rsidRPr="006B7838">
        <w:t>Arthey</w:t>
      </w:r>
      <w:proofErr w:type="spellEnd"/>
      <w:r w:rsidRPr="006B7838">
        <w:t xml:space="preserve">, &amp; </w:t>
      </w:r>
      <w:proofErr w:type="spellStart"/>
      <w:r w:rsidRPr="006B7838">
        <w:t>Abbass</w:t>
      </w:r>
      <w:proofErr w:type="spellEnd"/>
      <w:r w:rsidRPr="006B7838">
        <w:t xml:space="preserve">, 2014, 2016; Kenny &amp; Holmes, 2015) and </w:t>
      </w:r>
      <w:r w:rsidR="00514CD8">
        <w:t>a</w:t>
      </w:r>
      <w:r w:rsidRPr="006B7838">
        <w:t xml:space="preserve">cceptance and </w:t>
      </w:r>
      <w:r w:rsidR="00514CD8">
        <w:t>c</w:t>
      </w:r>
      <w:r w:rsidRPr="006B7838">
        <w:t xml:space="preserve">ommitment </w:t>
      </w:r>
      <w:r w:rsidR="00514CD8">
        <w:t>t</w:t>
      </w:r>
      <w:r w:rsidRPr="006B7838">
        <w:t xml:space="preserve">herapy (ACT; Clarke, Osborne, &amp; </w:t>
      </w:r>
      <w:proofErr w:type="spellStart"/>
      <w:r w:rsidRPr="006B7838">
        <w:t>Baranoff</w:t>
      </w:r>
      <w:proofErr w:type="spellEnd"/>
      <w:r w:rsidRPr="006B7838">
        <w:t xml:space="preserve">, 2020; Juncos &amp; Markman 2016; Juncos et al., 2017; Juncos &amp; de Paiva e </w:t>
      </w:r>
      <w:proofErr w:type="spellStart"/>
      <w:r w:rsidRPr="006B7838">
        <w:t>Pona</w:t>
      </w:r>
      <w:proofErr w:type="spellEnd"/>
      <w:r w:rsidRPr="006B7838">
        <w:t xml:space="preserve"> 2018; Shaw 2020). Currently, </w:t>
      </w:r>
      <w:r w:rsidR="00BA68FE">
        <w:t xml:space="preserve">there is less </w:t>
      </w:r>
      <w:r w:rsidRPr="006B7838">
        <w:t xml:space="preserve">research support for alternative MPA treatments (e.g., yoga, biofeedback, meditation, Alexander Technique, guided imagery) </w:t>
      </w:r>
      <w:r w:rsidR="00BA68FE">
        <w:lastRenderedPageBreak/>
        <w:t>compared to the evidence</w:t>
      </w:r>
      <w:r w:rsidRPr="006B7838">
        <w:t xml:space="preserve"> for psychotherapy or the use of beta-blockers (Juncos &amp; de Paiva e </w:t>
      </w:r>
      <w:proofErr w:type="spellStart"/>
      <w:r w:rsidRPr="006B7838">
        <w:t>Pona</w:t>
      </w:r>
      <w:proofErr w:type="spellEnd"/>
      <w:r w:rsidRPr="006B7838">
        <w:t xml:space="preserve">, 2018). </w:t>
      </w:r>
      <w:r w:rsidR="00E254D5">
        <w:t xml:space="preserve">The following section reviews limitations of </w:t>
      </w:r>
      <w:r w:rsidR="00E254D5" w:rsidRPr="006B7838">
        <w:t xml:space="preserve">leading interventions </w:t>
      </w:r>
      <w:r w:rsidR="00E7112C">
        <w:t xml:space="preserve">for MPA </w:t>
      </w:r>
      <w:r w:rsidR="00E254D5" w:rsidRPr="006B7838">
        <w:t>(namely, CBT and beta-blockers)</w:t>
      </w:r>
      <w:r w:rsidR="00E254D5">
        <w:t xml:space="preserve"> to </w:t>
      </w:r>
      <w:r w:rsidR="00E7112C">
        <w:t>convey the current state of MPA intervention knowledge and practice</w:t>
      </w:r>
      <w:r w:rsidR="00CB30FC">
        <w:t xml:space="preserve"> as well as highlight</w:t>
      </w:r>
      <w:r w:rsidR="00E254D5">
        <w:t xml:space="preserve"> </w:t>
      </w:r>
      <w:r w:rsidR="00E7112C">
        <w:t>ways in which</w:t>
      </w:r>
      <w:r w:rsidR="00E254D5">
        <w:t xml:space="preserve"> other </w:t>
      </w:r>
      <w:r w:rsidR="00E7112C">
        <w:t xml:space="preserve">forms of therapy may more comprehensively </w:t>
      </w:r>
      <w:r w:rsidR="00E7112C" w:rsidRPr="006B7838">
        <w:t>address the needs of musicians</w:t>
      </w:r>
      <w:r w:rsidR="00E7112C">
        <w:t>.</w:t>
      </w:r>
    </w:p>
    <w:p w14:paraId="621C957A" w14:textId="0F51B810" w:rsidR="00E03A72" w:rsidRPr="00E03A72" w:rsidRDefault="00E03A72" w:rsidP="00E03A72">
      <w:pPr>
        <w:spacing w:line="480" w:lineRule="auto"/>
        <w:rPr>
          <w:b/>
          <w:bCs/>
          <w:i/>
          <w:iCs/>
        </w:rPr>
      </w:pPr>
      <w:r>
        <w:rPr>
          <w:b/>
          <w:bCs/>
          <w:i/>
          <w:iCs/>
        </w:rPr>
        <w:t>Limitations of Leading Interventions</w:t>
      </w:r>
    </w:p>
    <w:p w14:paraId="736351C7" w14:textId="7B4CC2C5" w:rsidR="00C75B20" w:rsidRPr="006B7838" w:rsidRDefault="00C75B20" w:rsidP="00A847BE">
      <w:pPr>
        <w:spacing w:line="480" w:lineRule="auto"/>
      </w:pPr>
      <w:r w:rsidRPr="006B7838">
        <w:tab/>
        <w:t xml:space="preserve">In their investigation of psychological well-being among orchestral musicians, Kenny, </w:t>
      </w:r>
      <w:proofErr w:type="gramStart"/>
      <w:r w:rsidRPr="006B7838">
        <w:t>Driscoll</w:t>
      </w:r>
      <w:proofErr w:type="gramEnd"/>
      <w:r w:rsidRPr="006B7838">
        <w:t xml:space="preserve"> </w:t>
      </w:r>
      <w:r w:rsidR="00C42D76">
        <w:t>and</w:t>
      </w:r>
      <w:r w:rsidRPr="006B7838">
        <w:t xml:space="preserve"> Ackermann (2012) found that beta-blockers are commonly used among professional musicians, with roughly 30% using the medication to reduce </w:t>
      </w:r>
      <w:r w:rsidR="00BA68FE">
        <w:t xml:space="preserve">somatic </w:t>
      </w:r>
      <w:r w:rsidRPr="006B7838">
        <w:t xml:space="preserve">MPA </w:t>
      </w:r>
      <w:r w:rsidR="00BA68FE">
        <w:t xml:space="preserve">symptoms </w:t>
      </w:r>
      <w:r w:rsidRPr="006B7838">
        <w:t xml:space="preserve">(e.g., palpitations, sweating, shaking). There is </w:t>
      </w:r>
      <w:r w:rsidR="000359D7" w:rsidRPr="006B7838">
        <w:t>consensus</w:t>
      </w:r>
      <w:r w:rsidRPr="006B7838">
        <w:t xml:space="preserve"> among MPA researchers </w:t>
      </w:r>
      <w:r w:rsidR="000359D7">
        <w:t xml:space="preserve">that low doses of beta-blockers (e.g., propranolol, nadolol) are effective in treating the somatic symptoms of MPA. </w:t>
      </w:r>
      <w:r w:rsidRPr="006B7838">
        <w:t xml:space="preserve">However, MPA experts also acknowledge </w:t>
      </w:r>
      <w:r w:rsidR="000359D7" w:rsidRPr="006B7838">
        <w:t>several</w:t>
      </w:r>
      <w:r w:rsidRPr="006B7838">
        <w:t xml:space="preserve"> limitations in this treatment approach. First, the use of beta-blockers is contraindicated for vocalists, woodwind, and brass instrumentalists as well as for musicians with existing heart conditions or breathing disorders such as asthma (Kenny, 2011). Additionally, researchers argue that beta-blockers </w:t>
      </w:r>
      <w:r w:rsidR="00BF4CCD">
        <w:t xml:space="preserve">offer limited </w:t>
      </w:r>
      <w:r w:rsidR="006D5DC6">
        <w:t>assistance</w:t>
      </w:r>
      <w:r w:rsidR="00BF4CCD">
        <w:t xml:space="preserve"> </w:t>
      </w:r>
      <w:r w:rsidRPr="006B7838">
        <w:t xml:space="preserve">as the cognitive, behavioral, and </w:t>
      </w:r>
      <w:r w:rsidR="00BA68FE">
        <w:t>affective</w:t>
      </w:r>
      <w:r w:rsidRPr="006B7838">
        <w:t xml:space="preserve"> symptoms of MPA are not addressed </w:t>
      </w:r>
      <w:r w:rsidR="00C42D76">
        <w:t>by</w:t>
      </w:r>
      <w:r w:rsidRPr="006B7838">
        <w:t xml:space="preserve"> medication alone (Clarke et al., 2020; Kenny, 2011; </w:t>
      </w:r>
      <w:proofErr w:type="spellStart"/>
      <w:r w:rsidRPr="006B7838">
        <w:t>Spahn</w:t>
      </w:r>
      <w:proofErr w:type="spellEnd"/>
      <w:r w:rsidRPr="006B7838">
        <w:t xml:space="preserve">, 2015). In this view, beta-blockers may provide adequate temporary solutions for musicians who primarily experience physical MPA symptoms, whereas those with more severe or chronic presentations of MPA would benefit from a comprehensive treatment method that targets the underlying causal and maintenance factors of the disorder. Moreover, researchers caution against long-term regular use of beta-blockers for </w:t>
      </w:r>
      <w:r w:rsidRPr="006B7838">
        <w:lastRenderedPageBreak/>
        <w:t>MPA as this creates risk for unilateral reliance on the convenience of the drug and possible neglect of active treatment measures (</w:t>
      </w:r>
      <w:proofErr w:type="spellStart"/>
      <w:r w:rsidRPr="006B7838">
        <w:t>Spahn</w:t>
      </w:r>
      <w:proofErr w:type="spellEnd"/>
      <w:r w:rsidRPr="006B7838">
        <w:t>, 2015).</w:t>
      </w:r>
    </w:p>
    <w:p w14:paraId="44453033" w14:textId="1C850670" w:rsidR="00C75B20" w:rsidRPr="006B7838" w:rsidRDefault="00C75B20" w:rsidP="006B7838">
      <w:pPr>
        <w:spacing w:line="480" w:lineRule="auto"/>
      </w:pPr>
      <w:r w:rsidRPr="006B7838">
        <w:tab/>
        <w:t xml:space="preserve">Regarding the leading psychotherapy intervention for MPA, cognitive-behavioral therapy (CBT) currently holds the most empirical support of all treatment approaches, despite the </w:t>
      </w:r>
      <w:proofErr w:type="gramStart"/>
      <w:r w:rsidRPr="006B7838">
        <w:t>aforementioned methodological</w:t>
      </w:r>
      <w:proofErr w:type="gramEnd"/>
      <w:r w:rsidRPr="006B7838">
        <w:t xml:space="preserve"> limitations across MPA intervention studies. More recently, however, a subset of MPA researchers have opened a line of inquiry into the therapeutic benefit of cognitive restructuring, one of the main treatment </w:t>
      </w:r>
      <w:r w:rsidR="006D5DC6">
        <w:t>techniques</w:t>
      </w:r>
      <w:r w:rsidRPr="006B7838">
        <w:t xml:space="preserve"> within CBT in which clients are taught to challenge or dispute “maladaptive” thoughts. </w:t>
      </w:r>
      <w:r w:rsidR="00B967FE">
        <w:t>These researchers cite the work of Teasdale and colleagues (2002), whose work</w:t>
      </w:r>
      <w:r w:rsidR="009F2B56">
        <w:t xml:space="preserve"> on metacognitive awareness </w:t>
      </w:r>
      <w:r w:rsidR="00B967FE">
        <w:t xml:space="preserve">suggests that </w:t>
      </w:r>
      <w:r w:rsidR="00B967FE" w:rsidRPr="006B7838">
        <w:t xml:space="preserve">the act of </w:t>
      </w:r>
      <w:r w:rsidR="00B967FE" w:rsidRPr="006B7838">
        <w:rPr>
          <w:i/>
        </w:rPr>
        <w:t xml:space="preserve">disengaging </w:t>
      </w:r>
      <w:r w:rsidR="00B967FE" w:rsidRPr="006B7838">
        <w:t xml:space="preserve">from one’s thoughts may explain improvements in therapy more than </w:t>
      </w:r>
      <w:r w:rsidR="00945A05">
        <w:t xml:space="preserve">altering </w:t>
      </w:r>
      <w:r w:rsidR="00E03A72">
        <w:t xml:space="preserve">actual </w:t>
      </w:r>
      <w:r w:rsidR="00945A05">
        <w:t xml:space="preserve">thought content. </w:t>
      </w:r>
      <w:r w:rsidRPr="006B7838">
        <w:t xml:space="preserve">This finding </w:t>
      </w:r>
      <w:r w:rsidR="00945A05">
        <w:t>supports</w:t>
      </w:r>
      <w:r w:rsidRPr="006B7838">
        <w:t xml:space="preserve"> the theoretical paradigm of third-wave behavioral therapies such as </w:t>
      </w:r>
      <w:r w:rsidR="00E03A72" w:rsidRPr="00485014">
        <w:t>a</w:t>
      </w:r>
      <w:r w:rsidRPr="00485014">
        <w:t xml:space="preserve">cceptance and </w:t>
      </w:r>
      <w:r w:rsidR="00E03A72" w:rsidRPr="00485014">
        <w:t>c</w:t>
      </w:r>
      <w:r w:rsidRPr="00485014">
        <w:t xml:space="preserve">ommitment </w:t>
      </w:r>
      <w:r w:rsidR="00E03A72" w:rsidRPr="00485014">
        <w:t>t</w:t>
      </w:r>
      <w:r w:rsidRPr="00485014">
        <w:t xml:space="preserve">herapy (ACT), in which the goal of treatment is not to </w:t>
      </w:r>
      <w:r w:rsidR="009F2B56" w:rsidRPr="00485014">
        <w:t>change</w:t>
      </w:r>
      <w:r w:rsidRPr="00485014">
        <w:t xml:space="preserve"> or eliminate unwanted symptoms but rather to foster acceptance of aversive thoughts and feelings while enhancing one’s ability to engage fully in meaningful life experiences.</w:t>
      </w:r>
    </w:p>
    <w:p w14:paraId="49E87060" w14:textId="742A9A33" w:rsidR="001321D7" w:rsidRDefault="00C75B20" w:rsidP="001321D7">
      <w:pPr>
        <w:spacing w:line="480" w:lineRule="auto"/>
      </w:pPr>
      <w:r w:rsidRPr="006B7838">
        <w:tab/>
        <w:t>Traditional cognitive-behavioral therap</w:t>
      </w:r>
      <w:r w:rsidR="00C42D76">
        <w:t>ies</w:t>
      </w:r>
      <w:r w:rsidRPr="006B7838">
        <w:t xml:space="preserve"> operate within a “mastery and control framework” that supports the notion that anxiety and related symptoms may be mitigated through direct cognitive change (Eifert &amp; Forsyth, 2005). Proponents of ACT, however, argue that anxiety itself is not inherently problematic and that direct cognitive change may not be essential for clinical improvement (Hayes et al., 2006). From an ACT perspective, problems of clinical significance are created through one’s method of </w:t>
      </w:r>
      <w:r w:rsidRPr="006B7838">
        <w:rPr>
          <w:i/>
        </w:rPr>
        <w:t>relating</w:t>
      </w:r>
      <w:r w:rsidRPr="006B7838">
        <w:t xml:space="preserve"> to experiences of anxiety (e.g., negatively appraising somatic symptoms; attempting to control, avoid, or eliminate anxiety; </w:t>
      </w:r>
      <w:r w:rsidRPr="006B7838">
        <w:lastRenderedPageBreak/>
        <w:t xml:space="preserve">overidentifying with anxious thoughts). </w:t>
      </w:r>
      <w:r w:rsidR="00C6272A">
        <w:t>R</w:t>
      </w:r>
      <w:r w:rsidRPr="006B7838">
        <w:t xml:space="preserve">esearch </w:t>
      </w:r>
      <w:r w:rsidR="00C42D76">
        <w:t>findings suggest</w:t>
      </w:r>
      <w:r w:rsidRPr="006B7838">
        <w:t xml:space="preserve"> that attempts to control or </w:t>
      </w:r>
      <w:r w:rsidR="00FE7C0D">
        <w:t>eliminate</w:t>
      </w:r>
      <w:r w:rsidRPr="006B7838">
        <w:t xml:space="preserve"> </w:t>
      </w:r>
      <w:r w:rsidR="00FE7C0D">
        <w:t>private events</w:t>
      </w:r>
      <w:r w:rsidRPr="006B7838">
        <w:t xml:space="preserve"> </w:t>
      </w:r>
      <w:r w:rsidR="00FE7C0D">
        <w:t xml:space="preserve">(e.g., thoughts, emotions, memories) </w:t>
      </w:r>
      <w:r w:rsidRPr="006B7838">
        <w:t>can paradoxically exacerbate aversive experiences (Brooks, 2014; Eifert &amp; Forsyth, 2005; Hayes et al., 2004)</w:t>
      </w:r>
      <w:r w:rsidR="00C6272A">
        <w:t>; thus,</w:t>
      </w:r>
      <w:r w:rsidRPr="006B7838">
        <w:t xml:space="preserve"> exploration </w:t>
      </w:r>
      <w:r w:rsidR="009F2B56">
        <w:t xml:space="preserve">of other </w:t>
      </w:r>
      <w:r w:rsidRPr="006B7838">
        <w:t>therapy approaches that teach musicians how to effectively navigate the experience of MPA is warranted. A burgeoning subfield of research suggests that ACT may be particularly well-suited to address MPA</w:t>
      </w:r>
      <w:r w:rsidR="00C6272A">
        <w:t xml:space="preserve">, given that </w:t>
      </w:r>
      <w:r w:rsidR="00C6272A" w:rsidRPr="00485014">
        <w:t>ACT</w:t>
      </w:r>
      <w:r w:rsidRPr="00485014">
        <w:t xml:space="preserve"> does not pathologize the experience of performance anxiety as something to fight, eliminate, or overcome.</w:t>
      </w:r>
      <w:r w:rsidRPr="006B7838">
        <w:t xml:space="preserve"> Instead, ACT may offer musicians facilitative methods of relating to their inner experiences while teaching psychological skills that promote effective performance experiences.</w:t>
      </w:r>
    </w:p>
    <w:p w14:paraId="2E3102BB" w14:textId="5BBF1E1F" w:rsidR="00FA28C9" w:rsidRPr="00FA28C9" w:rsidRDefault="00FA28C9" w:rsidP="00FA28C9">
      <w:pPr>
        <w:spacing w:line="480" w:lineRule="auto"/>
        <w:jc w:val="center"/>
        <w:rPr>
          <w:b/>
          <w:bCs/>
        </w:rPr>
      </w:pPr>
      <w:r>
        <w:rPr>
          <w:b/>
          <w:bCs/>
        </w:rPr>
        <w:t>Acceptance and Commitment Therapy for MPA</w:t>
      </w:r>
    </w:p>
    <w:p w14:paraId="63D8B330" w14:textId="00CE5823" w:rsidR="00D5319A" w:rsidRPr="006B7838" w:rsidRDefault="00D5319A" w:rsidP="006B7838">
      <w:pPr>
        <w:spacing w:line="480" w:lineRule="auto"/>
      </w:pPr>
      <w:r w:rsidRPr="006B7838">
        <w:tab/>
        <w:t xml:space="preserve">Part of the movement of third-wave behavioral therapies, </w:t>
      </w:r>
      <w:r w:rsidR="00C42D76">
        <w:t>ACT</w:t>
      </w:r>
      <w:r w:rsidRPr="006B7838">
        <w:t xml:space="preserve"> emphasizes values clarification, </w:t>
      </w:r>
      <w:r w:rsidR="00E931AF">
        <w:t xml:space="preserve">mindful </w:t>
      </w:r>
      <w:r w:rsidRPr="006B7838">
        <w:t>awareness, and acceptance</w:t>
      </w:r>
      <w:r w:rsidR="00E931AF">
        <w:t xml:space="preserve"> of internal experiences. </w:t>
      </w:r>
      <w:r w:rsidRPr="006B7838">
        <w:t xml:space="preserve">As described by Gardner and Moore (2007), the crux of acceptance-based therapies is that “the struggle to be without distress is the problem, not the presence of these thoughts and feelings” (p.73). In other words, acceptance-based therapies confront the desire to </w:t>
      </w:r>
      <w:r w:rsidRPr="006B7838">
        <w:rPr>
          <w:i/>
        </w:rPr>
        <w:t>control</w:t>
      </w:r>
      <w:r w:rsidRPr="006B7838">
        <w:t xml:space="preserve"> thoughts and feelings, recognizing that these attempts often create more suffering in the long run and/or impede one’s ability to engage fully in meaningful life experiences. In ACT, clients are taught to adopt an open and nonjudgmental stance towards internal events so that thoughts, emotions, and sensations may be viewed as they are, </w:t>
      </w:r>
      <w:r w:rsidR="00333A10">
        <w:t xml:space="preserve">as </w:t>
      </w:r>
      <w:r w:rsidRPr="006B7838">
        <w:t xml:space="preserve">opposed to what the mind tells the client they are (e.g., </w:t>
      </w:r>
      <w:r w:rsidR="00643D72">
        <w:t xml:space="preserve">aversive </w:t>
      </w:r>
      <w:r w:rsidRPr="006B7838">
        <w:t xml:space="preserve">experiences to </w:t>
      </w:r>
      <w:r w:rsidR="00643D72">
        <w:t xml:space="preserve">censure, </w:t>
      </w:r>
      <w:r w:rsidRPr="006B7838">
        <w:t>eliminate</w:t>
      </w:r>
      <w:r w:rsidR="00643D72">
        <w:t>,</w:t>
      </w:r>
      <w:r w:rsidRPr="006B7838">
        <w:t xml:space="preserve"> or avoid; Hayes, 2004). In doing so, the client may find that vital resources (time, energy, concentration) may be redirected toward valued pursuits that are clarified over the course of treatment. </w:t>
      </w:r>
    </w:p>
    <w:p w14:paraId="0B5F2310" w14:textId="44E09251" w:rsidR="00D5319A" w:rsidRPr="006B7838" w:rsidRDefault="00D5319A" w:rsidP="006B7838">
      <w:pPr>
        <w:spacing w:line="480" w:lineRule="auto"/>
      </w:pPr>
      <w:r w:rsidRPr="006B7838">
        <w:lastRenderedPageBreak/>
        <w:t xml:space="preserve"> </w:t>
      </w:r>
      <w:r w:rsidRPr="006B7838">
        <w:tab/>
        <w:t xml:space="preserve">In the case of MPA, ACT may focus on promoting nonjudgmental awareness and acceptance of anxious thoughts and bodily sensations that occur prior to and during performance. By allowing these experiences to come and go without wrestling with them, the musician may remain grounded in the present moment, </w:t>
      </w:r>
      <w:r w:rsidR="00333A10">
        <w:t xml:space="preserve">as </w:t>
      </w:r>
      <w:r w:rsidRPr="006B7838">
        <w:t xml:space="preserve">opposed to reliving the past or projecting into the </w:t>
      </w:r>
      <w:proofErr w:type="gramStart"/>
      <w:r w:rsidRPr="006B7838">
        <w:t>future, and</w:t>
      </w:r>
      <w:proofErr w:type="gramEnd"/>
      <w:r w:rsidRPr="006B7838">
        <w:t xml:space="preserve"> dedicate full attention to the task at hand. This ability to commit to valued action (i.e., the performance) despite the presence of discomfort is strengthened by clarifying and centering the meaning of the performance experience for the musician (e.g., “I am performing this recital to share music I love with friends and family members”). In sum, </w:t>
      </w:r>
      <w:r w:rsidRPr="00333A10">
        <w:t>ACT does not view MPA symptoms as inherently problematic; rather, an ACT approach may a</w:t>
      </w:r>
      <w:r w:rsidR="00333A10" w:rsidRPr="00333A10">
        <w:t>l</w:t>
      </w:r>
      <w:r w:rsidRPr="00333A10">
        <w:t>low the facilitative aspects of MPA, such as physiological arousal and heightened attention, to be harnessed for optimal performance experiences.</w:t>
      </w:r>
    </w:p>
    <w:p w14:paraId="3E8D3F88" w14:textId="09107F8E" w:rsidR="00605543" w:rsidRDefault="00D5319A" w:rsidP="000453EE">
      <w:pPr>
        <w:spacing w:line="480" w:lineRule="auto"/>
      </w:pPr>
      <w:r w:rsidRPr="006B7838">
        <w:tab/>
        <w:t xml:space="preserve">As previously stated, ACT makes no attempt to reduce symptoms of distress. Instead, the goal of ACT is to enhance </w:t>
      </w:r>
      <w:r w:rsidRPr="006B7838">
        <w:rPr>
          <w:i/>
        </w:rPr>
        <w:t>psychological flexibility</w:t>
      </w:r>
      <w:r w:rsidRPr="006B7838">
        <w:t xml:space="preserve">, or “the ability to be in the present moment with full awareness and openness to our experience, and to take action guided by our values” (Harris, 2009, p. 12), despite the presence of unwanted internal experiences. Paradoxically, increases in psychological flexibility are often accompanied by symptom reduction over the course of treatment, but ACT clinicians emphasize that these reductions should be regarded as “side benefits” of treatment and not the </w:t>
      </w:r>
      <w:proofErr w:type="gramStart"/>
      <w:r w:rsidRPr="006B7838">
        <w:t>ultimate goal</w:t>
      </w:r>
      <w:proofErr w:type="gramEnd"/>
      <w:r w:rsidRPr="006B7838">
        <w:t xml:space="preserve"> (Harris, 2009). Thus, in studies exploring ACT </w:t>
      </w:r>
      <w:r w:rsidR="00303B4B">
        <w:t>for</w:t>
      </w:r>
      <w:r w:rsidRPr="006B7838">
        <w:t xml:space="preserve"> treating musicians with MPA, </w:t>
      </w:r>
      <w:r w:rsidRPr="00333A10">
        <w:t>psychological flexibility, opposed to the level of performance anxiety, is the primary variable of interest</w:t>
      </w:r>
      <w:bookmarkStart w:id="3" w:name="_l9ju3grkyqnq" w:colFirst="0" w:colLast="0"/>
      <w:bookmarkEnd w:id="3"/>
      <w:r w:rsidR="00303B4B">
        <w:t>.</w:t>
      </w:r>
    </w:p>
    <w:p w14:paraId="58FA2C86" w14:textId="108AE487" w:rsidR="008203DA" w:rsidRDefault="008203DA" w:rsidP="000453EE">
      <w:pPr>
        <w:spacing w:line="480" w:lineRule="auto"/>
      </w:pPr>
    </w:p>
    <w:p w14:paraId="3B6DCC56" w14:textId="77777777" w:rsidR="008203DA" w:rsidRDefault="008203DA" w:rsidP="000453EE">
      <w:pPr>
        <w:spacing w:line="480" w:lineRule="auto"/>
      </w:pPr>
    </w:p>
    <w:p w14:paraId="3594A319" w14:textId="18486C2D" w:rsidR="00303B4B" w:rsidRPr="00303B4B" w:rsidRDefault="00303B4B" w:rsidP="000453EE">
      <w:pPr>
        <w:spacing w:line="480" w:lineRule="auto"/>
        <w:rPr>
          <w:b/>
          <w:bCs/>
          <w:i/>
          <w:iCs/>
        </w:rPr>
      </w:pPr>
      <w:r>
        <w:rPr>
          <w:b/>
          <w:bCs/>
          <w:i/>
          <w:iCs/>
        </w:rPr>
        <w:lastRenderedPageBreak/>
        <w:t>Psychological Flexibility and the ACT Hexaflex</w:t>
      </w:r>
    </w:p>
    <w:p w14:paraId="1C9B3C69" w14:textId="016CE1D0" w:rsidR="00D5319A" w:rsidRPr="006B7838" w:rsidRDefault="00D5319A" w:rsidP="00303B4B">
      <w:pPr>
        <w:spacing w:line="480" w:lineRule="auto"/>
        <w:ind w:firstLine="720"/>
      </w:pPr>
      <w:r w:rsidRPr="006B7838">
        <w:t>Within the theoretical framework of ACT, psychological flexibility consists of six interrelated behavioral processes known collectively as the “ACT hexaflex” (see Figure 1). The facets of the hexaflex include the following: (i) acceptance of one’s experiences, (ii) cognitive defusion, (iii) self</w:t>
      </w:r>
      <w:r w:rsidR="006E4E59">
        <w:t>-</w:t>
      </w:r>
      <w:r w:rsidRPr="006B7838">
        <w:t>as</w:t>
      </w:r>
      <w:r w:rsidR="006E4E59">
        <w:t>-</w:t>
      </w:r>
      <w:r w:rsidRPr="006B7838">
        <w:t>context, (iv) contact with the present moment, (v) identification of values, and (vi) commitment to action consistent with values. The first three facets are mindfulness and acceptance processes</w:t>
      </w:r>
      <w:r w:rsidR="000372D8">
        <w:t>;</w:t>
      </w:r>
      <w:r w:rsidRPr="006B7838">
        <w:t xml:space="preserve"> the latter three facets are commitment and behavior change processes</w:t>
      </w:r>
      <w:r w:rsidR="000372D8">
        <w:t>.</w:t>
      </w:r>
      <w:r w:rsidR="000372D8">
        <w:rPr>
          <w:rStyle w:val="FootnoteReference"/>
        </w:rPr>
        <w:footnoteReference w:id="2"/>
      </w:r>
      <w:r w:rsidRPr="006B7838">
        <w:t xml:space="preserve"> In ACT, experiences of psychological distress are understood as non-pathological aspects of the human condition</w:t>
      </w:r>
      <w:r w:rsidR="00841225">
        <w:t>.</w:t>
      </w:r>
      <w:r w:rsidRPr="006B7838">
        <w:t xml:space="preserve"> </w:t>
      </w:r>
      <w:r w:rsidR="00841225">
        <w:t>S</w:t>
      </w:r>
      <w:r w:rsidRPr="006B7838">
        <w:t xml:space="preserve">trategies related to each dimension of psychological flexibility are used to </w:t>
      </w:r>
      <w:r w:rsidR="003C274D">
        <w:t>cultivate</w:t>
      </w:r>
      <w:r w:rsidRPr="006B7838">
        <w:t xml:space="preserve"> acceptance of aversive private experiences while increasing values-congruent action, with the </w:t>
      </w:r>
      <w:proofErr w:type="gramStart"/>
      <w:r w:rsidRPr="006B7838">
        <w:t>ultimate goal</w:t>
      </w:r>
      <w:proofErr w:type="gramEnd"/>
      <w:r w:rsidRPr="006B7838">
        <w:t xml:space="preserve"> of assisting the client in creating a rich and meaningful life. In short, psychological flexibility empowers clients </w:t>
      </w:r>
      <w:r w:rsidR="000372D8">
        <w:t xml:space="preserve">to </w:t>
      </w:r>
      <w:r w:rsidRPr="006B7838">
        <w:t>“open up, be present, and do what matters,” while navigating inevitable moments of psychological suffering (Harris, 2009, p. 10).</w:t>
      </w:r>
      <w:r w:rsidR="00402196">
        <w:t xml:space="preserve"> Applied to the realm of musical performance, psychological flexibility can be understood as acceptance of the presence of anxiety, an ability to redirect attention to the present moment during performance, and persistence in one’s efforts towards musical development, despite </w:t>
      </w:r>
      <w:r w:rsidR="00605543">
        <w:t>challenges and setbacks.</w:t>
      </w:r>
      <w:r w:rsidR="00402196">
        <w:t xml:space="preserve"> </w:t>
      </w:r>
    </w:p>
    <w:p w14:paraId="07402D41" w14:textId="313B7E9B" w:rsidR="001321D7" w:rsidRDefault="00D5319A" w:rsidP="000453EE">
      <w:pPr>
        <w:spacing w:line="480" w:lineRule="auto"/>
      </w:pPr>
      <w:r w:rsidRPr="006B7838">
        <w:tab/>
      </w:r>
      <w:r w:rsidR="003C274D">
        <w:t>Psychological</w:t>
      </w:r>
      <w:r w:rsidRPr="006B7838">
        <w:t xml:space="preserve"> flexibility is correlated with numerous positive outcomes such as increased well-being (</w:t>
      </w:r>
      <w:proofErr w:type="spellStart"/>
      <w:r w:rsidRPr="006B7838">
        <w:t>Wersebe</w:t>
      </w:r>
      <w:proofErr w:type="spellEnd"/>
      <w:r w:rsidRPr="006B7838">
        <w:t xml:space="preserve"> et al., 2018)</w:t>
      </w:r>
      <w:r w:rsidR="00763735">
        <w:t xml:space="preserve">, increased </w:t>
      </w:r>
      <w:r w:rsidRPr="006B7838">
        <w:t xml:space="preserve">social skills (Herbert et al., 2018), </w:t>
      </w:r>
      <w:r w:rsidR="00763735">
        <w:t xml:space="preserve">and performance enhancement across the domains of </w:t>
      </w:r>
      <w:r w:rsidRPr="006B7838">
        <w:t xml:space="preserve">public speaking (Glassman et al., 2016), </w:t>
      </w:r>
      <w:r w:rsidR="00763735">
        <w:t xml:space="preserve">work </w:t>
      </w:r>
      <w:r w:rsidRPr="006B7838">
        <w:t>(Bond &amp; Bunce, 2003; Bond &amp; Flaxman, 2006</w:t>
      </w:r>
      <w:r w:rsidR="00763735">
        <w:t>) and athletics (</w:t>
      </w:r>
      <w:r w:rsidRPr="006B7838">
        <w:t xml:space="preserve">Gross et al., 2016; </w:t>
      </w:r>
      <w:proofErr w:type="spellStart"/>
      <w:r w:rsidRPr="006B7838">
        <w:t>Josefsson</w:t>
      </w:r>
      <w:proofErr w:type="spellEnd"/>
      <w:r w:rsidRPr="006B7838">
        <w:t xml:space="preserve"> et al., 2019). As musicians often seek reductions in MPA </w:t>
      </w:r>
      <w:proofErr w:type="gramStart"/>
      <w:r w:rsidRPr="006B7838">
        <w:t>as a means to</w:t>
      </w:r>
      <w:proofErr w:type="gramEnd"/>
      <w:r w:rsidRPr="006B7838">
        <w:t xml:space="preserve"> enhance overall performance quality </w:t>
      </w:r>
      <w:r w:rsidRPr="006B7838">
        <w:lastRenderedPageBreak/>
        <w:t xml:space="preserve">(Kenny, 2009a), these findings provide support for examining the relationship between psychological flexibility and performance quality outcomes among musicians. While a handful of recent studies have investigated the use of ACT in treating MPA, only one study </w:t>
      </w:r>
      <w:r w:rsidR="007A79FA">
        <w:t>included</w:t>
      </w:r>
      <w:r w:rsidRPr="006B7838">
        <w:t xml:space="preserve"> measur</w:t>
      </w:r>
      <w:r w:rsidR="000372D8">
        <w:t>ement</w:t>
      </w:r>
      <w:r w:rsidRPr="006B7838">
        <w:t xml:space="preserve"> of psychological flexibility that adequately assesse</w:t>
      </w:r>
      <w:r w:rsidR="002A26B6">
        <w:t>d</w:t>
      </w:r>
      <w:r w:rsidRPr="006B7838">
        <w:t xml:space="preserve"> each facet of the ACT hexaflex</w:t>
      </w:r>
      <w:r w:rsidR="002A26B6">
        <w:t>,</w:t>
      </w:r>
      <w:r w:rsidR="00DB4CCC">
        <w:t xml:space="preserve"> though </w:t>
      </w:r>
      <w:r w:rsidR="007A79FA">
        <w:t xml:space="preserve">in-depth analysis of facet-level changes at post-treatment were prohibited by the study’s small sample </w:t>
      </w:r>
      <w:r w:rsidR="008E26D1">
        <w:t>(</w:t>
      </w:r>
      <w:r w:rsidRPr="006B7838">
        <w:t>Clarke et al., 2020). Th</w:t>
      </w:r>
      <w:r w:rsidR="007A79FA">
        <w:t>us</w:t>
      </w:r>
      <w:r w:rsidRPr="006B7838">
        <w:t xml:space="preserve">, in addition to exploring the relationship between global psychological flexibility and music performance quality, </w:t>
      </w:r>
      <w:r w:rsidR="00CF2A76">
        <w:t xml:space="preserve">further </w:t>
      </w:r>
      <w:r w:rsidRPr="006B7838">
        <w:t>investigati</w:t>
      </w:r>
      <w:r w:rsidR="00CF2A76">
        <w:t>on into</w:t>
      </w:r>
      <w:r w:rsidRPr="006B7838">
        <w:t xml:space="preserve"> the individual facets of psychological flexibility as predictors of performance outcomes may provide new and clinically useful insight for therapists using ACT to treat performance-anxious musicians.</w:t>
      </w:r>
      <w:r w:rsidR="00685A24">
        <w:t xml:space="preserve"> Namely, as clinical interventions are often time-limited in nature (especially at settings such as university counseling centers), knowledge of the most salient ACT hexaflex processes for MPA treatment </w:t>
      </w:r>
      <w:r w:rsidR="00CA6D72">
        <w:t>may</w:t>
      </w:r>
      <w:r w:rsidR="00685A24">
        <w:t xml:space="preserve"> guide clinicians in treatment planning and assessment.</w:t>
      </w:r>
    </w:p>
    <w:p w14:paraId="000B2F5F" w14:textId="25425223" w:rsidR="00CB6A94" w:rsidRPr="00CB6A94" w:rsidRDefault="00CB6A94" w:rsidP="000453EE">
      <w:pPr>
        <w:spacing w:line="480" w:lineRule="auto"/>
        <w:rPr>
          <w:b/>
          <w:bCs/>
          <w:i/>
          <w:iCs/>
        </w:rPr>
      </w:pPr>
      <w:r>
        <w:rPr>
          <w:b/>
          <w:bCs/>
          <w:i/>
          <w:iCs/>
        </w:rPr>
        <w:t>ACT for MPA: Empirical Support</w:t>
      </w:r>
    </w:p>
    <w:p w14:paraId="1215175A" w14:textId="67A4D9F0" w:rsidR="00D5319A" w:rsidRPr="006B7838" w:rsidRDefault="00D5319A" w:rsidP="000453EE">
      <w:pPr>
        <w:spacing w:line="480" w:lineRule="auto"/>
      </w:pPr>
      <w:r w:rsidRPr="006B7838">
        <w:tab/>
        <w:t xml:space="preserve">A large body of literature has established ACT as an </w:t>
      </w:r>
      <w:r w:rsidR="00B75F8A">
        <w:t>effective</w:t>
      </w:r>
      <w:r w:rsidRPr="006B7838">
        <w:t xml:space="preserve"> treatment for a </w:t>
      </w:r>
      <w:r w:rsidR="000B3848">
        <w:t>wide range</w:t>
      </w:r>
      <w:r w:rsidRPr="006B7838">
        <w:t xml:space="preserve"> of </w:t>
      </w:r>
      <w:r w:rsidR="005F556F">
        <w:t>psychological</w:t>
      </w:r>
      <w:r w:rsidRPr="006B7838">
        <w:t xml:space="preserve"> disorders including social anxiety disorder (</w:t>
      </w:r>
      <w:proofErr w:type="spellStart"/>
      <w:r w:rsidRPr="006B7838">
        <w:t>Kocovski</w:t>
      </w:r>
      <w:proofErr w:type="spellEnd"/>
      <w:r w:rsidRPr="006B7838">
        <w:t xml:space="preserve"> et al., 2013; </w:t>
      </w:r>
      <w:proofErr w:type="spellStart"/>
      <w:r w:rsidRPr="006B7838">
        <w:t>Craske</w:t>
      </w:r>
      <w:proofErr w:type="spellEnd"/>
      <w:r w:rsidRPr="006B7838">
        <w:t xml:space="preserve"> et al., 2014; Herbert et al., 2018), the </w:t>
      </w:r>
      <w:r w:rsidR="00B75F8A">
        <w:t>disorder</w:t>
      </w:r>
      <w:r w:rsidRPr="006B7838">
        <w:t xml:space="preserve"> most </w:t>
      </w:r>
      <w:proofErr w:type="gramStart"/>
      <w:r w:rsidRPr="006B7838">
        <w:t>similar to</w:t>
      </w:r>
      <w:proofErr w:type="gramEnd"/>
      <w:r w:rsidRPr="006B7838">
        <w:t xml:space="preserve"> the diagnostic profile of MPA. A randomized control trial comparing ACT to CBT in the treatment of social anxiety disorder demonstrated no significant differences between </w:t>
      </w:r>
      <w:r w:rsidR="00B75F8A">
        <w:t>interventions</w:t>
      </w:r>
      <w:r w:rsidRPr="006B7838">
        <w:t xml:space="preserve"> (</w:t>
      </w:r>
      <w:proofErr w:type="spellStart"/>
      <w:r w:rsidRPr="006B7838">
        <w:t>Kocovski</w:t>
      </w:r>
      <w:proofErr w:type="spellEnd"/>
      <w:r w:rsidRPr="006B7838">
        <w:t xml:space="preserve"> et al., 2013), and a meta-analysis of </w:t>
      </w:r>
      <w:r w:rsidR="00B75F8A">
        <w:t>thirty-nine</w:t>
      </w:r>
      <w:r w:rsidR="009E78BD">
        <w:t xml:space="preserve"> randomized control trials</w:t>
      </w:r>
      <w:r w:rsidR="00B75F8A">
        <w:t xml:space="preserve"> </w:t>
      </w:r>
      <w:r w:rsidR="009E78BD">
        <w:t>i</w:t>
      </w:r>
      <w:r w:rsidR="0087221F">
        <w:t xml:space="preserve">ncluding ACT </w:t>
      </w:r>
      <w:r w:rsidRPr="006B7838">
        <w:t>determined that</w:t>
      </w:r>
      <w:r w:rsidR="0087221F">
        <w:t xml:space="preserve"> the approach</w:t>
      </w:r>
      <w:r w:rsidRPr="006B7838">
        <w:t xml:space="preserve"> is equally effective in treating anxiety disorders as other established treatments</w:t>
      </w:r>
      <w:r w:rsidR="009E78BD">
        <w:t>,</w:t>
      </w:r>
      <w:r w:rsidRPr="006B7838">
        <w:t xml:space="preserve"> </w:t>
      </w:r>
      <w:r w:rsidR="002C5B85">
        <w:t>including</w:t>
      </w:r>
      <w:r w:rsidRPr="006B7838">
        <w:t xml:space="preserve"> CBT (A-</w:t>
      </w:r>
      <w:proofErr w:type="spellStart"/>
      <w:r w:rsidRPr="006B7838">
        <w:t>Tjak</w:t>
      </w:r>
      <w:proofErr w:type="spellEnd"/>
      <w:r w:rsidRPr="006B7838">
        <w:t xml:space="preserve"> et al., 2015). While Kenny (2011) deemed CBT with exposure as best practice</w:t>
      </w:r>
      <w:r w:rsidR="00B062D5">
        <w:t xml:space="preserve"> in MPA treatment,</w:t>
      </w:r>
      <w:r w:rsidRPr="006B7838">
        <w:t xml:space="preserve"> Juncos and de Paiva e </w:t>
      </w:r>
      <w:proofErr w:type="spellStart"/>
      <w:r w:rsidRPr="006B7838">
        <w:t>Pona</w:t>
      </w:r>
      <w:proofErr w:type="spellEnd"/>
      <w:r w:rsidRPr="006B7838">
        <w:t xml:space="preserve"> argue that ACT may be an equally if not </w:t>
      </w:r>
      <w:r w:rsidRPr="006B7838">
        <w:lastRenderedPageBreak/>
        <w:t>more beneficial approach, noting that ACT became a</w:t>
      </w:r>
      <w:r w:rsidR="00B062D5">
        <w:t>n established evidence-based</w:t>
      </w:r>
      <w:r w:rsidRPr="006B7838">
        <w:t xml:space="preserve"> treatment for social anxiety </w:t>
      </w:r>
      <w:r w:rsidR="00B062D5">
        <w:t xml:space="preserve">disorder </w:t>
      </w:r>
      <w:r w:rsidRPr="006B7838">
        <w:t>in the years following Kenny’s conclusion</w:t>
      </w:r>
      <w:r w:rsidR="00685049">
        <w:t xml:space="preserve"> (</w:t>
      </w:r>
      <w:r w:rsidR="00B062D5">
        <w:t xml:space="preserve">2018, </w:t>
      </w:r>
      <w:r w:rsidR="00685049">
        <w:t>p. 5)</w:t>
      </w:r>
      <w:r w:rsidRPr="006B7838">
        <w:t>. On this issue, future research comparing ACT to CBT as a MPA treatment is still needed.</w:t>
      </w:r>
    </w:p>
    <w:p w14:paraId="4E2D8567" w14:textId="60A8B68A" w:rsidR="00D5319A" w:rsidRPr="006B7838" w:rsidRDefault="00D5319A" w:rsidP="006B7838">
      <w:pPr>
        <w:spacing w:line="480" w:lineRule="auto"/>
      </w:pPr>
      <w:r w:rsidRPr="006B7838">
        <w:tab/>
        <w:t xml:space="preserve">While studies comparing CBT and ACT for anxiety have revealed no significant differences in symptom reduction outcomes, ACT may be clinically advantageous for the treatment of MPA when considering other outcome variables of interest, such as behavioral performance. For example, research demonstrates that ACT is more effective than CBT in improving test performance (Brown et al., 2011), observer-rated public speaking skills (Block, 2002; Glassman et al., 2016), and observer-rated social skills (Herbert et al., 2018). Further, MPA treatment studies show that, while CBT with exposure effectively reduced MPA symptoms, the treatment did not </w:t>
      </w:r>
      <w:r w:rsidR="00B062D5">
        <w:t>promote</w:t>
      </w:r>
      <w:r w:rsidRPr="006B7838">
        <w:t xml:space="preserve"> significant improvements in music performance quality (Braden et al., 2015; Osborne et al., 2007). </w:t>
      </w:r>
    </w:p>
    <w:p w14:paraId="4363929D" w14:textId="79246553" w:rsidR="00D5319A" w:rsidRPr="006B7838" w:rsidRDefault="00D5319A" w:rsidP="006B7838">
      <w:pPr>
        <w:spacing w:line="480" w:lineRule="auto"/>
        <w:ind w:firstLine="720"/>
      </w:pPr>
      <w:r w:rsidRPr="006B7838">
        <w:t xml:space="preserve">To </w:t>
      </w:r>
      <w:r w:rsidR="00C42D76">
        <w:t xml:space="preserve">help </w:t>
      </w:r>
      <w:r w:rsidRPr="006B7838">
        <w:t xml:space="preserve">explain these performance outcome differences, researchers comparing ACT and CBT </w:t>
      </w:r>
      <w:r w:rsidR="000372D8">
        <w:t>treatment</w:t>
      </w:r>
      <w:r w:rsidR="002C5B85">
        <w:t>s</w:t>
      </w:r>
      <w:r w:rsidR="000372D8">
        <w:t xml:space="preserve"> </w:t>
      </w:r>
      <w:r w:rsidRPr="006B7838">
        <w:t xml:space="preserve">for public speaking anxiety (Glassman et al., 2016) </w:t>
      </w:r>
      <w:r w:rsidR="00CB76D5">
        <w:t xml:space="preserve">and </w:t>
      </w:r>
      <w:r w:rsidR="00CB76D5" w:rsidRPr="006B7838">
        <w:t xml:space="preserve">social anxiety disorder (Herbert et al., 2018) </w:t>
      </w:r>
      <w:r w:rsidRPr="006B7838">
        <w:t xml:space="preserve">theorized that participants who received CBT may have taxed their working memory during performance tasks by engaging in cognitive restructuring, leading to decreased </w:t>
      </w:r>
      <w:r w:rsidR="006F5E24">
        <w:t>cognitive</w:t>
      </w:r>
      <w:r w:rsidRPr="006B7838">
        <w:t xml:space="preserve"> resources for the performance itself. Conversely, participants who received ACT may have conserved </w:t>
      </w:r>
      <w:r w:rsidR="006F5E24">
        <w:t>cognitive resources</w:t>
      </w:r>
      <w:r w:rsidRPr="006B7838">
        <w:t xml:space="preserve"> by </w:t>
      </w:r>
      <w:r w:rsidRPr="009A6FE1">
        <w:rPr>
          <w:i/>
          <w:iCs/>
        </w:rPr>
        <w:t>defusing</w:t>
      </w:r>
      <w:r w:rsidRPr="006B7838">
        <w:t xml:space="preserve"> from anxious thoughts and directing focus towards values-congruent behavior</w:t>
      </w:r>
      <w:r w:rsidR="006F5E24">
        <w:t xml:space="preserve">. </w:t>
      </w:r>
      <w:r w:rsidRPr="006B7838">
        <w:t xml:space="preserve">Glassman and colleagues (2016) also found that, during public speaking tasks, ACT participants showed decreased blood volume in regions of the brain involved in executive functioning (i.e., the left dorsolateral prefrontal cortex) while CBT participants showed increased blood volume in this region, leading the authors to conclude that </w:t>
      </w:r>
      <w:r w:rsidRPr="006B7838">
        <w:lastRenderedPageBreak/>
        <w:t xml:space="preserve">ACT processes may free more </w:t>
      </w:r>
      <w:proofErr w:type="gramStart"/>
      <w:r w:rsidRPr="006B7838">
        <w:t>cognitive</w:t>
      </w:r>
      <w:proofErr w:type="gramEnd"/>
      <w:r w:rsidRPr="006B7838">
        <w:t xml:space="preserve"> resources for skilled performance than traditional CBT skills. As noted by Juncos and de Paiva e </w:t>
      </w:r>
      <w:proofErr w:type="spellStart"/>
      <w:r w:rsidRPr="006B7838">
        <w:t>Pona</w:t>
      </w:r>
      <w:proofErr w:type="spellEnd"/>
      <w:r w:rsidRPr="006B7838">
        <w:t xml:space="preserve"> (2018), the cumulative results of the </w:t>
      </w:r>
      <w:proofErr w:type="gramStart"/>
      <w:r w:rsidRPr="006B7838">
        <w:t>aforementioned studies</w:t>
      </w:r>
      <w:proofErr w:type="gramEnd"/>
      <w:r w:rsidRPr="006B7838">
        <w:t xml:space="preserve"> provide strong rationale for investigating ACT not only as a clinical treatment for MPA, but also as a performance-enhancement </w:t>
      </w:r>
      <w:r w:rsidR="001618CF">
        <w:t>method</w:t>
      </w:r>
      <w:r w:rsidRPr="006B7838">
        <w:t xml:space="preserve"> for all musicians. </w:t>
      </w:r>
    </w:p>
    <w:p w14:paraId="5DFC74D7" w14:textId="64C856B8" w:rsidR="00D5319A" w:rsidRPr="006B7838" w:rsidRDefault="00D5319A" w:rsidP="006B7838">
      <w:pPr>
        <w:spacing w:line="480" w:lineRule="auto"/>
        <w:ind w:firstLine="720"/>
      </w:pPr>
      <w:r w:rsidRPr="006B7838">
        <w:t xml:space="preserve">To date, a handful of studies provide initial </w:t>
      </w:r>
      <w:r w:rsidR="001618CF">
        <w:t>support</w:t>
      </w:r>
      <w:r w:rsidRPr="006B7838">
        <w:t xml:space="preserve"> </w:t>
      </w:r>
      <w:r w:rsidR="001618CF">
        <w:t>for</w:t>
      </w:r>
      <w:r w:rsidRPr="006B7838">
        <w:t xml:space="preserve"> ACT as an effective MPA intervention. Juncos and colleagues have conducted single-subject experiments with a professional drummer (Juncos et al., 2014) and an undergraduate violinist (Juncos &amp; Markman, 2016), and most recently ran a pilot study with seven collegiate vo</w:t>
      </w:r>
      <w:r w:rsidR="001618CF">
        <w:t>ice</w:t>
      </w:r>
      <w:r w:rsidRPr="006B7838">
        <w:t xml:space="preserve"> students (Juncos et al., 2017). </w:t>
      </w:r>
      <w:r w:rsidR="009A4947">
        <w:t>Across</w:t>
      </w:r>
      <w:r w:rsidRPr="006B7838">
        <w:t xml:space="preserve"> studies, ACT </w:t>
      </w:r>
      <w:r w:rsidR="009A4947">
        <w:t xml:space="preserve">treatment </w:t>
      </w:r>
      <w:r w:rsidRPr="006B7838">
        <w:t xml:space="preserve">was compared to individual baseline controls and participants showed significant improvement in </w:t>
      </w:r>
      <w:r w:rsidR="009A4947">
        <w:t xml:space="preserve">one or more </w:t>
      </w:r>
      <w:r w:rsidRPr="006B7838">
        <w:t xml:space="preserve">facet of psychological flexibility as well as reduced MPA symptoms at post-treatment and follow-up. Notably, every participant showed </w:t>
      </w:r>
      <w:r w:rsidR="00615CD0">
        <w:t xml:space="preserve">an </w:t>
      </w:r>
      <w:r w:rsidRPr="006B7838">
        <w:t xml:space="preserve">enhanced ability to defuse from </w:t>
      </w:r>
      <w:r w:rsidR="00615CD0">
        <w:t>anxious</w:t>
      </w:r>
      <w:r w:rsidRPr="006B7838">
        <w:t xml:space="preserve"> thoughts </w:t>
      </w:r>
      <w:r w:rsidR="00615CD0">
        <w:t>during performance (i.e., participants became less reactive to cognitive MPA symptoms).</w:t>
      </w:r>
      <w:r w:rsidRPr="006B7838">
        <w:t xml:space="preserve"> Additionally, participants demonstrated increased performance quality at post-treatment as measured by independent judge ratings on the Music Performance Quality form (MPQ; Educational Testing Service, 1998) and reported subjective improvement in performance confidence (Juncos &amp; Markman, 2016; Juncos et al., 2017). </w:t>
      </w:r>
      <w:proofErr w:type="gramStart"/>
      <w:r w:rsidRPr="006B7838">
        <w:t>In light of</w:t>
      </w:r>
      <w:proofErr w:type="gramEnd"/>
      <w:r w:rsidRPr="006B7838">
        <w:t xml:space="preserve"> these positive results, </w:t>
      </w:r>
      <w:r w:rsidR="00BC7741">
        <w:t xml:space="preserve">ACT currently stands as a promising </w:t>
      </w:r>
      <w:r w:rsidR="006E5F4E">
        <w:t xml:space="preserve">MPA </w:t>
      </w:r>
      <w:r w:rsidR="00BC7741">
        <w:t xml:space="preserve">intervention for </w:t>
      </w:r>
      <w:r w:rsidR="00871666">
        <w:t>university music student</w:t>
      </w:r>
      <w:r w:rsidR="006E5F4E">
        <w:t xml:space="preserve">s </w:t>
      </w:r>
      <w:r w:rsidRPr="006B7838">
        <w:t xml:space="preserve">(Juncos &amp; de Paiva e </w:t>
      </w:r>
      <w:proofErr w:type="spellStart"/>
      <w:r w:rsidRPr="006B7838">
        <w:t>Pona</w:t>
      </w:r>
      <w:proofErr w:type="spellEnd"/>
      <w:r w:rsidRPr="006B7838">
        <w:t xml:space="preserve">, 2018). </w:t>
      </w:r>
    </w:p>
    <w:p w14:paraId="5620BE3E" w14:textId="77777777" w:rsidR="009E78BD" w:rsidRDefault="00D5319A" w:rsidP="009E78BD">
      <w:pPr>
        <w:spacing w:line="480" w:lineRule="auto"/>
        <w:ind w:firstLine="720"/>
      </w:pPr>
      <w:r w:rsidRPr="006B7838">
        <w:t xml:space="preserve">More recently, Australian researchers evaluated a group-based ACT intervention for MPA in student vocalists (Clarke et al., 2020), finding initial evidence for the </w:t>
      </w:r>
      <w:r w:rsidR="006E5F4E">
        <w:t>utility</w:t>
      </w:r>
      <w:r w:rsidRPr="006B7838">
        <w:t xml:space="preserve"> of group ACT interventions among student populations. Beyond conventional ACT therapy interventions, </w:t>
      </w:r>
      <w:proofErr w:type="gramStart"/>
      <w:r w:rsidRPr="006B7838">
        <w:t>Shaw</w:t>
      </w:r>
      <w:proofErr w:type="gramEnd"/>
      <w:r w:rsidRPr="006B7838">
        <w:t xml:space="preserve"> and colleagues (2020) piloted a new model for treating MPA by training a voice faculty </w:t>
      </w:r>
      <w:r w:rsidRPr="006B7838">
        <w:lastRenderedPageBreak/>
        <w:t xml:space="preserve">member to use </w:t>
      </w:r>
      <w:r w:rsidR="00F81F9C">
        <w:t>a</w:t>
      </w:r>
      <w:r w:rsidRPr="006B7838">
        <w:t xml:space="preserve">cceptance and </w:t>
      </w:r>
      <w:r w:rsidR="00F81F9C">
        <w:t>c</w:t>
      </w:r>
      <w:r w:rsidRPr="006B7838">
        <w:t xml:space="preserve">ommitment </w:t>
      </w:r>
      <w:r w:rsidR="00F81F9C">
        <w:t>c</w:t>
      </w:r>
      <w:r w:rsidRPr="006B7838">
        <w:t xml:space="preserve">oaching (ACC) with a performance-anxious student. Findings from the pilot study suggest that </w:t>
      </w:r>
      <w:r w:rsidR="00831412">
        <w:t xml:space="preserve">skills and processes related to </w:t>
      </w:r>
      <w:r w:rsidRPr="006B7838">
        <w:t xml:space="preserve">psychological flexibility are highly relevant to the demands of music performance and that non-clinicians (i.e., music teachers) can be trained to use ACT processes </w:t>
      </w:r>
      <w:r w:rsidR="00F81F9C" w:rsidRPr="006B7838">
        <w:t>to</w:t>
      </w:r>
      <w:r w:rsidRPr="006B7838">
        <w:t xml:space="preserve"> better support their students. Taken together, these initial investigations into the utility of ACT in treating MPA provide support for further research examining the nature of the relationships between ACT hexaflex processes</w:t>
      </w:r>
      <w:r w:rsidR="009E78BD">
        <w:t xml:space="preserve"> </w:t>
      </w:r>
      <w:r w:rsidRPr="006B7838">
        <w:t>(psychological flexibility), music performance anxiety, and performance quality.</w:t>
      </w:r>
      <w:bookmarkStart w:id="4" w:name="_8d6yd8jez6rd" w:colFirst="0" w:colLast="0"/>
      <w:bookmarkEnd w:id="4"/>
    </w:p>
    <w:p w14:paraId="2F7BEBDE" w14:textId="474C5334" w:rsidR="00F81F9C" w:rsidRPr="009E78BD" w:rsidRDefault="00F81F9C" w:rsidP="009E78BD">
      <w:pPr>
        <w:spacing w:line="480" w:lineRule="auto"/>
        <w:jc w:val="center"/>
      </w:pPr>
      <w:r>
        <w:rPr>
          <w:b/>
          <w:bCs/>
        </w:rPr>
        <w:t>Purpose of the Present Study</w:t>
      </w:r>
    </w:p>
    <w:p w14:paraId="7C91E271" w14:textId="340FD42E" w:rsidR="000E07B3" w:rsidRDefault="00D5319A" w:rsidP="00F81F9C">
      <w:pPr>
        <w:spacing w:line="480" w:lineRule="auto"/>
        <w:ind w:firstLine="720"/>
      </w:pPr>
      <w:r w:rsidRPr="006B7838">
        <w:t xml:space="preserve">Within the existing literature, relatively few studies have evaluated ACT as an intervention for musicians with MPA and no studies have </w:t>
      </w:r>
      <w:r w:rsidR="004E2370">
        <w:t>examined</w:t>
      </w:r>
      <w:r w:rsidRPr="006B7838">
        <w:t xml:space="preserve"> </w:t>
      </w:r>
      <w:r w:rsidR="00C21FB1" w:rsidRPr="006B7838">
        <w:t>the six facets of psychological flexibility</w:t>
      </w:r>
      <w:r w:rsidR="00C21FB1">
        <w:t xml:space="preserve"> as </w:t>
      </w:r>
      <w:r w:rsidR="004E2370">
        <w:t xml:space="preserve">possible </w:t>
      </w:r>
      <w:r w:rsidR="00C21FB1">
        <w:t xml:space="preserve">predictors of both </w:t>
      </w:r>
      <w:r w:rsidRPr="006B7838">
        <w:t>music performance anxiety</w:t>
      </w:r>
      <w:r w:rsidR="00C21FB1">
        <w:t xml:space="preserve"> and</w:t>
      </w:r>
      <w:r w:rsidRPr="006B7838">
        <w:t xml:space="preserve"> perceived performance quality</w:t>
      </w:r>
      <w:r w:rsidR="00C21FB1">
        <w:t xml:space="preserve">. </w:t>
      </w:r>
      <w:r w:rsidRPr="006B7838">
        <w:t xml:space="preserve">The present study seeks to </w:t>
      </w:r>
      <w:r w:rsidR="004E2370">
        <w:t>investigate</w:t>
      </w:r>
      <w:r w:rsidR="00BD0AEA">
        <w:t xml:space="preserve"> </w:t>
      </w:r>
      <w:r w:rsidR="00C21FB1">
        <w:t>relationships between these variables</w:t>
      </w:r>
      <w:r w:rsidRPr="006B7838">
        <w:t xml:space="preserve"> and </w:t>
      </w:r>
      <w:r w:rsidR="004E2370">
        <w:t>explore</w:t>
      </w:r>
      <w:r w:rsidRPr="006B7838">
        <w:t xml:space="preserve"> which processes within the ACT hexaflex best predict desired performance outcomes among university music students. Results from the study may help inform intervention efforts for the target population and lay the foundation for future research efforts (e.g., an ACT-based intervention study tailored for music students). </w:t>
      </w:r>
      <w:r w:rsidR="00DF2F03">
        <w:t>Given</w:t>
      </w:r>
      <w:r w:rsidRPr="006B7838">
        <w:t xml:space="preserve"> that collegiate music training is a critical developmental period for musicians and that young musicians commonly request support for managing the effects of music performance anxiety</w:t>
      </w:r>
      <w:r w:rsidR="007E625A">
        <w:t xml:space="preserve">, </w:t>
      </w:r>
      <w:r w:rsidRPr="006B7838">
        <w:t xml:space="preserve">the </w:t>
      </w:r>
      <w:r w:rsidR="00BD0AEA">
        <w:t xml:space="preserve">primary </w:t>
      </w:r>
      <w:r w:rsidRPr="006B7838">
        <w:t>researcher</w:t>
      </w:r>
      <w:r w:rsidR="000E07B3">
        <w:t xml:space="preserve"> </w:t>
      </w:r>
      <w:r w:rsidR="00544AAE">
        <w:t xml:space="preserve">sought to design a study that may provide </w:t>
      </w:r>
      <w:r w:rsidR="000E07B3">
        <w:t xml:space="preserve">practical and meaningful information </w:t>
      </w:r>
      <w:r w:rsidR="00DF2F03">
        <w:t>for</w:t>
      </w:r>
      <w:r w:rsidR="000E07B3">
        <w:t xml:space="preserve"> music students see</w:t>
      </w:r>
      <w:r w:rsidR="00544AAE">
        <w:t>king to enhance their performance experiences.</w:t>
      </w:r>
    </w:p>
    <w:p w14:paraId="27F793A7" w14:textId="2F14BA1E" w:rsidR="00D5319A" w:rsidRPr="00AD706D" w:rsidRDefault="00DF2F03" w:rsidP="00AD706D">
      <w:pPr>
        <w:spacing w:line="480" w:lineRule="auto"/>
        <w:ind w:firstLine="720"/>
      </w:pPr>
      <w:r>
        <w:t xml:space="preserve">In the current </w:t>
      </w:r>
      <w:r w:rsidR="00D5319A" w:rsidRPr="006B7838">
        <w:t xml:space="preserve">study, the researcher developed two a priori hypotheses. </w:t>
      </w:r>
      <w:r w:rsidR="00D5319A" w:rsidRPr="00AD706D">
        <w:rPr>
          <w:i/>
        </w:rPr>
        <w:t>Hypothesis 1:</w:t>
      </w:r>
      <w:r w:rsidR="00D5319A" w:rsidRPr="006B7838">
        <w:rPr>
          <w:i/>
        </w:rPr>
        <w:t xml:space="preserve"> </w:t>
      </w:r>
      <w:r w:rsidR="00D5319A" w:rsidRPr="006B7838">
        <w:t xml:space="preserve">There will be a positive </w:t>
      </w:r>
      <w:r w:rsidR="00544AAE">
        <w:t>linear relationship</w:t>
      </w:r>
      <w:r w:rsidR="00D5319A" w:rsidRPr="006B7838">
        <w:t xml:space="preserve"> between </w:t>
      </w:r>
      <w:r w:rsidR="00544AAE">
        <w:t xml:space="preserve">global </w:t>
      </w:r>
      <w:r w:rsidR="00D5319A" w:rsidRPr="006B7838">
        <w:t xml:space="preserve">psychological flexibility </w:t>
      </w:r>
      <w:r w:rsidR="00544AAE">
        <w:t xml:space="preserve">(GPF) </w:t>
      </w:r>
      <w:r w:rsidR="00D5319A" w:rsidRPr="006B7838">
        <w:t xml:space="preserve">and </w:t>
      </w:r>
      <w:r w:rsidR="00D5319A" w:rsidRPr="006B7838">
        <w:lastRenderedPageBreak/>
        <w:t xml:space="preserve">perceived performance quality (PPQ), such that students with higher levels of </w:t>
      </w:r>
      <w:r w:rsidR="00C64437">
        <w:t>flexibility</w:t>
      </w:r>
      <w:r w:rsidR="00D5319A" w:rsidRPr="006B7838">
        <w:t xml:space="preserve"> report higher quality performance outcomes. </w:t>
      </w:r>
      <w:r w:rsidR="00D5319A" w:rsidRPr="00AD706D">
        <w:rPr>
          <w:i/>
        </w:rPr>
        <w:t>Hypothesis 2:</w:t>
      </w:r>
      <w:r w:rsidR="00D5319A" w:rsidRPr="006B7838">
        <w:rPr>
          <w:i/>
        </w:rPr>
        <w:t xml:space="preserve"> </w:t>
      </w:r>
      <w:r w:rsidR="00D5319A" w:rsidRPr="006B7838">
        <w:t xml:space="preserve">There will be a negative </w:t>
      </w:r>
      <w:r w:rsidR="00544AAE">
        <w:t>linear relationship</w:t>
      </w:r>
      <w:r w:rsidR="00D5319A" w:rsidRPr="006B7838">
        <w:t xml:space="preserve"> between </w:t>
      </w:r>
      <w:r w:rsidR="00C64437">
        <w:t>GPF</w:t>
      </w:r>
      <w:r w:rsidR="00D5319A" w:rsidRPr="006B7838">
        <w:t xml:space="preserve"> and MPA, such that students with higher levels of flexibility report lower levels of performance anxiety. Notably, as the theoretical framework of ACT regards symptom reduction (e.g., decreased MPA) as a side benefit of enhancing psychological flexibility, hypothesis 2 should be regarded secondary to hypothesis 1. Moreover, research suggests that performance quality should be the primary outcome variable of interest in music performance anxiety </w:t>
      </w:r>
      <w:r w:rsidR="000E2040">
        <w:t xml:space="preserve">studies </w:t>
      </w:r>
      <w:r w:rsidR="00D5319A" w:rsidRPr="006B7838">
        <w:t xml:space="preserve">(Kenny, 2009a). If music students with higher levels of psychological flexibility report higher performance quality outcomes and lower levels of MPA, </w:t>
      </w:r>
      <w:r w:rsidR="00AD706D">
        <w:t xml:space="preserve">further investigation of </w:t>
      </w:r>
      <w:r w:rsidR="00D5319A" w:rsidRPr="006B7838">
        <w:t xml:space="preserve">ACT as a treatment and/or performance enhancement option for collegiate musicians would be </w:t>
      </w:r>
      <w:r w:rsidR="00A50A08">
        <w:t>justified</w:t>
      </w:r>
      <w:r w:rsidR="00D5319A" w:rsidRPr="006B7838">
        <w:t>.</w:t>
      </w:r>
    </w:p>
    <w:p w14:paraId="20C43D9F" w14:textId="7441F4AC" w:rsidR="000A1BEE" w:rsidRDefault="00D5319A" w:rsidP="007E625A">
      <w:pPr>
        <w:spacing w:line="480" w:lineRule="auto"/>
        <w:ind w:firstLine="720"/>
      </w:pPr>
      <w:r w:rsidRPr="006B7838">
        <w:t>Additionally, the researcher was interested in exploring which facets of psychological flexibility best predict both PPQ and MPA. Examining whether specific core processes of psychological flexibility (e.g., acceptance; defusion; present</w:t>
      </w:r>
      <w:r w:rsidR="00DC6D47">
        <w:t>-</w:t>
      </w:r>
      <w:r w:rsidRPr="006B7838">
        <w:t>moment awareness) are significant predictors of desired performance outcomes could help determine clinically useful factors to consider in the treatment of MPA, especially for brief intervention efforts in which some processes</w:t>
      </w:r>
      <w:r w:rsidR="00DC6D47">
        <w:t xml:space="preserve"> and </w:t>
      </w:r>
      <w:r w:rsidRPr="006B7838">
        <w:t>skills must be prioritized over others. As no theoretical precedent suggest</w:t>
      </w:r>
      <w:r w:rsidR="00946777">
        <w:t xml:space="preserve">s that one </w:t>
      </w:r>
      <w:r w:rsidRPr="006B7838">
        <w:t xml:space="preserve">core process </w:t>
      </w:r>
      <w:r w:rsidR="00DC6D47">
        <w:t xml:space="preserve">of psychological flexibility </w:t>
      </w:r>
      <w:r w:rsidR="00946777">
        <w:t>is</w:t>
      </w:r>
      <w:r w:rsidRPr="006B7838">
        <w:t xml:space="preserve"> more predictive</w:t>
      </w:r>
      <w:r w:rsidR="00946777">
        <w:t xml:space="preserve"> than another</w:t>
      </w:r>
      <w:r w:rsidRPr="006B7838">
        <w:t>, these follow-up research questions were exploratory in nature.</w:t>
      </w:r>
    </w:p>
    <w:p w14:paraId="0B2C9937" w14:textId="77777777" w:rsidR="007E625A" w:rsidRDefault="007E625A" w:rsidP="007E625A">
      <w:pPr>
        <w:spacing w:line="480" w:lineRule="auto"/>
      </w:pPr>
      <w:bookmarkStart w:id="5" w:name="_Toc108269981"/>
      <w:bookmarkStart w:id="6" w:name="_Toc108273811"/>
    </w:p>
    <w:p w14:paraId="68565E37" w14:textId="07CAF015" w:rsidR="007E625A" w:rsidRDefault="007E625A" w:rsidP="007E625A">
      <w:pPr>
        <w:spacing w:line="480" w:lineRule="auto"/>
      </w:pPr>
    </w:p>
    <w:p w14:paraId="6894637F" w14:textId="7E44C90B" w:rsidR="007E625A" w:rsidRDefault="007E625A" w:rsidP="007E625A">
      <w:pPr>
        <w:spacing w:line="480" w:lineRule="auto"/>
      </w:pPr>
    </w:p>
    <w:p w14:paraId="2FE1A7FA" w14:textId="77777777" w:rsidR="008203DA" w:rsidRDefault="008203DA" w:rsidP="007E625A">
      <w:pPr>
        <w:spacing w:line="480" w:lineRule="auto"/>
      </w:pPr>
    </w:p>
    <w:p w14:paraId="3B047B1E" w14:textId="5227B277" w:rsidR="007E625A" w:rsidRDefault="007E625A" w:rsidP="007E625A">
      <w:pPr>
        <w:spacing w:line="480" w:lineRule="auto"/>
        <w:jc w:val="center"/>
        <w:rPr>
          <w:b/>
          <w:bCs/>
        </w:rPr>
      </w:pPr>
      <w:r>
        <w:rPr>
          <w:b/>
          <w:bCs/>
        </w:rPr>
        <w:lastRenderedPageBreak/>
        <w:t>CHAPTER TWO</w:t>
      </w:r>
    </w:p>
    <w:p w14:paraId="57F66761" w14:textId="1F9D2D86" w:rsidR="007E625A" w:rsidRDefault="007E625A" w:rsidP="007E625A">
      <w:pPr>
        <w:spacing w:line="480" w:lineRule="auto"/>
        <w:jc w:val="center"/>
        <w:rPr>
          <w:b/>
          <w:bCs/>
        </w:rPr>
      </w:pPr>
      <w:r>
        <w:rPr>
          <w:b/>
          <w:bCs/>
        </w:rPr>
        <w:t>METHOD</w:t>
      </w:r>
    </w:p>
    <w:p w14:paraId="6BE82723" w14:textId="6D950F37" w:rsidR="006602CD" w:rsidRPr="007E625A" w:rsidRDefault="006602CD" w:rsidP="007E625A">
      <w:pPr>
        <w:spacing w:line="480" w:lineRule="auto"/>
        <w:jc w:val="center"/>
        <w:rPr>
          <w:b/>
          <w:bCs/>
        </w:rPr>
      </w:pPr>
      <w:r>
        <w:rPr>
          <w:b/>
          <w:bCs/>
        </w:rPr>
        <w:t>Participants</w:t>
      </w:r>
    </w:p>
    <w:p w14:paraId="6AB7289C" w14:textId="77777777" w:rsidR="009E78BD" w:rsidRDefault="002E522A" w:rsidP="009E78BD">
      <w:pPr>
        <w:spacing w:line="480" w:lineRule="auto"/>
        <w:ind w:firstLine="720"/>
        <w:rPr>
          <w:b/>
          <w:bCs/>
          <w:iCs/>
        </w:rPr>
      </w:pPr>
      <w:r w:rsidRPr="006B7838">
        <w:t xml:space="preserve">To be eligible for the study, participants were required to be 18 years or older and currently enrolled as an undergraduate or postgraduate music student </w:t>
      </w:r>
      <w:r>
        <w:t xml:space="preserve">at the researcher’s home institution, a mid-sized four-year </w:t>
      </w:r>
      <w:r w:rsidR="00C42D76">
        <w:t xml:space="preserve">public </w:t>
      </w:r>
      <w:r>
        <w:t xml:space="preserve">university located in the southeastern United States. </w:t>
      </w:r>
      <w:r w:rsidRPr="006B7838">
        <w:t>The study included music students of any year of study, music degree program (e.g., music performance, music education</w:t>
      </w:r>
      <w:r w:rsidR="006B0655">
        <w:t>, music minor</w:t>
      </w:r>
      <w:r w:rsidRPr="006B7838">
        <w:t>)</w:t>
      </w:r>
      <w:r w:rsidR="006B0655">
        <w:t xml:space="preserve">, or </w:t>
      </w:r>
      <w:r w:rsidR="006B0655" w:rsidRPr="006B7838">
        <w:t>instrument group (e.g., strings, brass, voice</w:t>
      </w:r>
      <w:r w:rsidR="00C42D76">
        <w:t>, etc.</w:t>
      </w:r>
      <w:r w:rsidR="006B0655" w:rsidRPr="006B7838">
        <w:t>)</w:t>
      </w:r>
      <w:r w:rsidRPr="006B7838">
        <w:t>. Within the sample of recruited participants (n = 27; mean age = 20.89; SD = 3), 85.1% were undergraduate student</w:t>
      </w:r>
      <w:r w:rsidR="00906B99">
        <w:t>s</w:t>
      </w:r>
      <w:r w:rsidRPr="006B7838">
        <w:t xml:space="preserve"> and 14.8% were graduate students. 40.7% identified music performance as their primary area of study, 33.3% selected music education, 7.4% selected jazz studies, and 18.5% indicated other areas of study, including music theory/composition, </w:t>
      </w:r>
      <w:proofErr w:type="gramStart"/>
      <w:r w:rsidRPr="006B7838">
        <w:t>music</w:t>
      </w:r>
      <w:proofErr w:type="gramEnd"/>
      <w:r w:rsidRPr="006B7838">
        <w:t xml:space="preserve"> and culture, applied music, and unspecified degrees. Further sample characteristics including gender, race, and instrument group are provided in Table </w:t>
      </w:r>
      <w:r w:rsidR="00E174B3">
        <w:t>2</w:t>
      </w:r>
      <w:r w:rsidRPr="006B7838">
        <w:t xml:space="preserve">. </w:t>
      </w:r>
      <w:r w:rsidR="006B0655">
        <w:t xml:space="preserve">The </w:t>
      </w:r>
      <w:r w:rsidRPr="006B7838">
        <w:t>final sample for the study included 27 participants</w:t>
      </w:r>
      <w:r w:rsidR="006B0655">
        <w:t>,</w:t>
      </w:r>
      <w:r w:rsidR="006B0655" w:rsidRPr="006B0655">
        <w:t xml:space="preserve"> </w:t>
      </w:r>
      <w:r w:rsidR="006B0655" w:rsidRPr="006B7838">
        <w:t>amount</w:t>
      </w:r>
      <w:r w:rsidR="006B0655">
        <w:t>ing</w:t>
      </w:r>
      <w:r w:rsidR="006B0655" w:rsidRPr="006B7838">
        <w:t xml:space="preserve"> to roughly 10% of the music school population (including undergraduate and graduate students)</w:t>
      </w:r>
      <w:r w:rsidR="006B0655">
        <w:t xml:space="preserve">. </w:t>
      </w:r>
      <w:r w:rsidR="00FD6D31">
        <w:t>Difficulty</w:t>
      </w:r>
      <w:r w:rsidR="009279C3">
        <w:t xml:space="preserve"> with </w:t>
      </w:r>
      <w:r w:rsidR="006B0655">
        <w:t xml:space="preserve">recruitment </w:t>
      </w:r>
      <w:r w:rsidR="009279C3">
        <w:t xml:space="preserve">yielded a small sample size, </w:t>
      </w:r>
      <w:r w:rsidR="00FD6D31">
        <w:t>which constrain</w:t>
      </w:r>
      <w:r w:rsidR="0069652D">
        <w:t>ed</w:t>
      </w:r>
      <w:r w:rsidR="00FD6D31">
        <w:t xml:space="preserve"> statistical power for the present study. However, the research</w:t>
      </w:r>
      <w:r w:rsidR="000458FE">
        <w:t xml:space="preserve"> committee</w:t>
      </w:r>
      <w:r w:rsidR="00FD6D31">
        <w:t xml:space="preserve"> </w:t>
      </w:r>
      <w:r w:rsidR="0069652D">
        <w:t>deemed</w:t>
      </w:r>
      <w:r w:rsidR="00FD6D31">
        <w:t xml:space="preserve"> the sample as sufficient for conducting preliminary research</w:t>
      </w:r>
      <w:r w:rsidR="0069652D">
        <w:t>,</w:t>
      </w:r>
      <w:r w:rsidR="00FD6D31">
        <w:t xml:space="preserve"> lay</w:t>
      </w:r>
      <w:r w:rsidR="0069652D">
        <w:t>ing</w:t>
      </w:r>
      <w:r w:rsidR="00FD6D31">
        <w:t xml:space="preserve"> the </w:t>
      </w:r>
      <w:r w:rsidR="0069652D">
        <w:t>foundation</w:t>
      </w:r>
      <w:r w:rsidR="00FD6D31">
        <w:t xml:space="preserve"> for future work with the population of interest.</w:t>
      </w:r>
      <w:bookmarkEnd w:id="5"/>
      <w:bookmarkEnd w:id="6"/>
    </w:p>
    <w:p w14:paraId="0AC37CB6" w14:textId="052EAD33" w:rsidR="006602CD" w:rsidRDefault="006602CD" w:rsidP="009E78BD">
      <w:pPr>
        <w:spacing w:line="480" w:lineRule="auto"/>
        <w:jc w:val="center"/>
        <w:rPr>
          <w:b/>
          <w:bCs/>
          <w:iCs/>
        </w:rPr>
      </w:pPr>
      <w:r>
        <w:rPr>
          <w:b/>
          <w:bCs/>
          <w:iCs/>
        </w:rPr>
        <w:t>Procedure</w:t>
      </w:r>
    </w:p>
    <w:p w14:paraId="5A7B26D9" w14:textId="758DCF6A" w:rsidR="00CC0850" w:rsidRDefault="00EB54BA" w:rsidP="006602CD">
      <w:pPr>
        <w:spacing w:line="480" w:lineRule="auto"/>
        <w:ind w:firstLine="720"/>
      </w:pPr>
      <w:r w:rsidRPr="006B7838">
        <w:t xml:space="preserve">Data collection for the study </w:t>
      </w:r>
      <w:r w:rsidR="00AE1024">
        <w:t xml:space="preserve">occurred onsite at the School of Music and </w:t>
      </w:r>
      <w:r w:rsidRPr="006B7838">
        <w:t xml:space="preserve">included three phases: (1) </w:t>
      </w:r>
      <w:r w:rsidR="00AE1024">
        <w:t xml:space="preserve">recruitment and </w:t>
      </w:r>
      <w:r w:rsidRPr="006B7838">
        <w:t xml:space="preserve">informed consent, (2) naturalistic performance experience, and (3) </w:t>
      </w:r>
      <w:r w:rsidRPr="006B7838">
        <w:lastRenderedPageBreak/>
        <w:t xml:space="preserve">measures completion. </w:t>
      </w:r>
      <w:r w:rsidR="007965CF">
        <w:t>To create</w:t>
      </w:r>
      <w:r w:rsidRPr="006B7838">
        <w:t xml:space="preserve"> a uniform performance experience </w:t>
      </w:r>
      <w:r w:rsidR="00A3521D">
        <w:t>t</w:t>
      </w:r>
      <w:r w:rsidR="007965CF">
        <w:t>hat would</w:t>
      </w:r>
      <w:r w:rsidRPr="006B7838">
        <w:t xml:space="preserve"> serve as a stimulus </w:t>
      </w:r>
      <w:r w:rsidR="007965CF">
        <w:t xml:space="preserve">for participants </w:t>
      </w:r>
      <w:r w:rsidRPr="006B7838">
        <w:t xml:space="preserve">prior to measures completion, the </w:t>
      </w:r>
      <w:r w:rsidR="00AE1024">
        <w:t xml:space="preserve">primary </w:t>
      </w:r>
      <w:r w:rsidRPr="006B7838">
        <w:t xml:space="preserve">researcher designed the study to include a </w:t>
      </w:r>
      <w:r w:rsidR="00A3521D">
        <w:t>“</w:t>
      </w:r>
      <w:r w:rsidRPr="006B7838">
        <w:t>mock audition</w:t>
      </w:r>
      <w:r w:rsidR="00A3521D">
        <w:t xml:space="preserve">” </w:t>
      </w:r>
      <w:r w:rsidR="00CC0850">
        <w:t>simulating the</w:t>
      </w:r>
      <w:r w:rsidR="00DC1AE2">
        <w:t xml:space="preserve"> format of a </w:t>
      </w:r>
      <w:r w:rsidR="00CC0850">
        <w:t xml:space="preserve">typical </w:t>
      </w:r>
      <w:r w:rsidR="00DC1AE2">
        <w:t>musical audition</w:t>
      </w:r>
      <w:r w:rsidRPr="006B7838">
        <w:t xml:space="preserve"> </w:t>
      </w:r>
      <w:r w:rsidR="00DC1AE2">
        <w:t xml:space="preserve">(e.g., </w:t>
      </w:r>
      <w:r w:rsidR="00A3521D">
        <w:t xml:space="preserve">for </w:t>
      </w:r>
      <w:r w:rsidR="007965CF">
        <w:t xml:space="preserve">solos, </w:t>
      </w:r>
      <w:r w:rsidR="00A3521D">
        <w:t>orchestras</w:t>
      </w:r>
      <w:r w:rsidR="007965CF">
        <w:t>,</w:t>
      </w:r>
      <w:r w:rsidR="00A3521D">
        <w:t xml:space="preserve"> and other </w:t>
      </w:r>
      <w:r w:rsidR="007965CF">
        <w:t xml:space="preserve">musical </w:t>
      </w:r>
      <w:r w:rsidR="00A3521D">
        <w:t>ensembles</w:t>
      </w:r>
      <w:r w:rsidR="00DC1AE2">
        <w:t>)</w:t>
      </w:r>
      <w:r w:rsidRPr="006B7838">
        <w:t xml:space="preserve">. The Institutional Review Board approved of the present study </w:t>
      </w:r>
      <w:r w:rsidR="00C42D76">
        <w:t xml:space="preserve">for human subjects (IRB # </w:t>
      </w:r>
      <w:r w:rsidR="001355F6" w:rsidRPr="001355F6">
        <w:t>21-06580-XM</w:t>
      </w:r>
      <w:r w:rsidR="001355F6">
        <w:t xml:space="preserve">) </w:t>
      </w:r>
      <w:r w:rsidRPr="006B7838">
        <w:t xml:space="preserve">and allowed for music student participants to be recruited </w:t>
      </w:r>
      <w:r w:rsidR="00B56E76" w:rsidRPr="006B7838">
        <w:t>using</w:t>
      </w:r>
      <w:r w:rsidRPr="006B7838">
        <w:t xml:space="preserve"> flyers, email announcements to music faculty members, verbal announcements to music classes, and recruitment posts on the School of Music Facebook group.</w:t>
      </w:r>
      <w:r w:rsidR="00B56E76">
        <w:t xml:space="preserve"> The recruitment materials invited</w:t>
      </w:r>
      <w:r w:rsidRPr="006B7838">
        <w:t xml:space="preserve"> music students to participate in a “Mock Audition Research Study” in which participants would pre-select 1-3 minutes of musical repertoire and perform for a judge in a mock audition format. Though the presence of a judge figure was necessary </w:t>
      </w:r>
      <w:proofErr w:type="gramStart"/>
      <w:r w:rsidRPr="006B7838">
        <w:t>in order to</w:t>
      </w:r>
      <w:proofErr w:type="gramEnd"/>
      <w:r w:rsidRPr="006B7838">
        <w:t xml:space="preserve"> simulate the conditions of a typical musical audition, the researcher recruited confederates to serve in the role of the judge and participants were informed ahead of time that they would not be receiving any evaluative feedback. </w:t>
      </w:r>
    </w:p>
    <w:p w14:paraId="6E1BA246" w14:textId="754C58EE" w:rsidR="004F08CE" w:rsidRDefault="00CA55E2" w:rsidP="006602CD">
      <w:pPr>
        <w:spacing w:line="480" w:lineRule="auto"/>
        <w:ind w:firstLine="720"/>
      </w:pPr>
      <w:r>
        <w:t xml:space="preserve">During informed consent, the primary researcher described the study procedures and communicated the potential risks and benefits, emphasizing that participation was completely voluntary and that </w:t>
      </w:r>
      <w:r w:rsidRPr="006B7838">
        <w:t>there would be no monetary payment or other forms of compensation</w:t>
      </w:r>
      <w:r>
        <w:t>.</w:t>
      </w:r>
      <w:r w:rsidR="00CC0850">
        <w:t xml:space="preserve"> </w:t>
      </w:r>
      <w:r w:rsidR="00EB54BA" w:rsidRPr="006B7838">
        <w:t xml:space="preserve">Participants who consented to be a part of the study were allotted a brief warm-up period and were then escorted to the mock audition room to perform their selected musical excerpt. To create a naturalistic audition experience, participants were encouraged to select repertoire that they deemed to be at least “moderately challenging.” Following the mock audition, participants received a </w:t>
      </w:r>
      <w:r w:rsidR="00D17A15">
        <w:t xml:space="preserve">paper-and-pencil </w:t>
      </w:r>
      <w:r w:rsidR="002B14DB">
        <w:t>questionnaire</w:t>
      </w:r>
      <w:r w:rsidR="002A346A">
        <w:t xml:space="preserve"> </w:t>
      </w:r>
      <w:r w:rsidR="00EB54BA" w:rsidRPr="006B7838">
        <w:t>that required approximately 15-20 minutes to complete.</w:t>
      </w:r>
      <w:r w:rsidR="002B14DB">
        <w:t xml:space="preserve"> </w:t>
      </w:r>
      <w:r w:rsidR="0060709C">
        <w:t>Participants were instructed not to include any identifiable information (e.g., name</w:t>
      </w:r>
      <w:r w:rsidR="008B20DE">
        <w:t>s</w:t>
      </w:r>
      <w:r w:rsidR="0060709C">
        <w:t xml:space="preserve">) </w:t>
      </w:r>
      <w:r w:rsidR="0060709C">
        <w:lastRenderedPageBreak/>
        <w:t xml:space="preserve">on the questionnaire packet. </w:t>
      </w:r>
      <w:r w:rsidR="002B14DB">
        <w:t xml:space="preserve">The primary researcher collected questionnaire packets upon their completion and stored them in envelopes labelled </w:t>
      </w:r>
      <w:r w:rsidR="0060709C">
        <w:t xml:space="preserve">with participant </w:t>
      </w:r>
      <w:r w:rsidR="00281CA4">
        <w:t>identification</w:t>
      </w:r>
      <w:r w:rsidR="0060709C">
        <w:t xml:space="preserve"> numbers </w:t>
      </w:r>
      <w:r w:rsidR="008B20DE">
        <w:t>to</w:t>
      </w:r>
      <w:r w:rsidR="002B14DB">
        <w:t xml:space="preserve"> secure confidentiality.</w:t>
      </w:r>
    </w:p>
    <w:p w14:paraId="0CFCA417" w14:textId="3891533C" w:rsidR="006602CD" w:rsidRPr="006602CD" w:rsidRDefault="006602CD" w:rsidP="006602CD">
      <w:pPr>
        <w:spacing w:line="480" w:lineRule="auto"/>
        <w:jc w:val="center"/>
        <w:rPr>
          <w:b/>
          <w:bCs/>
          <w:iCs/>
        </w:rPr>
      </w:pPr>
      <w:r w:rsidRPr="006602CD">
        <w:rPr>
          <w:b/>
          <w:bCs/>
        </w:rPr>
        <w:t>Measures</w:t>
      </w:r>
    </w:p>
    <w:p w14:paraId="6159E97A" w14:textId="77777777" w:rsidR="00B52E92" w:rsidRDefault="00947A4F" w:rsidP="00D91BF0">
      <w:pPr>
        <w:spacing w:line="480" w:lineRule="auto"/>
        <w:ind w:firstLine="720"/>
      </w:pPr>
      <w:r w:rsidRPr="006B7838">
        <w:rPr>
          <w:b/>
          <w:i/>
        </w:rPr>
        <w:t xml:space="preserve">Psychological Flexibility. </w:t>
      </w:r>
      <w:r w:rsidRPr="006B7838">
        <w:t>Global and subscale psychological flexibility scores were measured using the Multidimensional Psychological Flexibility Inventory (</w:t>
      </w:r>
      <w:r w:rsidR="002A26B6" w:rsidRPr="006B7838">
        <w:t xml:space="preserve">MPFI; </w:t>
      </w:r>
      <w:proofErr w:type="spellStart"/>
      <w:r w:rsidR="002A26B6" w:rsidRPr="006B7838">
        <w:t>Rolffs</w:t>
      </w:r>
      <w:proofErr w:type="spellEnd"/>
      <w:r w:rsidR="002A26B6" w:rsidRPr="006B7838">
        <w:t>, Rogge, &amp; Wilson, 2016</w:t>
      </w:r>
      <w:r w:rsidRPr="006B7838">
        <w:t>). The MPFI is a 30-item self-report instrument designed to comprehensively assess the six dimensions of psychological flexibility</w:t>
      </w:r>
      <w:r w:rsidR="00D91BF0">
        <w:t xml:space="preserve"> as illustrated by the ACT hexaflex model: </w:t>
      </w:r>
      <w:r w:rsidR="00D91BF0" w:rsidRPr="006B7838">
        <w:t>acceptance, present-moment awareness, self-as-context, cognitive defusion, values, and committed action.</w:t>
      </w:r>
      <w:r w:rsidR="00D91BF0">
        <w:t xml:space="preserve"> </w:t>
      </w:r>
      <w:r w:rsidRPr="006B7838">
        <w:t>Scores for each dimension are assessed through five Likert-type items, ranging from 1 (Never True) to 6 (Always True)</w:t>
      </w:r>
      <w:r w:rsidR="00D91BF0">
        <w:t xml:space="preserve">, designed to </w:t>
      </w:r>
      <w:r w:rsidR="00CC334D">
        <w:t xml:space="preserve">assess engagement with ACT hexaflex processes over the past two weeks. For example, </w:t>
      </w:r>
      <w:r w:rsidR="00D91BF0">
        <w:t>an item</w:t>
      </w:r>
      <w:r w:rsidR="00CC334D">
        <w:t xml:space="preserve"> for cognitive defusion states, “</w:t>
      </w:r>
      <w:r w:rsidR="00CC334D" w:rsidRPr="00CC334D">
        <w:t>I was able to step back and notice negative thoughts and feelings without reacting to them</w:t>
      </w:r>
      <w:r w:rsidR="00D91BF0">
        <w:t>,” an item for present-moment awareness states, “I was attentive and aware of my emotions,” and an item for committed action states, “</w:t>
      </w:r>
      <w:r w:rsidR="00D91BF0" w:rsidRPr="00D91BF0">
        <w:t>Even when I stumbled in my efforts, I didn't quit working toward what is important</w:t>
      </w:r>
      <w:r w:rsidR="00D91BF0">
        <w:t xml:space="preserve">.” </w:t>
      </w:r>
    </w:p>
    <w:p w14:paraId="211D2CD4" w14:textId="7908CAD3" w:rsidR="00947A4F" w:rsidRPr="006B7838" w:rsidRDefault="00947A4F" w:rsidP="00D91BF0">
      <w:pPr>
        <w:spacing w:line="480" w:lineRule="auto"/>
        <w:ind w:firstLine="720"/>
      </w:pPr>
      <w:r w:rsidRPr="006B7838">
        <w:t xml:space="preserve">The </w:t>
      </w:r>
      <w:r w:rsidR="00B52E92">
        <w:t>MPFI</w:t>
      </w:r>
      <w:r w:rsidRPr="006B7838">
        <w:t xml:space="preserve"> has demonstrated good construct, convergent, and discriminant validity, with findings </w:t>
      </w:r>
      <w:r w:rsidR="002430A7">
        <w:t>distinguishing</w:t>
      </w:r>
      <w:r w:rsidR="00357378">
        <w:t xml:space="preserve"> the construct of</w:t>
      </w:r>
      <w:r w:rsidR="002430A7">
        <w:t xml:space="preserve"> </w:t>
      </w:r>
      <w:r w:rsidRPr="006B7838">
        <w:t xml:space="preserve">psychological flexibility </w:t>
      </w:r>
      <w:r w:rsidR="002430A7">
        <w:t xml:space="preserve">from </w:t>
      </w:r>
      <w:r w:rsidR="00357378">
        <w:t>that</w:t>
      </w:r>
      <w:r w:rsidR="002430A7">
        <w:t xml:space="preserve"> of </w:t>
      </w:r>
      <w:r w:rsidRPr="006B7838">
        <w:t>psychological distress</w:t>
      </w:r>
      <w:r w:rsidR="009E78BD">
        <w:t xml:space="preserve"> </w:t>
      </w:r>
      <w:r w:rsidRPr="006B7838">
        <w:t>(</w:t>
      </w:r>
      <w:proofErr w:type="spellStart"/>
      <w:r w:rsidRPr="006B7838">
        <w:t>Landi</w:t>
      </w:r>
      <w:proofErr w:type="spellEnd"/>
      <w:r w:rsidRPr="006B7838">
        <w:t xml:space="preserve"> et al., 2021; </w:t>
      </w:r>
      <w:proofErr w:type="spellStart"/>
      <w:r w:rsidRPr="006B7838">
        <w:t>Rolffs</w:t>
      </w:r>
      <w:proofErr w:type="spellEnd"/>
      <w:r w:rsidRPr="006B7838">
        <w:t xml:space="preserve"> et al., 2016). In the present study, the MPFI </w:t>
      </w:r>
      <w:r w:rsidRPr="001321D7">
        <w:t>showed</w:t>
      </w:r>
      <w:r w:rsidR="00CE2495">
        <w:t xml:space="preserve"> excellent </w:t>
      </w:r>
      <w:r w:rsidRPr="001321D7">
        <w:t>internal</w:t>
      </w:r>
      <w:r w:rsidRPr="006B7838">
        <w:t xml:space="preserve"> </w:t>
      </w:r>
      <w:r w:rsidR="00606B4D">
        <w:t>reliability</w:t>
      </w:r>
      <w:r w:rsidRPr="006B7838">
        <w:t xml:space="preserve"> for the total scale</w:t>
      </w:r>
      <w:r w:rsidR="00CE2495">
        <w:t xml:space="preserve"> (</w:t>
      </w:r>
      <w:r w:rsidR="00CE2495" w:rsidRPr="00D418F5">
        <w:t>α</w:t>
      </w:r>
      <w:r w:rsidR="00CE2495">
        <w:t xml:space="preserve"> = .94) </w:t>
      </w:r>
      <w:r w:rsidRPr="006B7838">
        <w:t xml:space="preserve">and </w:t>
      </w:r>
      <w:r w:rsidR="00CE2495">
        <w:t xml:space="preserve">acceptable to excellent reliability </w:t>
      </w:r>
      <w:r w:rsidRPr="006B7838">
        <w:t>for the subscales</w:t>
      </w:r>
      <w:r w:rsidR="00CE2495">
        <w:t xml:space="preserve"> (acceptance, </w:t>
      </w:r>
      <w:r w:rsidR="00CE2495" w:rsidRPr="00D418F5">
        <w:t>α</w:t>
      </w:r>
      <w:r w:rsidR="00CE2495">
        <w:t xml:space="preserve"> = .73; present-moment awareness, </w:t>
      </w:r>
      <w:r w:rsidR="00CE2495" w:rsidRPr="00D418F5">
        <w:t>α</w:t>
      </w:r>
      <w:r w:rsidR="00CE2495">
        <w:t xml:space="preserve"> = .89; self</w:t>
      </w:r>
      <w:r w:rsidR="006E4E59">
        <w:t>-</w:t>
      </w:r>
      <w:r w:rsidR="00CE2495">
        <w:t>as</w:t>
      </w:r>
      <w:r w:rsidR="006E4E59">
        <w:t>-</w:t>
      </w:r>
      <w:r w:rsidR="00CE2495">
        <w:t xml:space="preserve">context, </w:t>
      </w:r>
      <w:r w:rsidR="00CE2495" w:rsidRPr="00D418F5">
        <w:t>α</w:t>
      </w:r>
      <w:r w:rsidR="00CE2495">
        <w:t xml:space="preserve"> = .89; defusion, </w:t>
      </w:r>
      <w:r w:rsidR="00CE2495" w:rsidRPr="00D418F5">
        <w:t>α</w:t>
      </w:r>
      <w:r w:rsidR="00CE2495">
        <w:t xml:space="preserve"> = .92; values, </w:t>
      </w:r>
      <w:r w:rsidR="00CE2495" w:rsidRPr="00D418F5">
        <w:t>α</w:t>
      </w:r>
      <w:r w:rsidR="00CE2495">
        <w:t xml:space="preserve"> = .91; committed action, </w:t>
      </w:r>
      <w:r w:rsidR="00CE2495" w:rsidRPr="00D418F5">
        <w:t>α</w:t>
      </w:r>
      <w:r w:rsidR="00CE2495">
        <w:t xml:space="preserve"> = .89).</w:t>
      </w:r>
      <w:r w:rsidRPr="006B7838">
        <w:t xml:space="preserve"> </w:t>
      </w:r>
    </w:p>
    <w:p w14:paraId="774D7E4E" w14:textId="1CC6CD29" w:rsidR="00947A4F" w:rsidRPr="006B7838" w:rsidRDefault="00947A4F" w:rsidP="006B7838">
      <w:pPr>
        <w:spacing w:line="480" w:lineRule="auto"/>
      </w:pPr>
      <w:r w:rsidRPr="006B7838">
        <w:lastRenderedPageBreak/>
        <w:tab/>
      </w:r>
      <w:r w:rsidRPr="006B7838">
        <w:rPr>
          <w:b/>
          <w:i/>
        </w:rPr>
        <w:t>Music Performance Anxiety.</w:t>
      </w:r>
      <w:r w:rsidRPr="006B7838">
        <w:t xml:space="preserve"> Music performance anxiety was </w:t>
      </w:r>
      <w:r w:rsidR="00357378">
        <w:t>assessed</w:t>
      </w:r>
      <w:r w:rsidRPr="006B7838">
        <w:t xml:space="preserve"> </w:t>
      </w:r>
      <w:r w:rsidR="00357378">
        <w:t>with</w:t>
      </w:r>
      <w:r w:rsidRPr="006B7838">
        <w:t xml:space="preserve"> the Performance Anxiety Inventory (PAI; Nagel, </w:t>
      </w:r>
      <w:proofErr w:type="spellStart"/>
      <w:r w:rsidRPr="006B7838">
        <w:t>Himle</w:t>
      </w:r>
      <w:proofErr w:type="spellEnd"/>
      <w:r w:rsidRPr="006B7838">
        <w:t xml:space="preserve">, &amp; </w:t>
      </w:r>
      <w:proofErr w:type="spellStart"/>
      <w:r w:rsidRPr="006B7838">
        <w:t>Papsdorf</w:t>
      </w:r>
      <w:proofErr w:type="spellEnd"/>
      <w:r w:rsidRPr="006B7838">
        <w:t xml:space="preserve">, 1989), a 20-item self-report instrument that assesses individual experiences of anxiety in musical performance situations. Adapted from </w:t>
      </w:r>
      <w:r w:rsidR="00B92A20">
        <w:t xml:space="preserve">the State-Trait Anxiety Inventory </w:t>
      </w:r>
      <w:r w:rsidRPr="006B7838">
        <w:t>(</w:t>
      </w:r>
      <w:r w:rsidR="00B92A20">
        <w:t xml:space="preserve">STAI; Spielberger, </w:t>
      </w:r>
      <w:r w:rsidRPr="006B7838">
        <w:t>198</w:t>
      </w:r>
      <w:r w:rsidR="00B92A20">
        <w:t>3</w:t>
      </w:r>
      <w:r w:rsidRPr="006B7838">
        <w:t>), the measure assesses cognitive, behavioral, and physiological components of music performance anxiety</w:t>
      </w:r>
      <w:r w:rsidR="000749EB">
        <w:t xml:space="preserve"> and </w:t>
      </w:r>
      <w:r w:rsidR="00B92A20">
        <w:t>captures both state anxiety (anxiety in response to a particular situation) and trait anxiety (general tendency towards anxious response)</w:t>
      </w:r>
      <w:r w:rsidR="000749EB">
        <w:t>. Notably,</w:t>
      </w:r>
      <w:r w:rsidR="00B92A20">
        <w:t xml:space="preserve"> </w:t>
      </w:r>
      <w:r w:rsidR="000749EB">
        <w:t xml:space="preserve">the </w:t>
      </w:r>
      <w:r w:rsidR="00B92A20">
        <w:t xml:space="preserve">PAI assesses </w:t>
      </w:r>
      <w:r w:rsidR="000749EB">
        <w:t xml:space="preserve">the participant’s </w:t>
      </w:r>
      <w:r w:rsidR="00B92A20">
        <w:t xml:space="preserve">experience with music performance anxiety </w:t>
      </w:r>
      <w:r w:rsidR="000749EB">
        <w:t>in general, opposed to measuring anxiety in response to a singular event. However, developers of the measure state that the PAI is sensitive to fluctuations in MPA over time (such as changes in anxiety following therapeutic intervention) (</w:t>
      </w:r>
      <w:r w:rsidR="000749EB" w:rsidRPr="006B7838">
        <w:t xml:space="preserve">Nagel, </w:t>
      </w:r>
      <w:proofErr w:type="spellStart"/>
      <w:r w:rsidR="000749EB" w:rsidRPr="006B7838">
        <w:t>Himle</w:t>
      </w:r>
      <w:proofErr w:type="spellEnd"/>
      <w:r w:rsidR="000749EB" w:rsidRPr="006B7838">
        <w:t xml:space="preserve">, &amp; </w:t>
      </w:r>
      <w:proofErr w:type="spellStart"/>
      <w:r w:rsidR="000749EB" w:rsidRPr="006B7838">
        <w:t>Papsdorf</w:t>
      </w:r>
      <w:proofErr w:type="spellEnd"/>
      <w:r w:rsidR="000749EB" w:rsidRPr="006B7838">
        <w:t>, 1989)</w:t>
      </w:r>
      <w:r w:rsidR="000749EB">
        <w:t xml:space="preserve">. </w:t>
      </w:r>
      <w:r w:rsidRPr="006B7838">
        <w:t xml:space="preserve">Items </w:t>
      </w:r>
      <w:r w:rsidR="000749EB">
        <w:t xml:space="preserve">on the PAI </w:t>
      </w:r>
      <w:r w:rsidRPr="006B7838">
        <w:t xml:space="preserve">are answered on a scale ranging from 1 (Almost Never) to 4 (Almost Always). For the purposes of the present study, parenthetical language was included in some of the items to enhance comprehension. For example, Item #11 “During recitals my hands sweat” was modified to “During recitals (or public performances) my hands sweat.” The PAI is a widely used measure of music performance anxiety and typically produces high internal </w:t>
      </w:r>
      <w:r w:rsidR="00606B4D">
        <w:t>reliability</w:t>
      </w:r>
      <w:r w:rsidRPr="006B7838">
        <w:t xml:space="preserve"> values (Diaz, 2018; Farnsworth-</w:t>
      </w:r>
      <w:proofErr w:type="spellStart"/>
      <w:r w:rsidRPr="006B7838">
        <w:t>Grodd</w:t>
      </w:r>
      <w:proofErr w:type="spellEnd"/>
      <w:r w:rsidRPr="006B7838">
        <w:t xml:space="preserve">, 2012; Nagel et al., 1989). </w:t>
      </w:r>
      <w:r w:rsidR="00357378">
        <w:t>In the present study, i</w:t>
      </w:r>
      <w:r w:rsidRPr="006B7838">
        <w:t xml:space="preserve">nternal </w:t>
      </w:r>
      <w:r w:rsidR="00606B4D">
        <w:t>reliability</w:t>
      </w:r>
      <w:r w:rsidRPr="006B7838">
        <w:t xml:space="preserve"> for</w:t>
      </w:r>
      <w:r w:rsidR="00357378">
        <w:t xml:space="preserve"> the</w:t>
      </w:r>
      <w:r w:rsidRPr="006B7838">
        <w:t xml:space="preserve"> </w:t>
      </w:r>
      <w:r w:rsidR="00357378">
        <w:t>measure</w:t>
      </w:r>
      <w:r w:rsidRPr="006B7838">
        <w:t xml:space="preserve"> </w:t>
      </w:r>
      <w:r w:rsidR="00D418F5">
        <w:t xml:space="preserve">was </w:t>
      </w:r>
      <w:r w:rsidR="00D418F5" w:rsidRPr="00D418F5">
        <w:t>α</w:t>
      </w:r>
      <w:r w:rsidR="00D418F5">
        <w:t xml:space="preserve"> = .87.</w:t>
      </w:r>
      <w:r w:rsidR="000A1564">
        <w:t xml:space="preserve"> </w:t>
      </w:r>
    </w:p>
    <w:p w14:paraId="72F37423" w14:textId="2D0B215A" w:rsidR="00947A4F" w:rsidRPr="006B7838" w:rsidRDefault="00947A4F" w:rsidP="009E78BD">
      <w:pPr>
        <w:spacing w:line="480" w:lineRule="auto"/>
      </w:pPr>
      <w:r w:rsidRPr="006B7838">
        <w:rPr>
          <w:b/>
        </w:rPr>
        <w:tab/>
      </w:r>
      <w:r w:rsidRPr="006B7838">
        <w:rPr>
          <w:b/>
          <w:i/>
        </w:rPr>
        <w:t>Perceived Performance Quality.</w:t>
      </w:r>
      <w:r w:rsidRPr="006B7838">
        <w:t xml:space="preserve"> Perceived performance quality (PPQ) was measured by asking participants to rate (a) their satisfaction with the performance and (b) their perception of how the performance compared to their </w:t>
      </w:r>
      <w:r w:rsidR="00307C39">
        <w:t>“</w:t>
      </w:r>
      <w:r w:rsidRPr="006B7838">
        <w:t>best performance during practice</w:t>
      </w:r>
      <w:r w:rsidR="00307C39">
        <w:t>” (Farnsworth-</w:t>
      </w:r>
      <w:proofErr w:type="spellStart"/>
      <w:r w:rsidR="00307C39">
        <w:t>Grodd</w:t>
      </w:r>
      <w:proofErr w:type="spellEnd"/>
      <w:r w:rsidR="00307C39">
        <w:t>, 2012, p. 230)</w:t>
      </w:r>
      <w:r w:rsidRPr="006B7838">
        <w:t xml:space="preserve">. </w:t>
      </w:r>
      <w:r w:rsidR="00960158" w:rsidRPr="006B7838">
        <w:t>Both</w:t>
      </w:r>
      <w:r w:rsidRPr="006B7838">
        <w:t xml:space="preserve"> scales for PPQ were adapted from Farnsworth-</w:t>
      </w:r>
      <w:proofErr w:type="spellStart"/>
      <w:r w:rsidRPr="006B7838">
        <w:t>Grodd’s</w:t>
      </w:r>
      <w:proofErr w:type="spellEnd"/>
      <w:r w:rsidRPr="006B7838">
        <w:t xml:space="preserve"> (2012) inventory for assessing music performance outcomes among collegiate music students. The Performance </w:t>
      </w:r>
      <w:r w:rsidRPr="006B7838">
        <w:lastRenderedPageBreak/>
        <w:t xml:space="preserve">Satisfaction scale contains two items assessing satisfaction—with the overall performance and with effort—and prompts participants to rank their experience of satisfaction on a scale ranging from 1 (Very Dissatisfied) to 7 (Very Satisfied). The Performance versus Practice scale contains 10 items related to varying aspects of musical performance (e.g., tempo, dynamics, articulation). The measure prompts participants to rate the quality of their performance on a scale ranging from 1 (Much Worse) to 7 (Much Better), in comparison to their best performance during practice. </w:t>
      </w:r>
      <w:r w:rsidR="00AD2F16">
        <w:t>In the present study, s</w:t>
      </w:r>
      <w:r w:rsidR="00AD2F16" w:rsidRPr="00AD2F16">
        <w:t xml:space="preserve">ubjective evaluations of performance quality were favored over the use of a third-party evaluator </w:t>
      </w:r>
      <w:r w:rsidR="000A1564">
        <w:t>(</w:t>
      </w:r>
      <w:r w:rsidR="00AD2F16" w:rsidRPr="00AD2F16">
        <w:t>such as a judge</w:t>
      </w:r>
      <w:r w:rsidR="000A1564">
        <w:t>)</w:t>
      </w:r>
      <w:r w:rsidR="00AD2F16">
        <w:t xml:space="preserve"> as participant self-evaluations provide insight into the relative quality of performance quality at </w:t>
      </w:r>
      <w:r w:rsidR="000A1564">
        <w:t>an</w:t>
      </w:r>
      <w:r w:rsidR="00AD2F16">
        <w:t xml:space="preserve"> individual level</w:t>
      </w:r>
      <w:r w:rsidR="000A1564">
        <w:t xml:space="preserve"> whereas third-party evaluations do not capture </w:t>
      </w:r>
      <w:r w:rsidR="000518DC">
        <w:t>how the performance compares</w:t>
      </w:r>
      <w:r w:rsidR="000A1564">
        <w:t xml:space="preserve"> to the participant’s baseline quality level. Further, third</w:t>
      </w:r>
      <w:r w:rsidR="00AD2F16">
        <w:t xml:space="preserve">-party evaluations </w:t>
      </w:r>
      <w:r w:rsidR="000A1564">
        <w:t>are susceptible to problems with inter-rater reliability as evaluations of performance quality can vary largely between judges</w:t>
      </w:r>
      <w:r w:rsidR="000518DC">
        <w:t xml:space="preserve">. </w:t>
      </w:r>
      <w:r w:rsidRPr="006B7838">
        <w:t>Preliminary analysis revealed</w:t>
      </w:r>
      <w:r w:rsidR="00B94444">
        <w:t xml:space="preserve"> questionable</w:t>
      </w:r>
      <w:r w:rsidRPr="006B7838">
        <w:t xml:space="preserve"> internal reliability for the Performance Satisfaction scale</w:t>
      </w:r>
      <w:r w:rsidR="00B94444">
        <w:t xml:space="preserve"> (</w:t>
      </w:r>
      <w:r w:rsidR="00B94444" w:rsidRPr="00D418F5">
        <w:t>α</w:t>
      </w:r>
      <w:r w:rsidR="00B94444">
        <w:t xml:space="preserve"> = .63)</w:t>
      </w:r>
      <w:r w:rsidRPr="006B7838">
        <w:t xml:space="preserve"> and</w:t>
      </w:r>
      <w:r w:rsidR="00B94444">
        <w:t xml:space="preserve"> excellent internal</w:t>
      </w:r>
      <w:r w:rsidRPr="006B7838">
        <w:t xml:space="preserve"> reliability for the Performance versus Practice scale</w:t>
      </w:r>
      <w:r w:rsidR="00B94444">
        <w:t xml:space="preserve"> (</w:t>
      </w:r>
      <w:r w:rsidR="00B94444" w:rsidRPr="00D418F5">
        <w:t>α</w:t>
      </w:r>
      <w:r w:rsidR="00B94444">
        <w:t xml:space="preserve"> = .91).</w:t>
      </w:r>
      <w:r w:rsidRPr="006B7838">
        <w:t xml:space="preserve"> </w:t>
      </w:r>
      <w:proofErr w:type="gramStart"/>
      <w:r w:rsidRPr="006B7838">
        <w:t>In light of</w:t>
      </w:r>
      <w:proofErr w:type="gramEnd"/>
      <w:r w:rsidRPr="006B7838">
        <w:t xml:space="preserve"> this discrepancy, </w:t>
      </w:r>
      <w:r w:rsidR="005A302B">
        <w:t xml:space="preserve">the </w:t>
      </w:r>
      <w:r w:rsidRPr="006B7838">
        <w:t>author of the present study chose to use scores for the Performance versus Practice scale as the sole measure of PPQ.</w:t>
      </w:r>
    </w:p>
    <w:p w14:paraId="3470BBF1" w14:textId="5D15782D" w:rsidR="006B7838" w:rsidRDefault="00947A4F" w:rsidP="006B7838">
      <w:pPr>
        <w:spacing w:line="480" w:lineRule="auto"/>
      </w:pPr>
      <w:r w:rsidRPr="006B7838">
        <w:tab/>
      </w:r>
      <w:r w:rsidRPr="006B7838">
        <w:rPr>
          <w:b/>
          <w:i/>
        </w:rPr>
        <w:t>Demographic Information.</w:t>
      </w:r>
      <w:r w:rsidRPr="006B7838">
        <w:t xml:space="preserve"> A demographic survey was included at the end of the measures packet to gather the following information: age, gender, race/ethnicity, and mental health history. Mental health related questions pertained to the history of a diagnosed anxiety disorder and the prescribed use of anxiolytic medications (including beta blockers). Participants were also prompted to provide musical sample characteristics, including year of study, degree concentration, and instrument type.</w:t>
      </w:r>
    </w:p>
    <w:p w14:paraId="159F7BC3" w14:textId="13CAEAAE" w:rsidR="006602CD" w:rsidRPr="006602CD" w:rsidRDefault="006602CD" w:rsidP="006602CD">
      <w:pPr>
        <w:spacing w:line="480" w:lineRule="auto"/>
        <w:jc w:val="center"/>
        <w:rPr>
          <w:b/>
          <w:bCs/>
        </w:rPr>
      </w:pPr>
      <w:r>
        <w:rPr>
          <w:b/>
          <w:bCs/>
        </w:rPr>
        <w:lastRenderedPageBreak/>
        <w:t>Data Analysis</w:t>
      </w:r>
    </w:p>
    <w:p w14:paraId="267E918C" w14:textId="14A6E0F0" w:rsidR="000A1BEE" w:rsidRDefault="00947A4F" w:rsidP="007C072D">
      <w:pPr>
        <w:spacing w:line="480" w:lineRule="auto"/>
        <w:ind w:firstLine="720"/>
      </w:pPr>
      <w:r w:rsidRPr="006B7838">
        <w:t xml:space="preserve">Statistical analyses were performed using Version 27 of the Statistical Package for Social Science (SPSS). </w:t>
      </w:r>
      <w:r w:rsidR="00F80AEC">
        <w:t>Prior to testing hypotheses, i</w:t>
      </w:r>
      <w:r w:rsidRPr="006B7838">
        <w:t xml:space="preserve">nfluential observations were assessed following the procedures for DFBETA tests as outlined by Cohen et al. (2003), and no extreme scores were detected. </w:t>
      </w:r>
      <w:r w:rsidR="00F80AEC">
        <w:t>A</w:t>
      </w:r>
      <w:r w:rsidR="00F80AEC" w:rsidRPr="006B7838">
        <w:t xml:space="preserve"> missing value for one participant </w:t>
      </w:r>
      <w:r w:rsidR="003C32B6">
        <w:t xml:space="preserve">item </w:t>
      </w:r>
      <w:r w:rsidR="00F80AEC" w:rsidRPr="006B7838">
        <w:t xml:space="preserve">was replaced using EM Algorithm and Missing Values Analysis in SPSS. </w:t>
      </w:r>
      <w:r w:rsidR="00B16C7B">
        <w:t>Means</w:t>
      </w:r>
      <w:r w:rsidR="00F80AEC">
        <w:t xml:space="preserve">, standard deviations, and correlations among study variables were </w:t>
      </w:r>
      <w:r w:rsidR="00B16C7B">
        <w:t xml:space="preserve">also </w:t>
      </w:r>
      <w:r w:rsidR="00F80AEC">
        <w:t xml:space="preserve">calculated </w:t>
      </w:r>
      <w:r w:rsidR="00B16C7B">
        <w:t>(see</w:t>
      </w:r>
      <w:r w:rsidR="00F80AEC">
        <w:t xml:space="preserve"> Table 3</w:t>
      </w:r>
      <w:r w:rsidR="00B16C7B">
        <w:t>)</w:t>
      </w:r>
      <w:r w:rsidR="00F80AEC">
        <w:t>. Following preliminary analysis, two</w:t>
      </w:r>
      <w:r w:rsidR="00D155F4">
        <w:t xml:space="preserve"> </w:t>
      </w:r>
      <w:r w:rsidRPr="006B7838">
        <w:t xml:space="preserve">simple bivariate </w:t>
      </w:r>
      <w:r w:rsidR="00FA54ED">
        <w:t>regressions</w:t>
      </w:r>
      <w:r w:rsidRPr="006B7838">
        <w:t xml:space="preserve"> </w:t>
      </w:r>
      <w:r w:rsidR="00F80AEC">
        <w:t xml:space="preserve">were used </w:t>
      </w:r>
      <w:r w:rsidRPr="006B7838">
        <w:t xml:space="preserve">to test the a priori hypotheses: </w:t>
      </w:r>
      <w:r w:rsidR="00FA54ED">
        <w:t>global</w:t>
      </w:r>
      <w:r w:rsidRPr="006B7838">
        <w:t xml:space="preserve"> psychological flexibility </w:t>
      </w:r>
      <w:r w:rsidR="00FA54ED">
        <w:t xml:space="preserve">will </w:t>
      </w:r>
      <w:r w:rsidR="00606B4D">
        <w:t xml:space="preserve">have </w:t>
      </w:r>
      <w:r w:rsidR="00FA54ED">
        <w:t xml:space="preserve">(a) </w:t>
      </w:r>
      <w:r w:rsidR="00606B4D">
        <w:t>a positive linear relationship</w:t>
      </w:r>
      <w:r w:rsidR="00FA54ED">
        <w:t xml:space="preserve"> </w:t>
      </w:r>
      <w:r w:rsidR="00606B4D">
        <w:t>with</w:t>
      </w:r>
      <w:r w:rsidR="00FA54ED">
        <w:t xml:space="preserve"> perceived performance quality (PPQ) and (b) </w:t>
      </w:r>
      <w:r w:rsidR="00606B4D">
        <w:t xml:space="preserve">a </w:t>
      </w:r>
      <w:r w:rsidR="00582A06">
        <w:t xml:space="preserve">negative </w:t>
      </w:r>
      <w:r w:rsidR="00606B4D">
        <w:t>linear relationship</w:t>
      </w:r>
      <w:r w:rsidR="00FA54ED">
        <w:t xml:space="preserve"> </w:t>
      </w:r>
      <w:r w:rsidR="00606B4D">
        <w:t>with</w:t>
      </w:r>
      <w:r w:rsidR="00FA54ED">
        <w:t xml:space="preserve"> music performance anxiety (MPA).</w:t>
      </w:r>
      <w:r w:rsidR="003C32B6">
        <w:t xml:space="preserve"> </w:t>
      </w:r>
      <w:r w:rsidRPr="006B7838">
        <w:t xml:space="preserve">To deconstruct various predictors of both PPQ and MPA and thereby enhance understanding of the significant </w:t>
      </w:r>
      <w:r w:rsidR="00E4314C">
        <w:t>relationships</w:t>
      </w:r>
      <w:r w:rsidRPr="006B7838">
        <w:t xml:space="preserve">, two forward stepwise linear regressions were </w:t>
      </w:r>
      <w:r w:rsidR="003C32B6">
        <w:t xml:space="preserve">then </w:t>
      </w:r>
      <w:r w:rsidRPr="006B7838">
        <w:t>conducted using the six subscale scales scores of the MPFI (facets of psychological flexibility: acceptance, present</w:t>
      </w:r>
      <w:r w:rsidR="00B95856">
        <w:t>-</w:t>
      </w:r>
      <w:r w:rsidRPr="006B7838">
        <w:t>moment awareness, self-as-context, defusion, values, and committed action). As no existing literature supported a hierarchical precedent for analysis (i.e., no theoretical models indicated that one facet of psychological flexibility would be more predictive of PPQ and MPA than another</w:t>
      </w:r>
      <w:r w:rsidR="00F81BF1">
        <w:t>)</w:t>
      </w:r>
      <w:r w:rsidRPr="006B7838">
        <w:t xml:space="preserve">, stepwise regressions suited the exploratory nature of these analyses. </w:t>
      </w:r>
      <w:r w:rsidR="00BA3138">
        <w:t>Further, g</w:t>
      </w:r>
      <w:r w:rsidR="00B6507E">
        <w:t>iven that</w:t>
      </w:r>
      <w:r w:rsidRPr="006B7838">
        <w:t xml:space="preserve"> facets of psychological flexibility in the MPFI </w:t>
      </w:r>
      <w:r w:rsidR="00B6507E">
        <w:t>are</w:t>
      </w:r>
      <w:r w:rsidRPr="006B7838">
        <w:t xml:space="preserve"> </w:t>
      </w:r>
      <w:r w:rsidR="00B068F6">
        <w:t>moderately</w:t>
      </w:r>
      <w:r w:rsidRPr="006B7838">
        <w:t xml:space="preserve"> correlated</w:t>
      </w:r>
      <w:r w:rsidR="00BA3138">
        <w:t>,</w:t>
      </w:r>
      <w:r w:rsidRPr="006B7838">
        <w:t xml:space="preserve"> stepwise regression allowed for the minimization of multicollinearity. Predictor variables were added based on </w:t>
      </w:r>
      <w:r w:rsidRPr="00BA3138">
        <w:rPr>
          <w:i/>
        </w:rPr>
        <w:t>p</w:t>
      </w:r>
      <w:r w:rsidRPr="006B7838">
        <w:t xml:space="preserve"> values</w:t>
      </w:r>
      <w:r w:rsidR="00D51241">
        <w:t xml:space="preserve"> equal to or less than .05</w:t>
      </w:r>
      <w:r w:rsidRPr="006B7838">
        <w:t>.</w:t>
      </w:r>
      <w:bookmarkStart w:id="7" w:name="_Toc420995900"/>
      <w:bookmarkStart w:id="8" w:name="_Toc422997487"/>
    </w:p>
    <w:p w14:paraId="61101826" w14:textId="77777777" w:rsidR="007C072D" w:rsidRDefault="007C072D" w:rsidP="007C072D">
      <w:pPr>
        <w:spacing w:line="480" w:lineRule="auto"/>
        <w:ind w:firstLine="720"/>
      </w:pPr>
    </w:p>
    <w:bookmarkEnd w:id="7"/>
    <w:bookmarkEnd w:id="8"/>
    <w:p w14:paraId="3B635D6A" w14:textId="77777777" w:rsidR="003C32B6" w:rsidRDefault="003C32B6" w:rsidP="00B95AB1"/>
    <w:p w14:paraId="27650ED5" w14:textId="77777777" w:rsidR="00BA3138" w:rsidRDefault="00BA3138" w:rsidP="00B95AB1"/>
    <w:p w14:paraId="29619775" w14:textId="27ED2B9F" w:rsidR="006602CD" w:rsidRDefault="006602CD" w:rsidP="006602CD">
      <w:pPr>
        <w:spacing w:line="480" w:lineRule="auto"/>
        <w:jc w:val="center"/>
        <w:rPr>
          <w:b/>
          <w:bCs/>
        </w:rPr>
      </w:pPr>
      <w:r>
        <w:rPr>
          <w:b/>
          <w:bCs/>
        </w:rPr>
        <w:lastRenderedPageBreak/>
        <w:t>CHAPTER THREE</w:t>
      </w:r>
    </w:p>
    <w:p w14:paraId="50AF34D9" w14:textId="158BDB6B" w:rsidR="006602CD" w:rsidRPr="006602CD" w:rsidRDefault="006602CD" w:rsidP="006602CD">
      <w:pPr>
        <w:spacing w:line="480" w:lineRule="auto"/>
        <w:jc w:val="center"/>
        <w:rPr>
          <w:b/>
          <w:bCs/>
        </w:rPr>
      </w:pPr>
      <w:r>
        <w:rPr>
          <w:b/>
          <w:bCs/>
        </w:rPr>
        <w:t>RESULTS</w:t>
      </w:r>
    </w:p>
    <w:p w14:paraId="31723E95" w14:textId="77777777" w:rsidR="00CB2FCB" w:rsidRPr="00CB2FCB" w:rsidRDefault="00CB2FCB" w:rsidP="00CB2FCB">
      <w:pPr>
        <w:spacing w:line="480" w:lineRule="auto"/>
        <w:jc w:val="center"/>
        <w:rPr>
          <w:b/>
          <w:bCs/>
          <w:iCs/>
        </w:rPr>
      </w:pPr>
      <w:r w:rsidRPr="00CB2FCB">
        <w:rPr>
          <w:b/>
          <w:bCs/>
          <w:iCs/>
        </w:rPr>
        <w:t>A priori Hypotheses</w:t>
      </w:r>
    </w:p>
    <w:p w14:paraId="3062FB34" w14:textId="5613CC3D" w:rsidR="00CB2FCB" w:rsidRDefault="00CB2FCB" w:rsidP="00CB2FCB">
      <w:pPr>
        <w:spacing w:line="480" w:lineRule="auto"/>
        <w:ind w:firstLine="720"/>
        <w:rPr>
          <w:color w:val="000000"/>
        </w:rPr>
      </w:pPr>
      <w:r w:rsidRPr="006B7838">
        <w:rPr>
          <w:i/>
        </w:rPr>
        <w:t xml:space="preserve">Hypothesis #1: </w:t>
      </w:r>
      <w:r w:rsidRPr="006B7838">
        <w:t xml:space="preserve">There will be a positive </w:t>
      </w:r>
      <w:r>
        <w:t>linear relationship</w:t>
      </w:r>
      <w:r w:rsidRPr="006B7838">
        <w:t xml:space="preserve"> between </w:t>
      </w:r>
      <w:r>
        <w:t xml:space="preserve">global </w:t>
      </w:r>
      <w:r w:rsidRPr="006B7838">
        <w:t xml:space="preserve">psychological flexibility </w:t>
      </w:r>
      <w:r>
        <w:t xml:space="preserve">(GPF) </w:t>
      </w:r>
      <w:r w:rsidRPr="006B7838">
        <w:t>and perceived performance quality (PPQ)</w:t>
      </w:r>
      <w:r>
        <w:t xml:space="preserve">. </w:t>
      </w:r>
      <w:r>
        <w:rPr>
          <w:color w:val="000000"/>
        </w:rPr>
        <w:t xml:space="preserve">A Pearson correlation coefficient was computed to assess the linear relationship between GPF and PPQ. There was a significant positive correlation between the two variables, </w:t>
      </w:r>
      <w:proofErr w:type="gramStart"/>
      <w:r w:rsidRPr="00CB2FCB">
        <w:rPr>
          <w:i/>
          <w:iCs/>
          <w:color w:val="000000"/>
        </w:rPr>
        <w:t>r</w:t>
      </w:r>
      <w:r>
        <w:rPr>
          <w:color w:val="000000"/>
        </w:rPr>
        <w:t>(</w:t>
      </w:r>
      <w:proofErr w:type="gramEnd"/>
      <w:r>
        <w:rPr>
          <w:color w:val="000000"/>
        </w:rPr>
        <w:t xml:space="preserve">25) = .391, </w:t>
      </w:r>
      <w:r w:rsidRPr="00CB2FCB">
        <w:rPr>
          <w:i/>
          <w:iCs/>
          <w:color w:val="000000"/>
        </w:rPr>
        <w:t>p</w:t>
      </w:r>
      <w:r>
        <w:rPr>
          <w:color w:val="000000"/>
        </w:rPr>
        <w:t xml:space="preserve"> = .022. Simple linear regression was used to test if GPF significantly predicted PPQ. The fitted regression model was as follows: y = 14.95 + 5.31*(GPF). The overall regression was statistically significant (R</w:t>
      </w:r>
      <w:r>
        <w:rPr>
          <w:color w:val="000000"/>
          <w:sz w:val="14"/>
          <w:szCs w:val="14"/>
          <w:vertAlign w:val="superscript"/>
        </w:rPr>
        <w:t>2</w:t>
      </w:r>
      <w:r>
        <w:rPr>
          <w:color w:val="000000"/>
        </w:rPr>
        <w:t xml:space="preserve"> = .153, </w:t>
      </w:r>
      <w:proofErr w:type="gramStart"/>
      <w:r>
        <w:rPr>
          <w:color w:val="000000"/>
        </w:rPr>
        <w:t>F(</w:t>
      </w:r>
      <w:proofErr w:type="gramEnd"/>
      <w:r>
        <w:rPr>
          <w:color w:val="000000"/>
        </w:rPr>
        <w:t xml:space="preserve">1, 25) = 4.50, </w:t>
      </w:r>
      <w:r w:rsidRPr="00CB2FCB">
        <w:rPr>
          <w:i/>
          <w:iCs/>
          <w:color w:val="000000"/>
        </w:rPr>
        <w:t>p</w:t>
      </w:r>
      <w:r>
        <w:rPr>
          <w:color w:val="000000"/>
        </w:rPr>
        <w:t xml:space="preserve"> = .044), with GPF significantly predicting increases in PPQ (β = 5.31, </w:t>
      </w:r>
      <w:r w:rsidRPr="00CB2FCB">
        <w:rPr>
          <w:i/>
          <w:iCs/>
          <w:color w:val="000000"/>
        </w:rPr>
        <w:t>p</w:t>
      </w:r>
      <w:r>
        <w:rPr>
          <w:color w:val="000000"/>
        </w:rPr>
        <w:t xml:space="preserve"> = .044).</w:t>
      </w:r>
    </w:p>
    <w:p w14:paraId="30548D9B" w14:textId="77777777" w:rsidR="009E78BD" w:rsidRDefault="00CB2FCB" w:rsidP="009E78BD">
      <w:pPr>
        <w:pStyle w:val="NormalWeb"/>
        <w:spacing w:before="0" w:beforeAutospacing="0" w:after="0" w:afterAutospacing="0" w:line="480" w:lineRule="auto"/>
        <w:ind w:firstLine="720"/>
        <w:textAlignment w:val="baseline"/>
        <w:rPr>
          <w:color w:val="000000"/>
        </w:rPr>
      </w:pPr>
      <w:r w:rsidRPr="006B7838">
        <w:rPr>
          <w:i/>
        </w:rPr>
        <w:t xml:space="preserve">Hypothesis #2: </w:t>
      </w:r>
      <w:r w:rsidRPr="006B7838">
        <w:t xml:space="preserve">There will be a negative </w:t>
      </w:r>
      <w:r>
        <w:t>linear relationship</w:t>
      </w:r>
      <w:r w:rsidRPr="006B7838">
        <w:t xml:space="preserve"> between </w:t>
      </w:r>
      <w:r w:rsidR="0053487B">
        <w:t>global psychological flexibility (</w:t>
      </w:r>
      <w:r>
        <w:t>GPF</w:t>
      </w:r>
      <w:r w:rsidR="0053487B">
        <w:t>)</w:t>
      </w:r>
      <w:r w:rsidRPr="006B7838">
        <w:t xml:space="preserve"> and </w:t>
      </w:r>
      <w:r w:rsidR="0053487B">
        <w:t>music performance anxiety (</w:t>
      </w:r>
      <w:r w:rsidRPr="006B7838">
        <w:t>MPA</w:t>
      </w:r>
      <w:r w:rsidR="0053487B">
        <w:t>)</w:t>
      </w:r>
      <w:r>
        <w:t>.</w:t>
      </w:r>
      <w:r>
        <w:rPr>
          <w:color w:val="000000"/>
        </w:rPr>
        <w:t xml:space="preserve"> </w:t>
      </w:r>
      <w:r w:rsidRPr="00DE67EB">
        <w:rPr>
          <w:color w:val="000000"/>
        </w:rPr>
        <w:t xml:space="preserve">A Pearson correlation coefficient was computed to assess the linear relationship between </w:t>
      </w:r>
      <w:r>
        <w:rPr>
          <w:color w:val="000000"/>
        </w:rPr>
        <w:t xml:space="preserve">GPF </w:t>
      </w:r>
      <w:r w:rsidRPr="00DE67EB">
        <w:rPr>
          <w:color w:val="000000"/>
        </w:rPr>
        <w:t xml:space="preserve">and MPA. There was a </w:t>
      </w:r>
      <w:r w:rsidR="0053487B">
        <w:rPr>
          <w:color w:val="000000"/>
        </w:rPr>
        <w:t xml:space="preserve">significant </w:t>
      </w:r>
      <w:r w:rsidRPr="00DE67EB">
        <w:rPr>
          <w:color w:val="000000"/>
        </w:rPr>
        <w:t xml:space="preserve">negative correlation between the two variables, </w:t>
      </w:r>
      <w:proofErr w:type="gramStart"/>
      <w:r w:rsidRPr="0053487B">
        <w:rPr>
          <w:i/>
          <w:iCs/>
          <w:color w:val="000000"/>
        </w:rPr>
        <w:t>r</w:t>
      </w:r>
      <w:r w:rsidRPr="00DE67EB">
        <w:rPr>
          <w:color w:val="000000"/>
        </w:rPr>
        <w:t>(</w:t>
      </w:r>
      <w:proofErr w:type="gramEnd"/>
      <w:r w:rsidRPr="00DE67EB">
        <w:rPr>
          <w:color w:val="000000"/>
        </w:rPr>
        <w:t xml:space="preserve">25) = -.498, </w:t>
      </w:r>
      <w:r w:rsidRPr="00CB2FCB">
        <w:rPr>
          <w:i/>
          <w:iCs/>
          <w:color w:val="000000"/>
        </w:rPr>
        <w:t>p</w:t>
      </w:r>
      <w:r w:rsidRPr="00DE67EB">
        <w:rPr>
          <w:color w:val="000000"/>
        </w:rPr>
        <w:t xml:space="preserve"> = .004.</w:t>
      </w:r>
      <w:r>
        <w:rPr>
          <w:color w:val="000000"/>
        </w:rPr>
        <w:t xml:space="preserve"> </w:t>
      </w:r>
      <w:r w:rsidRPr="00DE67EB">
        <w:rPr>
          <w:color w:val="000000"/>
        </w:rPr>
        <w:t xml:space="preserve">Simple linear regression was used to test if </w:t>
      </w:r>
      <w:r>
        <w:rPr>
          <w:color w:val="000000"/>
        </w:rPr>
        <w:t>GPF</w:t>
      </w:r>
      <w:r w:rsidRPr="00DE67EB">
        <w:rPr>
          <w:color w:val="000000"/>
        </w:rPr>
        <w:t xml:space="preserve"> significantly predicted levels of MPA. The fitted regression model was</w:t>
      </w:r>
      <w:r w:rsidR="0053487B">
        <w:rPr>
          <w:color w:val="000000"/>
        </w:rPr>
        <w:t xml:space="preserve"> as follows</w:t>
      </w:r>
      <w:r w:rsidRPr="00DE67EB">
        <w:rPr>
          <w:color w:val="000000"/>
        </w:rPr>
        <w:t>: y = 75.97 - 6.98*(</w:t>
      </w:r>
      <w:r w:rsidR="0053487B">
        <w:rPr>
          <w:color w:val="000000"/>
        </w:rPr>
        <w:t>GPF</w:t>
      </w:r>
      <w:r w:rsidRPr="00DE67EB">
        <w:rPr>
          <w:color w:val="000000"/>
        </w:rPr>
        <w:t>). The overall regression was statistically significant (R</w:t>
      </w:r>
      <w:proofErr w:type="gramStart"/>
      <w:r w:rsidRPr="00DE67EB">
        <w:rPr>
          <w:color w:val="000000"/>
          <w:sz w:val="14"/>
          <w:szCs w:val="14"/>
          <w:vertAlign w:val="superscript"/>
        </w:rPr>
        <w:t xml:space="preserve">2 </w:t>
      </w:r>
      <w:r w:rsidRPr="00DE67EB">
        <w:rPr>
          <w:color w:val="000000"/>
        </w:rPr>
        <w:t> =</w:t>
      </w:r>
      <w:proofErr w:type="gramEnd"/>
      <w:r w:rsidRPr="00DE67EB">
        <w:rPr>
          <w:color w:val="000000"/>
        </w:rPr>
        <w:t xml:space="preserve"> .248, F(1, 25) = 8.24, </w:t>
      </w:r>
      <w:r w:rsidRPr="0053487B">
        <w:rPr>
          <w:i/>
          <w:iCs/>
          <w:color w:val="000000"/>
        </w:rPr>
        <w:t>p</w:t>
      </w:r>
      <w:r w:rsidRPr="00DE67EB">
        <w:rPr>
          <w:color w:val="000000"/>
        </w:rPr>
        <w:t xml:space="preserve"> = .008), with </w:t>
      </w:r>
      <w:r>
        <w:rPr>
          <w:color w:val="000000"/>
        </w:rPr>
        <w:t>G</w:t>
      </w:r>
      <w:r w:rsidR="0053487B">
        <w:rPr>
          <w:color w:val="000000"/>
        </w:rPr>
        <w:t>PF</w:t>
      </w:r>
      <w:r w:rsidRPr="00DE67EB">
        <w:rPr>
          <w:color w:val="000000"/>
        </w:rPr>
        <w:t xml:space="preserve"> significantly predicting decreases in MPA (β = -6.98, </w:t>
      </w:r>
      <w:r w:rsidRPr="0053487B">
        <w:rPr>
          <w:i/>
          <w:iCs/>
          <w:color w:val="000000"/>
        </w:rPr>
        <w:t>p</w:t>
      </w:r>
      <w:r w:rsidRPr="00DE67EB">
        <w:rPr>
          <w:color w:val="000000"/>
        </w:rPr>
        <w:t xml:space="preserve"> = .008).</w:t>
      </w:r>
    </w:p>
    <w:p w14:paraId="5001003E" w14:textId="1D41FDDE" w:rsidR="00CB2FCB" w:rsidRPr="009E78BD" w:rsidRDefault="00CB2FCB" w:rsidP="009E78BD">
      <w:pPr>
        <w:pStyle w:val="NormalWeb"/>
        <w:spacing w:before="0" w:beforeAutospacing="0" w:after="0" w:afterAutospacing="0" w:line="480" w:lineRule="auto"/>
        <w:jc w:val="center"/>
        <w:textAlignment w:val="baseline"/>
        <w:rPr>
          <w:color w:val="000000"/>
        </w:rPr>
      </w:pPr>
      <w:r w:rsidRPr="00CB2FCB">
        <w:rPr>
          <w:b/>
          <w:bCs/>
          <w:color w:val="000000"/>
        </w:rPr>
        <w:t>Exploratory Examination of Predictors of PPQ and MPA</w:t>
      </w:r>
    </w:p>
    <w:p w14:paraId="4A4C69B0" w14:textId="03A4E059" w:rsidR="00CB2FCB" w:rsidRDefault="00CB2FCB" w:rsidP="00CB2FCB">
      <w:pPr>
        <w:pStyle w:val="NormalWeb"/>
        <w:spacing w:before="0" w:beforeAutospacing="0" w:after="0" w:afterAutospacing="0" w:line="480" w:lineRule="auto"/>
      </w:pPr>
      <w:r>
        <w:tab/>
      </w:r>
      <w:r>
        <w:rPr>
          <w:color w:val="000000"/>
        </w:rPr>
        <w:t xml:space="preserve">Two stepwise multiple regressions were conducted to identify possible predictors of PPQ and MPA using the six subscale scores of the MPFI (measures of psychological flexibility: acceptance, present-moment awareness, self-as-context, defusion, values, and committed action). </w:t>
      </w:r>
      <w:r>
        <w:rPr>
          <w:color w:val="000000"/>
        </w:rPr>
        <w:lastRenderedPageBreak/>
        <w:t xml:space="preserve">Predictor variables were added based on </w:t>
      </w:r>
      <w:r w:rsidRPr="003C32B6">
        <w:rPr>
          <w:i/>
          <w:iCs/>
          <w:color w:val="000000"/>
        </w:rPr>
        <w:t>p</w:t>
      </w:r>
      <w:r>
        <w:rPr>
          <w:color w:val="000000"/>
        </w:rPr>
        <w:t xml:space="preserve"> values</w:t>
      </w:r>
      <w:r w:rsidR="00D51241">
        <w:rPr>
          <w:color w:val="000000"/>
        </w:rPr>
        <w:t xml:space="preserve"> </w:t>
      </w:r>
      <w:r w:rsidR="00D51241">
        <w:t>equal to or less than .05</w:t>
      </w:r>
      <w:r>
        <w:rPr>
          <w:color w:val="000000"/>
        </w:rPr>
        <w:t xml:space="preserve">. Bivariate correlations between each subscale score and the outcome variables are provided in Table 3. The results of the regression indicated that one psychological flexibility measure, </w:t>
      </w:r>
      <w:r w:rsidR="00AE6F69">
        <w:rPr>
          <w:color w:val="000000"/>
        </w:rPr>
        <w:t xml:space="preserve">cognitive </w:t>
      </w:r>
      <w:r>
        <w:rPr>
          <w:color w:val="000000"/>
        </w:rPr>
        <w:t>defusion, significantly predicted both perceived performance quality and music performance anxiety.</w:t>
      </w:r>
      <w:r w:rsidR="00AE6F69">
        <w:rPr>
          <w:color w:val="000000"/>
        </w:rPr>
        <w:t xml:space="preserve"> Cognitive defusion (</w:t>
      </w:r>
      <w:r w:rsidR="00CE4F9B">
        <w:t>or simply, “defusion”</w:t>
      </w:r>
      <w:r w:rsidR="00AE6F69">
        <w:rPr>
          <w:color w:val="000000"/>
        </w:rPr>
        <w:t>) is conceptualized as the learned ability to observe or witness one’s private experiences (thoughts, images, memories) with a quality of detachment (Harris, 2009). In the context of music performance</w:t>
      </w:r>
      <w:r w:rsidR="00CE4F9B">
        <w:rPr>
          <w:color w:val="000000"/>
        </w:rPr>
        <w:t xml:space="preserve"> anxiety</w:t>
      </w:r>
      <w:r w:rsidR="00AE6F69">
        <w:rPr>
          <w:color w:val="000000"/>
        </w:rPr>
        <w:t xml:space="preserve">, defusion can be understood as the </w:t>
      </w:r>
      <w:r w:rsidR="00CE4F9B" w:rsidRPr="006B7838">
        <w:t>ability to disengage from unhelpful thoughts and feelings prior to and during performance</w:t>
      </w:r>
      <w:r w:rsidR="00CE4F9B">
        <w:t>.</w:t>
      </w:r>
    </w:p>
    <w:p w14:paraId="576DC209" w14:textId="24488ADE" w:rsidR="006602CD" w:rsidRPr="00F15587" w:rsidRDefault="00CB2FCB" w:rsidP="00F15587">
      <w:pPr>
        <w:pStyle w:val="NormalWeb"/>
        <w:spacing w:before="0" w:beforeAutospacing="0" w:after="0" w:afterAutospacing="0" w:line="480" w:lineRule="auto"/>
        <w:textAlignment w:val="baseline"/>
        <w:rPr>
          <w:color w:val="000000"/>
        </w:rPr>
      </w:pPr>
      <w:r>
        <w:rPr>
          <w:color w:val="000000"/>
        </w:rPr>
        <w:tab/>
        <w:t>In the first regression, the defusion score explained 24% of the variance (R</w:t>
      </w:r>
      <w:r>
        <w:rPr>
          <w:color w:val="000000"/>
          <w:sz w:val="14"/>
          <w:szCs w:val="14"/>
          <w:vertAlign w:val="superscript"/>
        </w:rPr>
        <w:t>2</w:t>
      </w:r>
      <w:r>
        <w:rPr>
          <w:color w:val="000000"/>
        </w:rPr>
        <w:t xml:space="preserve"> = .24, </w:t>
      </w:r>
      <w:proofErr w:type="gramStart"/>
      <w:r>
        <w:rPr>
          <w:color w:val="000000"/>
        </w:rPr>
        <w:t>F(</w:t>
      </w:r>
      <w:proofErr w:type="gramEnd"/>
      <w:r>
        <w:rPr>
          <w:color w:val="000000"/>
        </w:rPr>
        <w:t xml:space="preserve">1, 25) = 7.99) and significantly predicted increases in perceived performance quality (β = .49, </w:t>
      </w:r>
      <w:r w:rsidRPr="0053487B">
        <w:rPr>
          <w:i/>
          <w:iCs/>
          <w:color w:val="000000"/>
        </w:rPr>
        <w:t>p</w:t>
      </w:r>
      <w:r>
        <w:rPr>
          <w:color w:val="000000"/>
        </w:rPr>
        <w:t xml:space="preserve"> = .009). </w:t>
      </w:r>
      <w:r w:rsidR="00C90D32">
        <w:rPr>
          <w:color w:val="000000"/>
        </w:rPr>
        <w:t>The effect size of the first regression was medium</w:t>
      </w:r>
      <w:r w:rsidR="00F15587">
        <w:rPr>
          <w:color w:val="000000"/>
        </w:rPr>
        <w:t xml:space="preserve"> to large </w:t>
      </w:r>
      <w:r w:rsidR="00C90D32">
        <w:rPr>
          <w:color w:val="000000"/>
        </w:rPr>
        <w:t>(</w:t>
      </w:r>
      <w:r w:rsidR="00C90D32" w:rsidRPr="00C90D32">
        <w:rPr>
          <w:color w:val="000000"/>
        </w:rPr>
        <w:t>f</w:t>
      </w:r>
      <w:r w:rsidR="00C90D32" w:rsidRPr="00DE67EB">
        <w:rPr>
          <w:color w:val="000000"/>
          <w:sz w:val="14"/>
          <w:szCs w:val="14"/>
          <w:vertAlign w:val="superscript"/>
        </w:rPr>
        <w:t>2</w:t>
      </w:r>
      <w:r w:rsidR="00C90D32" w:rsidRPr="00C90D32">
        <w:rPr>
          <w:color w:val="000000"/>
        </w:rPr>
        <w:t xml:space="preserve"> = .319</w:t>
      </w:r>
      <w:r w:rsidR="00C90D32">
        <w:rPr>
          <w:color w:val="000000"/>
        </w:rPr>
        <w:t xml:space="preserve">). </w:t>
      </w:r>
      <w:r w:rsidRPr="00DE67EB">
        <w:rPr>
          <w:color w:val="000000"/>
        </w:rPr>
        <w:t>In the second regression, the defusion score explained 34% of the variance (R</w:t>
      </w:r>
      <w:r w:rsidRPr="00DE67EB">
        <w:rPr>
          <w:color w:val="000000"/>
          <w:sz w:val="14"/>
          <w:szCs w:val="14"/>
          <w:vertAlign w:val="superscript"/>
        </w:rPr>
        <w:t>2</w:t>
      </w:r>
      <w:r w:rsidRPr="00DE67EB">
        <w:rPr>
          <w:color w:val="000000"/>
        </w:rPr>
        <w:t xml:space="preserve"> = .34, </w:t>
      </w:r>
      <w:proofErr w:type="gramStart"/>
      <w:r w:rsidRPr="00DE67EB">
        <w:rPr>
          <w:color w:val="000000"/>
        </w:rPr>
        <w:t>F(</w:t>
      </w:r>
      <w:proofErr w:type="gramEnd"/>
      <w:r w:rsidRPr="00DE67EB">
        <w:rPr>
          <w:color w:val="000000"/>
        </w:rPr>
        <w:t xml:space="preserve">1, 25) = 13.06) and significantly predicted decreases in performance anxiety (β = -.59, </w:t>
      </w:r>
      <w:r w:rsidRPr="0053487B">
        <w:rPr>
          <w:i/>
          <w:iCs/>
          <w:color w:val="000000"/>
        </w:rPr>
        <w:t>p</w:t>
      </w:r>
      <w:r w:rsidRPr="00DE67EB">
        <w:rPr>
          <w:color w:val="000000"/>
        </w:rPr>
        <w:t xml:space="preserve"> = .001).</w:t>
      </w:r>
      <w:r w:rsidR="00C90D32">
        <w:rPr>
          <w:color w:val="000000"/>
        </w:rPr>
        <w:t xml:space="preserve"> The effect size of the second regression </w:t>
      </w:r>
      <w:r w:rsidR="00F15587">
        <w:rPr>
          <w:color w:val="000000"/>
        </w:rPr>
        <w:t>was large (</w:t>
      </w:r>
      <w:bookmarkStart w:id="9" w:name="_Toc420995909"/>
      <w:bookmarkStart w:id="10" w:name="_Toc422997496"/>
      <w:bookmarkStart w:id="11" w:name="_Toc427156479"/>
      <w:r w:rsidR="00F15587">
        <w:rPr>
          <w:color w:val="000000"/>
        </w:rPr>
        <w:t>f</w:t>
      </w:r>
      <w:r w:rsidR="00F15587" w:rsidRPr="00DE67EB">
        <w:rPr>
          <w:color w:val="000000"/>
          <w:sz w:val="14"/>
          <w:szCs w:val="14"/>
          <w:vertAlign w:val="superscript"/>
        </w:rPr>
        <w:t>2</w:t>
      </w:r>
      <w:r w:rsidR="00F15587">
        <w:rPr>
          <w:color w:val="000000"/>
        </w:rPr>
        <w:t xml:space="preserve"> = .522). </w:t>
      </w:r>
    </w:p>
    <w:p w14:paraId="751C0963" w14:textId="77777777" w:rsidR="006602CD" w:rsidRDefault="006602CD" w:rsidP="006B7838">
      <w:pPr>
        <w:spacing w:line="480" w:lineRule="auto"/>
        <w:ind w:firstLine="720"/>
      </w:pPr>
    </w:p>
    <w:p w14:paraId="6F35197A" w14:textId="77777777" w:rsidR="006602CD" w:rsidRDefault="006602CD" w:rsidP="006B7838">
      <w:pPr>
        <w:spacing w:line="480" w:lineRule="auto"/>
        <w:ind w:firstLine="720"/>
      </w:pPr>
    </w:p>
    <w:p w14:paraId="42AA6E27" w14:textId="77777777" w:rsidR="006602CD" w:rsidRDefault="006602CD" w:rsidP="006B7838">
      <w:pPr>
        <w:spacing w:line="480" w:lineRule="auto"/>
        <w:ind w:firstLine="720"/>
      </w:pPr>
    </w:p>
    <w:p w14:paraId="733352F1" w14:textId="77777777" w:rsidR="006602CD" w:rsidRDefault="006602CD" w:rsidP="006B7838">
      <w:pPr>
        <w:spacing w:line="480" w:lineRule="auto"/>
        <w:ind w:firstLine="720"/>
      </w:pPr>
    </w:p>
    <w:p w14:paraId="47BDAFF9" w14:textId="77777777" w:rsidR="006602CD" w:rsidRDefault="006602CD" w:rsidP="006B7838">
      <w:pPr>
        <w:spacing w:line="480" w:lineRule="auto"/>
        <w:ind w:firstLine="720"/>
      </w:pPr>
    </w:p>
    <w:p w14:paraId="3374AD5B" w14:textId="673F6802" w:rsidR="006A0202" w:rsidRDefault="006A0202" w:rsidP="00CB2FCB">
      <w:pPr>
        <w:spacing w:line="480" w:lineRule="auto"/>
      </w:pPr>
    </w:p>
    <w:p w14:paraId="0685FEFB" w14:textId="77777777" w:rsidR="00CE4F9B" w:rsidRDefault="00CE4F9B" w:rsidP="00CB2FCB">
      <w:pPr>
        <w:spacing w:line="480" w:lineRule="auto"/>
      </w:pPr>
    </w:p>
    <w:p w14:paraId="7200BAFD" w14:textId="77777777" w:rsidR="006602CD" w:rsidRDefault="006602CD" w:rsidP="006B7838">
      <w:pPr>
        <w:spacing w:line="480" w:lineRule="auto"/>
        <w:ind w:firstLine="720"/>
      </w:pPr>
    </w:p>
    <w:p w14:paraId="1F987AE5" w14:textId="0691DB55" w:rsidR="006602CD" w:rsidRPr="006602CD" w:rsidRDefault="006602CD" w:rsidP="00F92C78">
      <w:pPr>
        <w:spacing w:line="480" w:lineRule="auto"/>
        <w:jc w:val="center"/>
        <w:rPr>
          <w:b/>
          <w:bCs/>
        </w:rPr>
      </w:pPr>
      <w:r w:rsidRPr="006602CD">
        <w:rPr>
          <w:b/>
          <w:bCs/>
        </w:rPr>
        <w:lastRenderedPageBreak/>
        <w:t>CHAPTER FOUR</w:t>
      </w:r>
    </w:p>
    <w:p w14:paraId="249804FA" w14:textId="7F52C868" w:rsidR="006602CD" w:rsidRPr="006602CD" w:rsidRDefault="006602CD" w:rsidP="006602CD">
      <w:pPr>
        <w:spacing w:line="480" w:lineRule="auto"/>
        <w:jc w:val="center"/>
        <w:rPr>
          <w:b/>
          <w:bCs/>
        </w:rPr>
      </w:pPr>
      <w:r w:rsidRPr="006602CD">
        <w:rPr>
          <w:b/>
          <w:bCs/>
        </w:rPr>
        <w:t>DISCUSSION</w:t>
      </w:r>
    </w:p>
    <w:p w14:paraId="21211316" w14:textId="3904C838" w:rsidR="006B7838" w:rsidRPr="006B7838" w:rsidRDefault="00163A3E" w:rsidP="006B7838">
      <w:pPr>
        <w:spacing w:line="480" w:lineRule="auto"/>
        <w:ind w:firstLine="720"/>
      </w:pPr>
      <w:r>
        <w:t>Regarding</w:t>
      </w:r>
      <w:r w:rsidR="006B7838" w:rsidRPr="006B7838">
        <w:t xml:space="preserve"> the two main research questions of the study, results show (1) a significant positive </w:t>
      </w:r>
      <w:r w:rsidR="00D540B4">
        <w:t>relationship</w:t>
      </w:r>
      <w:r w:rsidR="006B7838" w:rsidRPr="006B7838">
        <w:t xml:space="preserve"> between global psychological flexibility </w:t>
      </w:r>
      <w:r w:rsidR="00D540B4">
        <w:t xml:space="preserve">(GPF) </w:t>
      </w:r>
      <w:r w:rsidR="006B7838" w:rsidRPr="006B7838">
        <w:t xml:space="preserve">and perceived performance quality (PPQ) and (2) a significant inverse </w:t>
      </w:r>
      <w:r w:rsidR="00D540B4">
        <w:t>relationship</w:t>
      </w:r>
      <w:r w:rsidR="006B7838" w:rsidRPr="006B7838">
        <w:t xml:space="preserve"> between </w:t>
      </w:r>
      <w:r w:rsidR="00D540B4">
        <w:t>GPF</w:t>
      </w:r>
      <w:r w:rsidR="006B7838" w:rsidRPr="006B7838">
        <w:t xml:space="preserve"> and music performance anxiety (MPA). These findings both support the researcher’s hypotheses and align with the theoretical principles of </w:t>
      </w:r>
      <w:r w:rsidR="00D540B4">
        <w:t>a</w:t>
      </w:r>
      <w:r w:rsidR="006B7838" w:rsidRPr="006B7838">
        <w:t xml:space="preserve">cceptance and </w:t>
      </w:r>
      <w:r w:rsidR="00D540B4">
        <w:t>c</w:t>
      </w:r>
      <w:r w:rsidR="006B7838" w:rsidRPr="006B7838">
        <w:t xml:space="preserve">ommitment </w:t>
      </w:r>
      <w:r w:rsidR="00D540B4">
        <w:t>t</w:t>
      </w:r>
      <w:r w:rsidR="006B7838" w:rsidRPr="006B7838">
        <w:t xml:space="preserve">herapy, which view psychological flexibility as a means </w:t>
      </w:r>
      <w:r w:rsidR="00D540B4">
        <w:t>of</w:t>
      </w:r>
      <w:r w:rsidR="006B7838" w:rsidRPr="006B7838">
        <w:t xml:space="preserve"> enhanc</w:t>
      </w:r>
      <w:r w:rsidR="00D540B4">
        <w:t>ing</w:t>
      </w:r>
      <w:r w:rsidR="006B7838" w:rsidRPr="006B7838">
        <w:t xml:space="preserve"> engagement in values-congruent action. Exploratory analyses indicated that one facet of psychological flexibility, defusion, significantly predicted both increases in PPQ and decreases in MPA. These findings suggest that defusion, or the ability to disengage from unhelpful thoughts and feelings prior to and during performance, is a performance-enhancing skill that should be emphasized in future MPA interventions.</w:t>
      </w:r>
    </w:p>
    <w:p w14:paraId="0CE5F708" w14:textId="418E0235" w:rsidR="006B7838" w:rsidRPr="006B7838" w:rsidRDefault="006B7838" w:rsidP="006B7838">
      <w:pPr>
        <w:spacing w:line="480" w:lineRule="auto"/>
      </w:pPr>
      <w:r w:rsidRPr="006B7838">
        <w:tab/>
        <w:t xml:space="preserve">In support of hypothesis 1, results show that students with higher levels of psychological flexibility reported higher quality performance outcomes. Although this finding is only correlational, the positive relationship aligns with findings from empirical ACT for MPA studies in which improvements in performance quality followed increases in psychological flexibility at post-treatment (Juncos &amp; Markman, 2016; Juncos et al., 2017). In the context of previous </w:t>
      </w:r>
      <w:r w:rsidR="00AF58C4">
        <w:t>studies,</w:t>
      </w:r>
      <w:r w:rsidRPr="006B7838">
        <w:t xml:space="preserve"> the </w:t>
      </w:r>
      <w:r w:rsidR="00D540B4">
        <w:t>relationship</w:t>
      </w:r>
      <w:r w:rsidRPr="006B7838">
        <w:t xml:space="preserve"> found in the present study supports the rationale to increase psychological flexibility </w:t>
      </w:r>
      <w:proofErr w:type="gramStart"/>
      <w:r w:rsidRPr="006B7838">
        <w:t>in order to</w:t>
      </w:r>
      <w:proofErr w:type="gramEnd"/>
      <w:r w:rsidRPr="006B7838">
        <w:t xml:space="preserve"> strengthen performance skills among university music students. Notably, while musicians are trained to be analytic and critical in the practice room, they require a separate set of mental skills for performance itself, during which mental judgments (e.g., labeling sounds as “good” or “bad”) become distracting rather than helpful. In this regard, </w:t>
      </w:r>
      <w:r w:rsidRPr="006B7838">
        <w:lastRenderedPageBreak/>
        <w:t>advanced-level musical performance involves skills closely related to the ACT hexaflex processes</w:t>
      </w:r>
      <w:r w:rsidR="00B90F0E">
        <w:t>:</w:t>
      </w:r>
      <w:r w:rsidRPr="006B7838">
        <w:t xml:space="preserve"> successful performance requires the musician to remain focused on the present-moment task, disengage from mental chatter, and respond flexibly to situational stressors while committing fully to their musical intentions (i.e., performance values). In sum, music performance skills are akin to multiple facets of psychological flexibility and may be readily targeted through hexaflex exercises within an ACT for MPA protocol.</w:t>
      </w:r>
    </w:p>
    <w:p w14:paraId="6D429EAF" w14:textId="75CC6B42" w:rsidR="006B7838" w:rsidRPr="006B7838" w:rsidRDefault="006B7838" w:rsidP="006B7838">
      <w:pPr>
        <w:spacing w:line="480" w:lineRule="auto"/>
        <w:ind w:firstLine="720"/>
      </w:pPr>
      <w:r w:rsidRPr="006B7838">
        <w:t xml:space="preserve">In support of hypothesis 2, results from the present study show that students with higher levels of psychological flexibility reported lower levels of music performance anxiety. This finding </w:t>
      </w:r>
      <w:r w:rsidR="000E5D1B">
        <w:t>is congruent</w:t>
      </w:r>
      <w:r w:rsidRPr="006B7838">
        <w:t xml:space="preserve"> with </w:t>
      </w:r>
      <w:r w:rsidR="00FA3C5E">
        <w:t xml:space="preserve">results from </w:t>
      </w:r>
      <w:r w:rsidRPr="006B7838">
        <w:t>empirical ACT for MPA studies</w:t>
      </w:r>
      <w:r w:rsidR="00FA3C5E">
        <w:t xml:space="preserve"> in which</w:t>
      </w:r>
      <w:r w:rsidRPr="006B7838">
        <w:t xml:space="preserve"> musicians experienced significant decreases in MPA following ACT treatment (Clarke et al., 2020; Juncos &amp; Markman, 2016; Juncos et al., 2017). With adherence to the theoretical principles of ACT, authors across ACT for MPA studies emphasize that, although symptom reduction is not the goal of treatment, decreases in symptom severity commonly follow increases in psychological flexibility</w:t>
      </w:r>
      <w:r w:rsidR="000E5D1B">
        <w:t>; t</w:t>
      </w:r>
      <w:r w:rsidRPr="006B7838">
        <w:t>hus, decreased MPA should be regarded as a “side benefit” in ACT for MPA protocols. By nature of the task, music performance situations, and especially those involving high personal stakes or evaluative threat, commonly elicit psychological discomfort for performers</w:t>
      </w:r>
      <w:r w:rsidR="006A0202">
        <w:t xml:space="preserve"> </w:t>
      </w:r>
      <w:r w:rsidRPr="006B7838">
        <w:t>irrespective of experience or level of training</w:t>
      </w:r>
      <w:r w:rsidR="00B90F0E">
        <w:t xml:space="preserve"> (Kenny, 2009b)</w:t>
      </w:r>
      <w:r w:rsidRPr="006B7838">
        <w:t xml:space="preserve">. The presence of MPA symptoms may therefore be conceptualized as a non-pathological experience that is at times proportional to the situational stressor. As discussed by leading ACT clinicians (Harris, 2009; Hayes, 2006), attempts to eliminate or control unwanted private experiences (e.g., thoughts, emotions, </w:t>
      </w:r>
      <w:r w:rsidR="006A1E6E">
        <w:t xml:space="preserve">memories, </w:t>
      </w:r>
      <w:r w:rsidRPr="006B7838">
        <w:t>or s</w:t>
      </w:r>
      <w:r w:rsidR="006A1E6E">
        <w:t>ensations</w:t>
      </w:r>
      <w:r w:rsidRPr="006B7838">
        <w:t xml:space="preserve">) are often both distracting and futile. </w:t>
      </w:r>
      <w:r w:rsidR="00B90F0E">
        <w:t>Therefore, w</w:t>
      </w:r>
      <w:r w:rsidRPr="006B7838">
        <w:t xml:space="preserve">ithin the </w:t>
      </w:r>
      <w:r w:rsidRPr="006B7838">
        <w:lastRenderedPageBreak/>
        <w:t>context of music performance, increasing psychological flexibility presents a more workable strategy for musicians who seek methods of managing the full spectrum of MPA experiences.</w:t>
      </w:r>
    </w:p>
    <w:p w14:paraId="001972BC" w14:textId="5E5F97AF" w:rsidR="006602CD" w:rsidRDefault="006B7838" w:rsidP="00C05C2F">
      <w:pPr>
        <w:spacing w:line="480" w:lineRule="auto"/>
        <w:ind w:firstLine="720"/>
      </w:pPr>
      <w:r w:rsidRPr="006B7838">
        <w:t xml:space="preserve">In the present study’s exploratory analysis of the six facets of psychological flexibility, cognitive defusion emerged as a strong predictor of both PPQ and MPA. This finding regarding the power of defusion to predict increases in performance quality and decreases in MPA supports previous research investigating ACT for MPA. In two intervention studies, all seven music student participants demonstrated significant increases </w:t>
      </w:r>
      <w:r w:rsidR="003E709E">
        <w:t>in cognitive defusion</w:t>
      </w:r>
      <w:r w:rsidRPr="006B7838">
        <w:t>, significant increases in performance quality, and significant decreases in MPA symptoms (Juncos &amp; Markman, 2016; Juncos et al., 2017). The inverse relationship between defusion and MPA in the present study also aligns with research showing that university music students with higher levels of trait mindfulness experience lower levels of performance anxiety (Diaz, 2018). Third</w:t>
      </w:r>
      <w:r w:rsidR="006A1E6E">
        <w:t>-</w:t>
      </w:r>
      <w:r w:rsidRPr="006B7838">
        <w:t xml:space="preserve">wave therapies such as ACT that specialize in helping clients learn </w:t>
      </w:r>
      <w:r w:rsidRPr="006A0202">
        <w:t>mindfulness-based skills (such as cognitive defusion)</w:t>
      </w:r>
      <w:r w:rsidRPr="006B7838">
        <w:t xml:space="preserve"> may therefore be well-suited to help musicians who seek to manage MPA experiences.</w:t>
      </w:r>
      <w:r w:rsidR="00C05C2F">
        <w:t xml:space="preserve"> </w:t>
      </w:r>
      <w:r w:rsidRPr="006B7838">
        <w:t xml:space="preserve">Although some participants in ACT for MPA studies strengthened multiple dimensions of psychological flexibility over the course of treatment (Juncos &amp; Markman, 2016; Juncos et al., 2017), defusion emerged as </w:t>
      </w:r>
      <w:r w:rsidR="006A1E6E">
        <w:t>the sole</w:t>
      </w:r>
      <w:r w:rsidRPr="006B7838">
        <w:t xml:space="preserve"> significant predictor of PPQ and MPA in the present study. As such, it is worth considering whether defusion translates more directly to the demands of skilled performance relative to other hexaflex processes, or if alternative explanations (e.g., statistical constraints) may account for this finding. </w:t>
      </w:r>
      <w:bookmarkStart w:id="12" w:name="_akjtxwpgcpxi" w:colFirst="0" w:colLast="0"/>
      <w:bookmarkEnd w:id="12"/>
    </w:p>
    <w:p w14:paraId="73596415" w14:textId="1BF7F28C" w:rsidR="006602CD" w:rsidRPr="006602CD" w:rsidRDefault="006602CD" w:rsidP="006602CD">
      <w:pPr>
        <w:spacing w:line="480" w:lineRule="auto"/>
        <w:jc w:val="center"/>
        <w:rPr>
          <w:b/>
          <w:bCs/>
        </w:rPr>
      </w:pPr>
      <w:r>
        <w:rPr>
          <w:b/>
          <w:bCs/>
        </w:rPr>
        <w:t>Utility of Cognitive Defusion</w:t>
      </w:r>
    </w:p>
    <w:p w14:paraId="1DD70835" w14:textId="4DCD544D" w:rsidR="006B7838" w:rsidRPr="006B7838" w:rsidRDefault="006B7838" w:rsidP="004E673C">
      <w:pPr>
        <w:spacing w:line="480" w:lineRule="auto"/>
        <w:ind w:firstLine="720"/>
      </w:pPr>
      <w:r w:rsidRPr="006B7838">
        <w:t xml:space="preserve">As described by Harris (2009), cognitive defusion is the learned ability to observe one’s inner experiences without becoming “entangled” with them. Harris elaborates that, in a state of </w:t>
      </w:r>
      <w:r w:rsidRPr="006B7838">
        <w:lastRenderedPageBreak/>
        <w:t>fusion (the opposite of defusion), a thought can be experienced as the absolute truth, a command to obey, something that requires all of one’s attention, or a threat to eliminate as soon as possible. For example, in the context of music performance, fusion can be experienced as getting “caught up” in MPA-related thoughts</w:t>
      </w:r>
      <w:r w:rsidR="00A87869">
        <w:t xml:space="preserve">, memories, or images </w:t>
      </w:r>
      <w:r w:rsidRPr="006B7838">
        <w:t xml:space="preserve">(e.g., “I can’t stop shaking. </w:t>
      </w:r>
      <w:r w:rsidR="00A87869">
        <w:t>I sound horrible. What if</w:t>
      </w:r>
      <w:r w:rsidRPr="006B7838">
        <w:t xml:space="preserve"> </w:t>
      </w:r>
      <w:r w:rsidR="00A87869">
        <w:t>I</w:t>
      </w:r>
      <w:r w:rsidRPr="006B7838">
        <w:t xml:space="preserve"> drop my instrument</w:t>
      </w:r>
      <w:r w:rsidR="00A87869">
        <w:t xml:space="preserve">? </w:t>
      </w:r>
      <w:r w:rsidRPr="006B7838">
        <w:t xml:space="preserve">Everyone </w:t>
      </w:r>
      <w:r w:rsidR="00A87869">
        <w:t xml:space="preserve">knows I’m the worst.”). </w:t>
      </w:r>
      <w:r w:rsidRPr="006B7838">
        <w:t xml:space="preserve">Attempts to control or eliminate these fears may then consume the musician’s attention, leading to the occurrence of performance errors (e.g., missing an </w:t>
      </w:r>
      <w:proofErr w:type="gramStart"/>
      <w:r w:rsidRPr="006B7838">
        <w:t>entrance;</w:t>
      </w:r>
      <w:proofErr w:type="gramEnd"/>
      <w:r w:rsidRPr="006B7838">
        <w:t xml:space="preserve"> having a memory slip). Conversely, defusion allows one to become </w:t>
      </w:r>
      <w:r w:rsidR="00A51E34">
        <w:t>“</w:t>
      </w:r>
      <w:r w:rsidRPr="006B7838">
        <w:t>less reactive to</w:t>
      </w:r>
      <w:r w:rsidR="00A51E34">
        <w:t xml:space="preserve"> </w:t>
      </w:r>
      <w:r w:rsidRPr="006B7838">
        <w:t>unwanted internal experiences</w:t>
      </w:r>
      <w:r w:rsidR="00A51E34">
        <w:t>”</w:t>
      </w:r>
      <w:r w:rsidRPr="006B7838">
        <w:t xml:space="preserve"> by creating separation between the experience and the “observing self” </w:t>
      </w:r>
      <w:r w:rsidR="00914518">
        <w:t xml:space="preserve">(Juncos and de Paiva e </w:t>
      </w:r>
      <w:proofErr w:type="spellStart"/>
      <w:r w:rsidR="00914518">
        <w:t>Pona</w:t>
      </w:r>
      <w:proofErr w:type="spellEnd"/>
      <w:r w:rsidR="00914518">
        <w:t>, 2018, p. 5)</w:t>
      </w:r>
      <w:r w:rsidR="00914518" w:rsidRPr="006B7838">
        <w:t xml:space="preserve">. </w:t>
      </w:r>
      <w:r w:rsidR="00914518">
        <w:t xml:space="preserve">In other words, defusion allows </w:t>
      </w:r>
      <w:r w:rsidRPr="006B7838">
        <w:t xml:space="preserve">an individual </w:t>
      </w:r>
      <w:r w:rsidR="00914518">
        <w:t>to</w:t>
      </w:r>
      <w:r w:rsidRPr="006B7838">
        <w:t xml:space="preserve"> witness thoughts without becoming “fused” with the narrative of the anxious mind</w:t>
      </w:r>
      <w:r w:rsidR="00914518">
        <w:t>.</w:t>
      </w:r>
      <w:r w:rsidR="00A51E34">
        <w:t xml:space="preserve"> </w:t>
      </w:r>
      <w:r w:rsidR="004E1B51">
        <w:t>To provide an exampl</w:t>
      </w:r>
      <w:r w:rsidR="00FD3DAE">
        <w:t>e</w:t>
      </w:r>
      <w:r w:rsidR="004E1B51">
        <w:t xml:space="preserve">, one defusion technique requires the </w:t>
      </w:r>
      <w:r w:rsidR="00FD3DAE">
        <w:t xml:space="preserve">participant to preface thoughts with the phrase, “I’m having the thought that…”, </w:t>
      </w:r>
      <w:r w:rsidR="00B45DB8">
        <w:t>which encourages</w:t>
      </w:r>
      <w:r w:rsidR="00FD3DAE">
        <w:t xml:space="preserve"> </w:t>
      </w:r>
      <w:r w:rsidR="00B45DB8">
        <w:t>separation between</w:t>
      </w:r>
      <w:r w:rsidR="00FD3DAE">
        <w:t xml:space="preserve"> the thought </w:t>
      </w:r>
      <w:r w:rsidR="00B45DB8">
        <w:t xml:space="preserve">itself and </w:t>
      </w:r>
      <w:r w:rsidR="00FD3DAE">
        <w:t xml:space="preserve">the </w:t>
      </w:r>
      <w:r w:rsidR="00FD3DAE" w:rsidRPr="00B45DB8">
        <w:rPr>
          <w:i/>
          <w:iCs/>
        </w:rPr>
        <w:t>witness</w:t>
      </w:r>
      <w:r w:rsidR="00FD3DAE">
        <w:t xml:space="preserve"> to the thought.</w:t>
      </w:r>
      <w:r w:rsidR="00B45DB8">
        <w:t xml:space="preserve"> </w:t>
      </w:r>
      <w:r w:rsidRPr="006B7838">
        <w:t>In a state of defusion, thoughts do not dominate one’s attention or chosen behaviors, but are regarded simply as a series of words and pictures that are allowed to come and go, enabling the individual to remain present and engaged with the task at hand</w:t>
      </w:r>
      <w:r w:rsidR="00A87869">
        <w:t xml:space="preserve"> </w:t>
      </w:r>
      <w:r w:rsidR="00E12D00">
        <w:t>(Harris, 2009)</w:t>
      </w:r>
      <w:r w:rsidRPr="006B7838">
        <w:t>.</w:t>
      </w:r>
    </w:p>
    <w:p w14:paraId="2034030D" w14:textId="2A7E9FE3" w:rsidR="006B7838" w:rsidRDefault="00B61CB1" w:rsidP="00E12D00">
      <w:pPr>
        <w:spacing w:line="480" w:lineRule="auto"/>
        <w:ind w:firstLine="720"/>
      </w:pPr>
      <w:r>
        <w:t xml:space="preserve">One </w:t>
      </w:r>
      <w:r w:rsidR="00E12D00" w:rsidRPr="006B7838">
        <w:t>possible</w:t>
      </w:r>
      <w:r>
        <w:t xml:space="preserve"> explanation regarding defusion emerging as a significant variable</w:t>
      </w:r>
      <w:r w:rsidR="00E12D00" w:rsidRPr="006B7838">
        <w:t xml:space="preserve"> in the present study </w:t>
      </w:r>
      <w:r>
        <w:t>is that</w:t>
      </w:r>
      <w:r w:rsidR="00E12D00" w:rsidRPr="006B7838">
        <w:t xml:space="preserve"> defusion processes are more readily applicable to the context of skilled performance than the other dimensions of psychological flexibility.</w:t>
      </w:r>
      <w:r w:rsidR="00E12D00">
        <w:t xml:space="preserve"> </w:t>
      </w:r>
      <w:r w:rsidR="006B7838" w:rsidRPr="006B7838">
        <w:t>Moreover, the present study did not involve an ACT for MPA intervention, and thus the hexaflex processes as represented in the MPFI were not tailored for the target population (</w:t>
      </w:r>
      <w:r w:rsidR="002B2B6A">
        <w:t>e.g.,</w:t>
      </w:r>
      <w:r w:rsidR="006B7838" w:rsidRPr="006B7838">
        <w:t xml:space="preserve"> values were not clarified within the context of music performance). Although dimensions of psychological flexibility are </w:t>
      </w:r>
      <w:r w:rsidR="006B7838" w:rsidRPr="006B7838">
        <w:lastRenderedPageBreak/>
        <w:t xml:space="preserve">interconnected and support one another (Harris, 2009; Hayes, 2006), the findings suggest that strengthening cognitive defusion may be particularly </w:t>
      </w:r>
      <w:r w:rsidR="008F0AE3">
        <w:t>useful</w:t>
      </w:r>
      <w:r w:rsidR="006B7838" w:rsidRPr="006B7838">
        <w:t xml:space="preserve"> for musicians who seek to manage the effects of MPA and ultimately enhance performance. This conclusion is supported by the work of Juncos and de Paiva e </w:t>
      </w:r>
      <w:proofErr w:type="spellStart"/>
      <w:r w:rsidR="006B7838" w:rsidRPr="006B7838">
        <w:t>Pona</w:t>
      </w:r>
      <w:proofErr w:type="spellEnd"/>
      <w:r w:rsidR="006B7838" w:rsidRPr="006B7838">
        <w:t xml:space="preserve"> (2018), who theorize that “by mindfully observing MPA symptoms and defusing from what their minds tell them about their symptoms, a musician becomes more accepting of and less reactive to those symptoms” (p. 8). While ACT for MPA protocols should pay adequate attention to all six facets of psychological flexibility over the course of treatment, skills related to defusion may warrant particular emphasis, especially </w:t>
      </w:r>
      <w:r w:rsidR="002B2B6A">
        <w:t>within</w:t>
      </w:r>
      <w:r w:rsidR="006B7838" w:rsidRPr="006B7838">
        <w:t xml:space="preserve"> brief or time-limited interventions in which exercises and treatment goals are prioritized.</w:t>
      </w:r>
      <w:bookmarkStart w:id="13" w:name="_n4lympaxw5pb" w:colFirst="0" w:colLast="0"/>
      <w:bookmarkEnd w:id="13"/>
    </w:p>
    <w:p w14:paraId="0ABFA78B" w14:textId="1E08536B" w:rsidR="006602CD" w:rsidRPr="006602CD" w:rsidRDefault="006602CD" w:rsidP="006602CD">
      <w:pPr>
        <w:spacing w:line="480" w:lineRule="auto"/>
        <w:jc w:val="center"/>
        <w:rPr>
          <w:b/>
          <w:bCs/>
        </w:rPr>
      </w:pPr>
      <w:r w:rsidRPr="006602CD">
        <w:rPr>
          <w:b/>
          <w:bCs/>
        </w:rPr>
        <w:t>Implications for Clinical Practice</w:t>
      </w:r>
    </w:p>
    <w:p w14:paraId="45CCDD07" w14:textId="48FCF3A5" w:rsidR="006B7838" w:rsidRPr="006B7838" w:rsidRDefault="006B7838" w:rsidP="006602CD">
      <w:pPr>
        <w:spacing w:line="480" w:lineRule="auto"/>
        <w:ind w:firstLine="720"/>
      </w:pPr>
      <w:r w:rsidRPr="006B7838">
        <w:t xml:space="preserve">The findings </w:t>
      </w:r>
      <w:r w:rsidR="008F0AE3">
        <w:t>are congruent with</w:t>
      </w:r>
      <w:r w:rsidRPr="006B7838">
        <w:t xml:space="preserve"> existing evidence supporting the use of ACT for treating MPA in university student populations. Results from the present study may be taken into consideration </w:t>
      </w:r>
      <w:r w:rsidR="002B2B6A">
        <w:t>when</w:t>
      </w:r>
      <w:r w:rsidRPr="006B7838">
        <w:t xml:space="preserve"> conducting individual</w:t>
      </w:r>
      <w:r w:rsidR="00F2542A">
        <w:t xml:space="preserve"> </w:t>
      </w:r>
      <w:r w:rsidR="004E673C">
        <w:t xml:space="preserve">or </w:t>
      </w:r>
      <w:r w:rsidR="00F2542A">
        <w:t>grou</w:t>
      </w:r>
      <w:r w:rsidR="00F2542A" w:rsidRPr="006B7838">
        <w:t>p</w:t>
      </w:r>
      <w:r w:rsidRPr="006B7838">
        <w:t xml:space="preserve"> therapy with musicians </w:t>
      </w:r>
      <w:r w:rsidR="002B2B6A">
        <w:t>and when</w:t>
      </w:r>
      <w:r w:rsidRPr="006B7838">
        <w:t xml:space="preserve"> designing clinical outreach efforts for music programs. For example, in addition to providing psychoeducation on MPA and performance enhancement, clinicians </w:t>
      </w:r>
      <w:r w:rsidR="002B2B6A">
        <w:t>may</w:t>
      </w:r>
      <w:r w:rsidRPr="006B7838">
        <w:t xml:space="preserve"> consider integrating ACT-based processes (such as experiential defusion exercises) into workshops for university music students and faculty. Prior research suggests that the ACT hexaflex processes are trainable outside of the context of therapy and that music faculty (in addition to mental health professionals) may facilitate the strengthening of psychological flexibility for music students (Clarke et al., 2020). Thus, ACT may offer an accessible means of addressing the needs of young musicians and bolstering the expertise of music faculty relative to other psychological interventions.</w:t>
      </w:r>
    </w:p>
    <w:p w14:paraId="5F4822A5" w14:textId="1CCE7669" w:rsidR="006B7838" w:rsidRPr="006B7838" w:rsidRDefault="006B7838" w:rsidP="006B7838">
      <w:pPr>
        <w:spacing w:line="480" w:lineRule="auto"/>
      </w:pPr>
      <w:r w:rsidRPr="006B7838">
        <w:lastRenderedPageBreak/>
        <w:tab/>
        <w:t>Clinicians unfamiliar with common practice within performing arts communities should note that many professional musicians are likely knowledgeable of certain mindfulness-based skills for performance, in part due to the influence of popular sports psychology authors such as Don Greene and Timothy Gallwey.</w:t>
      </w:r>
      <w:r w:rsidR="006A0202">
        <w:rPr>
          <w:rStyle w:val="FootnoteReference"/>
        </w:rPr>
        <w:footnoteReference w:customMarkFollows="1" w:id="3"/>
        <w:t>2</w:t>
      </w:r>
      <w:r w:rsidRPr="006B7838">
        <w:t xml:space="preserve"> This familiarity with mindfulness skills training arguably places ACT in an opportune position for acceptance within collegiate music programs, as the present study findings supporting the use of mindfulness skills (i.e., cognitive defusion) converge with contemporary wisdom within music communities on how to address performance anxiety. While musicians may be familiar with useful strategies to enhance performance and manage MPA, the integration of ACT-based scientific knowledge and practice offers conceptual clarity and provides musicians with concrete exercises and skills that are grounded in a specific psychological theory. Moreover, existing strategies that musicians use to manage MPA—especially those reminiscent of behavioral therapy such as the use of </w:t>
      </w:r>
      <w:r w:rsidR="003E1F39">
        <w:t xml:space="preserve">exposure, </w:t>
      </w:r>
      <w:r w:rsidRPr="006B7838">
        <w:t xml:space="preserve">performance fear hierarchies, visualization, and grounding skills—may be easily integrated into ACT for MPA protocols. </w:t>
      </w:r>
      <w:r w:rsidR="003E1F39">
        <w:t xml:space="preserve">Finally, ACT </w:t>
      </w:r>
      <w:r w:rsidR="00C730E5">
        <w:t>also emphasizes commitment processes</w:t>
      </w:r>
      <w:r w:rsidR="000744B9">
        <w:t xml:space="preserve"> that have been shown to increase musicians’ participation in values-congruent behavior such as performing </w:t>
      </w:r>
      <w:r w:rsidR="00250766">
        <w:t xml:space="preserve">more </w:t>
      </w:r>
      <w:r w:rsidR="000744B9">
        <w:t xml:space="preserve">regularly </w:t>
      </w:r>
      <w:r w:rsidR="00250766">
        <w:t xml:space="preserve">or </w:t>
      </w:r>
      <w:r w:rsidR="000744B9">
        <w:t>auditioning for solos (Juncos et al., 2016; Shaw et al., 2020).</w:t>
      </w:r>
    </w:p>
    <w:p w14:paraId="0142548A" w14:textId="7FC9DFE1" w:rsidR="006B7838" w:rsidRDefault="006B7838" w:rsidP="006B7838">
      <w:pPr>
        <w:spacing w:line="480" w:lineRule="auto"/>
      </w:pPr>
      <w:r w:rsidRPr="006B7838">
        <w:tab/>
        <w:t xml:space="preserve">For ACT clinicians working with musicians, the data contribute a clearer understanding of </w:t>
      </w:r>
      <w:r w:rsidR="008F0AE3">
        <w:t xml:space="preserve">the relevance of </w:t>
      </w:r>
      <w:r w:rsidRPr="006B7838">
        <w:t xml:space="preserve">psychological flexibility to the realm of music performance, with cognitive defusion standing out as the most salient hexaflex process to target over the course of treatment. In settings where treatment options are brief or time-limited (such as university counseling centers), clinicians </w:t>
      </w:r>
      <w:r w:rsidR="008F0AE3">
        <w:t>could</w:t>
      </w:r>
      <w:r w:rsidRPr="006B7838">
        <w:t xml:space="preserve"> utilize measurements of psychological flexibility (e.g., the MPFI) as an </w:t>
      </w:r>
      <w:r w:rsidRPr="006B7838">
        <w:lastRenderedPageBreak/>
        <w:t xml:space="preserve">assessment tool and consider whether strengthening cognitive defusion should be prioritized as a treatment goal. Additionally, ACT provides a conceptual framework for clinicians working with both mild and more severe presentations of MPA. Regardless of symptom severity, clinicians using an ACT-based approach should note that, because symptom reduction is not the goal of therapy, proper assessment of performance-relevant values is a critical process in setting the course of treatment. </w:t>
      </w:r>
      <w:r w:rsidR="008D468C">
        <w:t xml:space="preserve">For example, by clarifying what </w:t>
      </w:r>
      <w:r w:rsidR="00577ACF">
        <w:t>they</w:t>
      </w:r>
      <w:r w:rsidR="008D468C">
        <w:t xml:space="preserve"> find to be most personally meaningful or important about performances, </w:t>
      </w:r>
      <w:r w:rsidR="00577ACF">
        <w:t>client</w:t>
      </w:r>
      <w:r w:rsidR="008F0AE3">
        <w:t>s might</w:t>
      </w:r>
      <w:r w:rsidRPr="006B7838">
        <w:t xml:space="preserve"> shift their focus to </w:t>
      </w:r>
      <w:r w:rsidR="00914518">
        <w:t xml:space="preserve">behavior that </w:t>
      </w:r>
      <w:r w:rsidR="00D95432">
        <w:t>aligns</w:t>
      </w:r>
      <w:r w:rsidRPr="006B7838">
        <w:t xml:space="preserve"> with performance values, rather than spending energy attempting to control MPA-related symptoms (Juncos &amp; de Paiva e </w:t>
      </w:r>
      <w:proofErr w:type="spellStart"/>
      <w:r w:rsidRPr="006B7838">
        <w:t>Pona</w:t>
      </w:r>
      <w:proofErr w:type="spellEnd"/>
      <w:r w:rsidRPr="006B7838">
        <w:t>, 2018</w:t>
      </w:r>
      <w:r w:rsidR="00A106A5">
        <w:t>, p. 10</w:t>
      </w:r>
      <w:r w:rsidRPr="006B7838">
        <w:t>). Further, because performance values are not the same as performance goals, musicians with increased psychological flexibility may be better able to persist in the direction of their values even when performances do not meet personal standards. Hence, targeting psychological flexibility may also help cultivate resilience, self-compassion, and a larger perspective for the demanding field of music performance.</w:t>
      </w:r>
      <w:bookmarkStart w:id="14" w:name="_81si4iwpc10y" w:colFirst="0" w:colLast="0"/>
      <w:bookmarkEnd w:id="14"/>
    </w:p>
    <w:p w14:paraId="7C96FAC2" w14:textId="6B8C068C" w:rsidR="00FD6D31" w:rsidRPr="0025048B" w:rsidRDefault="006602CD" w:rsidP="0025048B">
      <w:pPr>
        <w:spacing w:line="480" w:lineRule="auto"/>
        <w:jc w:val="center"/>
        <w:rPr>
          <w:b/>
          <w:bCs/>
        </w:rPr>
      </w:pPr>
      <w:r>
        <w:rPr>
          <w:b/>
          <w:bCs/>
        </w:rPr>
        <w:t>Limitations and Considerations for Future Research</w:t>
      </w:r>
    </w:p>
    <w:p w14:paraId="12DF2554" w14:textId="442322F6" w:rsidR="00990D17" w:rsidRDefault="006B7838" w:rsidP="008203DA">
      <w:pPr>
        <w:spacing w:line="480" w:lineRule="auto"/>
        <w:ind w:firstLine="720"/>
      </w:pPr>
      <w:r w:rsidRPr="006B7838">
        <w:t xml:space="preserve">There are </w:t>
      </w:r>
      <w:r w:rsidR="002C4D9C" w:rsidRPr="006B7838">
        <w:t>several</w:t>
      </w:r>
      <w:r w:rsidRPr="006B7838">
        <w:t xml:space="preserve"> limitations to consider within the present study. Primarily, difficulty with study recruitment resulted in a small sample size, which restricted the researcher’s ability to control for confounding variables (e.g., gender) or determine any other meaningful group distinctions during data analysis</w:t>
      </w:r>
      <w:r w:rsidR="00577ACF">
        <w:t>.</w:t>
      </w:r>
      <w:r w:rsidRPr="006B7838">
        <w:t xml:space="preserve"> Additionally, </w:t>
      </w:r>
      <w:r w:rsidR="008F0AE3">
        <w:t>given that</w:t>
      </w:r>
      <w:r w:rsidRPr="006B7838">
        <w:t xml:space="preserve"> music student</w:t>
      </w:r>
      <w:r w:rsidR="00E41F1C">
        <w:t xml:space="preserve"> participants</w:t>
      </w:r>
      <w:r w:rsidRPr="006B7838">
        <w:t xml:space="preserve"> were volunteer</w:t>
      </w:r>
      <w:r w:rsidR="008F0AE3">
        <w:t>s</w:t>
      </w:r>
      <w:r w:rsidRPr="006B7838">
        <w:t xml:space="preserve"> and not incentivized </w:t>
      </w:r>
      <w:r w:rsidR="008F0AE3">
        <w:t>by</w:t>
      </w:r>
      <w:r w:rsidRPr="006B7838">
        <w:t xml:space="preserve"> compensation, self-selection bias</w:t>
      </w:r>
      <w:r w:rsidR="008F0AE3">
        <w:t xml:space="preserve"> is possible</w:t>
      </w:r>
      <w:r w:rsidRPr="006B7838">
        <w:t xml:space="preserve">. </w:t>
      </w:r>
      <w:r w:rsidR="00990D17">
        <w:t xml:space="preserve">Further, the study’s correlational </w:t>
      </w:r>
      <w:r w:rsidR="00AC02A2">
        <w:t>design</w:t>
      </w:r>
      <w:r w:rsidR="00990D17">
        <w:t xml:space="preserve"> precludes the researcher from drawing any conclusions </w:t>
      </w:r>
      <w:r w:rsidR="00AC02A2">
        <w:t>regarding</w:t>
      </w:r>
      <w:r w:rsidR="00990D17">
        <w:t xml:space="preserve"> directionality between variables. As such, an alternative explanation for </w:t>
      </w:r>
      <w:r w:rsidR="008203DA">
        <w:t xml:space="preserve">the </w:t>
      </w:r>
      <w:r w:rsidR="00990D17">
        <w:t xml:space="preserve">findings is that participants </w:t>
      </w:r>
      <w:r w:rsidR="00AC02A2">
        <w:t>who report</w:t>
      </w:r>
      <w:r w:rsidR="00990D17">
        <w:t xml:space="preserve"> higher performance quality and lower music performance anxiety </w:t>
      </w:r>
      <w:r w:rsidR="009A6EA6">
        <w:t xml:space="preserve">could </w:t>
      </w:r>
      <w:r w:rsidR="009A6EA6">
        <w:lastRenderedPageBreak/>
        <w:t xml:space="preserve">be reporting higher psychological flexibility because they </w:t>
      </w:r>
      <w:r w:rsidR="00AC02A2">
        <w:t>have higher levels of self-efficacy with performance outcomes</w:t>
      </w:r>
      <w:r w:rsidR="009A6EA6">
        <w:t xml:space="preserve"> (i.e., lower MPA and/or higher PPQ allows for higher psychological flexibility). </w:t>
      </w:r>
      <w:r w:rsidR="00AC02A2">
        <w:t xml:space="preserve">However, previous </w:t>
      </w:r>
      <w:r w:rsidR="009A6EA6">
        <w:t xml:space="preserve">experimental </w:t>
      </w:r>
      <w:r w:rsidR="00AC02A2">
        <w:t xml:space="preserve">research </w:t>
      </w:r>
      <w:r w:rsidR="008203DA">
        <w:t xml:space="preserve">such as the studies </w:t>
      </w:r>
      <w:r w:rsidR="00AC02A2">
        <w:t>conducted by Juncos and colleagues (</w:t>
      </w:r>
      <w:r w:rsidR="008203DA">
        <w:t>2014, 2016, 2017</w:t>
      </w:r>
      <w:r w:rsidR="00AC02A2">
        <w:t xml:space="preserve">) </w:t>
      </w:r>
      <w:r w:rsidR="009A6EA6">
        <w:t>included evaluations of psychological flexibility, performance quality, and MPA at two time points (pre- and post-treatment)</w:t>
      </w:r>
      <w:r w:rsidR="008203DA">
        <w:t>, demonstrating</w:t>
      </w:r>
      <w:r w:rsidR="009A6EA6">
        <w:t xml:space="preserve"> that increases in performance quality and decreases in MPA </w:t>
      </w:r>
      <w:r w:rsidR="009A6EA6" w:rsidRPr="008203DA">
        <w:t>followed</w:t>
      </w:r>
      <w:r w:rsidR="009A6EA6">
        <w:t xml:space="preserve"> increases in psychological flexibility. Therefore, the alternative explanation for findings in the present study is unlikely.</w:t>
      </w:r>
    </w:p>
    <w:p w14:paraId="0CB3761F" w14:textId="63677422" w:rsidR="006B7838" w:rsidRPr="006B7838" w:rsidRDefault="00577ACF" w:rsidP="00FD6D31">
      <w:pPr>
        <w:spacing w:line="480" w:lineRule="auto"/>
        <w:ind w:firstLine="720"/>
      </w:pPr>
      <w:r>
        <w:t>Despite statistical constraints on power</w:t>
      </w:r>
      <w:r w:rsidR="0025048B">
        <w:t xml:space="preserve"> due to the small sample size</w:t>
      </w:r>
      <w:r>
        <w:t xml:space="preserve">, </w:t>
      </w:r>
      <w:r w:rsidR="006B7838" w:rsidRPr="006B7838">
        <w:t>the strength of cognitive defusion in predicting both increases in PPQ and decreases in MPA suggests that the findings would remain significant with a</w:t>
      </w:r>
      <w:r w:rsidR="0025048B">
        <w:t xml:space="preserve"> larger </w:t>
      </w:r>
      <w:r w:rsidR="006B7838" w:rsidRPr="006B7838">
        <w:t xml:space="preserve">sample. </w:t>
      </w:r>
      <w:r w:rsidR="0025048B">
        <w:t>Further,</w:t>
      </w:r>
      <w:r w:rsidR="006B7838" w:rsidRPr="006B7838">
        <w:t xml:space="preserve"> the present study may be regarded as a preliminary project that provides the grounds for more comprehensive research efforts with the target population. The researcher intends to disseminate research findings to local university music students (e.g., via presentations and workshops) </w:t>
      </w:r>
      <w:r w:rsidR="0025048B" w:rsidRPr="006B7838">
        <w:t>to</w:t>
      </w:r>
      <w:r w:rsidR="006B7838" w:rsidRPr="006B7838">
        <w:t xml:space="preserve"> provide students with meaningful information and facilitate a reciprocal relationship between the music and psychology programs at the host institution.</w:t>
      </w:r>
    </w:p>
    <w:p w14:paraId="7AC339C1" w14:textId="5AF25015" w:rsidR="002C46D2" w:rsidRDefault="00C940E4" w:rsidP="008203DA">
      <w:pPr>
        <w:spacing w:line="480" w:lineRule="auto"/>
        <w:ind w:firstLine="720"/>
      </w:pPr>
      <w:r w:rsidRPr="006B7838">
        <w:t>Regarding</w:t>
      </w:r>
      <w:r w:rsidR="006B7838" w:rsidRPr="006B7838">
        <w:t xml:space="preserve"> continued research efforts in this area, future projects should consider including a performance task that may elicit higher levels of anxiety than the mock audition experience of the present study. For example, projects </w:t>
      </w:r>
      <w:r w:rsidR="00962628">
        <w:t>might</w:t>
      </w:r>
      <w:r w:rsidR="006B7838" w:rsidRPr="006B7838">
        <w:t xml:space="preserve"> utilize end-of-semester jury examinations or ensemble auditions, which could potentially produce a more robust sample size and enhance internal validity. Additionally, future research could improve upon the current study by including both subjective evaluations and third-party assessments of music performance quality (e.g., by obtaining juror ratings of performances), which could allow for more </w:t>
      </w:r>
      <w:r w:rsidR="006B7838" w:rsidRPr="006B7838">
        <w:lastRenderedPageBreak/>
        <w:t>comprehensive assessment of performance outcomes</w:t>
      </w:r>
      <w:r w:rsidR="002C46D2">
        <w:t xml:space="preserve"> and thereby yield the most reliable and valid results</w:t>
      </w:r>
      <w:r w:rsidR="006B7838" w:rsidRPr="006B7838">
        <w:t xml:space="preserve">. Although the Performance versus Practice scale included in the current study appeared to provide an adequate assessment of perceived performance quality, the Performance Satisfaction scale items lacked internal </w:t>
      </w:r>
      <w:r w:rsidR="00606B4D">
        <w:t>reliability</w:t>
      </w:r>
      <w:r w:rsidR="006B7838" w:rsidRPr="006B7838">
        <w:t xml:space="preserve"> and were ultimately excluded.</w:t>
      </w:r>
      <w:r w:rsidR="008203DA">
        <w:t xml:space="preserve"> </w:t>
      </w:r>
      <w:r w:rsidR="006B7838" w:rsidRPr="006B7838">
        <w:t>Finally, the results of the present study may inform the development of future ACT for MPA intervention studies with university music students. As there is a dearth of literature comparing ACT to CBT for MPA treatment, one possibility is to implement an intervention study with two treatment groups and assess for changes in perceived performance quality and MPA at post-treatment. Such a study should also measure changes in psychological flexibility and include an anxiety-inducing performance task at pre- and post-treatment.</w:t>
      </w:r>
      <w:bookmarkEnd w:id="9"/>
      <w:bookmarkEnd w:id="10"/>
      <w:bookmarkEnd w:id="11"/>
    </w:p>
    <w:p w14:paraId="1CF71158" w14:textId="1D721E04" w:rsidR="008203DA" w:rsidRDefault="008203DA" w:rsidP="008203DA">
      <w:pPr>
        <w:spacing w:line="480" w:lineRule="auto"/>
        <w:ind w:firstLine="720"/>
      </w:pPr>
    </w:p>
    <w:p w14:paraId="3DF63FE4" w14:textId="2AFDEFC3" w:rsidR="008203DA" w:rsidRDefault="008203DA" w:rsidP="008203DA">
      <w:pPr>
        <w:spacing w:line="480" w:lineRule="auto"/>
        <w:ind w:firstLine="720"/>
      </w:pPr>
    </w:p>
    <w:p w14:paraId="6AE3CED3" w14:textId="40825D54" w:rsidR="008203DA" w:rsidRDefault="008203DA" w:rsidP="008203DA">
      <w:pPr>
        <w:spacing w:line="480" w:lineRule="auto"/>
        <w:ind w:firstLine="720"/>
      </w:pPr>
    </w:p>
    <w:p w14:paraId="64432FE9" w14:textId="0091FA08" w:rsidR="008203DA" w:rsidRDefault="008203DA" w:rsidP="008203DA">
      <w:pPr>
        <w:spacing w:line="480" w:lineRule="auto"/>
        <w:ind w:firstLine="720"/>
      </w:pPr>
    </w:p>
    <w:p w14:paraId="7B31A619" w14:textId="3ABDF8D5" w:rsidR="008203DA" w:rsidRDefault="008203DA" w:rsidP="008203DA">
      <w:pPr>
        <w:spacing w:line="480" w:lineRule="auto"/>
        <w:ind w:firstLine="720"/>
      </w:pPr>
    </w:p>
    <w:p w14:paraId="24FFCA0A" w14:textId="03F6A021" w:rsidR="008203DA" w:rsidRDefault="008203DA" w:rsidP="008203DA">
      <w:pPr>
        <w:spacing w:line="480" w:lineRule="auto"/>
        <w:ind w:firstLine="720"/>
      </w:pPr>
    </w:p>
    <w:p w14:paraId="2769B1D6" w14:textId="1CD819CA" w:rsidR="008203DA" w:rsidRDefault="008203DA" w:rsidP="008203DA">
      <w:pPr>
        <w:spacing w:line="480" w:lineRule="auto"/>
        <w:ind w:firstLine="720"/>
      </w:pPr>
    </w:p>
    <w:p w14:paraId="296212F5" w14:textId="327DF9CD" w:rsidR="008203DA" w:rsidRDefault="008203DA" w:rsidP="008203DA">
      <w:pPr>
        <w:spacing w:line="480" w:lineRule="auto"/>
        <w:ind w:firstLine="720"/>
      </w:pPr>
    </w:p>
    <w:p w14:paraId="25E4FB2D" w14:textId="5C84AEAF" w:rsidR="008203DA" w:rsidRDefault="008203DA" w:rsidP="008203DA">
      <w:pPr>
        <w:spacing w:line="480" w:lineRule="auto"/>
        <w:ind w:firstLine="720"/>
      </w:pPr>
    </w:p>
    <w:p w14:paraId="692E5866" w14:textId="32021F51" w:rsidR="008203DA" w:rsidRDefault="008203DA" w:rsidP="008203DA">
      <w:pPr>
        <w:spacing w:line="480" w:lineRule="auto"/>
        <w:ind w:firstLine="720"/>
      </w:pPr>
    </w:p>
    <w:p w14:paraId="16782D3C" w14:textId="1B6C233A" w:rsidR="008203DA" w:rsidRDefault="008203DA" w:rsidP="008203DA">
      <w:pPr>
        <w:spacing w:line="480" w:lineRule="auto"/>
        <w:ind w:firstLine="720"/>
      </w:pPr>
    </w:p>
    <w:p w14:paraId="1E90260A" w14:textId="77777777" w:rsidR="008203DA" w:rsidRDefault="008203DA" w:rsidP="008203DA">
      <w:pPr>
        <w:spacing w:line="480" w:lineRule="auto"/>
        <w:ind w:firstLine="720"/>
      </w:pPr>
    </w:p>
    <w:p w14:paraId="48C96CEE" w14:textId="782350B7" w:rsidR="006602CD" w:rsidRDefault="006602CD" w:rsidP="006602CD">
      <w:pPr>
        <w:spacing w:line="480" w:lineRule="auto"/>
        <w:jc w:val="center"/>
        <w:rPr>
          <w:b/>
          <w:bCs/>
        </w:rPr>
      </w:pPr>
      <w:r>
        <w:rPr>
          <w:b/>
          <w:bCs/>
        </w:rPr>
        <w:lastRenderedPageBreak/>
        <w:t>CHAPTER FIVE</w:t>
      </w:r>
    </w:p>
    <w:p w14:paraId="7DDC6A79" w14:textId="6E65F758" w:rsidR="006602CD" w:rsidRPr="006602CD" w:rsidRDefault="006602CD" w:rsidP="006602CD">
      <w:pPr>
        <w:spacing w:line="480" w:lineRule="auto"/>
        <w:jc w:val="center"/>
        <w:rPr>
          <w:b/>
          <w:bCs/>
        </w:rPr>
      </w:pPr>
      <w:r>
        <w:rPr>
          <w:b/>
          <w:bCs/>
        </w:rPr>
        <w:t>CONCLUSION</w:t>
      </w:r>
    </w:p>
    <w:p w14:paraId="2FEFB379" w14:textId="11B4EE66" w:rsidR="000A1BEE" w:rsidRDefault="006B7838" w:rsidP="006602CD">
      <w:pPr>
        <w:spacing w:line="480" w:lineRule="auto"/>
        <w:ind w:firstLine="720"/>
      </w:pPr>
      <w:r w:rsidRPr="006B7838">
        <w:t xml:space="preserve">The present study explored </w:t>
      </w:r>
      <w:r w:rsidR="004D5DB8">
        <w:t>relationships</w:t>
      </w:r>
      <w:r w:rsidRPr="006B7838">
        <w:t xml:space="preserve"> between psychological flexibility, perceived performance quality, and music performance anxiety among university music students. The study is also the first to explicitly deconstruct the six facets of psychological flexibility </w:t>
      </w:r>
      <w:r w:rsidR="004D5DB8" w:rsidRPr="006B7838">
        <w:t>to</w:t>
      </w:r>
      <w:r w:rsidRPr="006B7838">
        <w:t xml:space="preserve"> investigate predictors of both perceived performance quality and music performance anxiety. Results showed a significant positive relationship between psychological flexibility and performance quality and a significant inverse relationship between psychological flexibility and MPA. The findings build on existing evidence demonstrating the suitability of ACT as both a treatment for MPA and a means of performance enhancement for musicians. Following exploratory analysis of the facets of psychological flexibility, cognitive defusion emerged as a significant predictor of both </w:t>
      </w:r>
      <w:r w:rsidR="00C940E4">
        <w:t>PPQ</w:t>
      </w:r>
      <w:r w:rsidRPr="006B7838">
        <w:t xml:space="preserve"> and MPA. The findings fit with existing knowledge regarding the utility of </w:t>
      </w:r>
      <w:r w:rsidR="00C940E4">
        <w:t xml:space="preserve">cognitive </w:t>
      </w:r>
      <w:r w:rsidRPr="006B7838">
        <w:t>defusion in the context of music performance and provide additional support for emphasizing defusion processes within an ACT for MPA treatment approach. Overall, these study findings hold particular significance for the population of interest, university music students, who commonly seek out concrete skills and strategies for enhancing performance outcomes and managing the effects of MPA. Instead of targeting symptom reduction, clinicians working with music students on performance or MPA-related concerns may consider strengthening psychological flexibility as a means of enhancing mindfulness</w:t>
      </w:r>
      <w:r w:rsidR="00981BE9">
        <w:t xml:space="preserve"> </w:t>
      </w:r>
      <w:r w:rsidRPr="006B7838">
        <w:t>and</w:t>
      </w:r>
      <w:r w:rsidR="00981BE9">
        <w:t xml:space="preserve"> </w:t>
      </w:r>
      <w:r w:rsidRPr="006B7838">
        <w:t>acceptance-based skills and values-congruent performance behaviors</w:t>
      </w:r>
      <w:r w:rsidR="00981BE9">
        <w:t xml:space="preserve">, </w:t>
      </w:r>
      <w:r w:rsidRPr="006B7838">
        <w:t>thereby promot</w:t>
      </w:r>
      <w:r w:rsidR="00981BE9">
        <w:t>ing</w:t>
      </w:r>
      <w:r w:rsidRPr="006B7838">
        <w:t xml:space="preserve"> higher quality performance experiences</w:t>
      </w:r>
      <w:bookmarkStart w:id="15" w:name="_Toc420995911"/>
      <w:bookmarkStart w:id="16" w:name="_Toc422997498"/>
      <w:r w:rsidR="00981BE9">
        <w:t xml:space="preserve"> with or without the presence of anxiety.</w:t>
      </w:r>
    </w:p>
    <w:p w14:paraId="5F57AA48" w14:textId="77777777" w:rsidR="006602CD" w:rsidRPr="006B7838" w:rsidRDefault="006602CD" w:rsidP="006602CD">
      <w:pPr>
        <w:spacing w:line="480" w:lineRule="auto"/>
      </w:pPr>
    </w:p>
    <w:p w14:paraId="7601D1B5" w14:textId="2FC54F5A" w:rsidR="00DD638C" w:rsidRPr="00AF6003" w:rsidRDefault="00E91931" w:rsidP="00AF6003">
      <w:pPr>
        <w:pStyle w:val="AltHeading1"/>
      </w:pPr>
      <w:bookmarkStart w:id="17" w:name="_Toc427156483"/>
      <w:bookmarkStart w:id="18" w:name="_Toc108269991"/>
      <w:bookmarkStart w:id="19" w:name="_Toc108273821"/>
      <w:bookmarkStart w:id="20" w:name="_Toc110418742"/>
      <w:r w:rsidRPr="006B7838">
        <w:lastRenderedPageBreak/>
        <w:t>References</w:t>
      </w:r>
      <w:bookmarkEnd w:id="15"/>
      <w:bookmarkEnd w:id="16"/>
      <w:bookmarkEnd w:id="17"/>
      <w:bookmarkEnd w:id="18"/>
      <w:bookmarkEnd w:id="19"/>
      <w:bookmarkEnd w:id="20"/>
    </w:p>
    <w:p w14:paraId="3471F0BF" w14:textId="750F954B" w:rsidR="00DD638C" w:rsidRDefault="00DD638C" w:rsidP="008065C5">
      <w:pPr>
        <w:keepLines/>
        <w:spacing w:line="480" w:lineRule="auto"/>
        <w:ind w:left="720" w:hanging="720"/>
      </w:pPr>
      <w:bookmarkStart w:id="21" w:name="_Toc420995912"/>
      <w:bookmarkStart w:id="22" w:name="_Toc422997499"/>
      <w:r>
        <w:t xml:space="preserve">American Psychiatric Association. (2013). Anxiety disorders. In </w:t>
      </w:r>
      <w:r>
        <w:rPr>
          <w:i/>
        </w:rPr>
        <w:t>Diagnostic and statistical manual of mental disorders</w:t>
      </w:r>
      <w:r>
        <w:t xml:space="preserve"> (5th ed.). </w:t>
      </w:r>
      <w:hyperlink r:id="rId11">
        <w:r>
          <w:t>https://doi.org/10.1176/appi.books.9780890425596.dsm05</w:t>
        </w:r>
      </w:hyperlink>
    </w:p>
    <w:p w14:paraId="7AFE9C0B" w14:textId="3CCBF4CF" w:rsidR="00DD638C" w:rsidRDefault="00DD638C" w:rsidP="008065C5">
      <w:pPr>
        <w:keepLines/>
        <w:spacing w:line="480" w:lineRule="auto"/>
        <w:ind w:left="720" w:hanging="720"/>
      </w:pPr>
      <w:r>
        <w:t>A-</w:t>
      </w:r>
      <w:proofErr w:type="spellStart"/>
      <w:r>
        <w:t>Tjak</w:t>
      </w:r>
      <w:proofErr w:type="spellEnd"/>
      <w:r>
        <w:t xml:space="preserve">, J. G. L., Davis, M. </w:t>
      </w:r>
      <w:proofErr w:type="gramStart"/>
      <w:r>
        <w:t>L.,</w:t>
      </w:r>
      <w:proofErr w:type="spellStart"/>
      <w:r>
        <w:t>Morina</w:t>
      </w:r>
      <w:proofErr w:type="spellEnd"/>
      <w:proofErr w:type="gramEnd"/>
      <w:r>
        <w:t xml:space="preserve">, N., Powers, M. B., Smits, J. A. J., &amp; </w:t>
      </w:r>
      <w:proofErr w:type="spellStart"/>
      <w:r>
        <w:t>Emmelkamp</w:t>
      </w:r>
      <w:proofErr w:type="spellEnd"/>
      <w:r>
        <w:t xml:space="preserve">, P. M. G. (2015). A meta-analysis of the efficacy of acceptance and commitment therapy for clinically relevant mental and physical health problems. </w:t>
      </w:r>
      <w:r>
        <w:rPr>
          <w:i/>
        </w:rPr>
        <w:t>Psychotherapy and Psychosomatics, 84</w:t>
      </w:r>
      <w:r>
        <w:t>, 30–36.</w:t>
      </w:r>
      <w:r w:rsidR="008065C5">
        <w:t xml:space="preserve"> </w:t>
      </w:r>
      <w:r w:rsidR="008065C5" w:rsidRPr="008065C5">
        <w:t>https://doi.org/10.1159/000365764</w:t>
      </w:r>
      <w:r>
        <w:t xml:space="preserve"> </w:t>
      </w:r>
    </w:p>
    <w:p w14:paraId="0A47A9E7" w14:textId="5690324A" w:rsidR="00DD638C" w:rsidRDefault="00DD638C" w:rsidP="008065C5">
      <w:pPr>
        <w:keepLines/>
        <w:spacing w:line="480" w:lineRule="auto"/>
        <w:ind w:left="720" w:hanging="720"/>
      </w:pPr>
      <w:r>
        <w:t xml:space="preserve">Barlow D. H. (2000). Unraveling the mysteries of anxiety and its disorders from the perspective of emotion theory. </w:t>
      </w:r>
      <w:r>
        <w:rPr>
          <w:i/>
        </w:rPr>
        <w:t>The American psychologist</w:t>
      </w:r>
      <w:r>
        <w:t xml:space="preserve">, </w:t>
      </w:r>
      <w:r>
        <w:rPr>
          <w:i/>
        </w:rPr>
        <w:t>55</w:t>
      </w:r>
      <w:r>
        <w:t xml:space="preserve">(11), 1247–1263. </w:t>
      </w:r>
      <w:r w:rsidR="008065C5" w:rsidRPr="008065C5">
        <w:t>https://doi.org/10.1037//0003-066x.55.11.1247</w:t>
      </w:r>
    </w:p>
    <w:p w14:paraId="129D2F64" w14:textId="2C57EEF2" w:rsidR="00DD638C" w:rsidRDefault="00DD638C" w:rsidP="008065C5">
      <w:pPr>
        <w:keepLines/>
        <w:spacing w:line="480" w:lineRule="auto"/>
        <w:ind w:left="720" w:hanging="720"/>
      </w:pPr>
      <w:r>
        <w:t xml:space="preserve">Bond, F. W., &amp; Bunce, D. (2003). The role of acceptance and job control in mental health, job satisfaction, and work performance. </w:t>
      </w:r>
      <w:r>
        <w:rPr>
          <w:i/>
        </w:rPr>
        <w:t>Journal of Applied Psychology, 88</w:t>
      </w:r>
      <w:r>
        <w:t xml:space="preserve">(6), 1057–1067. </w:t>
      </w:r>
      <w:r w:rsidR="008065C5" w:rsidRPr="008065C5">
        <w:t>https://doi.org/10.1037/0021-9010.88.6.1057</w:t>
      </w:r>
    </w:p>
    <w:p w14:paraId="4D4DC81B" w14:textId="507F00D5" w:rsidR="00DD638C" w:rsidRDefault="00DD638C" w:rsidP="008065C5">
      <w:pPr>
        <w:keepLines/>
        <w:shd w:val="clear" w:color="auto" w:fill="FFFFFF"/>
        <w:spacing w:line="480" w:lineRule="auto"/>
        <w:ind w:left="720" w:hanging="720"/>
      </w:pPr>
      <w:r>
        <w:t xml:space="preserve">Bond, F. W., and Flaxman, P. E. (2006). The ability of psychological flexibility and job control to predict learning, job performance, and mental health. </w:t>
      </w:r>
      <w:r>
        <w:rPr>
          <w:i/>
        </w:rPr>
        <w:t>Journal of Organizational Behavior Management, 26</w:t>
      </w:r>
      <w:r>
        <w:t xml:space="preserve">(1), 113–130. </w:t>
      </w:r>
      <w:r w:rsidR="008065C5" w:rsidRPr="008065C5">
        <w:t>https://doi.org/10.1300/J075v26n01_05</w:t>
      </w:r>
    </w:p>
    <w:p w14:paraId="4B624F8F" w14:textId="5F759578" w:rsidR="00DD638C" w:rsidRDefault="00DD638C" w:rsidP="008065C5">
      <w:pPr>
        <w:keepLines/>
        <w:shd w:val="clear" w:color="auto" w:fill="FFFFFF"/>
        <w:spacing w:line="480" w:lineRule="auto"/>
        <w:ind w:left="720" w:hanging="720"/>
      </w:pPr>
      <w:r>
        <w:t xml:space="preserve">Braden, A. M, Osborne, M. S., &amp; Wilson, S. J. (2015). Psychological intervention reduces self-reported performance anxiety in high school music students. </w:t>
      </w:r>
      <w:r>
        <w:rPr>
          <w:i/>
        </w:rPr>
        <w:t>Frontiers in Psychology, 6</w:t>
      </w:r>
      <w:r>
        <w:t xml:space="preserve">, 195. </w:t>
      </w:r>
      <w:r w:rsidR="008065C5" w:rsidRPr="008065C5">
        <w:t>https://doi.org/10.3389/fpsyg.2015.00195</w:t>
      </w:r>
    </w:p>
    <w:p w14:paraId="43E81AD4" w14:textId="1AFDA826" w:rsidR="00DD638C" w:rsidRDefault="00DD638C" w:rsidP="008065C5">
      <w:pPr>
        <w:keepLines/>
        <w:shd w:val="clear" w:color="auto" w:fill="FFFFFF"/>
        <w:spacing w:line="480" w:lineRule="auto"/>
        <w:ind w:left="720" w:hanging="720"/>
      </w:pPr>
      <w:r>
        <w:lastRenderedPageBreak/>
        <w:t xml:space="preserve">Brooks, A. W. (2014). Get excited: reappraising pre-performance anxiety as excitement. </w:t>
      </w:r>
      <w:r>
        <w:rPr>
          <w:i/>
        </w:rPr>
        <w:t>Journal of Experimental Psychology: General, 143</w:t>
      </w:r>
      <w:r>
        <w:t xml:space="preserve">(3), 1144–1158. </w:t>
      </w:r>
      <w:r w:rsidR="008065C5" w:rsidRPr="008065C5">
        <w:t>https://doi.org/10.1037/a0035325</w:t>
      </w:r>
    </w:p>
    <w:p w14:paraId="2D4267DA" w14:textId="1DEE922F" w:rsidR="00DD638C" w:rsidRDefault="00DD638C" w:rsidP="008065C5">
      <w:pPr>
        <w:keepLines/>
        <w:shd w:val="clear" w:color="auto" w:fill="FFFFFF"/>
        <w:spacing w:line="480" w:lineRule="auto"/>
        <w:ind w:left="720" w:hanging="720"/>
      </w:pPr>
      <w:r>
        <w:t xml:space="preserve">Burin, A. B. &amp; </w:t>
      </w:r>
      <w:proofErr w:type="spellStart"/>
      <w:r>
        <w:t>Osório</w:t>
      </w:r>
      <w:proofErr w:type="spellEnd"/>
      <w:r>
        <w:t>, F. L. (2017).</w:t>
      </w:r>
      <w:r>
        <w:rPr>
          <w:i/>
        </w:rPr>
        <w:t xml:space="preserve"> </w:t>
      </w:r>
      <w:r>
        <w:t xml:space="preserve">Music performance anxiety: A critical review of etiological aspects, perceived causes, coping strategies and treatment. </w:t>
      </w:r>
      <w:r>
        <w:rPr>
          <w:i/>
        </w:rPr>
        <w:t>Archives of Clinical Psychiatry</w:t>
      </w:r>
      <w:r>
        <w:t xml:space="preserve">, </w:t>
      </w:r>
      <w:r>
        <w:rPr>
          <w:i/>
        </w:rPr>
        <w:t>44</w:t>
      </w:r>
      <w:r>
        <w:t xml:space="preserve">(5), 127-133. </w:t>
      </w:r>
      <w:r w:rsidR="008065C5" w:rsidRPr="008065C5">
        <w:t>https://doi.org/10.1590/0101-60830000000136</w:t>
      </w:r>
    </w:p>
    <w:p w14:paraId="21D739B9" w14:textId="68C2F804" w:rsidR="00DD638C" w:rsidRDefault="00DD638C" w:rsidP="008065C5">
      <w:pPr>
        <w:spacing w:line="480" w:lineRule="auto"/>
        <w:ind w:left="720" w:hanging="720"/>
      </w:pPr>
      <w:r>
        <w:t xml:space="preserve">Chambless, D. L., &amp; </w:t>
      </w:r>
      <w:proofErr w:type="spellStart"/>
      <w:r>
        <w:t>Hollon</w:t>
      </w:r>
      <w:proofErr w:type="spellEnd"/>
      <w:r>
        <w:t xml:space="preserve">, S. D. (1998). Defining empirically supported therapies. </w:t>
      </w:r>
      <w:r>
        <w:rPr>
          <w:i/>
        </w:rPr>
        <w:t>Journal of Consulting and Clinical Psychology, 66</w:t>
      </w:r>
      <w:r>
        <w:t>(1)</w:t>
      </w:r>
      <w:r>
        <w:rPr>
          <w:i/>
        </w:rPr>
        <w:t>,</w:t>
      </w:r>
      <w:r>
        <w:t xml:space="preserve"> 7–18. </w:t>
      </w:r>
      <w:r w:rsidR="008065C5" w:rsidRPr="008065C5">
        <w:t>https://doi.org/10.1037/0022-006X.66.1.7</w:t>
      </w:r>
    </w:p>
    <w:p w14:paraId="7A1F6384" w14:textId="04306D11" w:rsidR="00DD638C" w:rsidRDefault="00DD638C" w:rsidP="008065C5">
      <w:pPr>
        <w:spacing w:line="480" w:lineRule="auto"/>
        <w:ind w:left="720" w:hanging="720"/>
      </w:pPr>
      <w:r>
        <w:t xml:space="preserve">Clarke, L. K., Osborne, M. S., &amp; </w:t>
      </w:r>
      <w:proofErr w:type="spellStart"/>
      <w:r>
        <w:t>Baranoff</w:t>
      </w:r>
      <w:proofErr w:type="spellEnd"/>
      <w:r>
        <w:t xml:space="preserve">, J. A. (2020). Examining a group acceptance and commitment therapy intervention for music performance anxiety in student vocalists. </w:t>
      </w:r>
      <w:r>
        <w:rPr>
          <w:i/>
        </w:rPr>
        <w:t xml:space="preserve">Frontiers in Psychology, 11, </w:t>
      </w:r>
      <w:r>
        <w:t xml:space="preserve">1127. </w:t>
      </w:r>
      <w:r w:rsidR="008065C5" w:rsidRPr="008065C5">
        <w:t>https://doi.org/10.3389/fpsyg.2020.01127</w:t>
      </w:r>
    </w:p>
    <w:p w14:paraId="3C6A95AE" w14:textId="0B10FD3B" w:rsidR="00DD638C" w:rsidRDefault="00DD638C" w:rsidP="008065C5">
      <w:pPr>
        <w:spacing w:line="480" w:lineRule="auto"/>
        <w:ind w:left="720" w:hanging="720"/>
      </w:pPr>
      <w:r>
        <w:t xml:space="preserve">Cox, W. J., &amp; </w:t>
      </w:r>
      <w:proofErr w:type="spellStart"/>
      <w:r>
        <w:t>Kenardy</w:t>
      </w:r>
      <w:proofErr w:type="spellEnd"/>
      <w:r>
        <w:t xml:space="preserve">, J. (1993). Performance anxiety, social phobia, and setting effects in instrumental music students. </w:t>
      </w:r>
      <w:r>
        <w:rPr>
          <w:i/>
        </w:rPr>
        <w:t>Journal of Anxiety Disorders, 7</w:t>
      </w:r>
      <w:r>
        <w:t xml:space="preserve">, 49–60. </w:t>
      </w:r>
      <w:r w:rsidR="008065C5" w:rsidRPr="008065C5">
        <w:t>https://doi.org/10.1016/0887-6185(93)90020-L</w:t>
      </w:r>
    </w:p>
    <w:p w14:paraId="08984B57" w14:textId="25CF6767" w:rsidR="00DD638C" w:rsidRDefault="00DD638C" w:rsidP="008065C5">
      <w:pPr>
        <w:spacing w:line="480" w:lineRule="auto"/>
        <w:ind w:left="720" w:hanging="720"/>
      </w:pPr>
      <w:proofErr w:type="spellStart"/>
      <w:r>
        <w:t>Craske</w:t>
      </w:r>
      <w:proofErr w:type="spellEnd"/>
      <w:r>
        <w:t xml:space="preserve">, M. G., Niles, A. N., </w:t>
      </w:r>
      <w:proofErr w:type="spellStart"/>
      <w:r>
        <w:t>Burklund</w:t>
      </w:r>
      <w:proofErr w:type="spellEnd"/>
      <w:r>
        <w:t xml:space="preserve">, L. J., </w:t>
      </w:r>
      <w:proofErr w:type="spellStart"/>
      <w:r>
        <w:t>Wolitzky</w:t>
      </w:r>
      <w:proofErr w:type="spellEnd"/>
      <w:r>
        <w:t xml:space="preserve">-Taylor, K. B., </w:t>
      </w:r>
      <w:proofErr w:type="spellStart"/>
      <w:r>
        <w:t>Vilardaga</w:t>
      </w:r>
      <w:proofErr w:type="spellEnd"/>
      <w:r>
        <w:t xml:space="preserve">, J. C. P., Arch, J. J., </w:t>
      </w:r>
      <w:proofErr w:type="spellStart"/>
      <w:r>
        <w:t>Saxbe</w:t>
      </w:r>
      <w:proofErr w:type="spellEnd"/>
      <w:r>
        <w:t xml:space="preserve">, D. E., &amp; Lieberman, M. D. (2014). Randomized controlled trial of cognitive behavioral therapy and acceptance and commitment therapy for social phobia: Outcomes and moderators. </w:t>
      </w:r>
      <w:r>
        <w:rPr>
          <w:i/>
        </w:rPr>
        <w:t>Journal of Consulting and Clinical Psychology, 82</w:t>
      </w:r>
      <w:r>
        <w:t>(6), 1034–1048. https://doi.org/10.1037/a0037212</w:t>
      </w:r>
    </w:p>
    <w:p w14:paraId="1EEBA1CC" w14:textId="623B3B8E" w:rsidR="008065C5" w:rsidRDefault="00DD638C" w:rsidP="008065C5">
      <w:pPr>
        <w:spacing w:line="480" w:lineRule="auto"/>
        <w:ind w:left="720" w:hanging="720"/>
      </w:pPr>
      <w:r>
        <w:lastRenderedPageBreak/>
        <w:t xml:space="preserve">Diaz, F. M. (2018). Relationships among meditation, perfectionism, mindfulness, and performance anxiety among collegiate music students. </w:t>
      </w:r>
      <w:r>
        <w:rPr>
          <w:i/>
        </w:rPr>
        <w:t>Journal of Research in Music Education</w:t>
      </w:r>
      <w:r>
        <w:t xml:space="preserve">, </w:t>
      </w:r>
      <w:r>
        <w:rPr>
          <w:i/>
        </w:rPr>
        <w:t>66</w:t>
      </w:r>
      <w:r>
        <w:t xml:space="preserve">(2), 150–167. </w:t>
      </w:r>
      <w:hyperlink r:id="rId12" w:history="1">
        <w:r w:rsidR="008065C5" w:rsidRPr="00AA4652">
          <w:rPr>
            <w:rStyle w:val="Hyperlink"/>
            <w:rFonts w:ascii="Times New Roman" w:hAnsi="Times New Roman"/>
          </w:rPr>
          <w:t>https://doi.org/10.1177/0022429418765447</w:t>
        </w:r>
      </w:hyperlink>
    </w:p>
    <w:p w14:paraId="5E75464B" w14:textId="15689F57" w:rsidR="00DD638C" w:rsidRDefault="00DD638C" w:rsidP="008065C5">
      <w:pPr>
        <w:spacing w:line="480" w:lineRule="auto"/>
        <w:ind w:left="720" w:hanging="720"/>
      </w:pPr>
      <w:r>
        <w:t xml:space="preserve">Eifert, G. H., and Forsyth, J. P. (2005). </w:t>
      </w:r>
      <w:r>
        <w:rPr>
          <w:i/>
        </w:rPr>
        <w:t>Acceptance and Commitment Therapy for Anxiety Disorders: A Practitioner’s Treatment Guide to Using Mindfulness, Acceptance, and Values-Based Behavior Change Strategies.</w:t>
      </w:r>
      <w:r>
        <w:t xml:space="preserve"> Oakland, CA: New Harbinger.</w:t>
      </w:r>
    </w:p>
    <w:p w14:paraId="0382DA8D" w14:textId="69B57D88" w:rsidR="00DD638C" w:rsidRDefault="00DD638C" w:rsidP="008065C5">
      <w:pPr>
        <w:spacing w:line="480" w:lineRule="auto"/>
        <w:ind w:left="720" w:hanging="720"/>
      </w:pPr>
      <w:r>
        <w:t>Farnsworth-</w:t>
      </w:r>
      <w:proofErr w:type="spellStart"/>
      <w:r>
        <w:t>Grodd</w:t>
      </w:r>
      <w:proofErr w:type="spellEnd"/>
      <w:r>
        <w:t xml:space="preserve">, V. A. (2012). Mindfulness and the self-regulation of music performance anxiety [Master’s thesis, University of Auckland]. University of Auckland Research Repository - </w:t>
      </w:r>
      <w:proofErr w:type="spellStart"/>
      <w:r>
        <w:t>ResearchSpace</w:t>
      </w:r>
      <w:proofErr w:type="spellEnd"/>
      <w:r>
        <w:t>.</w:t>
      </w:r>
    </w:p>
    <w:p w14:paraId="7CDB46BE" w14:textId="4865C393" w:rsidR="00DD638C" w:rsidRDefault="00DD638C" w:rsidP="008065C5">
      <w:pPr>
        <w:spacing w:line="480" w:lineRule="auto"/>
        <w:ind w:left="720" w:hanging="720"/>
      </w:pPr>
      <w:proofErr w:type="spellStart"/>
      <w:r>
        <w:t>Fernholz</w:t>
      </w:r>
      <w:proofErr w:type="spellEnd"/>
      <w:r>
        <w:t xml:space="preserve">, I., Mumm, J. L. M., </w:t>
      </w:r>
      <w:proofErr w:type="spellStart"/>
      <w:r>
        <w:t>Plag</w:t>
      </w:r>
      <w:proofErr w:type="spellEnd"/>
      <w:r>
        <w:t xml:space="preserve">, J., </w:t>
      </w:r>
      <w:proofErr w:type="spellStart"/>
      <w:r>
        <w:t>Noeres</w:t>
      </w:r>
      <w:proofErr w:type="spellEnd"/>
      <w:r>
        <w:t xml:space="preserve">, K., Rotter, G., </w:t>
      </w:r>
      <w:proofErr w:type="spellStart"/>
      <w:r>
        <w:t>Willich</w:t>
      </w:r>
      <w:proofErr w:type="spellEnd"/>
      <w:r>
        <w:t xml:space="preserve">, S. N., </w:t>
      </w:r>
      <w:proofErr w:type="spellStart"/>
      <w:r>
        <w:t>Ströhle</w:t>
      </w:r>
      <w:proofErr w:type="spellEnd"/>
      <w:r>
        <w:t xml:space="preserve">, A., </w:t>
      </w:r>
      <w:proofErr w:type="spellStart"/>
      <w:r>
        <w:t>Berghöfer</w:t>
      </w:r>
      <w:proofErr w:type="spellEnd"/>
      <w:r>
        <w:t xml:space="preserve">, A., Schmidt, A. (2019). Performance anxiety in professional musicians: A systematic review on prevalence, risk factors and clinical treatment effects. </w:t>
      </w:r>
      <w:r>
        <w:rPr>
          <w:i/>
        </w:rPr>
        <w:t>Psychological Medicine, 49</w:t>
      </w:r>
      <w:r>
        <w:t xml:space="preserve">(14), 2287–2306. </w:t>
      </w:r>
      <w:r w:rsidR="008065C5" w:rsidRPr="008065C5">
        <w:t>http://doi.org/10.1017/S0033291719001910</w:t>
      </w:r>
    </w:p>
    <w:p w14:paraId="43E0A5D1" w14:textId="030CB0D4" w:rsidR="00DD638C" w:rsidRDefault="00DD638C" w:rsidP="008065C5">
      <w:pPr>
        <w:keepLines/>
        <w:spacing w:line="480" w:lineRule="auto"/>
        <w:ind w:left="720" w:hanging="720"/>
      </w:pPr>
      <w:r>
        <w:t xml:space="preserve">Fishbein, M., </w:t>
      </w:r>
      <w:proofErr w:type="spellStart"/>
      <w:r>
        <w:t>Middlestadt</w:t>
      </w:r>
      <w:proofErr w:type="spellEnd"/>
      <w:r>
        <w:t xml:space="preserve">, S. E., </w:t>
      </w:r>
      <w:proofErr w:type="spellStart"/>
      <w:r>
        <w:t>Ottati</w:t>
      </w:r>
      <w:proofErr w:type="spellEnd"/>
      <w:r>
        <w:t xml:space="preserve">, V., Straus, S., &amp; Ellis, A. (1988). Medical problems among ICSOM musicians. </w:t>
      </w:r>
      <w:r>
        <w:rPr>
          <w:i/>
        </w:rPr>
        <w:t>Medical Problems of Performing Artists, 3,</w:t>
      </w:r>
      <w:r>
        <w:t xml:space="preserve"> 1–8.</w:t>
      </w:r>
    </w:p>
    <w:p w14:paraId="4A150501" w14:textId="18E86100" w:rsidR="00DD638C" w:rsidRDefault="00DD638C" w:rsidP="008065C5">
      <w:pPr>
        <w:keepLines/>
        <w:spacing w:line="480" w:lineRule="auto"/>
        <w:ind w:left="720" w:hanging="720"/>
      </w:pPr>
      <w:r>
        <w:t xml:space="preserve">Frost, R. O., Marten, P., </w:t>
      </w:r>
      <w:proofErr w:type="spellStart"/>
      <w:r>
        <w:t>Lahart</w:t>
      </w:r>
      <w:proofErr w:type="spellEnd"/>
      <w:r>
        <w:t xml:space="preserve">, C., &amp; </w:t>
      </w:r>
      <w:proofErr w:type="spellStart"/>
      <w:r>
        <w:t>Rosenblate</w:t>
      </w:r>
      <w:proofErr w:type="spellEnd"/>
      <w:r>
        <w:t xml:space="preserve">, R. (1990). The dimensions of perfectionism. </w:t>
      </w:r>
      <w:r>
        <w:rPr>
          <w:i/>
        </w:rPr>
        <w:t>Cognitive Therapy and Research, 14</w:t>
      </w:r>
      <w:r>
        <w:t xml:space="preserve">(5), 449–468. </w:t>
      </w:r>
      <w:hyperlink r:id="rId13">
        <w:r>
          <w:t>https://doi.org/10.1007/BF01172967</w:t>
        </w:r>
      </w:hyperlink>
    </w:p>
    <w:p w14:paraId="4949EF2E" w14:textId="25DE0862" w:rsidR="00DD638C" w:rsidRDefault="00DD638C" w:rsidP="008065C5">
      <w:pPr>
        <w:keepLines/>
        <w:spacing w:line="480" w:lineRule="auto"/>
        <w:ind w:left="720" w:hanging="720"/>
      </w:pPr>
      <w:r>
        <w:t xml:space="preserve">Gardner, F. L., and Moore, Z. E. (2007). </w:t>
      </w:r>
      <w:r>
        <w:rPr>
          <w:i/>
        </w:rPr>
        <w:t>The Psychology of Enhancing Human Performance: The Mindfulness–Acceptance–Commitment (MAC) Approach</w:t>
      </w:r>
      <w:r>
        <w:t>. New York, NY: Springer.</w:t>
      </w:r>
    </w:p>
    <w:p w14:paraId="516EDAFB" w14:textId="250368A2" w:rsidR="00DD638C" w:rsidRDefault="00DD638C" w:rsidP="008065C5">
      <w:pPr>
        <w:keepLines/>
        <w:spacing w:line="480" w:lineRule="auto"/>
        <w:ind w:left="720" w:hanging="720"/>
      </w:pPr>
      <w:r>
        <w:lastRenderedPageBreak/>
        <w:t xml:space="preserve">Glassman, L. H., Forman, E. M., Herbert, J. D., Bradley, L. E., Foster, E. E., </w:t>
      </w:r>
      <w:proofErr w:type="spellStart"/>
      <w:r>
        <w:t>Izzetoglu</w:t>
      </w:r>
      <w:proofErr w:type="spellEnd"/>
      <w:r>
        <w:t xml:space="preserve">, M., &amp; </w:t>
      </w:r>
      <w:proofErr w:type="spellStart"/>
      <w:r>
        <w:t>Ruocco</w:t>
      </w:r>
      <w:proofErr w:type="spellEnd"/>
      <w:r>
        <w:t xml:space="preserve">, A.C. (2016). The effects of a brief acceptance-based behavioral treatment versus traditional cognitive-behavioral treatment for public speaking anxiety: An exploratory trial examining differential effects on performance and neurophysiology. </w:t>
      </w:r>
      <w:r>
        <w:rPr>
          <w:i/>
        </w:rPr>
        <w:t>Behavior Modification, 40</w:t>
      </w:r>
      <w:r>
        <w:t xml:space="preserve">(5), 748–776. </w:t>
      </w:r>
      <w:r w:rsidR="008065C5" w:rsidRPr="008065C5">
        <w:t>https://doi.org/10.1177/0145445516629939</w:t>
      </w:r>
    </w:p>
    <w:p w14:paraId="667E230F" w14:textId="1CE679B0" w:rsidR="00DD638C" w:rsidRDefault="00DD638C" w:rsidP="008065C5">
      <w:pPr>
        <w:keepLines/>
        <w:spacing w:line="480" w:lineRule="auto"/>
        <w:ind w:left="720" w:hanging="720"/>
      </w:pPr>
      <w:r>
        <w:t xml:space="preserve">Gross, M., Moore, Z. E., Gardner, F. L., </w:t>
      </w:r>
      <w:proofErr w:type="spellStart"/>
      <w:r>
        <w:t>Wolanin</w:t>
      </w:r>
      <w:proofErr w:type="spellEnd"/>
      <w:r>
        <w:t xml:space="preserve">, A. T., </w:t>
      </w:r>
      <w:proofErr w:type="spellStart"/>
      <w:r>
        <w:t>Pess</w:t>
      </w:r>
      <w:proofErr w:type="spellEnd"/>
      <w:r>
        <w:t xml:space="preserve">, R., and Marks, D. R. (2016). An empirical examination comparing the mindfulness-acceptance-commitment approach and psychological skills training for the mental health and sport performance of female student athletes. </w:t>
      </w:r>
      <w:r>
        <w:rPr>
          <w:i/>
        </w:rPr>
        <w:t>International Journal of Sport and Exercise Psychology, 16</w:t>
      </w:r>
      <w:r>
        <w:t xml:space="preserve">(4), 431–451. </w:t>
      </w:r>
      <w:r w:rsidR="008065C5" w:rsidRPr="008065C5">
        <w:t>https://doi.org/10.1080/1612197X.2016.1250802</w:t>
      </w:r>
    </w:p>
    <w:p w14:paraId="63FF2EFC" w14:textId="50D713CE" w:rsidR="00DD638C" w:rsidRDefault="00DD638C" w:rsidP="008065C5">
      <w:pPr>
        <w:keepLines/>
        <w:spacing w:line="480" w:lineRule="auto"/>
        <w:ind w:left="720" w:hanging="720"/>
      </w:pPr>
      <w:r>
        <w:t xml:space="preserve">Harris, R. (2009). </w:t>
      </w:r>
      <w:r>
        <w:rPr>
          <w:i/>
        </w:rPr>
        <w:t>ACT Made Simple: An Easy-To-Read Primer on Acceptance and Commitment Therapy.</w:t>
      </w:r>
      <w:r>
        <w:t xml:space="preserve"> Oakland, CA: New Harbinger.</w:t>
      </w:r>
    </w:p>
    <w:p w14:paraId="3A574C0D" w14:textId="661F9F86" w:rsidR="00DD638C" w:rsidRDefault="00DD638C" w:rsidP="008065C5">
      <w:pPr>
        <w:keepLines/>
        <w:spacing w:line="480" w:lineRule="auto"/>
        <w:ind w:left="720" w:hanging="720"/>
      </w:pPr>
      <w:r>
        <w:t xml:space="preserve">Hayes, S. C. (2004). Acceptance and commitment therapy, relational frame theory, and the third wave of behavioral and cognitive therapies. Behavior Therapy, 35(4), 639–665. https://doi.org/10.1016/s0005-7894(04)80013-3 </w:t>
      </w:r>
    </w:p>
    <w:p w14:paraId="16857898" w14:textId="6637C1C7" w:rsidR="00DD638C" w:rsidRDefault="00DD638C" w:rsidP="008065C5">
      <w:pPr>
        <w:keepLines/>
        <w:spacing w:line="480" w:lineRule="auto"/>
        <w:ind w:left="720" w:hanging="720"/>
      </w:pPr>
      <w:r>
        <w:t xml:space="preserve">Hayes, S. C., </w:t>
      </w:r>
      <w:proofErr w:type="spellStart"/>
      <w:r>
        <w:t>Luoma</w:t>
      </w:r>
      <w:proofErr w:type="spellEnd"/>
      <w:r>
        <w:t xml:space="preserve">, J. B., Bond, F. W., Masuda, A., &amp; Lillis, J. (2006). Acceptance and commitment therapy: Model, </w:t>
      </w:r>
      <w:proofErr w:type="gramStart"/>
      <w:r>
        <w:t>processes</w:t>
      </w:r>
      <w:proofErr w:type="gramEnd"/>
      <w:r>
        <w:t xml:space="preserve"> and outcomes. </w:t>
      </w:r>
      <w:proofErr w:type="spellStart"/>
      <w:r>
        <w:rPr>
          <w:i/>
        </w:rPr>
        <w:t>Behaviour</w:t>
      </w:r>
      <w:proofErr w:type="spellEnd"/>
      <w:r>
        <w:rPr>
          <w:i/>
        </w:rPr>
        <w:t xml:space="preserve"> Research and Therapy, 44</w:t>
      </w:r>
      <w:r>
        <w:t>(1), 1–25. https://doi.org/10.1016/j.brat.2005.06.006</w:t>
      </w:r>
    </w:p>
    <w:p w14:paraId="7A5F15C8" w14:textId="16711082" w:rsidR="00DD638C" w:rsidRDefault="00DD638C" w:rsidP="008065C5">
      <w:pPr>
        <w:keepLines/>
        <w:spacing w:line="480" w:lineRule="auto"/>
        <w:ind w:left="720" w:hanging="720"/>
      </w:pPr>
      <w:r>
        <w:lastRenderedPageBreak/>
        <w:t xml:space="preserve">Herbert, J. D., Forman, E. M., Kaye, J. L., </w:t>
      </w:r>
      <w:proofErr w:type="spellStart"/>
      <w:r>
        <w:t>Gershkovich</w:t>
      </w:r>
      <w:proofErr w:type="spellEnd"/>
      <w:r>
        <w:t xml:space="preserve">, M., </w:t>
      </w:r>
      <w:proofErr w:type="spellStart"/>
      <w:r>
        <w:t>Goetter</w:t>
      </w:r>
      <w:proofErr w:type="spellEnd"/>
      <w:r>
        <w:t xml:space="preserve">, E., Yuen, E. K., Glassman, L., Goldstein, S., Hitchcock, P., </w:t>
      </w:r>
      <w:proofErr w:type="spellStart"/>
      <w:r>
        <w:t>Tronier</w:t>
      </w:r>
      <w:proofErr w:type="spellEnd"/>
      <w:r>
        <w:t xml:space="preserve">, J. S., Berkowitz, S., &amp; </w:t>
      </w:r>
      <w:proofErr w:type="spellStart"/>
      <w:r>
        <w:t>Marando-Blanck</w:t>
      </w:r>
      <w:proofErr w:type="spellEnd"/>
      <w:r>
        <w:t xml:space="preserve">, S. (2018). Randomized controlled trial of acceptance and commitment therapy versus traditional cognitive behavior therapy for social anxiety disorder: Symptomatic and behavioral outcomes. </w:t>
      </w:r>
      <w:r>
        <w:rPr>
          <w:i/>
        </w:rPr>
        <w:t>Journal of Contextual Behavioral Science, 9,</w:t>
      </w:r>
      <w:r>
        <w:t xml:space="preserve"> 88–96. </w:t>
      </w:r>
      <w:r w:rsidR="008065C5" w:rsidRPr="008065C5">
        <w:t>https://doi.org/10.1016/j.jcbs.2018.07.008</w:t>
      </w:r>
    </w:p>
    <w:p w14:paraId="4DAE1410" w14:textId="1DBC0415" w:rsidR="00DD638C" w:rsidRDefault="00DD638C" w:rsidP="008065C5">
      <w:pPr>
        <w:keepLines/>
        <w:shd w:val="clear" w:color="auto" w:fill="FFFFFF"/>
        <w:spacing w:line="480" w:lineRule="auto"/>
        <w:ind w:left="720" w:hanging="720"/>
      </w:pPr>
      <w:proofErr w:type="spellStart"/>
      <w:r>
        <w:t>Josefsson</w:t>
      </w:r>
      <w:proofErr w:type="spellEnd"/>
      <w:r>
        <w:t xml:space="preserve">, T., Ivarsson, A., Gustafsson, H., </w:t>
      </w:r>
      <w:proofErr w:type="spellStart"/>
      <w:r>
        <w:t>Stenling</w:t>
      </w:r>
      <w:proofErr w:type="spellEnd"/>
      <w:r>
        <w:t xml:space="preserve">, A., </w:t>
      </w:r>
      <w:proofErr w:type="spellStart"/>
      <w:r>
        <w:t>Lindwall</w:t>
      </w:r>
      <w:proofErr w:type="spellEnd"/>
      <w:r>
        <w:t xml:space="preserve">, M., </w:t>
      </w:r>
      <w:proofErr w:type="spellStart"/>
      <w:r>
        <w:t>Tornberg</w:t>
      </w:r>
      <w:proofErr w:type="spellEnd"/>
      <w:r>
        <w:t xml:space="preserve">, R., &amp; </w:t>
      </w:r>
      <w:proofErr w:type="spellStart"/>
      <w:r>
        <w:t>Böröy</w:t>
      </w:r>
      <w:proofErr w:type="spellEnd"/>
      <w:r>
        <w:t xml:space="preserve">, J. (2019). Effects of mindfulness-acceptance-commitment (MAC) on sport-specific dispositional mindfulness, emotion regulation, and self-rated athletic performance in a multiple-sport population: An RCT study. </w:t>
      </w:r>
      <w:r>
        <w:rPr>
          <w:i/>
        </w:rPr>
        <w:t>Mindfulness 10</w:t>
      </w:r>
      <w:r>
        <w:t xml:space="preserve">, 1518–1529. </w:t>
      </w:r>
      <w:r w:rsidR="008065C5" w:rsidRPr="008065C5">
        <w:t>https://doi.org/10.1007/s12671-019-01098-7</w:t>
      </w:r>
    </w:p>
    <w:p w14:paraId="238F376B" w14:textId="50F55678" w:rsidR="00DD638C" w:rsidRDefault="00DD638C" w:rsidP="008065C5">
      <w:pPr>
        <w:keepLines/>
        <w:shd w:val="clear" w:color="auto" w:fill="FFFFFF"/>
        <w:spacing w:line="480" w:lineRule="auto"/>
        <w:ind w:left="720" w:hanging="720"/>
      </w:pPr>
      <w:r>
        <w:t xml:space="preserve">Juncos, D. G., </w:t>
      </w:r>
      <w:proofErr w:type="spellStart"/>
      <w:r>
        <w:t>Cardaciotto</w:t>
      </w:r>
      <w:proofErr w:type="spellEnd"/>
      <w:r>
        <w:t xml:space="preserve">, L., </w:t>
      </w:r>
      <w:proofErr w:type="spellStart"/>
      <w:r>
        <w:t>Spokas</w:t>
      </w:r>
      <w:proofErr w:type="spellEnd"/>
      <w:r>
        <w:t>, M., Falcone, D. J., Morgan, M. C., &amp; Gent, L. (2014). Acceptance and commitment therapy for the treatment of musical performance anxiety: A single subject design (Unpublished doctoral dissertation). La Salle University, Philadelphia, PA, USA.</w:t>
      </w:r>
    </w:p>
    <w:p w14:paraId="69293B5F" w14:textId="0A32F746" w:rsidR="00DD638C" w:rsidRDefault="00DD638C" w:rsidP="008065C5">
      <w:pPr>
        <w:keepLines/>
        <w:shd w:val="clear" w:color="auto" w:fill="FFFFFF"/>
        <w:spacing w:line="480" w:lineRule="auto"/>
        <w:ind w:left="720" w:hanging="720"/>
      </w:pPr>
      <w:r>
        <w:t xml:space="preserve">Juncos, D. G., &amp; Markman, E. J. (2016). Acceptance and Commitment Therapy for the treatment of music performance anxiety: A single subject design with a university student. </w:t>
      </w:r>
      <w:r>
        <w:rPr>
          <w:i/>
        </w:rPr>
        <w:t>Psychology of Music, 44</w:t>
      </w:r>
      <w:r>
        <w:t xml:space="preserve">(5), 935–952. </w:t>
      </w:r>
      <w:r w:rsidR="008065C5" w:rsidRPr="008065C5">
        <w:t>https://doi.org/10.1177/0305735615596236</w:t>
      </w:r>
    </w:p>
    <w:p w14:paraId="03E0D44E" w14:textId="733522A3" w:rsidR="00DD638C" w:rsidRDefault="00DD638C" w:rsidP="008065C5">
      <w:pPr>
        <w:keepLines/>
        <w:shd w:val="clear" w:color="auto" w:fill="FFFFFF"/>
        <w:spacing w:line="480" w:lineRule="auto"/>
        <w:ind w:left="720" w:hanging="720"/>
      </w:pPr>
      <w:r>
        <w:t xml:space="preserve">Juncos, D. G., &amp; de Paiva e </w:t>
      </w:r>
      <w:proofErr w:type="spellStart"/>
      <w:r>
        <w:t>Pona</w:t>
      </w:r>
      <w:proofErr w:type="spellEnd"/>
      <w:r>
        <w:t xml:space="preserve">, E. (2018). Acceptance and commitment therapy as a clinical anxiety treatment and performance enhancement program for musicians: Towards an evidence-based practice model within performance psychology. </w:t>
      </w:r>
      <w:r>
        <w:rPr>
          <w:i/>
        </w:rPr>
        <w:t>Music Science, 1</w:t>
      </w:r>
      <w:r>
        <w:t xml:space="preserve">, 1–17. </w:t>
      </w:r>
      <w:r w:rsidR="008065C5" w:rsidRPr="008065C5">
        <w:t>https://doi.org/10.1177/2059204317748807</w:t>
      </w:r>
    </w:p>
    <w:p w14:paraId="0ECA181D" w14:textId="60509C81" w:rsidR="008065C5" w:rsidRDefault="00DD638C" w:rsidP="008065C5">
      <w:pPr>
        <w:keepLines/>
        <w:shd w:val="clear" w:color="auto" w:fill="FFFFFF"/>
        <w:spacing w:line="480" w:lineRule="auto"/>
        <w:ind w:left="720" w:hanging="720"/>
      </w:pPr>
      <w:r>
        <w:lastRenderedPageBreak/>
        <w:t xml:space="preserve">Juncos, D. G., Heinrichs, G. A., Towle, P., Duffy, K., Grand, S. M., Morgan, M. C., Smith, J. D., &amp; </w:t>
      </w:r>
      <w:proofErr w:type="spellStart"/>
      <w:r>
        <w:t>Kalkus</w:t>
      </w:r>
      <w:proofErr w:type="spellEnd"/>
      <w:r>
        <w:t xml:space="preserve">, E. (2017). Acceptance and commitment therapy for the treatment of music performance anxiety: A pilot study with student vocalists. </w:t>
      </w:r>
      <w:r>
        <w:rPr>
          <w:i/>
        </w:rPr>
        <w:t>Frontiers in Psychology, 8</w:t>
      </w:r>
      <w:r>
        <w:t xml:space="preserve">, 1–16. </w:t>
      </w:r>
      <w:hyperlink r:id="rId14" w:history="1">
        <w:r w:rsidR="008065C5" w:rsidRPr="00AA4652">
          <w:rPr>
            <w:rStyle w:val="Hyperlink"/>
            <w:rFonts w:ascii="Times New Roman" w:hAnsi="Times New Roman"/>
          </w:rPr>
          <w:t>https://doi.org/10.3389/fpsyg.2017.00986</w:t>
        </w:r>
      </w:hyperlink>
    </w:p>
    <w:p w14:paraId="014DD960" w14:textId="0F90E14D" w:rsidR="00DD638C" w:rsidRDefault="00DD638C" w:rsidP="008065C5">
      <w:pPr>
        <w:keepLines/>
        <w:shd w:val="clear" w:color="auto" w:fill="FFFFFF"/>
        <w:spacing w:line="480" w:lineRule="auto"/>
        <w:ind w:left="720" w:hanging="720"/>
      </w:pPr>
      <w:r>
        <w:t xml:space="preserve">Kenny D. T., Davis P., &amp; Oates J. (2004). Music performance anxiety and occupational stress amongst opera chorus artists and their relationship with state and trait anxiety and perfectionism. </w:t>
      </w:r>
      <w:r>
        <w:rPr>
          <w:i/>
        </w:rPr>
        <w:t>Journal of Anxiety Disorders, 18</w:t>
      </w:r>
      <w:r>
        <w:t>(6), 757-777. https://doi.org/10.1016/j.janxdis.2003.09.004</w:t>
      </w:r>
    </w:p>
    <w:p w14:paraId="618F1617" w14:textId="441FF1AF" w:rsidR="00DD638C" w:rsidRDefault="00DD638C" w:rsidP="008065C5">
      <w:pPr>
        <w:keepLines/>
        <w:shd w:val="clear" w:color="auto" w:fill="FFFFFF"/>
        <w:spacing w:line="480" w:lineRule="auto"/>
        <w:ind w:left="720" w:hanging="720"/>
      </w:pPr>
      <w:r>
        <w:t xml:space="preserve">Kenny, D. T. (2005). A systematic review of treatments for music performance anxiety. </w:t>
      </w:r>
      <w:r>
        <w:rPr>
          <w:i/>
        </w:rPr>
        <w:t xml:space="preserve">Anxiety, Stress, and Coping, 18, </w:t>
      </w:r>
      <w:r>
        <w:t>183–208. https://doi:10.1080/ 10615800500167258</w:t>
      </w:r>
    </w:p>
    <w:p w14:paraId="0197C50C" w14:textId="18878E95" w:rsidR="00DD638C" w:rsidRDefault="00DD638C" w:rsidP="008065C5">
      <w:pPr>
        <w:keepLines/>
        <w:shd w:val="clear" w:color="auto" w:fill="FFFFFF"/>
        <w:spacing w:line="480" w:lineRule="auto"/>
        <w:ind w:left="720" w:hanging="720"/>
      </w:pPr>
      <w:r>
        <w:t xml:space="preserve">Kenny, D. T. (2009a, March 26-28). </w:t>
      </w:r>
      <w:r>
        <w:rPr>
          <w:i/>
        </w:rPr>
        <w:t xml:space="preserve">Predictors of expert ratings of music performance quality: The role of music performance anxiety and other performance factors </w:t>
      </w:r>
      <w:r>
        <w:t>[Paper presentation]. International Congress of Music Psychology and Music Medicine, Freiburg, Germany.</w:t>
      </w:r>
    </w:p>
    <w:p w14:paraId="5C3C468E" w14:textId="2375B2F6" w:rsidR="00DD638C" w:rsidRDefault="00DD638C" w:rsidP="008065C5">
      <w:pPr>
        <w:keepLines/>
        <w:shd w:val="clear" w:color="auto" w:fill="FFFFFF"/>
        <w:spacing w:line="480" w:lineRule="auto"/>
        <w:ind w:left="720" w:hanging="720"/>
      </w:pPr>
      <w:r>
        <w:t xml:space="preserve">Kenny, D. T. (2009b). Negative emotions in music making: Performance anxiety. In P. </w:t>
      </w:r>
      <w:proofErr w:type="spellStart"/>
      <w:r>
        <w:t>Juslin</w:t>
      </w:r>
      <w:proofErr w:type="spellEnd"/>
      <w:r>
        <w:t xml:space="preserve"> &amp; J. </w:t>
      </w:r>
      <w:proofErr w:type="spellStart"/>
      <w:r>
        <w:t>Slobada</w:t>
      </w:r>
      <w:proofErr w:type="spellEnd"/>
      <w:r>
        <w:t xml:space="preserve"> (Eds.), </w:t>
      </w:r>
      <w:r>
        <w:rPr>
          <w:i/>
        </w:rPr>
        <w:t>Handbook of music and emotion: theory, research, applications</w:t>
      </w:r>
      <w:r>
        <w:t xml:space="preserve"> (pp. 1-18). Oxford, UK: Oxford University Press.</w:t>
      </w:r>
    </w:p>
    <w:p w14:paraId="2D7B2DFC" w14:textId="755F501F" w:rsidR="00DD638C" w:rsidRDefault="00DD638C" w:rsidP="008065C5">
      <w:pPr>
        <w:keepLines/>
        <w:shd w:val="clear" w:color="auto" w:fill="FFFFFF"/>
        <w:spacing w:line="480" w:lineRule="auto"/>
        <w:ind w:left="720" w:hanging="720"/>
      </w:pPr>
      <w:r>
        <w:t xml:space="preserve">Kenny, D. T. (2011). </w:t>
      </w:r>
      <w:r>
        <w:rPr>
          <w:i/>
        </w:rPr>
        <w:t>The Psychology of Music Performance Anxiety</w:t>
      </w:r>
      <w:r>
        <w:t>. Oxford: Oxford University Press.</w:t>
      </w:r>
    </w:p>
    <w:p w14:paraId="377CF3FE" w14:textId="7A3B9406" w:rsidR="00DD638C" w:rsidRDefault="00DD638C" w:rsidP="008065C5">
      <w:pPr>
        <w:keepLines/>
        <w:shd w:val="clear" w:color="auto" w:fill="FFFFFF"/>
        <w:spacing w:line="480" w:lineRule="auto"/>
        <w:ind w:left="720" w:hanging="720"/>
      </w:pPr>
      <w:r>
        <w:t xml:space="preserve">Kenny, D. T. (2016). Short-term psychodynamic psychotherapy (STPP) for a severely performance anxious musician: A case report. Journal of Psychology and Psychotherapy, 6, 272. </w:t>
      </w:r>
      <w:r w:rsidR="008065C5" w:rsidRPr="008065C5">
        <w:t>https://doi.org/10.4172/2161-0487.1000272</w:t>
      </w:r>
    </w:p>
    <w:p w14:paraId="47B73846" w14:textId="77777777" w:rsidR="008065C5" w:rsidRDefault="00DD638C" w:rsidP="008065C5">
      <w:pPr>
        <w:keepLines/>
        <w:shd w:val="clear" w:color="auto" w:fill="FFFFFF"/>
        <w:spacing w:line="480" w:lineRule="auto"/>
        <w:ind w:left="720" w:hanging="720"/>
      </w:pPr>
      <w:r>
        <w:lastRenderedPageBreak/>
        <w:t xml:space="preserve">Kenny, D. T., </w:t>
      </w:r>
      <w:proofErr w:type="spellStart"/>
      <w:r>
        <w:t>Arthey</w:t>
      </w:r>
      <w:proofErr w:type="spellEnd"/>
      <w:r>
        <w:t xml:space="preserve">, S., &amp; </w:t>
      </w:r>
      <w:proofErr w:type="spellStart"/>
      <w:r>
        <w:t>Abbass</w:t>
      </w:r>
      <w:proofErr w:type="spellEnd"/>
      <w:r>
        <w:t xml:space="preserve">, A. (2014). Intensive short term dynamic psychotherapy (ISTDP) for severe music performance anxiety: Assessment, process, and outcome of psychotherapy with a professional orchestral musician. </w:t>
      </w:r>
      <w:r>
        <w:rPr>
          <w:i/>
        </w:rPr>
        <w:t>Medical Problems of Performing Artists, 29</w:t>
      </w:r>
      <w:r>
        <w:t>(1), 3–7.</w:t>
      </w:r>
    </w:p>
    <w:p w14:paraId="5556C00B" w14:textId="0B8824DA" w:rsidR="00DD638C" w:rsidRDefault="00DD638C" w:rsidP="008065C5">
      <w:pPr>
        <w:keepLines/>
        <w:shd w:val="clear" w:color="auto" w:fill="FFFFFF"/>
        <w:spacing w:line="480" w:lineRule="auto"/>
        <w:ind w:left="720" w:hanging="720"/>
      </w:pPr>
      <w:r>
        <w:t xml:space="preserve">Kenny, D. T., </w:t>
      </w:r>
      <w:proofErr w:type="spellStart"/>
      <w:r>
        <w:t>Arthey</w:t>
      </w:r>
      <w:proofErr w:type="spellEnd"/>
      <w:r>
        <w:t xml:space="preserve">, S., &amp; </w:t>
      </w:r>
      <w:proofErr w:type="spellStart"/>
      <w:r>
        <w:t>Abbass</w:t>
      </w:r>
      <w:proofErr w:type="spellEnd"/>
      <w:r>
        <w:t xml:space="preserve">, A. (2016). Identifying attachment ruptures underlying severe music performance anxiety in a professional musician undertaking intensive short-term dynamic psychotherapy (ISTDP): Case study. </w:t>
      </w:r>
      <w:proofErr w:type="spellStart"/>
      <w:r>
        <w:t>SpringerPlus</w:t>
      </w:r>
      <w:proofErr w:type="spellEnd"/>
      <w:r>
        <w:t xml:space="preserve">, 5, 1591. </w:t>
      </w:r>
      <w:r w:rsidR="008065C5" w:rsidRPr="008065C5">
        <w:t>https://doi.org/10.1186/s40064-016-3268-0</w:t>
      </w:r>
    </w:p>
    <w:p w14:paraId="61CBF610" w14:textId="7D9BB727" w:rsidR="00DD638C" w:rsidRDefault="00DD638C" w:rsidP="008065C5">
      <w:pPr>
        <w:keepLines/>
        <w:shd w:val="clear" w:color="auto" w:fill="FFFFFF"/>
        <w:spacing w:line="480" w:lineRule="auto"/>
        <w:ind w:left="720" w:hanging="720"/>
      </w:pPr>
      <w:r>
        <w:t xml:space="preserve">Kenny, D. T., &amp; Holmes, J. (2015). Exploring the attachment narrative of a professional musician with severe performance anxiety: A case study. Journal of Psychology and Psychotherapy, 5, 190. </w:t>
      </w:r>
      <w:r w:rsidR="008065C5" w:rsidRPr="008065C5">
        <w:t>https://doi.org/10.4172/2161-0487.100019</w:t>
      </w:r>
    </w:p>
    <w:p w14:paraId="1ABAA21E" w14:textId="59CE51F2" w:rsidR="00DD638C" w:rsidRDefault="00DD638C" w:rsidP="008065C5">
      <w:pPr>
        <w:keepLines/>
        <w:spacing w:line="480" w:lineRule="auto"/>
        <w:ind w:left="720" w:hanging="720"/>
      </w:pPr>
      <w:proofErr w:type="spellStart"/>
      <w:r>
        <w:t>Kocovski</w:t>
      </w:r>
      <w:proofErr w:type="spellEnd"/>
      <w:r>
        <w:t xml:space="preserve">, N. L., Fleming, J. E., Hawley, L. L., </w:t>
      </w:r>
      <w:proofErr w:type="spellStart"/>
      <w:r>
        <w:t>Huta</w:t>
      </w:r>
      <w:proofErr w:type="spellEnd"/>
      <w:r>
        <w:t>, V., and Antony, M. M. (2013). Mindfulness and acceptance-based group therapy versus traditional cognitive behavioral group therapy for social anxiety disorder: A randomized controlled trial.</w:t>
      </w:r>
      <w:r>
        <w:rPr>
          <w:i/>
        </w:rPr>
        <w:t xml:space="preserve"> </w:t>
      </w:r>
      <w:proofErr w:type="spellStart"/>
      <w:r>
        <w:rPr>
          <w:i/>
        </w:rPr>
        <w:t>Behaviour</w:t>
      </w:r>
      <w:proofErr w:type="spellEnd"/>
      <w:r>
        <w:rPr>
          <w:i/>
        </w:rPr>
        <w:t xml:space="preserve"> Research and Therapy, 51</w:t>
      </w:r>
      <w:r>
        <w:t>(12), 889–898. https://doi.org/10.1016/j.brat.2013.10.007</w:t>
      </w:r>
    </w:p>
    <w:p w14:paraId="258CE6A6" w14:textId="761BD892" w:rsidR="00DD638C" w:rsidRDefault="00DD638C" w:rsidP="008065C5">
      <w:pPr>
        <w:keepLines/>
        <w:spacing w:line="480" w:lineRule="auto"/>
        <w:ind w:left="720" w:hanging="720"/>
      </w:pPr>
      <w:proofErr w:type="spellStart"/>
      <w:r>
        <w:t>Landi</w:t>
      </w:r>
      <w:proofErr w:type="spellEnd"/>
      <w:r>
        <w:t xml:space="preserve">, G., Pakenham, K., </w:t>
      </w:r>
      <w:proofErr w:type="spellStart"/>
      <w:r>
        <w:t>Crocetti</w:t>
      </w:r>
      <w:proofErr w:type="spellEnd"/>
      <w:r>
        <w:t xml:space="preserve">, E., </w:t>
      </w:r>
      <w:proofErr w:type="spellStart"/>
      <w:r>
        <w:t>Grandi</w:t>
      </w:r>
      <w:proofErr w:type="spellEnd"/>
      <w:r>
        <w:t xml:space="preserve">, S., &amp; </w:t>
      </w:r>
      <w:proofErr w:type="spellStart"/>
      <w:r>
        <w:t>Tossani</w:t>
      </w:r>
      <w:proofErr w:type="spellEnd"/>
      <w:r>
        <w:t>, E. (2021). The multidimensional psychological flexibility inventory (MPFI): Discriminant validity of psychological flexibility with distress. J</w:t>
      </w:r>
      <w:r>
        <w:rPr>
          <w:i/>
        </w:rPr>
        <w:t>ournal of Contextual Behavioral Science</w:t>
      </w:r>
      <w:r>
        <w:t xml:space="preserve">, </w:t>
      </w:r>
      <w:r>
        <w:rPr>
          <w:i/>
        </w:rPr>
        <w:t>21</w:t>
      </w:r>
      <w:r>
        <w:t xml:space="preserve">, 22–29. </w:t>
      </w:r>
      <w:r w:rsidR="008065C5" w:rsidRPr="008065C5">
        <w:t>https://doi.org/10.1016/j.jcbs.2021.05.004</w:t>
      </w:r>
    </w:p>
    <w:p w14:paraId="281FFB2C" w14:textId="1F23A785" w:rsidR="00DD638C" w:rsidRDefault="00DD638C" w:rsidP="008065C5">
      <w:pPr>
        <w:keepLines/>
        <w:spacing w:line="480" w:lineRule="auto"/>
        <w:ind w:left="720" w:hanging="720"/>
      </w:pPr>
      <w:proofErr w:type="spellStart"/>
      <w:r>
        <w:t>Matei</w:t>
      </w:r>
      <w:proofErr w:type="spellEnd"/>
      <w:r>
        <w:t xml:space="preserve">, R., &amp; </w:t>
      </w:r>
      <w:proofErr w:type="spellStart"/>
      <w:r>
        <w:t>Ginsborg</w:t>
      </w:r>
      <w:proofErr w:type="spellEnd"/>
      <w:r>
        <w:t xml:space="preserve">, J. (2017). Music performance anxiety in classical musicians - what we know about what works. </w:t>
      </w:r>
      <w:proofErr w:type="spellStart"/>
      <w:r>
        <w:rPr>
          <w:i/>
        </w:rPr>
        <w:t>BJPsych</w:t>
      </w:r>
      <w:proofErr w:type="spellEnd"/>
      <w:r>
        <w:rPr>
          <w:i/>
        </w:rPr>
        <w:t xml:space="preserve"> international</w:t>
      </w:r>
      <w:r>
        <w:t xml:space="preserve">, </w:t>
      </w:r>
      <w:r>
        <w:rPr>
          <w:i/>
        </w:rPr>
        <w:t>14</w:t>
      </w:r>
      <w:r>
        <w:t xml:space="preserve">(2), 33–35. </w:t>
      </w:r>
      <w:r w:rsidR="008065C5" w:rsidRPr="008065C5">
        <w:t>https://doi.org/10.1192/s2056474000001744</w:t>
      </w:r>
    </w:p>
    <w:p w14:paraId="401AB29B" w14:textId="1B865FB9" w:rsidR="008065C5" w:rsidRDefault="00DD638C" w:rsidP="008065C5">
      <w:pPr>
        <w:spacing w:line="480" w:lineRule="auto"/>
        <w:ind w:left="720" w:hanging="720"/>
      </w:pPr>
      <w:r>
        <w:lastRenderedPageBreak/>
        <w:t xml:space="preserve">Nagel, J., </w:t>
      </w:r>
      <w:proofErr w:type="spellStart"/>
      <w:r>
        <w:t>Himle</w:t>
      </w:r>
      <w:proofErr w:type="spellEnd"/>
      <w:r>
        <w:t xml:space="preserve">, D. P., &amp; </w:t>
      </w:r>
      <w:proofErr w:type="spellStart"/>
      <w:r>
        <w:t>Papsdorf</w:t>
      </w:r>
      <w:proofErr w:type="spellEnd"/>
      <w:r>
        <w:t xml:space="preserve">, J. D. (1989). Cognitive-behavioural treatment of musical performance anxiety. </w:t>
      </w:r>
      <w:r>
        <w:rPr>
          <w:i/>
        </w:rPr>
        <w:t>Psychology of Music, 17</w:t>
      </w:r>
      <w:r>
        <w:t xml:space="preserve">(1), 12–21. </w:t>
      </w:r>
      <w:hyperlink r:id="rId15" w:history="1">
        <w:r w:rsidR="008065C5" w:rsidRPr="00AA4652">
          <w:rPr>
            <w:rStyle w:val="Hyperlink"/>
            <w:rFonts w:ascii="Times New Roman" w:hAnsi="Times New Roman"/>
          </w:rPr>
          <w:t>https://doi.org/10.1177/0305735689171002</w:t>
        </w:r>
      </w:hyperlink>
    </w:p>
    <w:p w14:paraId="04DF6FD2" w14:textId="0F54C717" w:rsidR="00DD638C" w:rsidRDefault="00DD638C" w:rsidP="008065C5">
      <w:pPr>
        <w:spacing w:line="480" w:lineRule="auto"/>
        <w:ind w:left="720" w:hanging="720"/>
      </w:pPr>
      <w:r>
        <w:t xml:space="preserve">Nascimento, S. F. (2013) </w:t>
      </w:r>
      <w:proofErr w:type="spellStart"/>
      <w:r>
        <w:t>Ansiedade</w:t>
      </w:r>
      <w:proofErr w:type="spellEnd"/>
      <w:r>
        <w:t xml:space="preserve"> de performance musical: Um </w:t>
      </w:r>
      <w:proofErr w:type="spellStart"/>
      <w:r>
        <w:t>estudo</w:t>
      </w:r>
      <w:proofErr w:type="spellEnd"/>
      <w:r>
        <w:t xml:space="preserve"> </w:t>
      </w:r>
      <w:proofErr w:type="spellStart"/>
      <w:r>
        <w:t>sobre</w:t>
      </w:r>
      <w:proofErr w:type="spellEnd"/>
      <w:r>
        <w:t xml:space="preserve"> o </w:t>
      </w:r>
      <w:proofErr w:type="spellStart"/>
      <w:r>
        <w:t>uso</w:t>
      </w:r>
      <w:proofErr w:type="spellEnd"/>
      <w:r>
        <w:t xml:space="preserve"> de </w:t>
      </w:r>
      <w:proofErr w:type="spellStart"/>
      <w:r>
        <w:t>betabloqueadores</w:t>
      </w:r>
      <w:proofErr w:type="spellEnd"/>
      <w:r>
        <w:t xml:space="preserve"> </w:t>
      </w:r>
      <w:proofErr w:type="spellStart"/>
      <w:r>
        <w:t>por</w:t>
      </w:r>
      <w:proofErr w:type="spellEnd"/>
      <w:r>
        <w:t xml:space="preserve"> </w:t>
      </w:r>
      <w:proofErr w:type="spellStart"/>
      <w:r>
        <w:t>bacharelandos</w:t>
      </w:r>
      <w:proofErr w:type="spellEnd"/>
      <w:r>
        <w:t xml:space="preserve"> </w:t>
      </w:r>
      <w:proofErr w:type="spellStart"/>
      <w:r>
        <w:t>em</w:t>
      </w:r>
      <w:proofErr w:type="spellEnd"/>
      <w:r>
        <w:t xml:space="preserve"> </w:t>
      </w:r>
      <w:proofErr w:type="spellStart"/>
      <w:r>
        <w:t>música</w:t>
      </w:r>
      <w:proofErr w:type="spellEnd"/>
      <w:r>
        <w:t xml:space="preserve"> [</w:t>
      </w:r>
      <w:proofErr w:type="spellStart"/>
      <w:r>
        <w:t>Docotral</w:t>
      </w:r>
      <w:proofErr w:type="spellEnd"/>
      <w:r>
        <w:t xml:space="preserve"> dissertation, </w:t>
      </w:r>
      <w:proofErr w:type="spellStart"/>
      <w:r>
        <w:t>Universidade</w:t>
      </w:r>
      <w:proofErr w:type="spellEnd"/>
      <w:r>
        <w:t xml:space="preserve"> Federal de Minas Gerais]. </w:t>
      </w:r>
      <w:r w:rsidR="008065C5" w:rsidRPr="008065C5">
        <w:t>http://hdl.handle.net/1843/AAGS-9RTNFQ</w:t>
      </w:r>
    </w:p>
    <w:p w14:paraId="1F2D3714" w14:textId="42666B23" w:rsidR="00DD638C" w:rsidRDefault="00DD638C" w:rsidP="008065C5">
      <w:pPr>
        <w:spacing w:line="480" w:lineRule="auto"/>
        <w:ind w:left="720" w:hanging="720"/>
      </w:pPr>
      <w:r>
        <w:t xml:space="preserve">Osborne, M.S., Kenny, D.T., 2008. The role of </w:t>
      </w:r>
      <w:proofErr w:type="spellStart"/>
      <w:r>
        <w:t>sensitising</w:t>
      </w:r>
      <w:proofErr w:type="spellEnd"/>
      <w:r>
        <w:t xml:space="preserve"> experiences in music performance anxiety in adolescent musicians.</w:t>
      </w:r>
      <w:r>
        <w:rPr>
          <w:i/>
        </w:rPr>
        <w:t xml:space="preserve"> Psychology of Music, 36</w:t>
      </w:r>
      <w:r>
        <w:t>(4), 447–462.</w:t>
      </w:r>
    </w:p>
    <w:p w14:paraId="2D9FD2F1" w14:textId="0A916D69" w:rsidR="00DD638C" w:rsidRDefault="00DD638C" w:rsidP="008065C5">
      <w:pPr>
        <w:spacing w:line="480" w:lineRule="auto"/>
        <w:ind w:left="720" w:hanging="720"/>
      </w:pPr>
      <w:r>
        <w:t>Osborne, M. S., Kenny, D. T., &amp; Cooksey, J. (2007). Impact of a cognitive-behavioural treatment program on music performance anxiety in secondary school music students: A pilot study.</w:t>
      </w:r>
      <w:r>
        <w:rPr>
          <w:i/>
        </w:rPr>
        <w:t xml:space="preserve"> </w:t>
      </w:r>
      <w:proofErr w:type="spellStart"/>
      <w:r>
        <w:rPr>
          <w:i/>
        </w:rPr>
        <w:t>Musciae</w:t>
      </w:r>
      <w:proofErr w:type="spellEnd"/>
      <w:r>
        <w:rPr>
          <w:i/>
        </w:rPr>
        <w:t xml:space="preserve"> Scientiae, 11</w:t>
      </w:r>
      <w:r>
        <w:t xml:space="preserve">, 53–84. </w:t>
      </w:r>
      <w:r w:rsidR="008065C5" w:rsidRPr="008065C5">
        <w:t>https://doi.org/10.1177/10298649070110S204</w:t>
      </w:r>
    </w:p>
    <w:p w14:paraId="3C272CC1" w14:textId="0DB48D44" w:rsidR="00DD638C" w:rsidRDefault="00DD638C" w:rsidP="008065C5">
      <w:pPr>
        <w:spacing w:line="480" w:lineRule="auto"/>
        <w:ind w:left="720" w:hanging="720"/>
      </w:pPr>
      <w:r>
        <w:t xml:space="preserve">Osborne, M. S., Kenny, D. T., &amp; </w:t>
      </w:r>
      <w:proofErr w:type="spellStart"/>
      <w:r>
        <w:t>Holsomback</w:t>
      </w:r>
      <w:proofErr w:type="spellEnd"/>
      <w:r>
        <w:t xml:space="preserve">, R. (2005). Assessment of music performance anxiety in late childhood: A validation study of the Music Performance Anxiety Inventory for Adolescents (MPAI-A). </w:t>
      </w:r>
      <w:r>
        <w:rPr>
          <w:i/>
        </w:rPr>
        <w:t>International Journal of Stress Management, 12</w:t>
      </w:r>
      <w:r>
        <w:t xml:space="preserve">(4), 312–330. </w:t>
      </w:r>
      <w:r w:rsidR="008065C5" w:rsidRPr="008065C5">
        <w:t>https://doi.org/10.1037/1072-5245.12.4.312</w:t>
      </w:r>
    </w:p>
    <w:p w14:paraId="26FEDDA2" w14:textId="629C116A" w:rsidR="00DD638C" w:rsidRDefault="00DD638C" w:rsidP="008065C5">
      <w:pPr>
        <w:spacing w:line="480" w:lineRule="auto"/>
        <w:ind w:left="720" w:hanging="720"/>
      </w:pPr>
      <w:proofErr w:type="spellStart"/>
      <w:r>
        <w:t>Papageorgi</w:t>
      </w:r>
      <w:proofErr w:type="spellEnd"/>
      <w:r>
        <w:t xml:space="preserve">, I., Creech, A., and Welch, G. (2013). Perceived performance anxiety in advanced musicians specializing in different musical genres. </w:t>
      </w:r>
      <w:r>
        <w:rPr>
          <w:i/>
        </w:rPr>
        <w:t>Psychology of Music, 41,</w:t>
      </w:r>
      <w:r>
        <w:t xml:space="preserve"> 18–41. https://doi.org/10.1177/0305735611408995</w:t>
      </w:r>
    </w:p>
    <w:p w14:paraId="224FB801" w14:textId="2B92642B" w:rsidR="00DD638C" w:rsidRDefault="00DD638C" w:rsidP="008065C5">
      <w:pPr>
        <w:spacing w:line="480" w:lineRule="auto"/>
        <w:ind w:left="720" w:hanging="720"/>
      </w:pPr>
      <w:proofErr w:type="spellStart"/>
      <w:r>
        <w:t>Papageorgi</w:t>
      </w:r>
      <w:proofErr w:type="spellEnd"/>
      <w:r>
        <w:t xml:space="preserve">, I. &amp; Welch, G. F. (2020) “A bed of nails”: Professional musicians’ accounts of the experience of performance anxiety from a phenomenological perspective. </w:t>
      </w:r>
      <w:r>
        <w:rPr>
          <w:i/>
        </w:rPr>
        <w:t>Frontiers in Psychology, 11</w:t>
      </w:r>
      <w:r>
        <w:t xml:space="preserve">, 1–12. </w:t>
      </w:r>
      <w:r w:rsidR="008065C5" w:rsidRPr="008065C5">
        <w:t>https://doi.org/10.3389/fpsyg.2020.605422</w:t>
      </w:r>
    </w:p>
    <w:p w14:paraId="6D0419AD" w14:textId="447489AC" w:rsidR="00DD638C" w:rsidRDefault="00DD638C" w:rsidP="008065C5">
      <w:pPr>
        <w:keepLines/>
        <w:spacing w:line="480" w:lineRule="auto"/>
        <w:ind w:left="720" w:hanging="720"/>
      </w:pPr>
      <w:proofErr w:type="spellStart"/>
      <w:r>
        <w:lastRenderedPageBreak/>
        <w:t>Pecen</w:t>
      </w:r>
      <w:proofErr w:type="spellEnd"/>
      <w:r>
        <w:t xml:space="preserve"> E., Collins, D. J. &amp; </w:t>
      </w:r>
      <w:proofErr w:type="spellStart"/>
      <w:r>
        <w:t>MacNamara</w:t>
      </w:r>
      <w:proofErr w:type="spellEnd"/>
      <w:r>
        <w:t>, Á. (2018). “It’s your problem. Deal with it.” Performers’ experiences of psychological challenges in music.</w:t>
      </w:r>
      <w:r>
        <w:rPr>
          <w:i/>
        </w:rPr>
        <w:t xml:space="preserve"> Frontiers in Psychology 8:2374</w:t>
      </w:r>
      <w:r>
        <w:t xml:space="preserve">. </w:t>
      </w:r>
      <w:r w:rsidR="008065C5" w:rsidRPr="008065C5">
        <w:t>https://doi.org/10.3389/fpsyg.2017.02374</w:t>
      </w:r>
    </w:p>
    <w:p w14:paraId="04022A93" w14:textId="45D260E7" w:rsidR="00DD638C" w:rsidRDefault="00DD638C" w:rsidP="008065C5">
      <w:pPr>
        <w:keepLines/>
        <w:spacing w:line="480" w:lineRule="auto"/>
        <w:ind w:left="720" w:hanging="720"/>
      </w:pPr>
      <w:proofErr w:type="spellStart"/>
      <w:r>
        <w:t>Rolffs</w:t>
      </w:r>
      <w:proofErr w:type="spellEnd"/>
      <w:r>
        <w:t xml:space="preserve">, J. L., Rogge, R. D., &amp; Wilson, K. G. (2018). Disentangling components of flexibility via the hexaflex model: Development and validation of the Multidimensional Psychological Flexibility Inventory (MPFI). </w:t>
      </w:r>
      <w:r>
        <w:rPr>
          <w:i/>
        </w:rPr>
        <w:t>Assessment 25,</w:t>
      </w:r>
      <w:r>
        <w:t xml:space="preserve"> 458–482. https://doi.org/10.1177/107319111664 5905</w:t>
      </w:r>
    </w:p>
    <w:p w14:paraId="35141EC7" w14:textId="06CAAC11" w:rsidR="00DD638C" w:rsidRDefault="00DD638C" w:rsidP="008065C5">
      <w:pPr>
        <w:keepLines/>
        <w:spacing w:line="480" w:lineRule="auto"/>
        <w:ind w:left="720" w:hanging="720"/>
      </w:pPr>
      <w:r>
        <w:t xml:space="preserve">Ryan, C. (2005). Experience of musical performance anxiety in elementary school children. </w:t>
      </w:r>
      <w:r>
        <w:rPr>
          <w:i/>
        </w:rPr>
        <w:t>International Journal of Stress Management, 12</w:t>
      </w:r>
      <w:r>
        <w:t xml:space="preserve">(4), 331–342. </w:t>
      </w:r>
      <w:r w:rsidR="008065C5" w:rsidRPr="008065C5">
        <w:t>https://doi.org/10.1037/1072-5245.12.4.331</w:t>
      </w:r>
    </w:p>
    <w:p w14:paraId="3922C77B" w14:textId="2837B9EE" w:rsidR="00DD638C" w:rsidRDefault="00DD638C" w:rsidP="008065C5">
      <w:pPr>
        <w:keepLines/>
        <w:spacing w:line="480" w:lineRule="auto"/>
        <w:ind w:left="720" w:hanging="720"/>
        <w:rPr>
          <w:highlight w:val="white"/>
        </w:rPr>
      </w:pPr>
      <w:r>
        <w:rPr>
          <w:highlight w:val="white"/>
        </w:rPr>
        <w:t xml:space="preserve">Salmon, P. G. (1990). A psychological perspective on musical performance anxiety: A review of the literature. </w:t>
      </w:r>
      <w:r>
        <w:rPr>
          <w:i/>
          <w:highlight w:val="white"/>
        </w:rPr>
        <w:t>Medical Problems of Performing Artists, 5</w:t>
      </w:r>
      <w:r>
        <w:rPr>
          <w:highlight w:val="white"/>
        </w:rPr>
        <w:t>, 2–11.</w:t>
      </w:r>
    </w:p>
    <w:p w14:paraId="19EC09EF" w14:textId="3F6D51FD" w:rsidR="00DD638C" w:rsidRPr="008065C5" w:rsidRDefault="00DD638C" w:rsidP="008065C5">
      <w:pPr>
        <w:keepLines/>
        <w:spacing w:line="480" w:lineRule="auto"/>
        <w:ind w:left="720" w:hanging="720"/>
        <w:rPr>
          <w:highlight w:val="white"/>
        </w:rPr>
      </w:pPr>
      <w:r>
        <w:rPr>
          <w:highlight w:val="white"/>
        </w:rPr>
        <w:t xml:space="preserve">Shaw, T. A., Juncos, D. G. &amp; Winter, D. (2020). Piloting a new model for treating music performance anxiety: Training a singing teacher to use acceptance and commitment coaching with a student. </w:t>
      </w:r>
      <w:r>
        <w:rPr>
          <w:i/>
          <w:highlight w:val="white"/>
        </w:rPr>
        <w:t>Frontiers in Psychology, 11</w:t>
      </w:r>
      <w:r>
        <w:rPr>
          <w:highlight w:val="white"/>
        </w:rPr>
        <w:t xml:space="preserve">. </w:t>
      </w:r>
      <w:r w:rsidR="008065C5" w:rsidRPr="008065C5">
        <w:t>https://doi.org/10.3389/fpsyg.2020.00882</w:t>
      </w:r>
    </w:p>
    <w:p w14:paraId="07789069" w14:textId="635FB85C" w:rsidR="00DD638C" w:rsidRDefault="00DD638C" w:rsidP="008065C5">
      <w:pPr>
        <w:spacing w:line="480" w:lineRule="auto"/>
        <w:ind w:left="720" w:hanging="720"/>
      </w:pPr>
      <w:proofErr w:type="spellStart"/>
      <w:r>
        <w:t>Spahn</w:t>
      </w:r>
      <w:proofErr w:type="spellEnd"/>
      <w:r>
        <w:t xml:space="preserve">, C. (2015). Treatment and prevention of music performance anxiety. </w:t>
      </w:r>
      <w:r>
        <w:rPr>
          <w:i/>
        </w:rPr>
        <w:t>Progress in Brain Research, 217</w:t>
      </w:r>
      <w:r>
        <w:t xml:space="preserve">, 127–140. </w:t>
      </w:r>
      <w:r w:rsidR="008065C5" w:rsidRPr="008065C5">
        <w:t>https://doi.org/10.1016/bs.pbr.2014.11.024</w:t>
      </w:r>
    </w:p>
    <w:p w14:paraId="7C762DBC" w14:textId="4711C1EA" w:rsidR="00DD638C" w:rsidRDefault="00DD638C" w:rsidP="008065C5">
      <w:pPr>
        <w:keepLines/>
        <w:spacing w:line="480" w:lineRule="auto"/>
        <w:ind w:left="720" w:hanging="720"/>
      </w:pPr>
      <w:proofErr w:type="spellStart"/>
      <w:r>
        <w:t>Spahn</w:t>
      </w:r>
      <w:proofErr w:type="spellEnd"/>
      <w:r>
        <w:t xml:space="preserve">, C., Walther, J.-C. &amp; </w:t>
      </w:r>
      <w:proofErr w:type="spellStart"/>
      <w:r>
        <w:t>Nusseck</w:t>
      </w:r>
      <w:proofErr w:type="spellEnd"/>
      <w:r>
        <w:t xml:space="preserve">, M. (2016) The effectiveness of a multimodal concept of audition training for music students in coping with music performance anxiety. </w:t>
      </w:r>
      <w:r>
        <w:rPr>
          <w:i/>
        </w:rPr>
        <w:t>Psychology of Music</w:t>
      </w:r>
      <w:r>
        <w:t>, 4, 893–909.</w:t>
      </w:r>
    </w:p>
    <w:p w14:paraId="0F490FDE" w14:textId="309BB669" w:rsidR="00B92A20" w:rsidRDefault="00B92A20" w:rsidP="008065C5">
      <w:pPr>
        <w:keepLines/>
        <w:spacing w:line="480" w:lineRule="auto"/>
        <w:ind w:left="720" w:hanging="720"/>
      </w:pPr>
      <w:r>
        <w:lastRenderedPageBreak/>
        <w:t xml:space="preserve">Spielberger, C. D., Gorsuch, R. L., </w:t>
      </w:r>
      <w:proofErr w:type="spellStart"/>
      <w:r>
        <w:t>Lushene</w:t>
      </w:r>
      <w:proofErr w:type="spellEnd"/>
      <w:r>
        <w:t xml:space="preserve">, R., </w:t>
      </w:r>
      <w:proofErr w:type="spellStart"/>
      <w:r>
        <w:t>Vagg</w:t>
      </w:r>
      <w:proofErr w:type="spellEnd"/>
      <w:r>
        <w:t xml:space="preserve">, P. R., &amp; Jacobs, G. A. (1983). </w:t>
      </w:r>
      <w:r w:rsidRPr="00B92A20">
        <w:rPr>
          <w:i/>
          <w:iCs/>
        </w:rPr>
        <w:t>Manual for the State-Trait Anxiety Inventory</w:t>
      </w:r>
      <w:r>
        <w:t>. Palo Alto, CA: Consulting Psychologists Press.</w:t>
      </w:r>
    </w:p>
    <w:p w14:paraId="41B5770B" w14:textId="0F824C6C" w:rsidR="008065C5" w:rsidRDefault="00DD638C" w:rsidP="008065C5">
      <w:pPr>
        <w:keepLines/>
        <w:spacing w:line="480" w:lineRule="auto"/>
        <w:ind w:left="720" w:hanging="720"/>
      </w:pPr>
      <w:proofErr w:type="spellStart"/>
      <w:r>
        <w:t>Sternbach</w:t>
      </w:r>
      <w:proofErr w:type="spellEnd"/>
      <w:r>
        <w:t xml:space="preserve">, D. J. (2008). Stress in the lives of music students. </w:t>
      </w:r>
      <w:r>
        <w:rPr>
          <w:i/>
        </w:rPr>
        <w:t>Music Educators Journal</w:t>
      </w:r>
      <w:r>
        <w:t xml:space="preserve">, </w:t>
      </w:r>
      <w:r>
        <w:rPr>
          <w:i/>
        </w:rPr>
        <w:t>94</w:t>
      </w:r>
      <w:r>
        <w:t xml:space="preserve">(3), 42–48. </w:t>
      </w:r>
      <w:hyperlink r:id="rId16" w:history="1">
        <w:r w:rsidR="008065C5" w:rsidRPr="00AA4652">
          <w:rPr>
            <w:rStyle w:val="Hyperlink"/>
            <w:rFonts w:ascii="Times New Roman" w:hAnsi="Times New Roman"/>
          </w:rPr>
          <w:t>https://doi.org/10.1177/002743210809400309</w:t>
        </w:r>
      </w:hyperlink>
    </w:p>
    <w:p w14:paraId="7D1F6809" w14:textId="14BA7306" w:rsidR="00DD638C" w:rsidRDefault="00DD638C" w:rsidP="008065C5">
      <w:pPr>
        <w:keepLines/>
        <w:spacing w:line="480" w:lineRule="auto"/>
        <w:ind w:left="720" w:hanging="720"/>
      </w:pPr>
      <w:proofErr w:type="spellStart"/>
      <w:r>
        <w:t>Tamborrino</w:t>
      </w:r>
      <w:proofErr w:type="spellEnd"/>
      <w:r>
        <w:t xml:space="preserve">, R. A. (2001). An examination of performance anxiety associated with solo performance of college-level music majors [Doctoral thesis, Indiana University]. </w:t>
      </w:r>
      <w:proofErr w:type="spellStart"/>
      <w:r>
        <w:t>Worldcat</w:t>
      </w:r>
      <w:proofErr w:type="spellEnd"/>
      <w:r>
        <w:t>.</w:t>
      </w:r>
    </w:p>
    <w:p w14:paraId="1707449B" w14:textId="2D696D14" w:rsidR="00DD638C" w:rsidRDefault="00DD638C" w:rsidP="008065C5">
      <w:pPr>
        <w:keepLines/>
        <w:spacing w:line="480" w:lineRule="auto"/>
        <w:ind w:left="720" w:hanging="720"/>
      </w:pPr>
      <w:r>
        <w:t xml:space="preserve">Teasdale, J. D., Moore, R. G., Hayhurst, H., Pope, M., Williams, S., &amp; Segal, Z. V. (2002). Metacognitive awareness and prevention of relapse in depression: Empirical evidence. </w:t>
      </w:r>
      <w:r>
        <w:rPr>
          <w:i/>
        </w:rPr>
        <w:t>Journal of Consulting and Clinical Psychology, 70</w:t>
      </w:r>
      <w:r>
        <w:t xml:space="preserve">(2), 275–287. </w:t>
      </w:r>
      <w:r w:rsidR="008065C5" w:rsidRPr="008065C5">
        <w:t>https://doi.org/10.1037/0022-006X.70.2.275</w:t>
      </w:r>
    </w:p>
    <w:p w14:paraId="7A4B8DD1" w14:textId="408A6225" w:rsidR="00DD638C" w:rsidRDefault="00DD638C" w:rsidP="008065C5">
      <w:pPr>
        <w:keepLines/>
        <w:spacing w:line="480" w:lineRule="auto"/>
        <w:ind w:left="720" w:hanging="720"/>
      </w:pPr>
      <w:r>
        <w:t xml:space="preserve">Valentine, E. (2002) The fear of performance. In: J. Rink (Ed.), </w:t>
      </w:r>
      <w:r>
        <w:rPr>
          <w:i/>
        </w:rPr>
        <w:t xml:space="preserve">Musical performance: A guide to understanding </w:t>
      </w:r>
      <w:r>
        <w:t>(pp. 168-182). Cambridge University Press.</w:t>
      </w:r>
    </w:p>
    <w:p w14:paraId="0E4F1C54" w14:textId="6C2756D9" w:rsidR="00DD638C" w:rsidRDefault="00DD638C" w:rsidP="008065C5">
      <w:pPr>
        <w:keepLines/>
        <w:spacing w:line="480" w:lineRule="auto"/>
        <w:ind w:left="720" w:hanging="720"/>
      </w:pPr>
      <w:proofErr w:type="spellStart"/>
      <w:r>
        <w:t>Williamon</w:t>
      </w:r>
      <w:proofErr w:type="spellEnd"/>
      <w:r>
        <w:t xml:space="preserve">, A., &amp; Thompson, S. (2006). Awareness and incidence of health problems among conservatoire students. </w:t>
      </w:r>
      <w:r>
        <w:rPr>
          <w:i/>
        </w:rPr>
        <w:t>Psychology of Music, 34</w:t>
      </w:r>
      <w:r>
        <w:t xml:space="preserve">(4), 411–430. </w:t>
      </w:r>
      <w:r w:rsidR="008065C5" w:rsidRPr="008065C5">
        <w:t>https://doi.org/10.1177/0305735606067150</w:t>
      </w:r>
    </w:p>
    <w:p w14:paraId="646C1EBF" w14:textId="2E9AF39E" w:rsidR="008203DA" w:rsidRDefault="00DD638C" w:rsidP="00AF6003">
      <w:pPr>
        <w:keepLines/>
        <w:spacing w:line="480" w:lineRule="auto"/>
        <w:ind w:left="720" w:hanging="720"/>
        <w:rPr>
          <w:color w:val="1155CC"/>
          <w:u w:val="single"/>
        </w:rPr>
      </w:pPr>
      <w:proofErr w:type="spellStart"/>
      <w:r>
        <w:t>Wersebe</w:t>
      </w:r>
      <w:proofErr w:type="spellEnd"/>
      <w:r>
        <w:t xml:space="preserve">, H., </w:t>
      </w:r>
      <w:proofErr w:type="spellStart"/>
      <w:r>
        <w:t>Lieb</w:t>
      </w:r>
      <w:proofErr w:type="spellEnd"/>
      <w:r>
        <w:t xml:space="preserve">, R., Meyer, A. H., Hofer, P., and </w:t>
      </w:r>
      <w:proofErr w:type="spellStart"/>
      <w:r>
        <w:t>Gloster</w:t>
      </w:r>
      <w:proofErr w:type="spellEnd"/>
      <w:r>
        <w:t>, A. T. (2018). The link between stress, well-being, and psychological flexibility during an acceptance and commitment therapy self-help intervention.</w:t>
      </w:r>
      <w:r>
        <w:rPr>
          <w:i/>
        </w:rPr>
        <w:t xml:space="preserve"> International Journal of Clinical and Health Psychology, 18</w:t>
      </w:r>
      <w:r>
        <w:t xml:space="preserve">(1), 60–68. </w:t>
      </w:r>
      <w:hyperlink r:id="rId17" w:history="1">
        <w:r w:rsidR="00AF6003" w:rsidRPr="002B3986">
          <w:rPr>
            <w:rStyle w:val="Hyperlink"/>
            <w:rFonts w:ascii="Times New Roman" w:hAnsi="Times New Roman"/>
          </w:rPr>
          <w:t>https://doi.org/10.1016/j.ijchp.2017.09.002</w:t>
        </w:r>
      </w:hyperlink>
    </w:p>
    <w:p w14:paraId="0E9D7206" w14:textId="77777777" w:rsidR="00AF6003" w:rsidRPr="00AF6003" w:rsidRDefault="00AF6003" w:rsidP="00AF6003">
      <w:pPr>
        <w:keepLines/>
        <w:spacing w:line="480" w:lineRule="auto"/>
        <w:ind w:left="720" w:hanging="720"/>
        <w:rPr>
          <w:color w:val="1155CC"/>
          <w:u w:val="single"/>
        </w:rPr>
      </w:pPr>
    </w:p>
    <w:p w14:paraId="086A582A" w14:textId="77777777" w:rsidR="008203DA" w:rsidRPr="006B7838" w:rsidRDefault="008203DA" w:rsidP="0070397F">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p>
    <w:p w14:paraId="47783614" w14:textId="2C4F9906" w:rsidR="00D9353C" w:rsidRDefault="00236E6D" w:rsidP="00AF6003">
      <w:pPr>
        <w:pStyle w:val="AltHeading1"/>
      </w:pPr>
      <w:bookmarkStart w:id="23" w:name="_Toc427156484"/>
      <w:bookmarkStart w:id="24" w:name="_Toc108269992"/>
      <w:bookmarkStart w:id="25" w:name="_Toc108273822"/>
      <w:bookmarkStart w:id="26" w:name="_Toc110418743"/>
      <w:r w:rsidRPr="006B7838">
        <w:lastRenderedPageBreak/>
        <w:t>A</w:t>
      </w:r>
      <w:r w:rsidR="00E91931" w:rsidRPr="006B7838">
        <w:t>ppendix</w:t>
      </w:r>
      <w:bookmarkEnd w:id="21"/>
      <w:bookmarkEnd w:id="22"/>
      <w:bookmarkEnd w:id="23"/>
      <w:bookmarkEnd w:id="24"/>
      <w:bookmarkEnd w:id="25"/>
      <w:bookmarkEnd w:id="26"/>
    </w:p>
    <w:p w14:paraId="4FC33707" w14:textId="4BD01A4E" w:rsidR="00D9353C" w:rsidRPr="00B9113F" w:rsidRDefault="00B9113F" w:rsidP="00EB1FFB">
      <w:pPr>
        <w:rPr>
          <w:sz w:val="20"/>
          <w:szCs w:val="20"/>
        </w:rPr>
      </w:pPr>
      <w:r>
        <w:rPr>
          <w:sz w:val="20"/>
          <w:szCs w:val="20"/>
        </w:rPr>
        <w:t>Table 1. Facets of Psychological Flexibility: The Six Core Processes of ACT</w:t>
      </w:r>
    </w:p>
    <w:tbl>
      <w:tblPr>
        <w:tblStyle w:val="TableGrid"/>
        <w:tblW w:w="0" w:type="auto"/>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4675"/>
        <w:gridCol w:w="4675"/>
      </w:tblGrid>
      <w:tr w:rsidR="00B9113F" w14:paraId="0ABE0663" w14:textId="77777777" w:rsidTr="00FA092B">
        <w:tc>
          <w:tcPr>
            <w:tcW w:w="4675" w:type="dxa"/>
            <w:vAlign w:val="center"/>
          </w:tcPr>
          <w:p w14:paraId="2FCE3625" w14:textId="77777777" w:rsidR="00E91306" w:rsidRDefault="00E91306" w:rsidP="00EB1FFB">
            <w:pPr>
              <w:jc w:val="center"/>
              <w:rPr>
                <w:sz w:val="20"/>
                <w:szCs w:val="20"/>
              </w:rPr>
            </w:pPr>
          </w:p>
          <w:p w14:paraId="1FD87F8B" w14:textId="6F51CA63" w:rsidR="00B9113F" w:rsidRDefault="00B9113F" w:rsidP="00EB1FFB">
            <w:pPr>
              <w:jc w:val="center"/>
              <w:rPr>
                <w:sz w:val="20"/>
                <w:szCs w:val="20"/>
              </w:rPr>
            </w:pPr>
            <w:r>
              <w:rPr>
                <w:sz w:val="20"/>
                <w:szCs w:val="20"/>
              </w:rPr>
              <w:t>Facet</w:t>
            </w:r>
          </w:p>
        </w:tc>
        <w:tc>
          <w:tcPr>
            <w:tcW w:w="4675" w:type="dxa"/>
            <w:vAlign w:val="center"/>
          </w:tcPr>
          <w:p w14:paraId="3BDE3A97" w14:textId="77777777" w:rsidR="00E91306" w:rsidRDefault="00E91306" w:rsidP="00EB1FFB">
            <w:pPr>
              <w:jc w:val="center"/>
              <w:rPr>
                <w:sz w:val="20"/>
                <w:szCs w:val="20"/>
              </w:rPr>
            </w:pPr>
          </w:p>
          <w:p w14:paraId="4FA1BC34" w14:textId="14FFFECA" w:rsidR="00B9113F" w:rsidRDefault="00B9113F" w:rsidP="00EB1FFB">
            <w:pPr>
              <w:jc w:val="center"/>
              <w:rPr>
                <w:sz w:val="20"/>
                <w:szCs w:val="20"/>
              </w:rPr>
            </w:pPr>
            <w:r>
              <w:rPr>
                <w:sz w:val="20"/>
                <w:szCs w:val="20"/>
              </w:rPr>
              <w:t>Description</w:t>
            </w:r>
          </w:p>
        </w:tc>
      </w:tr>
      <w:tr w:rsidR="00B9113F" w14:paraId="573C91DA" w14:textId="77777777" w:rsidTr="00FA092B">
        <w:tc>
          <w:tcPr>
            <w:tcW w:w="4675" w:type="dxa"/>
            <w:vAlign w:val="center"/>
          </w:tcPr>
          <w:p w14:paraId="3707C23B" w14:textId="1EE3D3BC" w:rsidR="00B9113F" w:rsidRDefault="00B9113F" w:rsidP="00EB1FFB">
            <w:pPr>
              <w:rPr>
                <w:sz w:val="20"/>
                <w:szCs w:val="20"/>
              </w:rPr>
            </w:pPr>
            <w:r>
              <w:rPr>
                <w:sz w:val="20"/>
                <w:szCs w:val="20"/>
              </w:rPr>
              <w:t>Acceptance</w:t>
            </w:r>
          </w:p>
        </w:tc>
        <w:tc>
          <w:tcPr>
            <w:tcW w:w="4675" w:type="dxa"/>
            <w:vAlign w:val="center"/>
          </w:tcPr>
          <w:p w14:paraId="10001C7E" w14:textId="77777777" w:rsidR="00E91306" w:rsidRDefault="00E91306" w:rsidP="00EB1FFB">
            <w:pPr>
              <w:rPr>
                <w:sz w:val="20"/>
                <w:szCs w:val="20"/>
              </w:rPr>
            </w:pPr>
          </w:p>
          <w:p w14:paraId="03ECA4DB" w14:textId="17F0E3CE" w:rsidR="00B9113F" w:rsidRDefault="00D226B9" w:rsidP="00EB1FFB">
            <w:pPr>
              <w:rPr>
                <w:sz w:val="20"/>
                <w:szCs w:val="20"/>
              </w:rPr>
            </w:pPr>
            <w:r>
              <w:rPr>
                <w:sz w:val="20"/>
                <w:szCs w:val="20"/>
              </w:rPr>
              <w:t xml:space="preserve">“Open up.” </w:t>
            </w:r>
            <w:r w:rsidR="008875FD">
              <w:rPr>
                <w:sz w:val="20"/>
                <w:szCs w:val="20"/>
              </w:rPr>
              <w:t>Allowing</w:t>
            </w:r>
            <w:r>
              <w:rPr>
                <w:sz w:val="20"/>
                <w:szCs w:val="20"/>
              </w:rPr>
              <w:t xml:space="preserve"> for the presence of aversive private experiences (e.g., unwanted feelings, sensations, urges, and emotions).</w:t>
            </w:r>
          </w:p>
          <w:p w14:paraId="3FB3291A" w14:textId="3BAD56ED" w:rsidR="00E91306" w:rsidRDefault="00E91306" w:rsidP="00EB1FFB">
            <w:pPr>
              <w:rPr>
                <w:sz w:val="20"/>
                <w:szCs w:val="20"/>
              </w:rPr>
            </w:pPr>
          </w:p>
        </w:tc>
      </w:tr>
      <w:tr w:rsidR="00B9113F" w14:paraId="138B6726" w14:textId="77777777" w:rsidTr="00FA092B">
        <w:tc>
          <w:tcPr>
            <w:tcW w:w="4675" w:type="dxa"/>
            <w:vAlign w:val="center"/>
          </w:tcPr>
          <w:p w14:paraId="49B43601" w14:textId="4D953DDF" w:rsidR="00B9113F" w:rsidRDefault="00D226B9" w:rsidP="00EB1FFB">
            <w:pPr>
              <w:rPr>
                <w:sz w:val="20"/>
                <w:szCs w:val="20"/>
              </w:rPr>
            </w:pPr>
            <w:r>
              <w:rPr>
                <w:sz w:val="20"/>
                <w:szCs w:val="20"/>
              </w:rPr>
              <w:t>Present-moment awareness</w:t>
            </w:r>
          </w:p>
        </w:tc>
        <w:tc>
          <w:tcPr>
            <w:tcW w:w="4675" w:type="dxa"/>
            <w:vAlign w:val="center"/>
          </w:tcPr>
          <w:p w14:paraId="1032BFD8" w14:textId="77777777" w:rsidR="00E91306" w:rsidRDefault="00E91306" w:rsidP="00EB1FFB">
            <w:pPr>
              <w:rPr>
                <w:sz w:val="20"/>
                <w:szCs w:val="20"/>
              </w:rPr>
            </w:pPr>
          </w:p>
          <w:p w14:paraId="6486654C" w14:textId="2386565C" w:rsidR="00B9113F" w:rsidRDefault="00D226B9" w:rsidP="00EB1FFB">
            <w:pPr>
              <w:rPr>
                <w:sz w:val="20"/>
                <w:szCs w:val="20"/>
              </w:rPr>
            </w:pPr>
            <w:r>
              <w:rPr>
                <w:sz w:val="20"/>
                <w:szCs w:val="20"/>
              </w:rPr>
              <w:t xml:space="preserve">“Be here now.” </w:t>
            </w:r>
            <w:r w:rsidR="008875FD">
              <w:rPr>
                <w:sz w:val="20"/>
                <w:szCs w:val="20"/>
              </w:rPr>
              <w:t>Consciously</w:t>
            </w:r>
            <w:r w:rsidR="00114686">
              <w:rPr>
                <w:sz w:val="20"/>
                <w:szCs w:val="20"/>
              </w:rPr>
              <w:t xml:space="preserve"> connect</w:t>
            </w:r>
            <w:r w:rsidR="008875FD">
              <w:rPr>
                <w:sz w:val="20"/>
                <w:szCs w:val="20"/>
              </w:rPr>
              <w:t>ing</w:t>
            </w:r>
            <w:r w:rsidR="00114686">
              <w:rPr>
                <w:sz w:val="20"/>
                <w:szCs w:val="20"/>
              </w:rPr>
              <w:t xml:space="preserve"> with the present moment.</w:t>
            </w:r>
          </w:p>
          <w:p w14:paraId="2188AE17" w14:textId="287D2879" w:rsidR="00E91306" w:rsidRDefault="00E91306" w:rsidP="00EB1FFB">
            <w:pPr>
              <w:rPr>
                <w:sz w:val="20"/>
                <w:szCs w:val="20"/>
              </w:rPr>
            </w:pPr>
          </w:p>
        </w:tc>
      </w:tr>
      <w:tr w:rsidR="00B9113F" w14:paraId="3636BD61" w14:textId="77777777" w:rsidTr="00FA092B">
        <w:tc>
          <w:tcPr>
            <w:tcW w:w="4675" w:type="dxa"/>
            <w:vAlign w:val="center"/>
          </w:tcPr>
          <w:p w14:paraId="6600D885" w14:textId="4B6C950E" w:rsidR="00B9113F" w:rsidRDefault="00D226B9" w:rsidP="00EB1FFB">
            <w:pPr>
              <w:rPr>
                <w:sz w:val="20"/>
                <w:szCs w:val="20"/>
              </w:rPr>
            </w:pPr>
            <w:r>
              <w:rPr>
                <w:sz w:val="20"/>
                <w:szCs w:val="20"/>
              </w:rPr>
              <w:t>Self</w:t>
            </w:r>
            <w:r w:rsidR="006E4E59">
              <w:rPr>
                <w:sz w:val="20"/>
                <w:szCs w:val="20"/>
              </w:rPr>
              <w:t>-</w:t>
            </w:r>
            <w:r>
              <w:rPr>
                <w:sz w:val="20"/>
                <w:szCs w:val="20"/>
              </w:rPr>
              <w:t>as</w:t>
            </w:r>
            <w:r w:rsidR="006E4E59">
              <w:rPr>
                <w:sz w:val="20"/>
                <w:szCs w:val="20"/>
              </w:rPr>
              <w:t>-</w:t>
            </w:r>
            <w:r>
              <w:rPr>
                <w:sz w:val="20"/>
                <w:szCs w:val="20"/>
              </w:rPr>
              <w:t>context</w:t>
            </w:r>
          </w:p>
        </w:tc>
        <w:tc>
          <w:tcPr>
            <w:tcW w:w="4675" w:type="dxa"/>
            <w:vAlign w:val="center"/>
          </w:tcPr>
          <w:p w14:paraId="5BC03046" w14:textId="77777777" w:rsidR="00E91306" w:rsidRDefault="00E91306" w:rsidP="00EB1FFB">
            <w:pPr>
              <w:rPr>
                <w:sz w:val="20"/>
                <w:szCs w:val="20"/>
              </w:rPr>
            </w:pPr>
          </w:p>
          <w:p w14:paraId="12014A8D" w14:textId="0928325E" w:rsidR="00B9113F" w:rsidRDefault="006E4E59" w:rsidP="00EB1FFB">
            <w:pPr>
              <w:rPr>
                <w:sz w:val="20"/>
                <w:szCs w:val="20"/>
              </w:rPr>
            </w:pPr>
            <w:r>
              <w:rPr>
                <w:sz w:val="20"/>
                <w:szCs w:val="20"/>
              </w:rPr>
              <w:t xml:space="preserve">“Pure awareness.” </w:t>
            </w:r>
            <w:r w:rsidR="008875FD">
              <w:rPr>
                <w:sz w:val="20"/>
                <w:szCs w:val="20"/>
              </w:rPr>
              <w:t>Cultivating</w:t>
            </w:r>
            <w:r>
              <w:rPr>
                <w:sz w:val="20"/>
                <w:szCs w:val="20"/>
              </w:rPr>
              <w:t xml:space="preserve"> a transcendent sense of self (i.e., an “observing self”) that is defined more by context than by the content of one’s internal experiences.</w:t>
            </w:r>
          </w:p>
          <w:p w14:paraId="497F5D9A" w14:textId="12E90F6B" w:rsidR="00E91306" w:rsidRDefault="00E91306" w:rsidP="00EB1FFB">
            <w:pPr>
              <w:rPr>
                <w:sz w:val="20"/>
                <w:szCs w:val="20"/>
              </w:rPr>
            </w:pPr>
          </w:p>
        </w:tc>
      </w:tr>
      <w:tr w:rsidR="00B9113F" w14:paraId="59F26771" w14:textId="77777777" w:rsidTr="00FA092B">
        <w:tc>
          <w:tcPr>
            <w:tcW w:w="4675" w:type="dxa"/>
            <w:vAlign w:val="center"/>
          </w:tcPr>
          <w:p w14:paraId="6D0C034F" w14:textId="44B96AEF" w:rsidR="00B9113F" w:rsidRDefault="00D226B9" w:rsidP="00EB1FFB">
            <w:pPr>
              <w:rPr>
                <w:sz w:val="20"/>
                <w:szCs w:val="20"/>
              </w:rPr>
            </w:pPr>
            <w:r>
              <w:rPr>
                <w:sz w:val="20"/>
                <w:szCs w:val="20"/>
              </w:rPr>
              <w:t>Defusion</w:t>
            </w:r>
          </w:p>
        </w:tc>
        <w:tc>
          <w:tcPr>
            <w:tcW w:w="4675" w:type="dxa"/>
            <w:vAlign w:val="center"/>
          </w:tcPr>
          <w:p w14:paraId="284722ED" w14:textId="77777777" w:rsidR="00E91306" w:rsidRDefault="00E91306" w:rsidP="00EB1FFB">
            <w:pPr>
              <w:rPr>
                <w:sz w:val="20"/>
                <w:szCs w:val="20"/>
              </w:rPr>
            </w:pPr>
          </w:p>
          <w:p w14:paraId="46F69510" w14:textId="575CEA45" w:rsidR="00B9113F" w:rsidRDefault="00114686" w:rsidP="00EB1FFB">
            <w:pPr>
              <w:rPr>
                <w:sz w:val="20"/>
                <w:szCs w:val="20"/>
              </w:rPr>
            </w:pPr>
            <w:r>
              <w:rPr>
                <w:sz w:val="20"/>
                <w:szCs w:val="20"/>
              </w:rPr>
              <w:t xml:space="preserve">“Watch your thinking.” </w:t>
            </w:r>
            <w:r w:rsidR="008875FD">
              <w:rPr>
                <w:sz w:val="20"/>
                <w:szCs w:val="20"/>
              </w:rPr>
              <w:t>Creating</w:t>
            </w:r>
            <w:r w:rsidR="00A41E7D">
              <w:rPr>
                <w:sz w:val="20"/>
                <w:szCs w:val="20"/>
              </w:rPr>
              <w:t xml:space="preserve"> separation between the observing self and cognition</w:t>
            </w:r>
            <w:r w:rsidR="008875FD">
              <w:rPr>
                <w:sz w:val="20"/>
                <w:szCs w:val="20"/>
              </w:rPr>
              <w:t>s</w:t>
            </w:r>
            <w:r>
              <w:rPr>
                <w:sz w:val="20"/>
                <w:szCs w:val="20"/>
              </w:rPr>
              <w:t xml:space="preserve"> </w:t>
            </w:r>
            <w:r w:rsidR="00A41E7D">
              <w:rPr>
                <w:sz w:val="20"/>
                <w:szCs w:val="20"/>
              </w:rPr>
              <w:t xml:space="preserve">(e.g., </w:t>
            </w:r>
            <w:r>
              <w:rPr>
                <w:sz w:val="20"/>
                <w:szCs w:val="20"/>
              </w:rPr>
              <w:t>thoughts, images, memories</w:t>
            </w:r>
            <w:r w:rsidR="00A41E7D">
              <w:rPr>
                <w:sz w:val="20"/>
                <w:szCs w:val="20"/>
              </w:rPr>
              <w:t>).</w:t>
            </w:r>
          </w:p>
          <w:p w14:paraId="00E7DC13" w14:textId="5695AC0F" w:rsidR="00E91306" w:rsidRDefault="00E91306" w:rsidP="00EB1FFB">
            <w:pPr>
              <w:rPr>
                <w:sz w:val="20"/>
                <w:szCs w:val="20"/>
              </w:rPr>
            </w:pPr>
          </w:p>
        </w:tc>
      </w:tr>
      <w:tr w:rsidR="00B9113F" w14:paraId="62415BE1" w14:textId="77777777" w:rsidTr="00FA092B">
        <w:tc>
          <w:tcPr>
            <w:tcW w:w="4675" w:type="dxa"/>
            <w:vAlign w:val="center"/>
          </w:tcPr>
          <w:p w14:paraId="43775024" w14:textId="69AA6048" w:rsidR="00B9113F" w:rsidRDefault="00D226B9" w:rsidP="00EB1FFB">
            <w:pPr>
              <w:rPr>
                <w:sz w:val="20"/>
                <w:szCs w:val="20"/>
              </w:rPr>
            </w:pPr>
            <w:r>
              <w:rPr>
                <w:sz w:val="20"/>
                <w:szCs w:val="20"/>
              </w:rPr>
              <w:t>Values</w:t>
            </w:r>
          </w:p>
        </w:tc>
        <w:tc>
          <w:tcPr>
            <w:tcW w:w="4675" w:type="dxa"/>
            <w:vAlign w:val="center"/>
          </w:tcPr>
          <w:p w14:paraId="2BA6C24F" w14:textId="77777777" w:rsidR="00E91306" w:rsidRDefault="00E91306" w:rsidP="00EB1FFB">
            <w:pPr>
              <w:rPr>
                <w:sz w:val="20"/>
                <w:szCs w:val="20"/>
              </w:rPr>
            </w:pPr>
          </w:p>
          <w:p w14:paraId="230A284E" w14:textId="6E1850F9" w:rsidR="00B9113F" w:rsidRDefault="006E4E59" w:rsidP="00EB1FFB">
            <w:pPr>
              <w:rPr>
                <w:sz w:val="20"/>
                <w:szCs w:val="20"/>
              </w:rPr>
            </w:pPr>
            <w:r>
              <w:rPr>
                <w:sz w:val="20"/>
                <w:szCs w:val="20"/>
              </w:rPr>
              <w:t xml:space="preserve">“Know what matters.” </w:t>
            </w:r>
            <w:r w:rsidR="00EB1FFB">
              <w:rPr>
                <w:sz w:val="20"/>
                <w:szCs w:val="20"/>
              </w:rPr>
              <w:t xml:space="preserve">Values </w:t>
            </w:r>
            <w:r w:rsidR="00E91306">
              <w:rPr>
                <w:sz w:val="20"/>
                <w:szCs w:val="20"/>
              </w:rPr>
              <w:t>are</w:t>
            </w:r>
            <w:r w:rsidR="00EB1FFB">
              <w:rPr>
                <w:sz w:val="20"/>
                <w:szCs w:val="20"/>
              </w:rPr>
              <w:t xml:space="preserve"> </w:t>
            </w:r>
            <w:r w:rsidR="007752E3">
              <w:rPr>
                <w:sz w:val="20"/>
                <w:szCs w:val="20"/>
              </w:rPr>
              <w:t>chosen qualities of meaning and importance to an individual.</w:t>
            </w:r>
            <w:r w:rsidR="008875FD">
              <w:rPr>
                <w:sz w:val="20"/>
                <w:szCs w:val="20"/>
              </w:rPr>
              <w:t xml:space="preserve"> </w:t>
            </w:r>
            <w:r w:rsidR="00E91306">
              <w:rPr>
                <w:sz w:val="20"/>
                <w:szCs w:val="20"/>
              </w:rPr>
              <w:t xml:space="preserve">Values clarification informs and guides ongoing </w:t>
            </w:r>
            <w:r w:rsidR="00EB1FFB">
              <w:rPr>
                <w:sz w:val="20"/>
                <w:szCs w:val="20"/>
              </w:rPr>
              <w:t>committed action</w:t>
            </w:r>
            <w:r w:rsidR="00E91306">
              <w:rPr>
                <w:sz w:val="20"/>
                <w:szCs w:val="20"/>
              </w:rPr>
              <w:t>.</w:t>
            </w:r>
          </w:p>
          <w:p w14:paraId="534A3E35" w14:textId="7CC169F0" w:rsidR="00E91306" w:rsidRDefault="00E91306" w:rsidP="00EB1FFB">
            <w:pPr>
              <w:rPr>
                <w:sz w:val="20"/>
                <w:szCs w:val="20"/>
              </w:rPr>
            </w:pPr>
          </w:p>
        </w:tc>
      </w:tr>
      <w:tr w:rsidR="00B9113F" w:rsidRPr="00EB1FFB" w14:paraId="1A83AE45" w14:textId="77777777" w:rsidTr="00FA092B">
        <w:tc>
          <w:tcPr>
            <w:tcW w:w="4675" w:type="dxa"/>
            <w:vAlign w:val="center"/>
          </w:tcPr>
          <w:p w14:paraId="006EC4C6" w14:textId="6ED3B0B6" w:rsidR="00B9113F" w:rsidRPr="00EB1FFB" w:rsidRDefault="00D226B9" w:rsidP="00EB1FFB">
            <w:pPr>
              <w:rPr>
                <w:sz w:val="20"/>
                <w:szCs w:val="20"/>
              </w:rPr>
            </w:pPr>
            <w:r w:rsidRPr="00EB1FFB">
              <w:rPr>
                <w:sz w:val="20"/>
                <w:szCs w:val="20"/>
              </w:rPr>
              <w:t>Committed Action</w:t>
            </w:r>
          </w:p>
        </w:tc>
        <w:tc>
          <w:tcPr>
            <w:tcW w:w="4675" w:type="dxa"/>
            <w:vAlign w:val="center"/>
          </w:tcPr>
          <w:p w14:paraId="3CA715B9" w14:textId="77777777" w:rsidR="00E91306" w:rsidRDefault="00E91306" w:rsidP="00EB1FFB">
            <w:pPr>
              <w:rPr>
                <w:sz w:val="20"/>
                <w:szCs w:val="20"/>
              </w:rPr>
            </w:pPr>
          </w:p>
          <w:p w14:paraId="70182FBE" w14:textId="37791F00" w:rsidR="00B9113F" w:rsidRDefault="00E91306" w:rsidP="00EB1FFB">
            <w:pPr>
              <w:rPr>
                <w:sz w:val="20"/>
                <w:szCs w:val="20"/>
              </w:rPr>
            </w:pPr>
            <w:r>
              <w:rPr>
                <w:sz w:val="20"/>
                <w:szCs w:val="20"/>
              </w:rPr>
              <w:t>“Do what it takes.” The ability to take effective action guided by values, even if doing so elicits psychological discomfort.</w:t>
            </w:r>
          </w:p>
          <w:p w14:paraId="347F80F9" w14:textId="57B90596" w:rsidR="00E91306" w:rsidRPr="00EB1FFB" w:rsidRDefault="00E91306" w:rsidP="00EB1FFB">
            <w:pPr>
              <w:rPr>
                <w:sz w:val="20"/>
                <w:szCs w:val="20"/>
              </w:rPr>
            </w:pPr>
          </w:p>
        </w:tc>
      </w:tr>
    </w:tbl>
    <w:p w14:paraId="78271DAF" w14:textId="77777777" w:rsidR="00EB1FFB" w:rsidRDefault="00EB1FFB" w:rsidP="00EB1FFB">
      <w:pPr>
        <w:rPr>
          <w:i/>
          <w:sz w:val="20"/>
          <w:szCs w:val="20"/>
        </w:rPr>
      </w:pPr>
    </w:p>
    <w:p w14:paraId="043D90C2" w14:textId="35E746CF" w:rsidR="00D9353C" w:rsidRPr="007752E3" w:rsidRDefault="006E4E59" w:rsidP="007752E3">
      <w:pPr>
        <w:rPr>
          <w:sz w:val="20"/>
          <w:szCs w:val="20"/>
        </w:rPr>
      </w:pPr>
      <w:r w:rsidRPr="00EB1FFB">
        <w:rPr>
          <w:i/>
          <w:sz w:val="20"/>
          <w:szCs w:val="20"/>
        </w:rPr>
        <w:t xml:space="preserve">Note. </w:t>
      </w:r>
      <w:r w:rsidRPr="00EB1FFB">
        <w:rPr>
          <w:sz w:val="20"/>
          <w:szCs w:val="20"/>
        </w:rPr>
        <w:t xml:space="preserve">Descriptions of </w:t>
      </w:r>
      <w:r w:rsidR="00EB1FFB" w:rsidRPr="00EB1FFB">
        <w:rPr>
          <w:sz w:val="20"/>
          <w:szCs w:val="20"/>
        </w:rPr>
        <w:t xml:space="preserve">core processes are adapted from </w:t>
      </w:r>
      <w:r w:rsidRPr="00EB1FFB">
        <w:rPr>
          <w:i/>
          <w:sz w:val="20"/>
          <w:szCs w:val="20"/>
        </w:rPr>
        <w:t>ACT Made Simple</w:t>
      </w:r>
      <w:r w:rsidRPr="00EB1FFB">
        <w:rPr>
          <w:sz w:val="20"/>
          <w:szCs w:val="20"/>
        </w:rPr>
        <w:t xml:space="preserve"> (Harris, 2009).</w:t>
      </w:r>
    </w:p>
    <w:p w14:paraId="71CD53DA" w14:textId="72055050" w:rsidR="00D9353C" w:rsidRDefault="00D9353C" w:rsidP="00AC4D37">
      <w:pPr>
        <w:spacing w:line="480" w:lineRule="auto"/>
      </w:pPr>
    </w:p>
    <w:p w14:paraId="50E7034C" w14:textId="3200C6BE" w:rsidR="00D9353C" w:rsidRDefault="00D9353C" w:rsidP="00AC4D37">
      <w:pPr>
        <w:spacing w:line="480" w:lineRule="auto"/>
      </w:pPr>
    </w:p>
    <w:p w14:paraId="62D53B8A" w14:textId="4700E985" w:rsidR="00D9353C" w:rsidRDefault="00D9353C" w:rsidP="00AC4D37">
      <w:pPr>
        <w:spacing w:line="480" w:lineRule="auto"/>
      </w:pPr>
    </w:p>
    <w:p w14:paraId="090B72EE" w14:textId="2EAF0644" w:rsidR="00D9353C" w:rsidRDefault="00D9353C" w:rsidP="00AC4D37">
      <w:pPr>
        <w:spacing w:line="480" w:lineRule="auto"/>
      </w:pPr>
    </w:p>
    <w:p w14:paraId="139499C7" w14:textId="6048B81B" w:rsidR="007752E3" w:rsidRDefault="007752E3" w:rsidP="00AC4D37">
      <w:pPr>
        <w:spacing w:line="480" w:lineRule="auto"/>
      </w:pPr>
    </w:p>
    <w:p w14:paraId="60CBD04E" w14:textId="77777777" w:rsidR="007752E3" w:rsidRPr="00A713B6" w:rsidRDefault="007752E3" w:rsidP="00AC4D37">
      <w:pPr>
        <w:spacing w:line="480" w:lineRule="auto"/>
      </w:pPr>
    </w:p>
    <w:p w14:paraId="12A19C16" w14:textId="036E9555" w:rsidR="00AC4D37" w:rsidRPr="00A02EC3" w:rsidRDefault="00AC4D37" w:rsidP="00A02EC3">
      <w:pPr>
        <w:pStyle w:val="Caption"/>
        <w:spacing w:line="240" w:lineRule="auto"/>
        <w:rPr>
          <w:rFonts w:ascii="Times New Roman" w:hAnsi="Times New Roman" w:cs="Times New Roman"/>
          <w:szCs w:val="20"/>
        </w:rPr>
      </w:pPr>
      <w:bookmarkStart w:id="27" w:name="_Toc108273077"/>
      <w:r w:rsidRPr="00A02EC3">
        <w:rPr>
          <w:rFonts w:ascii="Times New Roman" w:hAnsi="Times New Roman" w:cs="Times New Roman"/>
          <w:szCs w:val="20"/>
        </w:rPr>
        <w:lastRenderedPageBreak/>
        <w:t xml:space="preserve">Table </w:t>
      </w:r>
      <w:r w:rsidR="006E4E59">
        <w:rPr>
          <w:rFonts w:ascii="Times New Roman" w:hAnsi="Times New Roman" w:cs="Times New Roman"/>
          <w:szCs w:val="20"/>
        </w:rPr>
        <w:t>2</w:t>
      </w:r>
      <w:r w:rsidRPr="00A02EC3">
        <w:rPr>
          <w:rFonts w:ascii="Times New Roman" w:hAnsi="Times New Roman" w:cs="Times New Roman"/>
          <w:szCs w:val="20"/>
        </w:rPr>
        <w:t>. Demographic and Musical Sample Characteristics</w:t>
      </w:r>
      <w:bookmarkEnd w:id="27"/>
    </w:p>
    <w:tbl>
      <w:tblPr>
        <w:tblW w:w="9360" w:type="dxa"/>
        <w:tblLayout w:type="fixed"/>
        <w:tblLook w:val="0600" w:firstRow="0" w:lastRow="0" w:firstColumn="0" w:lastColumn="0" w:noHBand="1" w:noVBand="1"/>
      </w:tblPr>
      <w:tblGrid>
        <w:gridCol w:w="4305"/>
        <w:gridCol w:w="1935"/>
        <w:gridCol w:w="3120"/>
      </w:tblGrid>
      <w:tr w:rsidR="00AC4D37" w:rsidRPr="00AC4D37" w14:paraId="70E34F48" w14:textId="77777777" w:rsidTr="004345D2">
        <w:tc>
          <w:tcPr>
            <w:tcW w:w="4305" w:type="dxa"/>
            <w:tcBorders>
              <w:top w:val="single" w:sz="8" w:space="0" w:color="000000"/>
              <w:bottom w:val="single" w:sz="8" w:space="0" w:color="000000"/>
            </w:tcBorders>
            <w:shd w:val="clear" w:color="auto" w:fill="auto"/>
            <w:tcMar>
              <w:top w:w="100" w:type="dxa"/>
              <w:left w:w="100" w:type="dxa"/>
              <w:bottom w:w="100" w:type="dxa"/>
              <w:right w:w="100" w:type="dxa"/>
            </w:tcMar>
          </w:tcPr>
          <w:p w14:paraId="5CEDAF4A" w14:textId="77777777" w:rsidR="00AC4D37" w:rsidRPr="00AC4D37" w:rsidRDefault="00AC4D37" w:rsidP="00A02EC3">
            <w:pPr>
              <w:widowControl w:val="0"/>
              <w:pBdr>
                <w:top w:val="nil"/>
                <w:left w:val="nil"/>
                <w:bottom w:val="nil"/>
                <w:right w:val="nil"/>
                <w:between w:val="nil"/>
              </w:pBdr>
              <w:rPr>
                <w:sz w:val="20"/>
                <w:szCs w:val="20"/>
              </w:rPr>
            </w:pPr>
          </w:p>
        </w:tc>
        <w:tc>
          <w:tcPr>
            <w:tcW w:w="1935" w:type="dxa"/>
            <w:tcBorders>
              <w:top w:val="single" w:sz="8" w:space="0" w:color="000000"/>
              <w:bottom w:val="single" w:sz="8" w:space="0" w:color="000000"/>
            </w:tcBorders>
            <w:shd w:val="clear" w:color="auto" w:fill="auto"/>
            <w:tcMar>
              <w:top w:w="100" w:type="dxa"/>
              <w:left w:w="100" w:type="dxa"/>
              <w:bottom w:w="100" w:type="dxa"/>
              <w:right w:w="100" w:type="dxa"/>
            </w:tcMar>
          </w:tcPr>
          <w:p w14:paraId="256A85AC" w14:textId="77777777" w:rsidR="00AC4D37" w:rsidRPr="00AC4D37" w:rsidRDefault="00AC4D37" w:rsidP="00A02EC3">
            <w:pPr>
              <w:widowControl w:val="0"/>
              <w:pBdr>
                <w:top w:val="nil"/>
                <w:left w:val="nil"/>
                <w:bottom w:val="nil"/>
                <w:right w:val="nil"/>
                <w:between w:val="nil"/>
              </w:pBdr>
              <w:jc w:val="center"/>
              <w:rPr>
                <w:sz w:val="20"/>
                <w:szCs w:val="20"/>
              </w:rPr>
            </w:pPr>
            <w:r w:rsidRPr="00AC4D37">
              <w:rPr>
                <w:sz w:val="20"/>
                <w:szCs w:val="20"/>
              </w:rPr>
              <w:t>Total</w:t>
            </w:r>
          </w:p>
        </w:tc>
        <w:tc>
          <w:tcPr>
            <w:tcW w:w="3120" w:type="dxa"/>
            <w:tcBorders>
              <w:top w:val="single" w:sz="8" w:space="0" w:color="000000"/>
              <w:bottom w:val="single" w:sz="8" w:space="0" w:color="000000"/>
            </w:tcBorders>
            <w:shd w:val="clear" w:color="auto" w:fill="auto"/>
            <w:tcMar>
              <w:top w:w="100" w:type="dxa"/>
              <w:left w:w="100" w:type="dxa"/>
              <w:bottom w:w="100" w:type="dxa"/>
              <w:right w:w="100" w:type="dxa"/>
            </w:tcMar>
          </w:tcPr>
          <w:p w14:paraId="0296DE85" w14:textId="77777777" w:rsidR="00AC4D37" w:rsidRPr="00AC4D37" w:rsidRDefault="00AC4D37" w:rsidP="00A02EC3">
            <w:pPr>
              <w:widowControl w:val="0"/>
              <w:pBdr>
                <w:top w:val="nil"/>
                <w:left w:val="nil"/>
                <w:bottom w:val="nil"/>
                <w:right w:val="nil"/>
                <w:between w:val="nil"/>
              </w:pBdr>
              <w:jc w:val="center"/>
              <w:rPr>
                <w:sz w:val="20"/>
                <w:szCs w:val="20"/>
              </w:rPr>
            </w:pPr>
            <w:r w:rsidRPr="00AC4D37">
              <w:rPr>
                <w:sz w:val="20"/>
                <w:szCs w:val="20"/>
              </w:rPr>
              <w:t>Percentage</w:t>
            </w:r>
          </w:p>
        </w:tc>
      </w:tr>
      <w:tr w:rsidR="00AC4D37" w:rsidRPr="00AC4D37" w14:paraId="66301FA6" w14:textId="77777777" w:rsidTr="004345D2">
        <w:tc>
          <w:tcPr>
            <w:tcW w:w="4305" w:type="dxa"/>
            <w:tcBorders>
              <w:top w:val="single" w:sz="8" w:space="0" w:color="000000"/>
            </w:tcBorders>
            <w:shd w:val="clear" w:color="auto" w:fill="auto"/>
            <w:tcMar>
              <w:top w:w="100" w:type="dxa"/>
              <w:left w:w="100" w:type="dxa"/>
              <w:bottom w:w="100" w:type="dxa"/>
              <w:right w:w="100" w:type="dxa"/>
            </w:tcMar>
          </w:tcPr>
          <w:p w14:paraId="5B657B7D" w14:textId="77777777" w:rsidR="00AC4D37" w:rsidRPr="00AC4D37" w:rsidRDefault="00AC4D37" w:rsidP="00A02EC3">
            <w:pPr>
              <w:widowControl w:val="0"/>
              <w:pBdr>
                <w:top w:val="nil"/>
                <w:left w:val="nil"/>
                <w:bottom w:val="nil"/>
                <w:right w:val="nil"/>
                <w:between w:val="nil"/>
              </w:pBdr>
              <w:rPr>
                <w:sz w:val="20"/>
                <w:szCs w:val="20"/>
              </w:rPr>
            </w:pPr>
            <w:r w:rsidRPr="00AC4D37">
              <w:rPr>
                <w:sz w:val="20"/>
                <w:szCs w:val="20"/>
              </w:rPr>
              <w:t>Gender</w:t>
            </w:r>
          </w:p>
        </w:tc>
        <w:tc>
          <w:tcPr>
            <w:tcW w:w="1935" w:type="dxa"/>
            <w:tcBorders>
              <w:top w:val="single" w:sz="8" w:space="0" w:color="000000"/>
            </w:tcBorders>
            <w:shd w:val="clear" w:color="auto" w:fill="auto"/>
            <w:tcMar>
              <w:top w:w="100" w:type="dxa"/>
              <w:left w:w="100" w:type="dxa"/>
              <w:bottom w:w="100" w:type="dxa"/>
              <w:right w:w="100" w:type="dxa"/>
            </w:tcMar>
          </w:tcPr>
          <w:p w14:paraId="5F3F3E67" w14:textId="77777777" w:rsidR="00AC4D37" w:rsidRPr="00AC4D37" w:rsidRDefault="00AC4D37" w:rsidP="00A02EC3">
            <w:pPr>
              <w:widowControl w:val="0"/>
              <w:pBdr>
                <w:top w:val="nil"/>
                <w:left w:val="nil"/>
                <w:bottom w:val="nil"/>
                <w:right w:val="nil"/>
                <w:between w:val="nil"/>
              </w:pBdr>
              <w:jc w:val="center"/>
              <w:rPr>
                <w:sz w:val="20"/>
                <w:szCs w:val="20"/>
              </w:rPr>
            </w:pPr>
          </w:p>
        </w:tc>
        <w:tc>
          <w:tcPr>
            <w:tcW w:w="3120" w:type="dxa"/>
            <w:tcBorders>
              <w:top w:val="single" w:sz="8" w:space="0" w:color="000000"/>
            </w:tcBorders>
            <w:shd w:val="clear" w:color="auto" w:fill="auto"/>
            <w:tcMar>
              <w:top w:w="100" w:type="dxa"/>
              <w:left w:w="100" w:type="dxa"/>
              <w:bottom w:w="100" w:type="dxa"/>
              <w:right w:w="100" w:type="dxa"/>
            </w:tcMar>
          </w:tcPr>
          <w:p w14:paraId="1849E703" w14:textId="77777777" w:rsidR="00AC4D37" w:rsidRPr="00AC4D37" w:rsidRDefault="00AC4D37" w:rsidP="00A02EC3">
            <w:pPr>
              <w:widowControl w:val="0"/>
              <w:pBdr>
                <w:top w:val="nil"/>
                <w:left w:val="nil"/>
                <w:bottom w:val="nil"/>
                <w:right w:val="nil"/>
                <w:between w:val="nil"/>
              </w:pBdr>
              <w:jc w:val="center"/>
              <w:rPr>
                <w:sz w:val="20"/>
                <w:szCs w:val="20"/>
              </w:rPr>
            </w:pPr>
          </w:p>
        </w:tc>
      </w:tr>
      <w:tr w:rsidR="00AC4D37" w:rsidRPr="00AC4D37" w14:paraId="55622672" w14:textId="77777777" w:rsidTr="004345D2">
        <w:tc>
          <w:tcPr>
            <w:tcW w:w="4305" w:type="dxa"/>
            <w:shd w:val="clear" w:color="auto" w:fill="auto"/>
            <w:tcMar>
              <w:top w:w="100" w:type="dxa"/>
              <w:left w:w="100" w:type="dxa"/>
              <w:bottom w:w="100" w:type="dxa"/>
              <w:right w:w="100" w:type="dxa"/>
            </w:tcMar>
          </w:tcPr>
          <w:p w14:paraId="5F3B2108" w14:textId="77777777" w:rsidR="00AC4D37" w:rsidRPr="00AC4D37" w:rsidRDefault="00AC4D37" w:rsidP="00A02EC3">
            <w:pPr>
              <w:widowControl w:val="0"/>
              <w:pBdr>
                <w:top w:val="nil"/>
                <w:left w:val="nil"/>
                <w:bottom w:val="nil"/>
                <w:right w:val="nil"/>
                <w:between w:val="nil"/>
              </w:pBdr>
              <w:rPr>
                <w:sz w:val="20"/>
                <w:szCs w:val="20"/>
              </w:rPr>
            </w:pPr>
            <w:r w:rsidRPr="00AC4D37">
              <w:rPr>
                <w:sz w:val="20"/>
                <w:szCs w:val="20"/>
              </w:rPr>
              <w:t xml:space="preserve">    Female</w:t>
            </w:r>
          </w:p>
        </w:tc>
        <w:tc>
          <w:tcPr>
            <w:tcW w:w="1935" w:type="dxa"/>
            <w:shd w:val="clear" w:color="auto" w:fill="auto"/>
            <w:tcMar>
              <w:top w:w="100" w:type="dxa"/>
              <w:left w:w="100" w:type="dxa"/>
              <w:bottom w:w="100" w:type="dxa"/>
              <w:right w:w="100" w:type="dxa"/>
            </w:tcMar>
          </w:tcPr>
          <w:p w14:paraId="7A6F282A" w14:textId="77777777" w:rsidR="00AC4D37" w:rsidRPr="00AC4D37" w:rsidRDefault="00AC4D37" w:rsidP="00A02EC3">
            <w:pPr>
              <w:widowControl w:val="0"/>
              <w:pBdr>
                <w:top w:val="nil"/>
                <w:left w:val="nil"/>
                <w:bottom w:val="nil"/>
                <w:right w:val="nil"/>
                <w:between w:val="nil"/>
              </w:pBdr>
              <w:jc w:val="center"/>
              <w:rPr>
                <w:sz w:val="20"/>
                <w:szCs w:val="20"/>
              </w:rPr>
            </w:pPr>
            <w:r w:rsidRPr="00AC4D37">
              <w:rPr>
                <w:sz w:val="20"/>
                <w:szCs w:val="20"/>
              </w:rPr>
              <w:t>11</w:t>
            </w:r>
          </w:p>
        </w:tc>
        <w:tc>
          <w:tcPr>
            <w:tcW w:w="3120" w:type="dxa"/>
            <w:shd w:val="clear" w:color="auto" w:fill="auto"/>
            <w:tcMar>
              <w:top w:w="100" w:type="dxa"/>
              <w:left w:w="100" w:type="dxa"/>
              <w:bottom w:w="100" w:type="dxa"/>
              <w:right w:w="100" w:type="dxa"/>
            </w:tcMar>
          </w:tcPr>
          <w:p w14:paraId="1564C18E" w14:textId="77777777" w:rsidR="00AC4D37" w:rsidRPr="00AC4D37" w:rsidRDefault="00AC4D37" w:rsidP="00A02EC3">
            <w:pPr>
              <w:widowControl w:val="0"/>
              <w:pBdr>
                <w:top w:val="nil"/>
                <w:left w:val="nil"/>
                <w:bottom w:val="nil"/>
                <w:right w:val="nil"/>
                <w:between w:val="nil"/>
              </w:pBdr>
              <w:jc w:val="center"/>
              <w:rPr>
                <w:sz w:val="20"/>
                <w:szCs w:val="20"/>
              </w:rPr>
            </w:pPr>
            <w:r w:rsidRPr="00AC4D37">
              <w:rPr>
                <w:sz w:val="20"/>
                <w:szCs w:val="20"/>
              </w:rPr>
              <w:t>40.7%</w:t>
            </w:r>
          </w:p>
        </w:tc>
      </w:tr>
      <w:tr w:rsidR="00AC4D37" w:rsidRPr="00AC4D37" w14:paraId="4FB9EA9B" w14:textId="77777777" w:rsidTr="004345D2">
        <w:tc>
          <w:tcPr>
            <w:tcW w:w="4305" w:type="dxa"/>
            <w:shd w:val="clear" w:color="auto" w:fill="auto"/>
            <w:tcMar>
              <w:top w:w="100" w:type="dxa"/>
              <w:left w:w="100" w:type="dxa"/>
              <w:bottom w:w="100" w:type="dxa"/>
              <w:right w:w="100" w:type="dxa"/>
            </w:tcMar>
          </w:tcPr>
          <w:p w14:paraId="3169D6A8" w14:textId="77777777" w:rsidR="00AC4D37" w:rsidRPr="00AC4D37" w:rsidRDefault="00AC4D37" w:rsidP="00A02EC3">
            <w:pPr>
              <w:widowControl w:val="0"/>
              <w:pBdr>
                <w:top w:val="nil"/>
                <w:left w:val="nil"/>
                <w:bottom w:val="nil"/>
                <w:right w:val="nil"/>
                <w:between w:val="nil"/>
              </w:pBdr>
              <w:rPr>
                <w:sz w:val="20"/>
                <w:szCs w:val="20"/>
              </w:rPr>
            </w:pPr>
            <w:r w:rsidRPr="00AC4D37">
              <w:rPr>
                <w:sz w:val="20"/>
                <w:szCs w:val="20"/>
              </w:rPr>
              <w:t xml:space="preserve">    Male</w:t>
            </w:r>
          </w:p>
        </w:tc>
        <w:tc>
          <w:tcPr>
            <w:tcW w:w="1935" w:type="dxa"/>
            <w:shd w:val="clear" w:color="auto" w:fill="auto"/>
            <w:tcMar>
              <w:top w:w="100" w:type="dxa"/>
              <w:left w:w="100" w:type="dxa"/>
              <w:bottom w:w="100" w:type="dxa"/>
              <w:right w:w="100" w:type="dxa"/>
            </w:tcMar>
          </w:tcPr>
          <w:p w14:paraId="445CAC72" w14:textId="77777777" w:rsidR="00AC4D37" w:rsidRPr="00AC4D37" w:rsidRDefault="00AC4D37" w:rsidP="00A02EC3">
            <w:pPr>
              <w:widowControl w:val="0"/>
              <w:pBdr>
                <w:top w:val="nil"/>
                <w:left w:val="nil"/>
                <w:bottom w:val="nil"/>
                <w:right w:val="nil"/>
                <w:between w:val="nil"/>
              </w:pBdr>
              <w:jc w:val="center"/>
              <w:rPr>
                <w:sz w:val="20"/>
                <w:szCs w:val="20"/>
              </w:rPr>
            </w:pPr>
            <w:r w:rsidRPr="00AC4D37">
              <w:rPr>
                <w:sz w:val="20"/>
                <w:szCs w:val="20"/>
              </w:rPr>
              <w:t>16</w:t>
            </w:r>
          </w:p>
        </w:tc>
        <w:tc>
          <w:tcPr>
            <w:tcW w:w="3120" w:type="dxa"/>
            <w:shd w:val="clear" w:color="auto" w:fill="auto"/>
            <w:tcMar>
              <w:top w:w="100" w:type="dxa"/>
              <w:left w:w="100" w:type="dxa"/>
              <w:bottom w:w="100" w:type="dxa"/>
              <w:right w:w="100" w:type="dxa"/>
            </w:tcMar>
          </w:tcPr>
          <w:p w14:paraId="32505AD8" w14:textId="77777777" w:rsidR="00AC4D37" w:rsidRPr="00AC4D37" w:rsidRDefault="00AC4D37" w:rsidP="00A02EC3">
            <w:pPr>
              <w:widowControl w:val="0"/>
              <w:pBdr>
                <w:top w:val="nil"/>
                <w:left w:val="nil"/>
                <w:bottom w:val="nil"/>
                <w:right w:val="nil"/>
                <w:between w:val="nil"/>
              </w:pBdr>
              <w:jc w:val="center"/>
              <w:rPr>
                <w:sz w:val="20"/>
                <w:szCs w:val="20"/>
              </w:rPr>
            </w:pPr>
            <w:r w:rsidRPr="00AC4D37">
              <w:rPr>
                <w:sz w:val="20"/>
                <w:szCs w:val="20"/>
              </w:rPr>
              <w:t>59.3%</w:t>
            </w:r>
          </w:p>
        </w:tc>
      </w:tr>
      <w:tr w:rsidR="00AC4D37" w:rsidRPr="00AC4D37" w14:paraId="7845BFAB" w14:textId="77777777" w:rsidTr="004345D2">
        <w:tc>
          <w:tcPr>
            <w:tcW w:w="4305" w:type="dxa"/>
            <w:shd w:val="clear" w:color="auto" w:fill="auto"/>
            <w:tcMar>
              <w:top w:w="100" w:type="dxa"/>
              <w:left w:w="100" w:type="dxa"/>
              <w:bottom w:w="100" w:type="dxa"/>
              <w:right w:w="100" w:type="dxa"/>
            </w:tcMar>
          </w:tcPr>
          <w:p w14:paraId="2A6A29DB" w14:textId="77777777" w:rsidR="00AC4D37" w:rsidRPr="00AC4D37" w:rsidRDefault="00AC4D37" w:rsidP="00A02EC3">
            <w:pPr>
              <w:widowControl w:val="0"/>
              <w:pBdr>
                <w:top w:val="nil"/>
                <w:left w:val="nil"/>
                <w:bottom w:val="nil"/>
                <w:right w:val="nil"/>
                <w:between w:val="nil"/>
              </w:pBdr>
              <w:rPr>
                <w:sz w:val="20"/>
                <w:szCs w:val="20"/>
              </w:rPr>
            </w:pPr>
            <w:r w:rsidRPr="00AC4D37">
              <w:rPr>
                <w:sz w:val="20"/>
                <w:szCs w:val="20"/>
              </w:rPr>
              <w:t>Race/ethnicity</w:t>
            </w:r>
          </w:p>
        </w:tc>
        <w:tc>
          <w:tcPr>
            <w:tcW w:w="1935" w:type="dxa"/>
            <w:shd w:val="clear" w:color="auto" w:fill="auto"/>
            <w:tcMar>
              <w:top w:w="100" w:type="dxa"/>
              <w:left w:w="100" w:type="dxa"/>
              <w:bottom w:w="100" w:type="dxa"/>
              <w:right w:w="100" w:type="dxa"/>
            </w:tcMar>
          </w:tcPr>
          <w:p w14:paraId="45D47F77" w14:textId="77777777" w:rsidR="00AC4D37" w:rsidRPr="00AC4D37" w:rsidRDefault="00AC4D37" w:rsidP="00A02EC3">
            <w:pPr>
              <w:widowControl w:val="0"/>
              <w:pBdr>
                <w:top w:val="nil"/>
                <w:left w:val="nil"/>
                <w:bottom w:val="nil"/>
                <w:right w:val="nil"/>
                <w:between w:val="nil"/>
              </w:pBdr>
              <w:jc w:val="center"/>
              <w:rPr>
                <w:sz w:val="20"/>
                <w:szCs w:val="20"/>
              </w:rPr>
            </w:pPr>
          </w:p>
        </w:tc>
        <w:tc>
          <w:tcPr>
            <w:tcW w:w="3120" w:type="dxa"/>
            <w:shd w:val="clear" w:color="auto" w:fill="auto"/>
            <w:tcMar>
              <w:top w:w="100" w:type="dxa"/>
              <w:left w:w="100" w:type="dxa"/>
              <w:bottom w:w="100" w:type="dxa"/>
              <w:right w:w="100" w:type="dxa"/>
            </w:tcMar>
          </w:tcPr>
          <w:p w14:paraId="042AC7F5" w14:textId="77777777" w:rsidR="00AC4D37" w:rsidRPr="00AC4D37" w:rsidRDefault="00AC4D37" w:rsidP="00A02EC3">
            <w:pPr>
              <w:widowControl w:val="0"/>
              <w:pBdr>
                <w:top w:val="nil"/>
                <w:left w:val="nil"/>
                <w:bottom w:val="nil"/>
                <w:right w:val="nil"/>
                <w:between w:val="nil"/>
              </w:pBdr>
              <w:jc w:val="center"/>
              <w:rPr>
                <w:sz w:val="20"/>
                <w:szCs w:val="20"/>
              </w:rPr>
            </w:pPr>
          </w:p>
        </w:tc>
      </w:tr>
      <w:tr w:rsidR="00AC4D37" w:rsidRPr="00AC4D37" w14:paraId="34213315" w14:textId="77777777" w:rsidTr="004345D2">
        <w:tc>
          <w:tcPr>
            <w:tcW w:w="4305" w:type="dxa"/>
            <w:shd w:val="clear" w:color="auto" w:fill="auto"/>
            <w:tcMar>
              <w:top w:w="100" w:type="dxa"/>
              <w:left w:w="100" w:type="dxa"/>
              <w:bottom w:w="100" w:type="dxa"/>
              <w:right w:w="100" w:type="dxa"/>
            </w:tcMar>
          </w:tcPr>
          <w:p w14:paraId="26D6EFC5" w14:textId="77777777" w:rsidR="00AC4D37" w:rsidRPr="00AC4D37" w:rsidRDefault="00AC4D37" w:rsidP="00A02EC3">
            <w:pPr>
              <w:widowControl w:val="0"/>
              <w:pBdr>
                <w:top w:val="nil"/>
                <w:left w:val="nil"/>
                <w:bottom w:val="nil"/>
                <w:right w:val="nil"/>
                <w:between w:val="nil"/>
              </w:pBdr>
              <w:rPr>
                <w:sz w:val="20"/>
                <w:szCs w:val="20"/>
              </w:rPr>
            </w:pPr>
            <w:r w:rsidRPr="00AC4D37">
              <w:rPr>
                <w:sz w:val="20"/>
                <w:szCs w:val="20"/>
              </w:rPr>
              <w:t xml:space="preserve">    Asian/Asian American/Pacific Islander</w:t>
            </w:r>
          </w:p>
        </w:tc>
        <w:tc>
          <w:tcPr>
            <w:tcW w:w="1935" w:type="dxa"/>
            <w:shd w:val="clear" w:color="auto" w:fill="auto"/>
            <w:tcMar>
              <w:top w:w="100" w:type="dxa"/>
              <w:left w:w="100" w:type="dxa"/>
              <w:bottom w:w="100" w:type="dxa"/>
              <w:right w:w="100" w:type="dxa"/>
            </w:tcMar>
          </w:tcPr>
          <w:p w14:paraId="1EB91ABB" w14:textId="77777777" w:rsidR="00AC4D37" w:rsidRPr="00AC4D37" w:rsidRDefault="00AC4D37" w:rsidP="00A02EC3">
            <w:pPr>
              <w:widowControl w:val="0"/>
              <w:pBdr>
                <w:top w:val="nil"/>
                <w:left w:val="nil"/>
                <w:bottom w:val="nil"/>
                <w:right w:val="nil"/>
                <w:between w:val="nil"/>
              </w:pBdr>
              <w:jc w:val="center"/>
              <w:rPr>
                <w:sz w:val="20"/>
                <w:szCs w:val="20"/>
              </w:rPr>
            </w:pPr>
            <w:r w:rsidRPr="00AC4D37">
              <w:rPr>
                <w:sz w:val="20"/>
                <w:szCs w:val="20"/>
              </w:rPr>
              <w:t>3</w:t>
            </w:r>
          </w:p>
        </w:tc>
        <w:tc>
          <w:tcPr>
            <w:tcW w:w="3120" w:type="dxa"/>
            <w:shd w:val="clear" w:color="auto" w:fill="auto"/>
            <w:tcMar>
              <w:top w:w="100" w:type="dxa"/>
              <w:left w:w="100" w:type="dxa"/>
              <w:bottom w:w="100" w:type="dxa"/>
              <w:right w:w="100" w:type="dxa"/>
            </w:tcMar>
          </w:tcPr>
          <w:p w14:paraId="3E433A52" w14:textId="77777777" w:rsidR="00AC4D37" w:rsidRPr="00AC4D37" w:rsidRDefault="00AC4D37" w:rsidP="00A02EC3">
            <w:pPr>
              <w:widowControl w:val="0"/>
              <w:pBdr>
                <w:top w:val="nil"/>
                <w:left w:val="nil"/>
                <w:bottom w:val="nil"/>
                <w:right w:val="nil"/>
                <w:between w:val="nil"/>
              </w:pBdr>
              <w:jc w:val="center"/>
              <w:rPr>
                <w:sz w:val="20"/>
                <w:szCs w:val="20"/>
              </w:rPr>
            </w:pPr>
            <w:r w:rsidRPr="00AC4D37">
              <w:rPr>
                <w:sz w:val="20"/>
                <w:szCs w:val="20"/>
              </w:rPr>
              <w:t>11.1%</w:t>
            </w:r>
          </w:p>
        </w:tc>
      </w:tr>
      <w:tr w:rsidR="00AC4D37" w:rsidRPr="00AC4D37" w14:paraId="474B2377" w14:textId="77777777" w:rsidTr="004345D2">
        <w:tc>
          <w:tcPr>
            <w:tcW w:w="4305" w:type="dxa"/>
            <w:shd w:val="clear" w:color="auto" w:fill="auto"/>
            <w:tcMar>
              <w:top w:w="100" w:type="dxa"/>
              <w:left w:w="100" w:type="dxa"/>
              <w:bottom w:w="100" w:type="dxa"/>
              <w:right w:w="100" w:type="dxa"/>
            </w:tcMar>
          </w:tcPr>
          <w:p w14:paraId="78B1778E" w14:textId="77777777" w:rsidR="00AC4D37" w:rsidRPr="00AC4D37" w:rsidRDefault="00AC4D37" w:rsidP="00A02EC3">
            <w:pPr>
              <w:widowControl w:val="0"/>
              <w:pBdr>
                <w:top w:val="nil"/>
                <w:left w:val="nil"/>
                <w:bottom w:val="nil"/>
                <w:right w:val="nil"/>
                <w:between w:val="nil"/>
              </w:pBdr>
              <w:rPr>
                <w:sz w:val="20"/>
                <w:szCs w:val="20"/>
              </w:rPr>
            </w:pPr>
            <w:r w:rsidRPr="00AC4D37">
              <w:rPr>
                <w:sz w:val="20"/>
                <w:szCs w:val="20"/>
              </w:rPr>
              <w:t xml:space="preserve">    Black/African American</w:t>
            </w:r>
          </w:p>
        </w:tc>
        <w:tc>
          <w:tcPr>
            <w:tcW w:w="1935" w:type="dxa"/>
            <w:shd w:val="clear" w:color="auto" w:fill="auto"/>
            <w:tcMar>
              <w:top w:w="100" w:type="dxa"/>
              <w:left w:w="100" w:type="dxa"/>
              <w:bottom w:w="100" w:type="dxa"/>
              <w:right w:w="100" w:type="dxa"/>
            </w:tcMar>
          </w:tcPr>
          <w:p w14:paraId="4B447500" w14:textId="77777777" w:rsidR="00AC4D37" w:rsidRPr="00AC4D37" w:rsidRDefault="00AC4D37" w:rsidP="00A02EC3">
            <w:pPr>
              <w:widowControl w:val="0"/>
              <w:pBdr>
                <w:top w:val="nil"/>
                <w:left w:val="nil"/>
                <w:bottom w:val="nil"/>
                <w:right w:val="nil"/>
                <w:between w:val="nil"/>
              </w:pBdr>
              <w:jc w:val="center"/>
              <w:rPr>
                <w:sz w:val="20"/>
                <w:szCs w:val="20"/>
              </w:rPr>
            </w:pPr>
            <w:r w:rsidRPr="00AC4D37">
              <w:rPr>
                <w:sz w:val="20"/>
                <w:szCs w:val="20"/>
              </w:rPr>
              <w:t>2</w:t>
            </w:r>
          </w:p>
        </w:tc>
        <w:tc>
          <w:tcPr>
            <w:tcW w:w="3120" w:type="dxa"/>
            <w:shd w:val="clear" w:color="auto" w:fill="auto"/>
            <w:tcMar>
              <w:top w:w="100" w:type="dxa"/>
              <w:left w:w="100" w:type="dxa"/>
              <w:bottom w:w="100" w:type="dxa"/>
              <w:right w:w="100" w:type="dxa"/>
            </w:tcMar>
          </w:tcPr>
          <w:p w14:paraId="1C4968EE" w14:textId="77777777" w:rsidR="00AC4D37" w:rsidRPr="00AC4D37" w:rsidRDefault="00AC4D37" w:rsidP="00A02EC3">
            <w:pPr>
              <w:widowControl w:val="0"/>
              <w:pBdr>
                <w:top w:val="nil"/>
                <w:left w:val="nil"/>
                <w:bottom w:val="nil"/>
                <w:right w:val="nil"/>
                <w:between w:val="nil"/>
              </w:pBdr>
              <w:jc w:val="center"/>
              <w:rPr>
                <w:sz w:val="20"/>
                <w:szCs w:val="20"/>
              </w:rPr>
            </w:pPr>
            <w:r w:rsidRPr="00AC4D37">
              <w:rPr>
                <w:sz w:val="20"/>
                <w:szCs w:val="20"/>
              </w:rPr>
              <w:t>7.4%</w:t>
            </w:r>
          </w:p>
        </w:tc>
      </w:tr>
      <w:tr w:rsidR="00AC4D37" w:rsidRPr="00AC4D37" w14:paraId="6C361475" w14:textId="77777777" w:rsidTr="004345D2">
        <w:tc>
          <w:tcPr>
            <w:tcW w:w="4305" w:type="dxa"/>
            <w:shd w:val="clear" w:color="auto" w:fill="auto"/>
            <w:tcMar>
              <w:top w:w="100" w:type="dxa"/>
              <w:left w:w="100" w:type="dxa"/>
              <w:bottom w:w="100" w:type="dxa"/>
              <w:right w:w="100" w:type="dxa"/>
            </w:tcMar>
          </w:tcPr>
          <w:p w14:paraId="289C5E21" w14:textId="77777777" w:rsidR="00AC4D37" w:rsidRPr="00AC4D37" w:rsidRDefault="00AC4D37" w:rsidP="00A02EC3">
            <w:pPr>
              <w:widowControl w:val="0"/>
              <w:pBdr>
                <w:top w:val="nil"/>
                <w:left w:val="nil"/>
                <w:bottom w:val="nil"/>
                <w:right w:val="nil"/>
                <w:between w:val="nil"/>
              </w:pBdr>
              <w:rPr>
                <w:sz w:val="20"/>
                <w:szCs w:val="20"/>
              </w:rPr>
            </w:pPr>
            <w:r w:rsidRPr="00AC4D37">
              <w:rPr>
                <w:sz w:val="20"/>
                <w:szCs w:val="20"/>
              </w:rPr>
              <w:t xml:space="preserve">    White/European</w:t>
            </w:r>
          </w:p>
        </w:tc>
        <w:tc>
          <w:tcPr>
            <w:tcW w:w="1935" w:type="dxa"/>
            <w:shd w:val="clear" w:color="auto" w:fill="auto"/>
            <w:tcMar>
              <w:top w:w="100" w:type="dxa"/>
              <w:left w:w="100" w:type="dxa"/>
              <w:bottom w:w="100" w:type="dxa"/>
              <w:right w:w="100" w:type="dxa"/>
            </w:tcMar>
          </w:tcPr>
          <w:p w14:paraId="11D3DFEC" w14:textId="77777777" w:rsidR="00AC4D37" w:rsidRPr="00AC4D37" w:rsidRDefault="00AC4D37" w:rsidP="00A02EC3">
            <w:pPr>
              <w:widowControl w:val="0"/>
              <w:pBdr>
                <w:top w:val="nil"/>
                <w:left w:val="nil"/>
                <w:bottom w:val="nil"/>
                <w:right w:val="nil"/>
                <w:between w:val="nil"/>
              </w:pBdr>
              <w:jc w:val="center"/>
              <w:rPr>
                <w:sz w:val="20"/>
                <w:szCs w:val="20"/>
              </w:rPr>
            </w:pPr>
            <w:r w:rsidRPr="00AC4D37">
              <w:rPr>
                <w:sz w:val="20"/>
                <w:szCs w:val="20"/>
              </w:rPr>
              <w:t>22</w:t>
            </w:r>
          </w:p>
        </w:tc>
        <w:tc>
          <w:tcPr>
            <w:tcW w:w="3120" w:type="dxa"/>
            <w:shd w:val="clear" w:color="auto" w:fill="auto"/>
            <w:tcMar>
              <w:top w:w="100" w:type="dxa"/>
              <w:left w:w="100" w:type="dxa"/>
              <w:bottom w:w="100" w:type="dxa"/>
              <w:right w:w="100" w:type="dxa"/>
            </w:tcMar>
          </w:tcPr>
          <w:p w14:paraId="0842229A" w14:textId="77777777" w:rsidR="00AC4D37" w:rsidRPr="00AC4D37" w:rsidRDefault="00AC4D37" w:rsidP="00A02EC3">
            <w:pPr>
              <w:widowControl w:val="0"/>
              <w:pBdr>
                <w:top w:val="nil"/>
                <w:left w:val="nil"/>
                <w:bottom w:val="nil"/>
                <w:right w:val="nil"/>
                <w:between w:val="nil"/>
              </w:pBdr>
              <w:jc w:val="center"/>
              <w:rPr>
                <w:sz w:val="20"/>
                <w:szCs w:val="20"/>
              </w:rPr>
            </w:pPr>
            <w:r w:rsidRPr="00AC4D37">
              <w:rPr>
                <w:sz w:val="20"/>
                <w:szCs w:val="20"/>
              </w:rPr>
              <w:t>81.5%</w:t>
            </w:r>
          </w:p>
        </w:tc>
      </w:tr>
      <w:tr w:rsidR="00AC4D37" w:rsidRPr="00AC4D37" w14:paraId="370FCACC" w14:textId="77777777" w:rsidTr="004345D2">
        <w:tc>
          <w:tcPr>
            <w:tcW w:w="4305" w:type="dxa"/>
            <w:shd w:val="clear" w:color="auto" w:fill="auto"/>
            <w:tcMar>
              <w:top w:w="100" w:type="dxa"/>
              <w:left w:w="100" w:type="dxa"/>
              <w:bottom w:w="100" w:type="dxa"/>
              <w:right w:w="100" w:type="dxa"/>
            </w:tcMar>
          </w:tcPr>
          <w:p w14:paraId="71BBB447" w14:textId="77777777" w:rsidR="00AC4D37" w:rsidRPr="00AC4D37" w:rsidRDefault="00AC4D37" w:rsidP="00A02EC3">
            <w:pPr>
              <w:widowControl w:val="0"/>
              <w:pBdr>
                <w:top w:val="nil"/>
                <w:left w:val="nil"/>
                <w:bottom w:val="nil"/>
                <w:right w:val="nil"/>
                <w:between w:val="nil"/>
              </w:pBdr>
              <w:rPr>
                <w:sz w:val="20"/>
                <w:szCs w:val="20"/>
              </w:rPr>
            </w:pPr>
            <w:r w:rsidRPr="00AC4D37">
              <w:rPr>
                <w:sz w:val="20"/>
                <w:szCs w:val="20"/>
              </w:rPr>
              <w:t>Year of study</w:t>
            </w:r>
          </w:p>
        </w:tc>
        <w:tc>
          <w:tcPr>
            <w:tcW w:w="1935" w:type="dxa"/>
            <w:shd w:val="clear" w:color="auto" w:fill="auto"/>
            <w:tcMar>
              <w:top w:w="100" w:type="dxa"/>
              <w:left w:w="100" w:type="dxa"/>
              <w:bottom w:w="100" w:type="dxa"/>
              <w:right w:w="100" w:type="dxa"/>
            </w:tcMar>
          </w:tcPr>
          <w:p w14:paraId="48FFF7A9" w14:textId="77777777" w:rsidR="00AC4D37" w:rsidRPr="00AC4D37" w:rsidRDefault="00AC4D37" w:rsidP="00A02EC3">
            <w:pPr>
              <w:widowControl w:val="0"/>
              <w:pBdr>
                <w:top w:val="nil"/>
                <w:left w:val="nil"/>
                <w:bottom w:val="nil"/>
                <w:right w:val="nil"/>
                <w:between w:val="nil"/>
              </w:pBdr>
              <w:jc w:val="center"/>
              <w:rPr>
                <w:sz w:val="20"/>
                <w:szCs w:val="20"/>
              </w:rPr>
            </w:pPr>
          </w:p>
        </w:tc>
        <w:tc>
          <w:tcPr>
            <w:tcW w:w="3120" w:type="dxa"/>
            <w:shd w:val="clear" w:color="auto" w:fill="auto"/>
            <w:tcMar>
              <w:top w:w="100" w:type="dxa"/>
              <w:left w:w="100" w:type="dxa"/>
              <w:bottom w:w="100" w:type="dxa"/>
              <w:right w:w="100" w:type="dxa"/>
            </w:tcMar>
          </w:tcPr>
          <w:p w14:paraId="1ECCEF94" w14:textId="77777777" w:rsidR="00AC4D37" w:rsidRPr="00AC4D37" w:rsidRDefault="00AC4D37" w:rsidP="00A02EC3">
            <w:pPr>
              <w:widowControl w:val="0"/>
              <w:pBdr>
                <w:top w:val="nil"/>
                <w:left w:val="nil"/>
                <w:bottom w:val="nil"/>
                <w:right w:val="nil"/>
                <w:between w:val="nil"/>
              </w:pBdr>
              <w:jc w:val="center"/>
              <w:rPr>
                <w:sz w:val="20"/>
                <w:szCs w:val="20"/>
              </w:rPr>
            </w:pPr>
          </w:p>
        </w:tc>
      </w:tr>
      <w:tr w:rsidR="00AC4D37" w:rsidRPr="00AC4D37" w14:paraId="278E6121" w14:textId="77777777" w:rsidTr="004345D2">
        <w:tc>
          <w:tcPr>
            <w:tcW w:w="4305" w:type="dxa"/>
            <w:shd w:val="clear" w:color="auto" w:fill="auto"/>
            <w:tcMar>
              <w:top w:w="100" w:type="dxa"/>
              <w:left w:w="100" w:type="dxa"/>
              <w:bottom w:w="100" w:type="dxa"/>
              <w:right w:w="100" w:type="dxa"/>
            </w:tcMar>
          </w:tcPr>
          <w:p w14:paraId="73E3B944" w14:textId="77777777" w:rsidR="00AC4D37" w:rsidRPr="00AC4D37" w:rsidRDefault="00AC4D37" w:rsidP="00A02EC3">
            <w:pPr>
              <w:widowControl w:val="0"/>
              <w:pBdr>
                <w:top w:val="nil"/>
                <w:left w:val="nil"/>
                <w:bottom w:val="nil"/>
                <w:right w:val="nil"/>
                <w:between w:val="nil"/>
              </w:pBdr>
              <w:rPr>
                <w:sz w:val="20"/>
                <w:szCs w:val="20"/>
              </w:rPr>
            </w:pPr>
            <w:r w:rsidRPr="00AC4D37">
              <w:rPr>
                <w:sz w:val="20"/>
                <w:szCs w:val="20"/>
              </w:rPr>
              <w:t xml:space="preserve">    1st year</w:t>
            </w:r>
          </w:p>
        </w:tc>
        <w:tc>
          <w:tcPr>
            <w:tcW w:w="1935" w:type="dxa"/>
            <w:shd w:val="clear" w:color="auto" w:fill="auto"/>
            <w:tcMar>
              <w:top w:w="100" w:type="dxa"/>
              <w:left w:w="100" w:type="dxa"/>
              <w:bottom w:w="100" w:type="dxa"/>
              <w:right w:w="100" w:type="dxa"/>
            </w:tcMar>
          </w:tcPr>
          <w:p w14:paraId="024758A6" w14:textId="77777777" w:rsidR="00AC4D37" w:rsidRPr="00AC4D37" w:rsidRDefault="00AC4D37" w:rsidP="00A02EC3">
            <w:pPr>
              <w:widowControl w:val="0"/>
              <w:pBdr>
                <w:top w:val="nil"/>
                <w:left w:val="nil"/>
                <w:bottom w:val="nil"/>
                <w:right w:val="nil"/>
                <w:between w:val="nil"/>
              </w:pBdr>
              <w:jc w:val="center"/>
              <w:rPr>
                <w:sz w:val="20"/>
                <w:szCs w:val="20"/>
              </w:rPr>
            </w:pPr>
            <w:r w:rsidRPr="00AC4D37">
              <w:rPr>
                <w:sz w:val="20"/>
                <w:szCs w:val="20"/>
              </w:rPr>
              <w:t>9</w:t>
            </w:r>
          </w:p>
        </w:tc>
        <w:tc>
          <w:tcPr>
            <w:tcW w:w="3120" w:type="dxa"/>
            <w:shd w:val="clear" w:color="auto" w:fill="auto"/>
            <w:tcMar>
              <w:top w:w="100" w:type="dxa"/>
              <w:left w:w="100" w:type="dxa"/>
              <w:bottom w:w="100" w:type="dxa"/>
              <w:right w:w="100" w:type="dxa"/>
            </w:tcMar>
          </w:tcPr>
          <w:p w14:paraId="06207DFF" w14:textId="77777777" w:rsidR="00AC4D37" w:rsidRPr="00AC4D37" w:rsidRDefault="00AC4D37" w:rsidP="00A02EC3">
            <w:pPr>
              <w:widowControl w:val="0"/>
              <w:pBdr>
                <w:top w:val="nil"/>
                <w:left w:val="nil"/>
                <w:bottom w:val="nil"/>
                <w:right w:val="nil"/>
                <w:between w:val="nil"/>
              </w:pBdr>
              <w:jc w:val="center"/>
              <w:rPr>
                <w:sz w:val="20"/>
                <w:szCs w:val="20"/>
              </w:rPr>
            </w:pPr>
            <w:r w:rsidRPr="00AC4D37">
              <w:rPr>
                <w:sz w:val="20"/>
                <w:szCs w:val="20"/>
              </w:rPr>
              <w:t>33.3%</w:t>
            </w:r>
          </w:p>
        </w:tc>
      </w:tr>
      <w:tr w:rsidR="00AC4D37" w:rsidRPr="00AC4D37" w14:paraId="627797D6" w14:textId="77777777" w:rsidTr="004345D2">
        <w:tc>
          <w:tcPr>
            <w:tcW w:w="4305" w:type="dxa"/>
            <w:shd w:val="clear" w:color="auto" w:fill="auto"/>
            <w:tcMar>
              <w:top w:w="100" w:type="dxa"/>
              <w:left w:w="100" w:type="dxa"/>
              <w:bottom w:w="100" w:type="dxa"/>
              <w:right w:w="100" w:type="dxa"/>
            </w:tcMar>
          </w:tcPr>
          <w:p w14:paraId="1C30F005" w14:textId="77777777" w:rsidR="00AC4D37" w:rsidRPr="00AC4D37" w:rsidRDefault="00AC4D37" w:rsidP="00A02EC3">
            <w:pPr>
              <w:widowControl w:val="0"/>
              <w:pBdr>
                <w:top w:val="nil"/>
                <w:left w:val="nil"/>
                <w:bottom w:val="nil"/>
                <w:right w:val="nil"/>
                <w:between w:val="nil"/>
              </w:pBdr>
              <w:rPr>
                <w:sz w:val="20"/>
                <w:szCs w:val="20"/>
              </w:rPr>
            </w:pPr>
            <w:r w:rsidRPr="00AC4D37">
              <w:rPr>
                <w:sz w:val="20"/>
                <w:szCs w:val="20"/>
              </w:rPr>
              <w:t xml:space="preserve">    2nd year</w:t>
            </w:r>
          </w:p>
        </w:tc>
        <w:tc>
          <w:tcPr>
            <w:tcW w:w="1935" w:type="dxa"/>
            <w:shd w:val="clear" w:color="auto" w:fill="auto"/>
            <w:tcMar>
              <w:top w:w="100" w:type="dxa"/>
              <w:left w:w="100" w:type="dxa"/>
              <w:bottom w:w="100" w:type="dxa"/>
              <w:right w:w="100" w:type="dxa"/>
            </w:tcMar>
          </w:tcPr>
          <w:p w14:paraId="1C74AD86" w14:textId="77777777" w:rsidR="00AC4D37" w:rsidRPr="00AC4D37" w:rsidRDefault="00AC4D37" w:rsidP="00A02EC3">
            <w:pPr>
              <w:widowControl w:val="0"/>
              <w:pBdr>
                <w:top w:val="nil"/>
                <w:left w:val="nil"/>
                <w:bottom w:val="nil"/>
                <w:right w:val="nil"/>
                <w:between w:val="nil"/>
              </w:pBdr>
              <w:jc w:val="center"/>
              <w:rPr>
                <w:sz w:val="20"/>
                <w:szCs w:val="20"/>
              </w:rPr>
            </w:pPr>
            <w:r w:rsidRPr="00AC4D37">
              <w:rPr>
                <w:sz w:val="20"/>
                <w:szCs w:val="20"/>
              </w:rPr>
              <w:t>9</w:t>
            </w:r>
          </w:p>
        </w:tc>
        <w:tc>
          <w:tcPr>
            <w:tcW w:w="3120" w:type="dxa"/>
            <w:shd w:val="clear" w:color="auto" w:fill="auto"/>
            <w:tcMar>
              <w:top w:w="100" w:type="dxa"/>
              <w:left w:w="100" w:type="dxa"/>
              <w:bottom w:w="100" w:type="dxa"/>
              <w:right w:w="100" w:type="dxa"/>
            </w:tcMar>
          </w:tcPr>
          <w:p w14:paraId="4331A444" w14:textId="77777777" w:rsidR="00AC4D37" w:rsidRPr="00AC4D37" w:rsidRDefault="00AC4D37" w:rsidP="00A02EC3">
            <w:pPr>
              <w:widowControl w:val="0"/>
              <w:pBdr>
                <w:top w:val="nil"/>
                <w:left w:val="nil"/>
                <w:bottom w:val="nil"/>
                <w:right w:val="nil"/>
                <w:between w:val="nil"/>
              </w:pBdr>
              <w:jc w:val="center"/>
              <w:rPr>
                <w:sz w:val="20"/>
                <w:szCs w:val="20"/>
              </w:rPr>
            </w:pPr>
            <w:r w:rsidRPr="00AC4D37">
              <w:rPr>
                <w:sz w:val="20"/>
                <w:szCs w:val="20"/>
              </w:rPr>
              <w:t>33.3%</w:t>
            </w:r>
          </w:p>
        </w:tc>
      </w:tr>
      <w:tr w:rsidR="00AC4D37" w:rsidRPr="00AC4D37" w14:paraId="30C5378E" w14:textId="77777777" w:rsidTr="004345D2">
        <w:tc>
          <w:tcPr>
            <w:tcW w:w="4305" w:type="dxa"/>
            <w:shd w:val="clear" w:color="auto" w:fill="auto"/>
            <w:tcMar>
              <w:top w:w="100" w:type="dxa"/>
              <w:left w:w="100" w:type="dxa"/>
              <w:bottom w:w="100" w:type="dxa"/>
              <w:right w:w="100" w:type="dxa"/>
            </w:tcMar>
          </w:tcPr>
          <w:p w14:paraId="2108C7B5" w14:textId="77777777" w:rsidR="00AC4D37" w:rsidRPr="00AC4D37" w:rsidRDefault="00AC4D37" w:rsidP="00A02EC3">
            <w:pPr>
              <w:widowControl w:val="0"/>
              <w:pBdr>
                <w:top w:val="nil"/>
                <w:left w:val="nil"/>
                <w:bottom w:val="nil"/>
                <w:right w:val="nil"/>
                <w:between w:val="nil"/>
              </w:pBdr>
              <w:rPr>
                <w:sz w:val="20"/>
                <w:szCs w:val="20"/>
              </w:rPr>
            </w:pPr>
            <w:r w:rsidRPr="00AC4D37">
              <w:rPr>
                <w:sz w:val="20"/>
                <w:szCs w:val="20"/>
              </w:rPr>
              <w:t xml:space="preserve">    3rd year</w:t>
            </w:r>
          </w:p>
        </w:tc>
        <w:tc>
          <w:tcPr>
            <w:tcW w:w="1935" w:type="dxa"/>
            <w:shd w:val="clear" w:color="auto" w:fill="auto"/>
            <w:tcMar>
              <w:top w:w="100" w:type="dxa"/>
              <w:left w:w="100" w:type="dxa"/>
              <w:bottom w:w="100" w:type="dxa"/>
              <w:right w:w="100" w:type="dxa"/>
            </w:tcMar>
          </w:tcPr>
          <w:p w14:paraId="68E231DC" w14:textId="77777777" w:rsidR="00AC4D37" w:rsidRPr="00AC4D37" w:rsidRDefault="00AC4D37" w:rsidP="00A02EC3">
            <w:pPr>
              <w:widowControl w:val="0"/>
              <w:pBdr>
                <w:top w:val="nil"/>
                <w:left w:val="nil"/>
                <w:bottom w:val="nil"/>
                <w:right w:val="nil"/>
                <w:between w:val="nil"/>
              </w:pBdr>
              <w:jc w:val="center"/>
              <w:rPr>
                <w:sz w:val="20"/>
                <w:szCs w:val="20"/>
              </w:rPr>
            </w:pPr>
            <w:r w:rsidRPr="00AC4D37">
              <w:rPr>
                <w:sz w:val="20"/>
                <w:szCs w:val="20"/>
              </w:rPr>
              <w:t>4</w:t>
            </w:r>
          </w:p>
        </w:tc>
        <w:tc>
          <w:tcPr>
            <w:tcW w:w="3120" w:type="dxa"/>
            <w:shd w:val="clear" w:color="auto" w:fill="auto"/>
            <w:tcMar>
              <w:top w:w="100" w:type="dxa"/>
              <w:left w:w="100" w:type="dxa"/>
              <w:bottom w:w="100" w:type="dxa"/>
              <w:right w:w="100" w:type="dxa"/>
            </w:tcMar>
          </w:tcPr>
          <w:p w14:paraId="489FAD39" w14:textId="77777777" w:rsidR="00AC4D37" w:rsidRPr="00AC4D37" w:rsidRDefault="00AC4D37" w:rsidP="00A02EC3">
            <w:pPr>
              <w:widowControl w:val="0"/>
              <w:pBdr>
                <w:top w:val="nil"/>
                <w:left w:val="nil"/>
                <w:bottom w:val="nil"/>
                <w:right w:val="nil"/>
                <w:between w:val="nil"/>
              </w:pBdr>
              <w:jc w:val="center"/>
              <w:rPr>
                <w:sz w:val="20"/>
                <w:szCs w:val="20"/>
              </w:rPr>
            </w:pPr>
            <w:r w:rsidRPr="00AC4D37">
              <w:rPr>
                <w:sz w:val="20"/>
                <w:szCs w:val="20"/>
              </w:rPr>
              <w:t>14.8%</w:t>
            </w:r>
          </w:p>
        </w:tc>
      </w:tr>
      <w:tr w:rsidR="00AC4D37" w:rsidRPr="00AC4D37" w14:paraId="525B9479" w14:textId="77777777" w:rsidTr="004345D2">
        <w:trPr>
          <w:trHeight w:val="20"/>
        </w:trPr>
        <w:tc>
          <w:tcPr>
            <w:tcW w:w="4305" w:type="dxa"/>
            <w:shd w:val="clear" w:color="auto" w:fill="auto"/>
            <w:tcMar>
              <w:top w:w="100" w:type="dxa"/>
              <w:left w:w="100" w:type="dxa"/>
              <w:bottom w:w="100" w:type="dxa"/>
              <w:right w:w="100" w:type="dxa"/>
            </w:tcMar>
          </w:tcPr>
          <w:p w14:paraId="18F0FFE1" w14:textId="77777777" w:rsidR="00AC4D37" w:rsidRPr="00AC4D37" w:rsidRDefault="00AC4D37" w:rsidP="00A02EC3">
            <w:pPr>
              <w:widowControl w:val="0"/>
              <w:pBdr>
                <w:top w:val="nil"/>
                <w:left w:val="nil"/>
                <w:bottom w:val="nil"/>
                <w:right w:val="nil"/>
                <w:between w:val="nil"/>
              </w:pBdr>
              <w:rPr>
                <w:sz w:val="20"/>
                <w:szCs w:val="20"/>
              </w:rPr>
            </w:pPr>
            <w:r w:rsidRPr="00AC4D37">
              <w:rPr>
                <w:sz w:val="20"/>
                <w:szCs w:val="20"/>
              </w:rPr>
              <w:t xml:space="preserve">    4th year</w:t>
            </w:r>
          </w:p>
        </w:tc>
        <w:tc>
          <w:tcPr>
            <w:tcW w:w="1935" w:type="dxa"/>
            <w:shd w:val="clear" w:color="auto" w:fill="auto"/>
            <w:tcMar>
              <w:top w:w="100" w:type="dxa"/>
              <w:left w:w="100" w:type="dxa"/>
              <w:bottom w:w="100" w:type="dxa"/>
              <w:right w:w="100" w:type="dxa"/>
            </w:tcMar>
          </w:tcPr>
          <w:p w14:paraId="7095248A" w14:textId="77777777" w:rsidR="00AC4D37" w:rsidRPr="00AC4D37" w:rsidRDefault="00AC4D37" w:rsidP="00A02EC3">
            <w:pPr>
              <w:widowControl w:val="0"/>
              <w:pBdr>
                <w:top w:val="nil"/>
                <w:left w:val="nil"/>
                <w:bottom w:val="nil"/>
                <w:right w:val="nil"/>
                <w:between w:val="nil"/>
              </w:pBdr>
              <w:jc w:val="center"/>
              <w:rPr>
                <w:sz w:val="20"/>
                <w:szCs w:val="20"/>
              </w:rPr>
            </w:pPr>
            <w:r w:rsidRPr="00AC4D37">
              <w:rPr>
                <w:sz w:val="20"/>
                <w:szCs w:val="20"/>
              </w:rPr>
              <w:t>1</w:t>
            </w:r>
          </w:p>
        </w:tc>
        <w:tc>
          <w:tcPr>
            <w:tcW w:w="3120" w:type="dxa"/>
            <w:shd w:val="clear" w:color="auto" w:fill="auto"/>
            <w:tcMar>
              <w:top w:w="100" w:type="dxa"/>
              <w:left w:w="100" w:type="dxa"/>
              <w:bottom w:w="100" w:type="dxa"/>
              <w:right w:w="100" w:type="dxa"/>
            </w:tcMar>
          </w:tcPr>
          <w:p w14:paraId="24A7BF1D" w14:textId="77777777" w:rsidR="00AC4D37" w:rsidRPr="00AC4D37" w:rsidRDefault="00AC4D37" w:rsidP="00A02EC3">
            <w:pPr>
              <w:widowControl w:val="0"/>
              <w:pBdr>
                <w:top w:val="nil"/>
                <w:left w:val="nil"/>
                <w:bottom w:val="nil"/>
                <w:right w:val="nil"/>
                <w:between w:val="nil"/>
              </w:pBdr>
              <w:jc w:val="center"/>
              <w:rPr>
                <w:sz w:val="20"/>
                <w:szCs w:val="20"/>
              </w:rPr>
            </w:pPr>
            <w:r w:rsidRPr="00AC4D37">
              <w:rPr>
                <w:sz w:val="20"/>
                <w:szCs w:val="20"/>
              </w:rPr>
              <w:t>3.7%</w:t>
            </w:r>
          </w:p>
        </w:tc>
      </w:tr>
      <w:tr w:rsidR="00AC4D37" w:rsidRPr="00AC4D37" w14:paraId="42A8C9A5" w14:textId="77777777" w:rsidTr="004345D2">
        <w:tc>
          <w:tcPr>
            <w:tcW w:w="4305" w:type="dxa"/>
            <w:shd w:val="clear" w:color="auto" w:fill="auto"/>
            <w:tcMar>
              <w:top w:w="100" w:type="dxa"/>
              <w:left w:w="100" w:type="dxa"/>
              <w:bottom w:w="100" w:type="dxa"/>
              <w:right w:w="100" w:type="dxa"/>
            </w:tcMar>
          </w:tcPr>
          <w:p w14:paraId="1E5BD71A" w14:textId="77777777" w:rsidR="00AC4D37" w:rsidRPr="00AC4D37" w:rsidRDefault="00AC4D37" w:rsidP="00A02EC3">
            <w:pPr>
              <w:widowControl w:val="0"/>
              <w:pBdr>
                <w:top w:val="nil"/>
                <w:left w:val="nil"/>
                <w:bottom w:val="nil"/>
                <w:right w:val="nil"/>
                <w:between w:val="nil"/>
              </w:pBdr>
              <w:rPr>
                <w:sz w:val="20"/>
                <w:szCs w:val="20"/>
              </w:rPr>
            </w:pPr>
            <w:r w:rsidRPr="00AC4D37">
              <w:rPr>
                <w:sz w:val="20"/>
                <w:szCs w:val="20"/>
              </w:rPr>
              <w:t xml:space="preserve">    Graduate</w:t>
            </w:r>
          </w:p>
        </w:tc>
        <w:tc>
          <w:tcPr>
            <w:tcW w:w="1935" w:type="dxa"/>
            <w:shd w:val="clear" w:color="auto" w:fill="auto"/>
            <w:tcMar>
              <w:top w:w="100" w:type="dxa"/>
              <w:left w:w="100" w:type="dxa"/>
              <w:bottom w:w="100" w:type="dxa"/>
              <w:right w:w="100" w:type="dxa"/>
            </w:tcMar>
          </w:tcPr>
          <w:p w14:paraId="4457BE90" w14:textId="77777777" w:rsidR="00AC4D37" w:rsidRPr="00AC4D37" w:rsidRDefault="00AC4D37" w:rsidP="00A02EC3">
            <w:pPr>
              <w:widowControl w:val="0"/>
              <w:pBdr>
                <w:top w:val="nil"/>
                <w:left w:val="nil"/>
                <w:bottom w:val="nil"/>
                <w:right w:val="nil"/>
                <w:between w:val="nil"/>
              </w:pBdr>
              <w:jc w:val="center"/>
              <w:rPr>
                <w:sz w:val="20"/>
                <w:szCs w:val="20"/>
              </w:rPr>
            </w:pPr>
            <w:r w:rsidRPr="00AC4D37">
              <w:rPr>
                <w:sz w:val="20"/>
                <w:szCs w:val="20"/>
              </w:rPr>
              <w:t>4</w:t>
            </w:r>
          </w:p>
        </w:tc>
        <w:tc>
          <w:tcPr>
            <w:tcW w:w="3120" w:type="dxa"/>
            <w:shd w:val="clear" w:color="auto" w:fill="auto"/>
            <w:tcMar>
              <w:top w:w="100" w:type="dxa"/>
              <w:left w:w="100" w:type="dxa"/>
              <w:bottom w:w="100" w:type="dxa"/>
              <w:right w:w="100" w:type="dxa"/>
            </w:tcMar>
          </w:tcPr>
          <w:p w14:paraId="7536640A" w14:textId="77777777" w:rsidR="00AC4D37" w:rsidRPr="00AC4D37" w:rsidRDefault="00AC4D37" w:rsidP="00A02EC3">
            <w:pPr>
              <w:widowControl w:val="0"/>
              <w:pBdr>
                <w:top w:val="nil"/>
                <w:left w:val="nil"/>
                <w:bottom w:val="nil"/>
                <w:right w:val="nil"/>
                <w:between w:val="nil"/>
              </w:pBdr>
              <w:jc w:val="center"/>
              <w:rPr>
                <w:sz w:val="20"/>
                <w:szCs w:val="20"/>
              </w:rPr>
            </w:pPr>
            <w:r w:rsidRPr="00AC4D37">
              <w:rPr>
                <w:sz w:val="20"/>
                <w:szCs w:val="20"/>
              </w:rPr>
              <w:t>14.8%</w:t>
            </w:r>
          </w:p>
        </w:tc>
      </w:tr>
      <w:tr w:rsidR="00AC4D37" w:rsidRPr="00AC4D37" w14:paraId="6CFE4080" w14:textId="77777777" w:rsidTr="004345D2">
        <w:tc>
          <w:tcPr>
            <w:tcW w:w="4305" w:type="dxa"/>
            <w:shd w:val="clear" w:color="auto" w:fill="auto"/>
            <w:tcMar>
              <w:top w:w="100" w:type="dxa"/>
              <w:left w:w="100" w:type="dxa"/>
              <w:bottom w:w="100" w:type="dxa"/>
              <w:right w:w="100" w:type="dxa"/>
            </w:tcMar>
          </w:tcPr>
          <w:p w14:paraId="604C9C13" w14:textId="77777777" w:rsidR="00AC4D37" w:rsidRPr="00AC4D37" w:rsidRDefault="00AC4D37" w:rsidP="00A02EC3">
            <w:pPr>
              <w:widowControl w:val="0"/>
              <w:pBdr>
                <w:top w:val="nil"/>
                <w:left w:val="nil"/>
                <w:bottom w:val="nil"/>
                <w:right w:val="nil"/>
                <w:between w:val="nil"/>
              </w:pBdr>
              <w:rPr>
                <w:sz w:val="20"/>
                <w:szCs w:val="20"/>
              </w:rPr>
            </w:pPr>
            <w:r w:rsidRPr="00AC4D37">
              <w:rPr>
                <w:sz w:val="20"/>
                <w:szCs w:val="20"/>
              </w:rPr>
              <w:t>Degree concentration</w:t>
            </w:r>
          </w:p>
        </w:tc>
        <w:tc>
          <w:tcPr>
            <w:tcW w:w="1935" w:type="dxa"/>
            <w:shd w:val="clear" w:color="auto" w:fill="auto"/>
            <w:tcMar>
              <w:top w:w="100" w:type="dxa"/>
              <w:left w:w="100" w:type="dxa"/>
              <w:bottom w:w="100" w:type="dxa"/>
              <w:right w:w="100" w:type="dxa"/>
            </w:tcMar>
          </w:tcPr>
          <w:p w14:paraId="760C7CA3" w14:textId="77777777" w:rsidR="00AC4D37" w:rsidRPr="00AC4D37" w:rsidRDefault="00AC4D37" w:rsidP="00A02EC3">
            <w:pPr>
              <w:widowControl w:val="0"/>
              <w:pBdr>
                <w:top w:val="nil"/>
                <w:left w:val="nil"/>
                <w:bottom w:val="nil"/>
                <w:right w:val="nil"/>
                <w:between w:val="nil"/>
              </w:pBdr>
              <w:jc w:val="center"/>
              <w:rPr>
                <w:sz w:val="20"/>
                <w:szCs w:val="20"/>
              </w:rPr>
            </w:pPr>
          </w:p>
        </w:tc>
        <w:tc>
          <w:tcPr>
            <w:tcW w:w="3120" w:type="dxa"/>
            <w:shd w:val="clear" w:color="auto" w:fill="auto"/>
            <w:tcMar>
              <w:top w:w="100" w:type="dxa"/>
              <w:left w:w="100" w:type="dxa"/>
              <w:bottom w:w="100" w:type="dxa"/>
              <w:right w:w="100" w:type="dxa"/>
            </w:tcMar>
          </w:tcPr>
          <w:p w14:paraId="58165D18" w14:textId="77777777" w:rsidR="00AC4D37" w:rsidRPr="00AC4D37" w:rsidRDefault="00AC4D37" w:rsidP="00A02EC3">
            <w:pPr>
              <w:widowControl w:val="0"/>
              <w:pBdr>
                <w:top w:val="nil"/>
                <w:left w:val="nil"/>
                <w:bottom w:val="nil"/>
                <w:right w:val="nil"/>
                <w:between w:val="nil"/>
              </w:pBdr>
              <w:jc w:val="center"/>
              <w:rPr>
                <w:sz w:val="20"/>
                <w:szCs w:val="20"/>
              </w:rPr>
            </w:pPr>
          </w:p>
        </w:tc>
      </w:tr>
      <w:tr w:rsidR="00AC4D37" w:rsidRPr="00AC4D37" w14:paraId="3CB3DDAB" w14:textId="77777777" w:rsidTr="004345D2">
        <w:tc>
          <w:tcPr>
            <w:tcW w:w="4305" w:type="dxa"/>
            <w:shd w:val="clear" w:color="auto" w:fill="auto"/>
            <w:tcMar>
              <w:top w:w="100" w:type="dxa"/>
              <w:left w:w="100" w:type="dxa"/>
              <w:bottom w:w="100" w:type="dxa"/>
              <w:right w:w="100" w:type="dxa"/>
            </w:tcMar>
          </w:tcPr>
          <w:p w14:paraId="70FD6615" w14:textId="77777777" w:rsidR="00AC4D37" w:rsidRPr="00AC4D37" w:rsidRDefault="00AC4D37" w:rsidP="00A02EC3">
            <w:pPr>
              <w:widowControl w:val="0"/>
              <w:pBdr>
                <w:top w:val="nil"/>
                <w:left w:val="nil"/>
                <w:bottom w:val="nil"/>
                <w:right w:val="nil"/>
                <w:between w:val="nil"/>
              </w:pBdr>
              <w:rPr>
                <w:sz w:val="20"/>
                <w:szCs w:val="20"/>
              </w:rPr>
            </w:pPr>
            <w:r w:rsidRPr="00AC4D37">
              <w:rPr>
                <w:sz w:val="20"/>
                <w:szCs w:val="20"/>
              </w:rPr>
              <w:t xml:space="preserve">    Music performance</w:t>
            </w:r>
          </w:p>
        </w:tc>
        <w:tc>
          <w:tcPr>
            <w:tcW w:w="1935" w:type="dxa"/>
            <w:shd w:val="clear" w:color="auto" w:fill="auto"/>
            <w:tcMar>
              <w:top w:w="100" w:type="dxa"/>
              <w:left w:w="100" w:type="dxa"/>
              <w:bottom w:w="100" w:type="dxa"/>
              <w:right w:w="100" w:type="dxa"/>
            </w:tcMar>
          </w:tcPr>
          <w:p w14:paraId="44422FEF" w14:textId="77777777" w:rsidR="00AC4D37" w:rsidRPr="00AC4D37" w:rsidRDefault="00AC4D37" w:rsidP="00A02EC3">
            <w:pPr>
              <w:widowControl w:val="0"/>
              <w:pBdr>
                <w:top w:val="nil"/>
                <w:left w:val="nil"/>
                <w:bottom w:val="nil"/>
                <w:right w:val="nil"/>
                <w:between w:val="nil"/>
              </w:pBdr>
              <w:jc w:val="center"/>
              <w:rPr>
                <w:sz w:val="20"/>
                <w:szCs w:val="20"/>
              </w:rPr>
            </w:pPr>
            <w:r w:rsidRPr="00AC4D37">
              <w:rPr>
                <w:sz w:val="20"/>
                <w:szCs w:val="20"/>
              </w:rPr>
              <w:t>11</w:t>
            </w:r>
          </w:p>
        </w:tc>
        <w:tc>
          <w:tcPr>
            <w:tcW w:w="3120" w:type="dxa"/>
            <w:shd w:val="clear" w:color="auto" w:fill="auto"/>
            <w:tcMar>
              <w:top w:w="100" w:type="dxa"/>
              <w:left w:w="100" w:type="dxa"/>
              <w:bottom w:w="100" w:type="dxa"/>
              <w:right w:w="100" w:type="dxa"/>
            </w:tcMar>
          </w:tcPr>
          <w:p w14:paraId="3A35CADA" w14:textId="77777777" w:rsidR="00AC4D37" w:rsidRPr="00AC4D37" w:rsidRDefault="00AC4D37" w:rsidP="00A02EC3">
            <w:pPr>
              <w:widowControl w:val="0"/>
              <w:pBdr>
                <w:top w:val="nil"/>
                <w:left w:val="nil"/>
                <w:bottom w:val="nil"/>
                <w:right w:val="nil"/>
                <w:between w:val="nil"/>
              </w:pBdr>
              <w:jc w:val="center"/>
              <w:rPr>
                <w:sz w:val="20"/>
                <w:szCs w:val="20"/>
              </w:rPr>
            </w:pPr>
            <w:r w:rsidRPr="00AC4D37">
              <w:rPr>
                <w:sz w:val="20"/>
                <w:szCs w:val="20"/>
              </w:rPr>
              <w:t>40.7%</w:t>
            </w:r>
          </w:p>
        </w:tc>
      </w:tr>
      <w:tr w:rsidR="00AC4D37" w:rsidRPr="00AC4D37" w14:paraId="123F62ED" w14:textId="77777777" w:rsidTr="004345D2">
        <w:tc>
          <w:tcPr>
            <w:tcW w:w="4305" w:type="dxa"/>
            <w:shd w:val="clear" w:color="auto" w:fill="auto"/>
            <w:tcMar>
              <w:top w:w="100" w:type="dxa"/>
              <w:left w:w="100" w:type="dxa"/>
              <w:bottom w:w="100" w:type="dxa"/>
              <w:right w:w="100" w:type="dxa"/>
            </w:tcMar>
          </w:tcPr>
          <w:p w14:paraId="5B4BC61B" w14:textId="77777777" w:rsidR="00AC4D37" w:rsidRPr="00AC4D37" w:rsidRDefault="00AC4D37" w:rsidP="00A02EC3">
            <w:pPr>
              <w:widowControl w:val="0"/>
              <w:pBdr>
                <w:top w:val="nil"/>
                <w:left w:val="nil"/>
                <w:bottom w:val="nil"/>
                <w:right w:val="nil"/>
                <w:between w:val="nil"/>
              </w:pBdr>
              <w:rPr>
                <w:sz w:val="20"/>
                <w:szCs w:val="20"/>
              </w:rPr>
            </w:pPr>
            <w:r w:rsidRPr="00AC4D37">
              <w:rPr>
                <w:sz w:val="20"/>
                <w:szCs w:val="20"/>
              </w:rPr>
              <w:t xml:space="preserve">    Music education</w:t>
            </w:r>
          </w:p>
        </w:tc>
        <w:tc>
          <w:tcPr>
            <w:tcW w:w="1935" w:type="dxa"/>
            <w:shd w:val="clear" w:color="auto" w:fill="auto"/>
            <w:tcMar>
              <w:top w:w="100" w:type="dxa"/>
              <w:left w:w="100" w:type="dxa"/>
              <w:bottom w:w="100" w:type="dxa"/>
              <w:right w:w="100" w:type="dxa"/>
            </w:tcMar>
          </w:tcPr>
          <w:p w14:paraId="04FBE39C" w14:textId="77777777" w:rsidR="00AC4D37" w:rsidRPr="00AC4D37" w:rsidRDefault="00AC4D37" w:rsidP="00A02EC3">
            <w:pPr>
              <w:widowControl w:val="0"/>
              <w:pBdr>
                <w:top w:val="nil"/>
                <w:left w:val="nil"/>
                <w:bottom w:val="nil"/>
                <w:right w:val="nil"/>
                <w:between w:val="nil"/>
              </w:pBdr>
              <w:jc w:val="center"/>
              <w:rPr>
                <w:sz w:val="20"/>
                <w:szCs w:val="20"/>
              </w:rPr>
            </w:pPr>
            <w:r w:rsidRPr="00AC4D37">
              <w:rPr>
                <w:sz w:val="20"/>
                <w:szCs w:val="20"/>
              </w:rPr>
              <w:t>9</w:t>
            </w:r>
          </w:p>
        </w:tc>
        <w:tc>
          <w:tcPr>
            <w:tcW w:w="3120" w:type="dxa"/>
            <w:shd w:val="clear" w:color="auto" w:fill="auto"/>
            <w:tcMar>
              <w:top w:w="100" w:type="dxa"/>
              <w:left w:w="100" w:type="dxa"/>
              <w:bottom w:w="100" w:type="dxa"/>
              <w:right w:w="100" w:type="dxa"/>
            </w:tcMar>
          </w:tcPr>
          <w:p w14:paraId="4E579D6E" w14:textId="77777777" w:rsidR="00AC4D37" w:rsidRPr="00AC4D37" w:rsidRDefault="00AC4D37" w:rsidP="00A02EC3">
            <w:pPr>
              <w:widowControl w:val="0"/>
              <w:pBdr>
                <w:top w:val="nil"/>
                <w:left w:val="nil"/>
                <w:bottom w:val="nil"/>
                <w:right w:val="nil"/>
                <w:between w:val="nil"/>
              </w:pBdr>
              <w:jc w:val="center"/>
              <w:rPr>
                <w:sz w:val="20"/>
                <w:szCs w:val="20"/>
              </w:rPr>
            </w:pPr>
            <w:r w:rsidRPr="00AC4D37">
              <w:rPr>
                <w:sz w:val="20"/>
                <w:szCs w:val="20"/>
              </w:rPr>
              <w:t>33.3%</w:t>
            </w:r>
          </w:p>
        </w:tc>
      </w:tr>
      <w:tr w:rsidR="00AC4D37" w:rsidRPr="00AC4D37" w14:paraId="69E3745B" w14:textId="77777777" w:rsidTr="004345D2">
        <w:tc>
          <w:tcPr>
            <w:tcW w:w="4305" w:type="dxa"/>
            <w:shd w:val="clear" w:color="auto" w:fill="auto"/>
            <w:tcMar>
              <w:top w:w="100" w:type="dxa"/>
              <w:left w:w="100" w:type="dxa"/>
              <w:bottom w:w="100" w:type="dxa"/>
              <w:right w:w="100" w:type="dxa"/>
            </w:tcMar>
          </w:tcPr>
          <w:p w14:paraId="24C2C909" w14:textId="77777777" w:rsidR="00AC4D37" w:rsidRPr="00AC4D37" w:rsidRDefault="00AC4D37" w:rsidP="00A02EC3">
            <w:pPr>
              <w:widowControl w:val="0"/>
              <w:pBdr>
                <w:top w:val="nil"/>
                <w:left w:val="nil"/>
                <w:bottom w:val="nil"/>
                <w:right w:val="nil"/>
                <w:between w:val="nil"/>
              </w:pBdr>
              <w:rPr>
                <w:sz w:val="20"/>
                <w:szCs w:val="20"/>
              </w:rPr>
            </w:pPr>
            <w:r w:rsidRPr="00AC4D37">
              <w:rPr>
                <w:sz w:val="20"/>
                <w:szCs w:val="20"/>
              </w:rPr>
              <w:t xml:space="preserve">    Jazz studies</w:t>
            </w:r>
          </w:p>
        </w:tc>
        <w:tc>
          <w:tcPr>
            <w:tcW w:w="1935" w:type="dxa"/>
            <w:shd w:val="clear" w:color="auto" w:fill="auto"/>
            <w:tcMar>
              <w:top w:w="100" w:type="dxa"/>
              <w:left w:w="100" w:type="dxa"/>
              <w:bottom w:w="100" w:type="dxa"/>
              <w:right w:w="100" w:type="dxa"/>
            </w:tcMar>
          </w:tcPr>
          <w:p w14:paraId="5FA714D1" w14:textId="77777777" w:rsidR="00AC4D37" w:rsidRPr="00AC4D37" w:rsidRDefault="00AC4D37" w:rsidP="00A02EC3">
            <w:pPr>
              <w:widowControl w:val="0"/>
              <w:pBdr>
                <w:top w:val="nil"/>
                <w:left w:val="nil"/>
                <w:bottom w:val="nil"/>
                <w:right w:val="nil"/>
                <w:between w:val="nil"/>
              </w:pBdr>
              <w:jc w:val="center"/>
              <w:rPr>
                <w:sz w:val="20"/>
                <w:szCs w:val="20"/>
              </w:rPr>
            </w:pPr>
            <w:r w:rsidRPr="00AC4D37">
              <w:rPr>
                <w:sz w:val="20"/>
                <w:szCs w:val="20"/>
              </w:rPr>
              <w:t>2</w:t>
            </w:r>
          </w:p>
        </w:tc>
        <w:tc>
          <w:tcPr>
            <w:tcW w:w="3120" w:type="dxa"/>
            <w:shd w:val="clear" w:color="auto" w:fill="auto"/>
            <w:tcMar>
              <w:top w:w="100" w:type="dxa"/>
              <w:left w:w="100" w:type="dxa"/>
              <w:bottom w:w="100" w:type="dxa"/>
              <w:right w:w="100" w:type="dxa"/>
            </w:tcMar>
          </w:tcPr>
          <w:p w14:paraId="27D678C2" w14:textId="77777777" w:rsidR="00AC4D37" w:rsidRPr="00AC4D37" w:rsidRDefault="00AC4D37" w:rsidP="00A02EC3">
            <w:pPr>
              <w:widowControl w:val="0"/>
              <w:pBdr>
                <w:top w:val="nil"/>
                <w:left w:val="nil"/>
                <w:bottom w:val="nil"/>
                <w:right w:val="nil"/>
                <w:between w:val="nil"/>
              </w:pBdr>
              <w:jc w:val="center"/>
              <w:rPr>
                <w:sz w:val="20"/>
                <w:szCs w:val="20"/>
              </w:rPr>
            </w:pPr>
            <w:r w:rsidRPr="00AC4D37">
              <w:rPr>
                <w:sz w:val="20"/>
                <w:szCs w:val="20"/>
              </w:rPr>
              <w:t>7.4%</w:t>
            </w:r>
          </w:p>
        </w:tc>
      </w:tr>
      <w:tr w:rsidR="00AC4D37" w:rsidRPr="00AC4D37" w14:paraId="641CBA4E" w14:textId="77777777" w:rsidTr="004345D2">
        <w:tc>
          <w:tcPr>
            <w:tcW w:w="4305" w:type="dxa"/>
            <w:shd w:val="clear" w:color="auto" w:fill="auto"/>
            <w:tcMar>
              <w:top w:w="100" w:type="dxa"/>
              <w:left w:w="100" w:type="dxa"/>
              <w:bottom w:w="100" w:type="dxa"/>
              <w:right w:w="100" w:type="dxa"/>
            </w:tcMar>
          </w:tcPr>
          <w:p w14:paraId="55F3A4A5" w14:textId="77777777" w:rsidR="00AC4D37" w:rsidRPr="00AC4D37" w:rsidRDefault="00AC4D37" w:rsidP="00A02EC3">
            <w:pPr>
              <w:widowControl w:val="0"/>
              <w:pBdr>
                <w:top w:val="nil"/>
                <w:left w:val="nil"/>
                <w:bottom w:val="nil"/>
                <w:right w:val="nil"/>
                <w:between w:val="nil"/>
              </w:pBdr>
              <w:rPr>
                <w:sz w:val="20"/>
                <w:szCs w:val="20"/>
              </w:rPr>
            </w:pPr>
            <w:r w:rsidRPr="00AC4D37">
              <w:rPr>
                <w:sz w:val="20"/>
                <w:szCs w:val="20"/>
              </w:rPr>
              <w:t xml:space="preserve">    Other</w:t>
            </w:r>
          </w:p>
        </w:tc>
        <w:tc>
          <w:tcPr>
            <w:tcW w:w="1935" w:type="dxa"/>
            <w:shd w:val="clear" w:color="auto" w:fill="auto"/>
            <w:tcMar>
              <w:top w:w="100" w:type="dxa"/>
              <w:left w:w="100" w:type="dxa"/>
              <w:bottom w:w="100" w:type="dxa"/>
              <w:right w:w="100" w:type="dxa"/>
            </w:tcMar>
          </w:tcPr>
          <w:p w14:paraId="7F0022C2" w14:textId="77777777" w:rsidR="00AC4D37" w:rsidRPr="00AC4D37" w:rsidRDefault="00AC4D37" w:rsidP="00A02EC3">
            <w:pPr>
              <w:widowControl w:val="0"/>
              <w:pBdr>
                <w:top w:val="nil"/>
                <w:left w:val="nil"/>
                <w:bottom w:val="nil"/>
                <w:right w:val="nil"/>
                <w:between w:val="nil"/>
              </w:pBdr>
              <w:jc w:val="center"/>
              <w:rPr>
                <w:sz w:val="20"/>
                <w:szCs w:val="20"/>
              </w:rPr>
            </w:pPr>
            <w:r w:rsidRPr="00AC4D37">
              <w:rPr>
                <w:sz w:val="20"/>
                <w:szCs w:val="20"/>
              </w:rPr>
              <w:t>5</w:t>
            </w:r>
          </w:p>
        </w:tc>
        <w:tc>
          <w:tcPr>
            <w:tcW w:w="3120" w:type="dxa"/>
            <w:shd w:val="clear" w:color="auto" w:fill="auto"/>
            <w:tcMar>
              <w:top w:w="100" w:type="dxa"/>
              <w:left w:w="100" w:type="dxa"/>
              <w:bottom w:w="100" w:type="dxa"/>
              <w:right w:w="100" w:type="dxa"/>
            </w:tcMar>
          </w:tcPr>
          <w:p w14:paraId="43425DFE" w14:textId="77777777" w:rsidR="00AC4D37" w:rsidRPr="00AC4D37" w:rsidRDefault="00AC4D37" w:rsidP="00A02EC3">
            <w:pPr>
              <w:widowControl w:val="0"/>
              <w:pBdr>
                <w:top w:val="nil"/>
                <w:left w:val="nil"/>
                <w:bottom w:val="nil"/>
                <w:right w:val="nil"/>
                <w:between w:val="nil"/>
              </w:pBdr>
              <w:jc w:val="center"/>
              <w:rPr>
                <w:sz w:val="20"/>
                <w:szCs w:val="20"/>
              </w:rPr>
            </w:pPr>
            <w:r w:rsidRPr="00AC4D37">
              <w:rPr>
                <w:sz w:val="20"/>
                <w:szCs w:val="20"/>
              </w:rPr>
              <w:t>18.5%</w:t>
            </w:r>
          </w:p>
        </w:tc>
      </w:tr>
      <w:tr w:rsidR="00AC4D37" w:rsidRPr="00AC4D37" w14:paraId="0E43F7CD" w14:textId="77777777" w:rsidTr="004345D2">
        <w:tc>
          <w:tcPr>
            <w:tcW w:w="4305" w:type="dxa"/>
            <w:shd w:val="clear" w:color="auto" w:fill="auto"/>
            <w:tcMar>
              <w:top w:w="100" w:type="dxa"/>
              <w:left w:w="100" w:type="dxa"/>
              <w:bottom w:w="100" w:type="dxa"/>
              <w:right w:w="100" w:type="dxa"/>
            </w:tcMar>
          </w:tcPr>
          <w:p w14:paraId="3D2424CB" w14:textId="77777777" w:rsidR="00AC4D37" w:rsidRPr="00AC4D37" w:rsidRDefault="00AC4D37" w:rsidP="00A02EC3">
            <w:pPr>
              <w:widowControl w:val="0"/>
              <w:pBdr>
                <w:top w:val="nil"/>
                <w:left w:val="nil"/>
                <w:bottom w:val="nil"/>
                <w:right w:val="nil"/>
                <w:between w:val="nil"/>
              </w:pBdr>
              <w:rPr>
                <w:sz w:val="20"/>
                <w:szCs w:val="20"/>
              </w:rPr>
            </w:pPr>
            <w:r w:rsidRPr="00AC4D37">
              <w:rPr>
                <w:sz w:val="20"/>
                <w:szCs w:val="20"/>
              </w:rPr>
              <w:t>Instrument group</w:t>
            </w:r>
          </w:p>
        </w:tc>
        <w:tc>
          <w:tcPr>
            <w:tcW w:w="1935" w:type="dxa"/>
            <w:shd w:val="clear" w:color="auto" w:fill="auto"/>
            <w:tcMar>
              <w:top w:w="100" w:type="dxa"/>
              <w:left w:w="100" w:type="dxa"/>
              <w:bottom w:w="100" w:type="dxa"/>
              <w:right w:w="100" w:type="dxa"/>
            </w:tcMar>
          </w:tcPr>
          <w:p w14:paraId="2EA44D26" w14:textId="77777777" w:rsidR="00AC4D37" w:rsidRPr="00AC4D37" w:rsidRDefault="00AC4D37" w:rsidP="00A02EC3">
            <w:pPr>
              <w:widowControl w:val="0"/>
              <w:pBdr>
                <w:top w:val="nil"/>
                <w:left w:val="nil"/>
                <w:bottom w:val="nil"/>
                <w:right w:val="nil"/>
                <w:between w:val="nil"/>
              </w:pBdr>
              <w:jc w:val="center"/>
              <w:rPr>
                <w:sz w:val="20"/>
                <w:szCs w:val="20"/>
              </w:rPr>
            </w:pPr>
          </w:p>
        </w:tc>
        <w:tc>
          <w:tcPr>
            <w:tcW w:w="3120" w:type="dxa"/>
            <w:shd w:val="clear" w:color="auto" w:fill="auto"/>
            <w:tcMar>
              <w:top w:w="100" w:type="dxa"/>
              <w:left w:w="100" w:type="dxa"/>
              <w:bottom w:w="100" w:type="dxa"/>
              <w:right w:w="100" w:type="dxa"/>
            </w:tcMar>
          </w:tcPr>
          <w:p w14:paraId="703076A1" w14:textId="77777777" w:rsidR="00AC4D37" w:rsidRPr="00AC4D37" w:rsidRDefault="00AC4D37" w:rsidP="00A02EC3">
            <w:pPr>
              <w:widowControl w:val="0"/>
              <w:pBdr>
                <w:top w:val="nil"/>
                <w:left w:val="nil"/>
                <w:bottom w:val="nil"/>
                <w:right w:val="nil"/>
                <w:between w:val="nil"/>
              </w:pBdr>
              <w:jc w:val="center"/>
              <w:rPr>
                <w:sz w:val="20"/>
                <w:szCs w:val="20"/>
              </w:rPr>
            </w:pPr>
          </w:p>
        </w:tc>
      </w:tr>
      <w:tr w:rsidR="00AC4D37" w:rsidRPr="00AC4D37" w14:paraId="096F5E76" w14:textId="77777777" w:rsidTr="004345D2">
        <w:tc>
          <w:tcPr>
            <w:tcW w:w="4305" w:type="dxa"/>
            <w:shd w:val="clear" w:color="auto" w:fill="auto"/>
            <w:tcMar>
              <w:top w:w="100" w:type="dxa"/>
              <w:left w:w="100" w:type="dxa"/>
              <w:bottom w:w="100" w:type="dxa"/>
              <w:right w:w="100" w:type="dxa"/>
            </w:tcMar>
          </w:tcPr>
          <w:p w14:paraId="608629F2" w14:textId="77777777" w:rsidR="00AC4D37" w:rsidRPr="00AC4D37" w:rsidRDefault="00AC4D37" w:rsidP="00A02EC3">
            <w:pPr>
              <w:widowControl w:val="0"/>
              <w:pBdr>
                <w:top w:val="nil"/>
                <w:left w:val="nil"/>
                <w:bottom w:val="nil"/>
                <w:right w:val="nil"/>
                <w:between w:val="nil"/>
              </w:pBdr>
              <w:rPr>
                <w:sz w:val="20"/>
                <w:szCs w:val="20"/>
              </w:rPr>
            </w:pPr>
            <w:r w:rsidRPr="00AC4D37">
              <w:rPr>
                <w:sz w:val="20"/>
                <w:szCs w:val="20"/>
              </w:rPr>
              <w:t xml:space="preserve">    String</w:t>
            </w:r>
          </w:p>
        </w:tc>
        <w:tc>
          <w:tcPr>
            <w:tcW w:w="1935" w:type="dxa"/>
            <w:shd w:val="clear" w:color="auto" w:fill="auto"/>
            <w:tcMar>
              <w:top w:w="100" w:type="dxa"/>
              <w:left w:w="100" w:type="dxa"/>
              <w:bottom w:w="100" w:type="dxa"/>
              <w:right w:w="100" w:type="dxa"/>
            </w:tcMar>
          </w:tcPr>
          <w:p w14:paraId="160404C7" w14:textId="77777777" w:rsidR="00AC4D37" w:rsidRPr="00AC4D37" w:rsidRDefault="00AC4D37" w:rsidP="00A02EC3">
            <w:pPr>
              <w:widowControl w:val="0"/>
              <w:pBdr>
                <w:top w:val="nil"/>
                <w:left w:val="nil"/>
                <w:bottom w:val="nil"/>
                <w:right w:val="nil"/>
                <w:between w:val="nil"/>
              </w:pBdr>
              <w:jc w:val="center"/>
              <w:rPr>
                <w:sz w:val="20"/>
                <w:szCs w:val="20"/>
              </w:rPr>
            </w:pPr>
            <w:r w:rsidRPr="00AC4D37">
              <w:rPr>
                <w:sz w:val="20"/>
                <w:szCs w:val="20"/>
              </w:rPr>
              <w:t>7</w:t>
            </w:r>
          </w:p>
        </w:tc>
        <w:tc>
          <w:tcPr>
            <w:tcW w:w="3120" w:type="dxa"/>
            <w:shd w:val="clear" w:color="auto" w:fill="auto"/>
            <w:tcMar>
              <w:top w:w="100" w:type="dxa"/>
              <w:left w:w="100" w:type="dxa"/>
              <w:bottom w:w="100" w:type="dxa"/>
              <w:right w:w="100" w:type="dxa"/>
            </w:tcMar>
          </w:tcPr>
          <w:p w14:paraId="3338144B" w14:textId="77777777" w:rsidR="00AC4D37" w:rsidRPr="00AC4D37" w:rsidRDefault="00AC4D37" w:rsidP="00A02EC3">
            <w:pPr>
              <w:widowControl w:val="0"/>
              <w:pBdr>
                <w:top w:val="nil"/>
                <w:left w:val="nil"/>
                <w:bottom w:val="nil"/>
                <w:right w:val="nil"/>
                <w:between w:val="nil"/>
              </w:pBdr>
              <w:jc w:val="center"/>
              <w:rPr>
                <w:sz w:val="20"/>
                <w:szCs w:val="20"/>
              </w:rPr>
            </w:pPr>
            <w:r w:rsidRPr="00AC4D37">
              <w:rPr>
                <w:sz w:val="20"/>
                <w:szCs w:val="20"/>
              </w:rPr>
              <w:t>25.9%</w:t>
            </w:r>
          </w:p>
        </w:tc>
      </w:tr>
      <w:tr w:rsidR="00AC4D37" w:rsidRPr="00AC4D37" w14:paraId="49E96143" w14:textId="77777777" w:rsidTr="004345D2">
        <w:tc>
          <w:tcPr>
            <w:tcW w:w="4305" w:type="dxa"/>
            <w:shd w:val="clear" w:color="auto" w:fill="auto"/>
            <w:tcMar>
              <w:top w:w="100" w:type="dxa"/>
              <w:left w:w="100" w:type="dxa"/>
              <w:bottom w:w="100" w:type="dxa"/>
              <w:right w:w="100" w:type="dxa"/>
            </w:tcMar>
          </w:tcPr>
          <w:p w14:paraId="108786D9" w14:textId="77777777" w:rsidR="00AC4D37" w:rsidRPr="00AC4D37" w:rsidRDefault="00AC4D37" w:rsidP="00A02EC3">
            <w:pPr>
              <w:widowControl w:val="0"/>
              <w:pBdr>
                <w:top w:val="nil"/>
                <w:left w:val="nil"/>
                <w:bottom w:val="nil"/>
                <w:right w:val="nil"/>
                <w:between w:val="nil"/>
              </w:pBdr>
              <w:rPr>
                <w:sz w:val="20"/>
                <w:szCs w:val="20"/>
              </w:rPr>
            </w:pPr>
            <w:r w:rsidRPr="00AC4D37">
              <w:rPr>
                <w:sz w:val="20"/>
                <w:szCs w:val="20"/>
              </w:rPr>
              <w:t xml:space="preserve">    Brass</w:t>
            </w:r>
          </w:p>
        </w:tc>
        <w:tc>
          <w:tcPr>
            <w:tcW w:w="1935" w:type="dxa"/>
            <w:shd w:val="clear" w:color="auto" w:fill="auto"/>
            <w:tcMar>
              <w:top w:w="100" w:type="dxa"/>
              <w:left w:w="100" w:type="dxa"/>
              <w:bottom w:w="100" w:type="dxa"/>
              <w:right w:w="100" w:type="dxa"/>
            </w:tcMar>
          </w:tcPr>
          <w:p w14:paraId="3A4CEC3A" w14:textId="77777777" w:rsidR="00AC4D37" w:rsidRPr="00AC4D37" w:rsidRDefault="00AC4D37" w:rsidP="00A02EC3">
            <w:pPr>
              <w:widowControl w:val="0"/>
              <w:pBdr>
                <w:top w:val="nil"/>
                <w:left w:val="nil"/>
                <w:bottom w:val="nil"/>
                <w:right w:val="nil"/>
                <w:between w:val="nil"/>
              </w:pBdr>
              <w:jc w:val="center"/>
              <w:rPr>
                <w:sz w:val="20"/>
                <w:szCs w:val="20"/>
              </w:rPr>
            </w:pPr>
            <w:r w:rsidRPr="00AC4D37">
              <w:rPr>
                <w:sz w:val="20"/>
                <w:szCs w:val="20"/>
              </w:rPr>
              <w:t>5</w:t>
            </w:r>
          </w:p>
        </w:tc>
        <w:tc>
          <w:tcPr>
            <w:tcW w:w="3120" w:type="dxa"/>
            <w:shd w:val="clear" w:color="auto" w:fill="auto"/>
            <w:tcMar>
              <w:top w:w="100" w:type="dxa"/>
              <w:left w:w="100" w:type="dxa"/>
              <w:bottom w:w="100" w:type="dxa"/>
              <w:right w:w="100" w:type="dxa"/>
            </w:tcMar>
          </w:tcPr>
          <w:p w14:paraId="340F4C28" w14:textId="77777777" w:rsidR="00AC4D37" w:rsidRPr="00AC4D37" w:rsidRDefault="00AC4D37" w:rsidP="00A02EC3">
            <w:pPr>
              <w:widowControl w:val="0"/>
              <w:pBdr>
                <w:top w:val="nil"/>
                <w:left w:val="nil"/>
                <w:bottom w:val="nil"/>
                <w:right w:val="nil"/>
                <w:between w:val="nil"/>
              </w:pBdr>
              <w:jc w:val="center"/>
              <w:rPr>
                <w:sz w:val="20"/>
                <w:szCs w:val="20"/>
              </w:rPr>
            </w:pPr>
            <w:r w:rsidRPr="00AC4D37">
              <w:rPr>
                <w:sz w:val="20"/>
                <w:szCs w:val="20"/>
              </w:rPr>
              <w:t>18.5%</w:t>
            </w:r>
          </w:p>
        </w:tc>
      </w:tr>
      <w:tr w:rsidR="00AC4D37" w:rsidRPr="00AC4D37" w14:paraId="6EE80229" w14:textId="77777777" w:rsidTr="004345D2">
        <w:tc>
          <w:tcPr>
            <w:tcW w:w="4305" w:type="dxa"/>
            <w:shd w:val="clear" w:color="auto" w:fill="auto"/>
            <w:tcMar>
              <w:top w:w="100" w:type="dxa"/>
              <w:left w:w="100" w:type="dxa"/>
              <w:bottom w:w="100" w:type="dxa"/>
              <w:right w:w="100" w:type="dxa"/>
            </w:tcMar>
          </w:tcPr>
          <w:p w14:paraId="1945332A" w14:textId="77777777" w:rsidR="00AC4D37" w:rsidRPr="00AC4D37" w:rsidRDefault="00AC4D37" w:rsidP="00A02EC3">
            <w:pPr>
              <w:widowControl w:val="0"/>
              <w:pBdr>
                <w:top w:val="nil"/>
                <w:left w:val="nil"/>
                <w:bottom w:val="nil"/>
                <w:right w:val="nil"/>
                <w:between w:val="nil"/>
              </w:pBdr>
              <w:rPr>
                <w:sz w:val="20"/>
                <w:szCs w:val="20"/>
              </w:rPr>
            </w:pPr>
            <w:r w:rsidRPr="00AC4D37">
              <w:rPr>
                <w:sz w:val="20"/>
                <w:szCs w:val="20"/>
              </w:rPr>
              <w:t xml:space="preserve">    Woodwind</w:t>
            </w:r>
          </w:p>
        </w:tc>
        <w:tc>
          <w:tcPr>
            <w:tcW w:w="1935" w:type="dxa"/>
            <w:shd w:val="clear" w:color="auto" w:fill="auto"/>
            <w:tcMar>
              <w:top w:w="100" w:type="dxa"/>
              <w:left w:w="100" w:type="dxa"/>
              <w:bottom w:w="100" w:type="dxa"/>
              <w:right w:w="100" w:type="dxa"/>
            </w:tcMar>
          </w:tcPr>
          <w:p w14:paraId="0EC89459" w14:textId="77777777" w:rsidR="00AC4D37" w:rsidRPr="00AC4D37" w:rsidRDefault="00AC4D37" w:rsidP="00A02EC3">
            <w:pPr>
              <w:widowControl w:val="0"/>
              <w:pBdr>
                <w:top w:val="nil"/>
                <w:left w:val="nil"/>
                <w:bottom w:val="nil"/>
                <w:right w:val="nil"/>
                <w:between w:val="nil"/>
              </w:pBdr>
              <w:jc w:val="center"/>
              <w:rPr>
                <w:sz w:val="20"/>
                <w:szCs w:val="20"/>
              </w:rPr>
            </w:pPr>
            <w:r w:rsidRPr="00AC4D37">
              <w:rPr>
                <w:sz w:val="20"/>
                <w:szCs w:val="20"/>
              </w:rPr>
              <w:t>5</w:t>
            </w:r>
          </w:p>
        </w:tc>
        <w:tc>
          <w:tcPr>
            <w:tcW w:w="3120" w:type="dxa"/>
            <w:shd w:val="clear" w:color="auto" w:fill="auto"/>
            <w:tcMar>
              <w:top w:w="100" w:type="dxa"/>
              <w:left w:w="100" w:type="dxa"/>
              <w:bottom w:w="100" w:type="dxa"/>
              <w:right w:w="100" w:type="dxa"/>
            </w:tcMar>
          </w:tcPr>
          <w:p w14:paraId="3FEFD5C0" w14:textId="77777777" w:rsidR="00AC4D37" w:rsidRPr="00AC4D37" w:rsidRDefault="00AC4D37" w:rsidP="00A02EC3">
            <w:pPr>
              <w:widowControl w:val="0"/>
              <w:pBdr>
                <w:top w:val="nil"/>
                <w:left w:val="nil"/>
                <w:bottom w:val="nil"/>
                <w:right w:val="nil"/>
                <w:between w:val="nil"/>
              </w:pBdr>
              <w:jc w:val="center"/>
              <w:rPr>
                <w:sz w:val="20"/>
                <w:szCs w:val="20"/>
              </w:rPr>
            </w:pPr>
            <w:r w:rsidRPr="00AC4D37">
              <w:rPr>
                <w:sz w:val="20"/>
                <w:szCs w:val="20"/>
              </w:rPr>
              <w:t>18.5%</w:t>
            </w:r>
          </w:p>
        </w:tc>
      </w:tr>
      <w:tr w:rsidR="00AC4D37" w:rsidRPr="00AC4D37" w14:paraId="03D19F9E" w14:textId="77777777" w:rsidTr="004345D2">
        <w:tc>
          <w:tcPr>
            <w:tcW w:w="4305" w:type="dxa"/>
            <w:shd w:val="clear" w:color="auto" w:fill="auto"/>
            <w:tcMar>
              <w:top w:w="100" w:type="dxa"/>
              <w:left w:w="100" w:type="dxa"/>
              <w:bottom w:w="100" w:type="dxa"/>
              <w:right w:w="100" w:type="dxa"/>
            </w:tcMar>
          </w:tcPr>
          <w:p w14:paraId="55A7CFCF" w14:textId="77777777" w:rsidR="00AC4D37" w:rsidRPr="00AC4D37" w:rsidRDefault="00AC4D37" w:rsidP="00A02EC3">
            <w:pPr>
              <w:widowControl w:val="0"/>
              <w:pBdr>
                <w:top w:val="nil"/>
                <w:left w:val="nil"/>
                <w:bottom w:val="nil"/>
                <w:right w:val="nil"/>
                <w:between w:val="nil"/>
              </w:pBdr>
              <w:rPr>
                <w:sz w:val="20"/>
                <w:szCs w:val="20"/>
              </w:rPr>
            </w:pPr>
            <w:r w:rsidRPr="00AC4D37">
              <w:rPr>
                <w:sz w:val="20"/>
                <w:szCs w:val="20"/>
              </w:rPr>
              <w:t xml:space="preserve">    Voice</w:t>
            </w:r>
          </w:p>
        </w:tc>
        <w:tc>
          <w:tcPr>
            <w:tcW w:w="1935" w:type="dxa"/>
            <w:shd w:val="clear" w:color="auto" w:fill="auto"/>
            <w:tcMar>
              <w:top w:w="100" w:type="dxa"/>
              <w:left w:w="100" w:type="dxa"/>
              <w:bottom w:w="100" w:type="dxa"/>
              <w:right w:w="100" w:type="dxa"/>
            </w:tcMar>
          </w:tcPr>
          <w:p w14:paraId="21DC2E37" w14:textId="77777777" w:rsidR="00AC4D37" w:rsidRPr="00AC4D37" w:rsidRDefault="00AC4D37" w:rsidP="00A02EC3">
            <w:pPr>
              <w:widowControl w:val="0"/>
              <w:pBdr>
                <w:top w:val="nil"/>
                <w:left w:val="nil"/>
                <w:bottom w:val="nil"/>
                <w:right w:val="nil"/>
                <w:between w:val="nil"/>
              </w:pBdr>
              <w:jc w:val="center"/>
              <w:rPr>
                <w:sz w:val="20"/>
                <w:szCs w:val="20"/>
              </w:rPr>
            </w:pPr>
            <w:r w:rsidRPr="00AC4D37">
              <w:rPr>
                <w:sz w:val="20"/>
                <w:szCs w:val="20"/>
              </w:rPr>
              <w:t>6</w:t>
            </w:r>
          </w:p>
        </w:tc>
        <w:tc>
          <w:tcPr>
            <w:tcW w:w="3120" w:type="dxa"/>
            <w:shd w:val="clear" w:color="auto" w:fill="auto"/>
            <w:tcMar>
              <w:top w:w="100" w:type="dxa"/>
              <w:left w:w="100" w:type="dxa"/>
              <w:bottom w:w="100" w:type="dxa"/>
              <w:right w:w="100" w:type="dxa"/>
            </w:tcMar>
          </w:tcPr>
          <w:p w14:paraId="16E5AAAE" w14:textId="77777777" w:rsidR="00AC4D37" w:rsidRPr="00AC4D37" w:rsidRDefault="00AC4D37" w:rsidP="00A02EC3">
            <w:pPr>
              <w:widowControl w:val="0"/>
              <w:pBdr>
                <w:top w:val="nil"/>
                <w:left w:val="nil"/>
                <w:bottom w:val="nil"/>
                <w:right w:val="nil"/>
                <w:between w:val="nil"/>
              </w:pBdr>
              <w:jc w:val="center"/>
              <w:rPr>
                <w:sz w:val="20"/>
                <w:szCs w:val="20"/>
              </w:rPr>
            </w:pPr>
            <w:r w:rsidRPr="00AC4D37">
              <w:rPr>
                <w:sz w:val="20"/>
                <w:szCs w:val="20"/>
              </w:rPr>
              <w:t>22.2%</w:t>
            </w:r>
          </w:p>
        </w:tc>
      </w:tr>
      <w:tr w:rsidR="00AC4D37" w:rsidRPr="00AC4D37" w14:paraId="66A5254C" w14:textId="77777777" w:rsidTr="004345D2">
        <w:tc>
          <w:tcPr>
            <w:tcW w:w="4305" w:type="dxa"/>
            <w:shd w:val="clear" w:color="auto" w:fill="auto"/>
            <w:tcMar>
              <w:top w:w="100" w:type="dxa"/>
              <w:left w:w="100" w:type="dxa"/>
              <w:bottom w:w="100" w:type="dxa"/>
              <w:right w:w="100" w:type="dxa"/>
            </w:tcMar>
          </w:tcPr>
          <w:p w14:paraId="1BE5320A" w14:textId="77777777" w:rsidR="00AC4D37" w:rsidRPr="00AC4D37" w:rsidRDefault="00AC4D37" w:rsidP="00A02EC3">
            <w:pPr>
              <w:widowControl w:val="0"/>
              <w:pBdr>
                <w:top w:val="nil"/>
                <w:left w:val="nil"/>
                <w:bottom w:val="nil"/>
                <w:right w:val="nil"/>
                <w:between w:val="nil"/>
              </w:pBdr>
              <w:rPr>
                <w:sz w:val="20"/>
                <w:szCs w:val="20"/>
              </w:rPr>
            </w:pPr>
            <w:r w:rsidRPr="00AC4D37">
              <w:rPr>
                <w:sz w:val="20"/>
                <w:szCs w:val="20"/>
              </w:rPr>
              <w:t xml:space="preserve">    Piano/percussion</w:t>
            </w:r>
          </w:p>
        </w:tc>
        <w:tc>
          <w:tcPr>
            <w:tcW w:w="1935" w:type="dxa"/>
            <w:shd w:val="clear" w:color="auto" w:fill="auto"/>
            <w:tcMar>
              <w:top w:w="100" w:type="dxa"/>
              <w:left w:w="100" w:type="dxa"/>
              <w:bottom w:w="100" w:type="dxa"/>
              <w:right w:w="100" w:type="dxa"/>
            </w:tcMar>
          </w:tcPr>
          <w:p w14:paraId="42BD619B" w14:textId="77777777" w:rsidR="00AC4D37" w:rsidRPr="00AC4D37" w:rsidRDefault="00AC4D37" w:rsidP="00A02EC3">
            <w:pPr>
              <w:widowControl w:val="0"/>
              <w:pBdr>
                <w:top w:val="nil"/>
                <w:left w:val="nil"/>
                <w:bottom w:val="nil"/>
                <w:right w:val="nil"/>
                <w:between w:val="nil"/>
              </w:pBdr>
              <w:jc w:val="center"/>
              <w:rPr>
                <w:sz w:val="20"/>
                <w:szCs w:val="20"/>
              </w:rPr>
            </w:pPr>
            <w:r w:rsidRPr="00AC4D37">
              <w:rPr>
                <w:sz w:val="20"/>
                <w:szCs w:val="20"/>
              </w:rPr>
              <w:t>3</w:t>
            </w:r>
          </w:p>
        </w:tc>
        <w:tc>
          <w:tcPr>
            <w:tcW w:w="3120" w:type="dxa"/>
            <w:shd w:val="clear" w:color="auto" w:fill="auto"/>
            <w:tcMar>
              <w:top w:w="100" w:type="dxa"/>
              <w:left w:w="100" w:type="dxa"/>
              <w:bottom w:w="100" w:type="dxa"/>
              <w:right w:w="100" w:type="dxa"/>
            </w:tcMar>
          </w:tcPr>
          <w:p w14:paraId="76564515" w14:textId="77777777" w:rsidR="00AC4D37" w:rsidRPr="00AC4D37" w:rsidRDefault="00AC4D37" w:rsidP="00A02EC3">
            <w:pPr>
              <w:widowControl w:val="0"/>
              <w:pBdr>
                <w:top w:val="nil"/>
                <w:left w:val="nil"/>
                <w:bottom w:val="nil"/>
                <w:right w:val="nil"/>
                <w:between w:val="nil"/>
              </w:pBdr>
              <w:jc w:val="center"/>
              <w:rPr>
                <w:sz w:val="20"/>
                <w:szCs w:val="20"/>
              </w:rPr>
            </w:pPr>
            <w:r w:rsidRPr="00AC4D37">
              <w:rPr>
                <w:sz w:val="20"/>
                <w:szCs w:val="20"/>
              </w:rPr>
              <w:t>11.1%</w:t>
            </w:r>
          </w:p>
        </w:tc>
      </w:tr>
      <w:tr w:rsidR="00AC4D37" w:rsidRPr="00AC4D37" w14:paraId="17AD3974" w14:textId="77777777" w:rsidTr="00BD2896">
        <w:tc>
          <w:tcPr>
            <w:tcW w:w="4305" w:type="dxa"/>
            <w:tcBorders>
              <w:bottom w:val="single" w:sz="8" w:space="0" w:color="000000"/>
            </w:tcBorders>
            <w:shd w:val="clear" w:color="auto" w:fill="auto"/>
            <w:tcMar>
              <w:top w:w="100" w:type="dxa"/>
              <w:left w:w="100" w:type="dxa"/>
              <w:bottom w:w="100" w:type="dxa"/>
              <w:right w:w="100" w:type="dxa"/>
            </w:tcMar>
            <w:vAlign w:val="bottom"/>
          </w:tcPr>
          <w:p w14:paraId="6894B963" w14:textId="1AFC50A0" w:rsidR="00AC4D37" w:rsidRPr="00AC4D37" w:rsidRDefault="00BB2035" w:rsidP="00BB2035">
            <w:pPr>
              <w:widowControl w:val="0"/>
              <w:pBdr>
                <w:top w:val="nil"/>
                <w:left w:val="nil"/>
                <w:bottom w:val="nil"/>
                <w:right w:val="nil"/>
                <w:between w:val="nil"/>
              </w:pBdr>
              <w:rPr>
                <w:sz w:val="20"/>
                <w:szCs w:val="20"/>
              </w:rPr>
            </w:pPr>
            <w:r>
              <w:rPr>
                <w:sz w:val="20"/>
                <w:szCs w:val="20"/>
              </w:rPr>
              <w:t xml:space="preserve">    </w:t>
            </w:r>
            <w:r w:rsidR="00AC4D37" w:rsidRPr="00AC4D37">
              <w:rPr>
                <w:sz w:val="20"/>
                <w:szCs w:val="20"/>
              </w:rPr>
              <w:t>Unknown</w:t>
            </w:r>
          </w:p>
        </w:tc>
        <w:tc>
          <w:tcPr>
            <w:tcW w:w="1935" w:type="dxa"/>
            <w:tcBorders>
              <w:bottom w:val="single" w:sz="8" w:space="0" w:color="000000"/>
            </w:tcBorders>
            <w:shd w:val="clear" w:color="auto" w:fill="auto"/>
            <w:tcMar>
              <w:top w:w="100" w:type="dxa"/>
              <w:left w:w="100" w:type="dxa"/>
              <w:bottom w:w="100" w:type="dxa"/>
              <w:right w:w="100" w:type="dxa"/>
            </w:tcMar>
          </w:tcPr>
          <w:p w14:paraId="2C98F092" w14:textId="77777777" w:rsidR="00AC4D37" w:rsidRPr="00AC4D37" w:rsidRDefault="00AC4D37" w:rsidP="00A02EC3">
            <w:pPr>
              <w:widowControl w:val="0"/>
              <w:pBdr>
                <w:top w:val="nil"/>
                <w:left w:val="nil"/>
                <w:bottom w:val="nil"/>
                <w:right w:val="nil"/>
                <w:between w:val="nil"/>
              </w:pBdr>
              <w:jc w:val="center"/>
              <w:rPr>
                <w:sz w:val="20"/>
                <w:szCs w:val="20"/>
              </w:rPr>
            </w:pPr>
            <w:r w:rsidRPr="00AC4D37">
              <w:rPr>
                <w:sz w:val="20"/>
                <w:szCs w:val="20"/>
              </w:rPr>
              <w:t>1</w:t>
            </w:r>
          </w:p>
        </w:tc>
        <w:tc>
          <w:tcPr>
            <w:tcW w:w="3120" w:type="dxa"/>
            <w:tcBorders>
              <w:bottom w:val="single" w:sz="8" w:space="0" w:color="000000"/>
            </w:tcBorders>
            <w:shd w:val="clear" w:color="auto" w:fill="auto"/>
            <w:tcMar>
              <w:top w:w="100" w:type="dxa"/>
              <w:left w:w="100" w:type="dxa"/>
              <w:bottom w:w="100" w:type="dxa"/>
              <w:right w:w="100" w:type="dxa"/>
            </w:tcMar>
          </w:tcPr>
          <w:p w14:paraId="0251D035" w14:textId="77777777" w:rsidR="00AC4D37" w:rsidRPr="00AC4D37" w:rsidRDefault="00AC4D37" w:rsidP="00A02EC3">
            <w:pPr>
              <w:widowControl w:val="0"/>
              <w:pBdr>
                <w:top w:val="nil"/>
                <w:left w:val="nil"/>
                <w:bottom w:val="nil"/>
                <w:right w:val="nil"/>
                <w:between w:val="nil"/>
              </w:pBdr>
              <w:jc w:val="center"/>
              <w:rPr>
                <w:sz w:val="20"/>
                <w:szCs w:val="20"/>
              </w:rPr>
            </w:pPr>
            <w:r w:rsidRPr="00AC4D37">
              <w:rPr>
                <w:sz w:val="20"/>
                <w:szCs w:val="20"/>
              </w:rPr>
              <w:t>3.7%</w:t>
            </w:r>
          </w:p>
        </w:tc>
      </w:tr>
    </w:tbl>
    <w:p w14:paraId="6F88BB9C" w14:textId="2A3351BB" w:rsidR="005B2408" w:rsidRDefault="005B2408" w:rsidP="006B7838">
      <w:pPr>
        <w:numPr>
          <w:ilvl w:val="12"/>
          <w:numId w:val="0"/>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spacing w:line="480" w:lineRule="auto"/>
      </w:pPr>
    </w:p>
    <w:p w14:paraId="5D62E5EF" w14:textId="38597DED" w:rsidR="0085054A" w:rsidRPr="00B673F7" w:rsidRDefault="0085054A" w:rsidP="00B673F7">
      <w:pPr>
        <w:pStyle w:val="Caption"/>
        <w:rPr>
          <w:rFonts w:ascii="Times New Roman" w:hAnsi="Times New Roman" w:cs="Times New Roman"/>
          <w:szCs w:val="20"/>
        </w:rPr>
      </w:pPr>
      <w:bookmarkStart w:id="28" w:name="_Toc108273078"/>
      <w:r w:rsidRPr="00EE18B0">
        <w:rPr>
          <w:rFonts w:ascii="Times New Roman" w:hAnsi="Times New Roman" w:cs="Times New Roman"/>
          <w:szCs w:val="20"/>
        </w:rPr>
        <w:lastRenderedPageBreak/>
        <w:t xml:space="preserve">Table </w:t>
      </w:r>
      <w:r w:rsidR="006E4E59">
        <w:rPr>
          <w:rFonts w:ascii="Times New Roman" w:hAnsi="Times New Roman" w:cs="Times New Roman"/>
          <w:szCs w:val="20"/>
        </w:rPr>
        <w:t>3</w:t>
      </w:r>
      <w:r w:rsidR="00A713B6" w:rsidRPr="00EE18B0">
        <w:rPr>
          <w:rFonts w:ascii="Times New Roman" w:hAnsi="Times New Roman" w:cs="Times New Roman"/>
          <w:szCs w:val="20"/>
        </w:rPr>
        <w:t xml:space="preserve">. </w:t>
      </w:r>
      <w:bookmarkEnd w:id="28"/>
      <w:r w:rsidR="001B309E" w:rsidRPr="00EE18B0">
        <w:rPr>
          <w:rFonts w:ascii="Times New Roman" w:hAnsi="Times New Roman" w:cs="Times New Roman"/>
          <w:szCs w:val="20"/>
        </w:rPr>
        <w:t>Descriptive Statistics and Correlations for Study Variables</w:t>
      </w:r>
    </w:p>
    <w:tbl>
      <w:tblPr>
        <w:tblW w:w="9720" w:type="dxa"/>
        <w:jc w:val="center"/>
        <w:tblLayout w:type="fixed"/>
        <w:tblLook w:val="0600" w:firstRow="0" w:lastRow="0" w:firstColumn="0" w:lastColumn="0" w:noHBand="1" w:noVBand="1"/>
      </w:tblPr>
      <w:tblGrid>
        <w:gridCol w:w="2070"/>
        <w:gridCol w:w="720"/>
        <w:gridCol w:w="720"/>
        <w:gridCol w:w="720"/>
        <w:gridCol w:w="810"/>
        <w:gridCol w:w="720"/>
        <w:gridCol w:w="720"/>
        <w:gridCol w:w="540"/>
        <w:gridCol w:w="720"/>
        <w:gridCol w:w="720"/>
        <w:gridCol w:w="720"/>
        <w:gridCol w:w="540"/>
      </w:tblGrid>
      <w:tr w:rsidR="00C91C62" w:rsidRPr="005A540B" w14:paraId="648EDF0B" w14:textId="1C6C5255" w:rsidTr="00C91C62">
        <w:trPr>
          <w:jc w:val="center"/>
        </w:trPr>
        <w:tc>
          <w:tcPr>
            <w:tcW w:w="2070" w:type="dxa"/>
            <w:tcBorders>
              <w:top w:val="single" w:sz="8" w:space="0" w:color="000000"/>
              <w:bottom w:val="single" w:sz="8" w:space="0" w:color="000000"/>
            </w:tcBorders>
            <w:shd w:val="clear" w:color="auto" w:fill="auto"/>
            <w:tcMar>
              <w:top w:w="100" w:type="dxa"/>
              <w:left w:w="100" w:type="dxa"/>
              <w:bottom w:w="100" w:type="dxa"/>
              <w:right w:w="100" w:type="dxa"/>
            </w:tcMar>
          </w:tcPr>
          <w:p w14:paraId="430D165D" w14:textId="6CD78041" w:rsidR="00BB2035" w:rsidRPr="00AC4D37" w:rsidRDefault="00BB2035" w:rsidP="006C18DE">
            <w:pPr>
              <w:widowControl w:val="0"/>
              <w:pBdr>
                <w:top w:val="nil"/>
                <w:left w:val="nil"/>
                <w:bottom w:val="nil"/>
                <w:right w:val="nil"/>
                <w:between w:val="nil"/>
              </w:pBdr>
              <w:jc w:val="center"/>
              <w:rPr>
                <w:sz w:val="20"/>
                <w:szCs w:val="20"/>
              </w:rPr>
            </w:pPr>
            <w:r>
              <w:rPr>
                <w:sz w:val="20"/>
                <w:szCs w:val="20"/>
              </w:rPr>
              <w:t>Variable</w:t>
            </w:r>
          </w:p>
        </w:tc>
        <w:tc>
          <w:tcPr>
            <w:tcW w:w="720" w:type="dxa"/>
            <w:tcBorders>
              <w:top w:val="single" w:sz="8" w:space="0" w:color="000000"/>
              <w:bottom w:val="single" w:sz="8" w:space="0" w:color="000000"/>
            </w:tcBorders>
            <w:shd w:val="clear" w:color="auto" w:fill="auto"/>
            <w:tcMar>
              <w:top w:w="100" w:type="dxa"/>
              <w:left w:w="100" w:type="dxa"/>
              <w:bottom w:w="100" w:type="dxa"/>
              <w:right w:w="100" w:type="dxa"/>
            </w:tcMar>
          </w:tcPr>
          <w:p w14:paraId="681FC274" w14:textId="49566FB5" w:rsidR="00BB2035" w:rsidRPr="006C18DE" w:rsidRDefault="00BB2035" w:rsidP="004345D2">
            <w:pPr>
              <w:widowControl w:val="0"/>
              <w:pBdr>
                <w:top w:val="nil"/>
                <w:left w:val="nil"/>
                <w:bottom w:val="nil"/>
                <w:right w:val="nil"/>
                <w:between w:val="nil"/>
              </w:pBdr>
              <w:jc w:val="center"/>
              <w:rPr>
                <w:i/>
                <w:iCs/>
                <w:sz w:val="20"/>
                <w:szCs w:val="20"/>
              </w:rPr>
            </w:pPr>
            <w:r w:rsidRPr="006C18DE">
              <w:rPr>
                <w:i/>
                <w:iCs/>
                <w:sz w:val="20"/>
                <w:szCs w:val="20"/>
              </w:rPr>
              <w:t>M</w:t>
            </w:r>
          </w:p>
        </w:tc>
        <w:tc>
          <w:tcPr>
            <w:tcW w:w="720" w:type="dxa"/>
            <w:tcBorders>
              <w:top w:val="single" w:sz="8" w:space="0" w:color="000000"/>
              <w:bottom w:val="single" w:sz="8" w:space="0" w:color="000000"/>
            </w:tcBorders>
            <w:shd w:val="clear" w:color="auto" w:fill="auto"/>
            <w:tcMar>
              <w:top w:w="100" w:type="dxa"/>
              <w:left w:w="100" w:type="dxa"/>
              <w:bottom w:w="100" w:type="dxa"/>
              <w:right w:w="100" w:type="dxa"/>
            </w:tcMar>
          </w:tcPr>
          <w:p w14:paraId="2573BFB9" w14:textId="4209C416" w:rsidR="00BB2035" w:rsidRPr="006C18DE" w:rsidRDefault="00BB2035" w:rsidP="004345D2">
            <w:pPr>
              <w:widowControl w:val="0"/>
              <w:pBdr>
                <w:top w:val="nil"/>
                <w:left w:val="nil"/>
                <w:bottom w:val="nil"/>
                <w:right w:val="nil"/>
                <w:between w:val="nil"/>
              </w:pBdr>
              <w:jc w:val="center"/>
              <w:rPr>
                <w:i/>
                <w:iCs/>
                <w:sz w:val="20"/>
                <w:szCs w:val="20"/>
              </w:rPr>
            </w:pPr>
            <w:r w:rsidRPr="006C18DE">
              <w:rPr>
                <w:i/>
                <w:iCs/>
                <w:sz w:val="20"/>
                <w:szCs w:val="20"/>
              </w:rPr>
              <w:t>SD</w:t>
            </w:r>
          </w:p>
        </w:tc>
        <w:tc>
          <w:tcPr>
            <w:tcW w:w="720" w:type="dxa"/>
            <w:tcBorders>
              <w:top w:val="single" w:sz="8" w:space="0" w:color="000000"/>
              <w:bottom w:val="single" w:sz="8" w:space="0" w:color="000000"/>
            </w:tcBorders>
          </w:tcPr>
          <w:p w14:paraId="41D32AD0" w14:textId="74275C05" w:rsidR="00BB2035" w:rsidRPr="005A540B" w:rsidRDefault="00BB2035" w:rsidP="004345D2">
            <w:pPr>
              <w:widowControl w:val="0"/>
              <w:pBdr>
                <w:top w:val="nil"/>
                <w:left w:val="nil"/>
                <w:bottom w:val="nil"/>
                <w:right w:val="nil"/>
                <w:between w:val="nil"/>
              </w:pBdr>
              <w:jc w:val="center"/>
              <w:rPr>
                <w:sz w:val="20"/>
                <w:szCs w:val="20"/>
              </w:rPr>
            </w:pPr>
            <w:r>
              <w:rPr>
                <w:sz w:val="20"/>
                <w:szCs w:val="20"/>
              </w:rPr>
              <w:t>1</w:t>
            </w:r>
          </w:p>
        </w:tc>
        <w:tc>
          <w:tcPr>
            <w:tcW w:w="810" w:type="dxa"/>
            <w:tcBorders>
              <w:top w:val="single" w:sz="8" w:space="0" w:color="000000"/>
              <w:bottom w:val="single" w:sz="8" w:space="0" w:color="000000"/>
            </w:tcBorders>
          </w:tcPr>
          <w:p w14:paraId="360BEFF0" w14:textId="2502170A" w:rsidR="00BB2035" w:rsidRPr="005A540B" w:rsidRDefault="00BB2035" w:rsidP="004345D2">
            <w:pPr>
              <w:widowControl w:val="0"/>
              <w:pBdr>
                <w:top w:val="nil"/>
                <w:left w:val="nil"/>
                <w:bottom w:val="nil"/>
                <w:right w:val="nil"/>
                <w:between w:val="nil"/>
              </w:pBdr>
              <w:jc w:val="center"/>
              <w:rPr>
                <w:sz w:val="20"/>
                <w:szCs w:val="20"/>
              </w:rPr>
            </w:pPr>
            <w:r>
              <w:rPr>
                <w:sz w:val="20"/>
                <w:szCs w:val="20"/>
              </w:rPr>
              <w:t>2</w:t>
            </w:r>
          </w:p>
        </w:tc>
        <w:tc>
          <w:tcPr>
            <w:tcW w:w="720" w:type="dxa"/>
            <w:tcBorders>
              <w:top w:val="single" w:sz="8" w:space="0" w:color="000000"/>
              <w:bottom w:val="single" w:sz="8" w:space="0" w:color="000000"/>
            </w:tcBorders>
          </w:tcPr>
          <w:p w14:paraId="13FA5B5B" w14:textId="5C3AB1C6" w:rsidR="00BB2035" w:rsidRPr="005A540B" w:rsidRDefault="00BB2035" w:rsidP="004345D2">
            <w:pPr>
              <w:widowControl w:val="0"/>
              <w:pBdr>
                <w:top w:val="nil"/>
                <w:left w:val="nil"/>
                <w:bottom w:val="nil"/>
                <w:right w:val="nil"/>
                <w:between w:val="nil"/>
              </w:pBdr>
              <w:jc w:val="center"/>
              <w:rPr>
                <w:sz w:val="20"/>
                <w:szCs w:val="20"/>
              </w:rPr>
            </w:pPr>
            <w:r>
              <w:rPr>
                <w:sz w:val="20"/>
                <w:szCs w:val="20"/>
              </w:rPr>
              <w:t>3</w:t>
            </w:r>
          </w:p>
        </w:tc>
        <w:tc>
          <w:tcPr>
            <w:tcW w:w="720" w:type="dxa"/>
            <w:tcBorders>
              <w:top w:val="single" w:sz="8" w:space="0" w:color="000000"/>
              <w:bottom w:val="single" w:sz="8" w:space="0" w:color="000000"/>
            </w:tcBorders>
          </w:tcPr>
          <w:p w14:paraId="0845FC01" w14:textId="1235AD69" w:rsidR="00BB2035" w:rsidRPr="005A540B" w:rsidRDefault="00BB2035" w:rsidP="004345D2">
            <w:pPr>
              <w:widowControl w:val="0"/>
              <w:pBdr>
                <w:top w:val="nil"/>
                <w:left w:val="nil"/>
                <w:bottom w:val="nil"/>
                <w:right w:val="nil"/>
                <w:between w:val="nil"/>
              </w:pBdr>
              <w:jc w:val="center"/>
              <w:rPr>
                <w:sz w:val="20"/>
                <w:szCs w:val="20"/>
              </w:rPr>
            </w:pPr>
            <w:r>
              <w:rPr>
                <w:sz w:val="20"/>
                <w:szCs w:val="20"/>
              </w:rPr>
              <w:t>a</w:t>
            </w:r>
          </w:p>
        </w:tc>
        <w:tc>
          <w:tcPr>
            <w:tcW w:w="540" w:type="dxa"/>
            <w:tcBorders>
              <w:top w:val="single" w:sz="8" w:space="0" w:color="000000"/>
              <w:bottom w:val="single" w:sz="8" w:space="0" w:color="000000"/>
            </w:tcBorders>
          </w:tcPr>
          <w:p w14:paraId="68892EF0" w14:textId="2FB0AC54" w:rsidR="00BB2035" w:rsidRPr="005A540B" w:rsidRDefault="00BB2035" w:rsidP="004345D2">
            <w:pPr>
              <w:widowControl w:val="0"/>
              <w:pBdr>
                <w:top w:val="nil"/>
                <w:left w:val="nil"/>
                <w:bottom w:val="nil"/>
                <w:right w:val="nil"/>
                <w:between w:val="nil"/>
              </w:pBdr>
              <w:jc w:val="center"/>
              <w:rPr>
                <w:sz w:val="20"/>
                <w:szCs w:val="20"/>
              </w:rPr>
            </w:pPr>
            <w:r>
              <w:rPr>
                <w:sz w:val="20"/>
                <w:szCs w:val="20"/>
              </w:rPr>
              <w:t>b</w:t>
            </w:r>
          </w:p>
        </w:tc>
        <w:tc>
          <w:tcPr>
            <w:tcW w:w="720" w:type="dxa"/>
            <w:tcBorders>
              <w:top w:val="single" w:sz="8" w:space="0" w:color="000000"/>
              <w:bottom w:val="single" w:sz="8" w:space="0" w:color="000000"/>
            </w:tcBorders>
          </w:tcPr>
          <w:p w14:paraId="4060A7D6" w14:textId="6BBA129D" w:rsidR="00BB2035" w:rsidRPr="005A540B" w:rsidRDefault="00BB2035" w:rsidP="004345D2">
            <w:pPr>
              <w:widowControl w:val="0"/>
              <w:pBdr>
                <w:top w:val="nil"/>
                <w:left w:val="nil"/>
                <w:bottom w:val="nil"/>
                <w:right w:val="nil"/>
                <w:between w:val="nil"/>
              </w:pBdr>
              <w:jc w:val="center"/>
              <w:rPr>
                <w:sz w:val="20"/>
                <w:szCs w:val="20"/>
              </w:rPr>
            </w:pPr>
            <w:r>
              <w:rPr>
                <w:sz w:val="20"/>
                <w:szCs w:val="20"/>
              </w:rPr>
              <w:t>c</w:t>
            </w:r>
          </w:p>
        </w:tc>
        <w:tc>
          <w:tcPr>
            <w:tcW w:w="720" w:type="dxa"/>
            <w:tcBorders>
              <w:top w:val="single" w:sz="8" w:space="0" w:color="000000"/>
              <w:bottom w:val="single" w:sz="8" w:space="0" w:color="000000"/>
            </w:tcBorders>
          </w:tcPr>
          <w:p w14:paraId="011B3420" w14:textId="00E489A8" w:rsidR="00BB2035" w:rsidRPr="005A540B" w:rsidRDefault="00BB2035" w:rsidP="004345D2">
            <w:pPr>
              <w:widowControl w:val="0"/>
              <w:pBdr>
                <w:top w:val="nil"/>
                <w:left w:val="nil"/>
                <w:bottom w:val="nil"/>
                <w:right w:val="nil"/>
                <w:between w:val="nil"/>
              </w:pBdr>
              <w:jc w:val="center"/>
              <w:rPr>
                <w:sz w:val="20"/>
                <w:szCs w:val="20"/>
              </w:rPr>
            </w:pPr>
            <w:r>
              <w:rPr>
                <w:sz w:val="20"/>
                <w:szCs w:val="20"/>
              </w:rPr>
              <w:t>d</w:t>
            </w:r>
          </w:p>
        </w:tc>
        <w:tc>
          <w:tcPr>
            <w:tcW w:w="720" w:type="dxa"/>
            <w:tcBorders>
              <w:top w:val="single" w:sz="8" w:space="0" w:color="000000"/>
              <w:bottom w:val="single" w:sz="8" w:space="0" w:color="000000"/>
            </w:tcBorders>
          </w:tcPr>
          <w:p w14:paraId="0D17F069" w14:textId="3D048363" w:rsidR="00BB2035" w:rsidRPr="005A540B" w:rsidRDefault="00BB2035" w:rsidP="004345D2">
            <w:pPr>
              <w:widowControl w:val="0"/>
              <w:pBdr>
                <w:top w:val="nil"/>
                <w:left w:val="nil"/>
                <w:bottom w:val="nil"/>
                <w:right w:val="nil"/>
                <w:between w:val="nil"/>
              </w:pBdr>
              <w:jc w:val="center"/>
              <w:rPr>
                <w:sz w:val="20"/>
                <w:szCs w:val="20"/>
              </w:rPr>
            </w:pPr>
            <w:r>
              <w:rPr>
                <w:sz w:val="20"/>
                <w:szCs w:val="20"/>
              </w:rPr>
              <w:t>e</w:t>
            </w:r>
          </w:p>
        </w:tc>
        <w:tc>
          <w:tcPr>
            <w:tcW w:w="540" w:type="dxa"/>
            <w:tcBorders>
              <w:top w:val="single" w:sz="8" w:space="0" w:color="000000"/>
              <w:bottom w:val="single" w:sz="8" w:space="0" w:color="000000"/>
            </w:tcBorders>
          </w:tcPr>
          <w:p w14:paraId="1D0FCD27" w14:textId="0BFD0CEC" w:rsidR="00BB2035" w:rsidRPr="005A540B" w:rsidRDefault="00BB2035" w:rsidP="004345D2">
            <w:pPr>
              <w:widowControl w:val="0"/>
              <w:pBdr>
                <w:top w:val="nil"/>
                <w:left w:val="nil"/>
                <w:bottom w:val="nil"/>
                <w:right w:val="nil"/>
                <w:between w:val="nil"/>
              </w:pBdr>
              <w:jc w:val="center"/>
              <w:rPr>
                <w:sz w:val="20"/>
                <w:szCs w:val="20"/>
              </w:rPr>
            </w:pPr>
            <w:r>
              <w:rPr>
                <w:sz w:val="20"/>
                <w:szCs w:val="20"/>
              </w:rPr>
              <w:t>f</w:t>
            </w:r>
          </w:p>
        </w:tc>
      </w:tr>
      <w:tr w:rsidR="00C91C62" w:rsidRPr="00AC4D37" w14:paraId="32A7BC37" w14:textId="335A720A" w:rsidTr="00C91C62">
        <w:trPr>
          <w:trHeight w:val="28"/>
          <w:jc w:val="center"/>
        </w:trPr>
        <w:tc>
          <w:tcPr>
            <w:tcW w:w="2070" w:type="dxa"/>
            <w:tcBorders>
              <w:top w:val="single" w:sz="8" w:space="0" w:color="000000"/>
            </w:tcBorders>
            <w:shd w:val="clear" w:color="auto" w:fill="auto"/>
            <w:tcMar>
              <w:top w:w="100" w:type="dxa"/>
              <w:left w:w="100" w:type="dxa"/>
              <w:bottom w:w="100" w:type="dxa"/>
              <w:right w:w="100" w:type="dxa"/>
            </w:tcMar>
          </w:tcPr>
          <w:p w14:paraId="580F83BC" w14:textId="6237E98D" w:rsidR="00BB2035" w:rsidRPr="00BD2896" w:rsidRDefault="00BB2035" w:rsidP="00BD2896">
            <w:pPr>
              <w:widowControl w:val="0"/>
              <w:pBdr>
                <w:top w:val="nil"/>
                <w:left w:val="nil"/>
                <w:bottom w:val="nil"/>
                <w:right w:val="nil"/>
                <w:between w:val="nil"/>
              </w:pBdr>
              <w:rPr>
                <w:sz w:val="20"/>
                <w:szCs w:val="20"/>
              </w:rPr>
            </w:pPr>
            <w:r w:rsidRPr="00BD2896">
              <w:rPr>
                <w:sz w:val="20"/>
                <w:szCs w:val="20"/>
              </w:rPr>
              <w:t>1.</w:t>
            </w:r>
            <w:r>
              <w:rPr>
                <w:sz w:val="20"/>
                <w:szCs w:val="20"/>
              </w:rPr>
              <w:t xml:space="preserve"> PPQ</w:t>
            </w:r>
          </w:p>
        </w:tc>
        <w:tc>
          <w:tcPr>
            <w:tcW w:w="720" w:type="dxa"/>
            <w:tcBorders>
              <w:top w:val="single" w:sz="8" w:space="0" w:color="000000"/>
            </w:tcBorders>
            <w:shd w:val="clear" w:color="auto" w:fill="auto"/>
            <w:tcMar>
              <w:top w:w="100" w:type="dxa"/>
              <w:left w:w="100" w:type="dxa"/>
              <w:bottom w:w="100" w:type="dxa"/>
              <w:right w:w="100" w:type="dxa"/>
            </w:tcMar>
          </w:tcPr>
          <w:p w14:paraId="663D9BDC" w14:textId="11A9197E" w:rsidR="00BB2035" w:rsidRPr="00AC4D37" w:rsidRDefault="00BB2035" w:rsidP="004345D2">
            <w:pPr>
              <w:widowControl w:val="0"/>
              <w:pBdr>
                <w:top w:val="nil"/>
                <w:left w:val="nil"/>
                <w:bottom w:val="nil"/>
                <w:right w:val="nil"/>
                <w:between w:val="nil"/>
              </w:pBdr>
              <w:jc w:val="center"/>
              <w:rPr>
                <w:sz w:val="20"/>
                <w:szCs w:val="20"/>
              </w:rPr>
            </w:pPr>
            <w:r>
              <w:rPr>
                <w:sz w:val="20"/>
                <w:szCs w:val="20"/>
              </w:rPr>
              <w:t>36.76</w:t>
            </w:r>
          </w:p>
        </w:tc>
        <w:tc>
          <w:tcPr>
            <w:tcW w:w="720" w:type="dxa"/>
            <w:tcBorders>
              <w:top w:val="single" w:sz="8" w:space="0" w:color="000000"/>
            </w:tcBorders>
            <w:shd w:val="clear" w:color="auto" w:fill="auto"/>
            <w:tcMar>
              <w:top w:w="100" w:type="dxa"/>
              <w:left w:w="100" w:type="dxa"/>
              <w:bottom w:w="100" w:type="dxa"/>
              <w:right w:w="100" w:type="dxa"/>
            </w:tcMar>
          </w:tcPr>
          <w:p w14:paraId="64913B95" w14:textId="7B619411" w:rsidR="00BB2035" w:rsidRPr="00AC4D37" w:rsidRDefault="00BB2035" w:rsidP="004345D2">
            <w:pPr>
              <w:widowControl w:val="0"/>
              <w:pBdr>
                <w:top w:val="nil"/>
                <w:left w:val="nil"/>
                <w:bottom w:val="nil"/>
                <w:right w:val="nil"/>
                <w:between w:val="nil"/>
              </w:pBdr>
              <w:jc w:val="center"/>
              <w:rPr>
                <w:sz w:val="20"/>
                <w:szCs w:val="20"/>
              </w:rPr>
            </w:pPr>
            <w:r>
              <w:rPr>
                <w:sz w:val="20"/>
                <w:szCs w:val="20"/>
              </w:rPr>
              <w:t>10.69</w:t>
            </w:r>
          </w:p>
        </w:tc>
        <w:tc>
          <w:tcPr>
            <w:tcW w:w="720" w:type="dxa"/>
            <w:tcBorders>
              <w:top w:val="single" w:sz="8" w:space="0" w:color="000000"/>
            </w:tcBorders>
          </w:tcPr>
          <w:p w14:paraId="6FC553A5" w14:textId="50EDFC2B" w:rsidR="00BB2035" w:rsidRPr="00AC4D37" w:rsidRDefault="00BB2035" w:rsidP="004345D2">
            <w:pPr>
              <w:widowControl w:val="0"/>
              <w:pBdr>
                <w:top w:val="nil"/>
                <w:left w:val="nil"/>
                <w:bottom w:val="nil"/>
                <w:right w:val="nil"/>
                <w:between w:val="nil"/>
              </w:pBdr>
              <w:jc w:val="center"/>
              <w:rPr>
                <w:sz w:val="20"/>
                <w:szCs w:val="20"/>
              </w:rPr>
            </w:pPr>
            <w:r>
              <w:rPr>
                <w:sz w:val="20"/>
                <w:szCs w:val="20"/>
              </w:rPr>
              <w:t>—</w:t>
            </w:r>
          </w:p>
        </w:tc>
        <w:tc>
          <w:tcPr>
            <w:tcW w:w="810" w:type="dxa"/>
            <w:tcBorders>
              <w:top w:val="single" w:sz="8" w:space="0" w:color="000000"/>
            </w:tcBorders>
          </w:tcPr>
          <w:p w14:paraId="498D7EA1" w14:textId="61371E5E" w:rsidR="00BB2035" w:rsidRPr="00AC4D37" w:rsidRDefault="00BB2035" w:rsidP="004345D2">
            <w:pPr>
              <w:widowControl w:val="0"/>
              <w:pBdr>
                <w:top w:val="nil"/>
                <w:left w:val="nil"/>
                <w:bottom w:val="nil"/>
                <w:right w:val="nil"/>
                <w:between w:val="nil"/>
              </w:pBdr>
              <w:jc w:val="center"/>
              <w:rPr>
                <w:sz w:val="20"/>
                <w:szCs w:val="20"/>
              </w:rPr>
            </w:pPr>
          </w:p>
        </w:tc>
        <w:tc>
          <w:tcPr>
            <w:tcW w:w="720" w:type="dxa"/>
            <w:tcBorders>
              <w:top w:val="single" w:sz="8" w:space="0" w:color="000000"/>
            </w:tcBorders>
          </w:tcPr>
          <w:p w14:paraId="48C0AD37" w14:textId="1733D90C" w:rsidR="00BB2035" w:rsidRPr="00AC4D37" w:rsidRDefault="00BB2035" w:rsidP="004345D2">
            <w:pPr>
              <w:widowControl w:val="0"/>
              <w:pBdr>
                <w:top w:val="nil"/>
                <w:left w:val="nil"/>
                <w:bottom w:val="nil"/>
                <w:right w:val="nil"/>
                <w:between w:val="nil"/>
              </w:pBdr>
              <w:jc w:val="center"/>
              <w:rPr>
                <w:sz w:val="20"/>
                <w:szCs w:val="20"/>
              </w:rPr>
            </w:pPr>
          </w:p>
        </w:tc>
        <w:tc>
          <w:tcPr>
            <w:tcW w:w="720" w:type="dxa"/>
            <w:tcBorders>
              <w:top w:val="single" w:sz="8" w:space="0" w:color="000000"/>
            </w:tcBorders>
          </w:tcPr>
          <w:p w14:paraId="02E7B37C" w14:textId="0A72AD35" w:rsidR="00BB2035" w:rsidRPr="00AC4D37" w:rsidRDefault="00BB2035" w:rsidP="004345D2">
            <w:pPr>
              <w:widowControl w:val="0"/>
              <w:pBdr>
                <w:top w:val="nil"/>
                <w:left w:val="nil"/>
                <w:bottom w:val="nil"/>
                <w:right w:val="nil"/>
                <w:between w:val="nil"/>
              </w:pBdr>
              <w:jc w:val="center"/>
              <w:rPr>
                <w:sz w:val="20"/>
                <w:szCs w:val="20"/>
              </w:rPr>
            </w:pPr>
          </w:p>
        </w:tc>
        <w:tc>
          <w:tcPr>
            <w:tcW w:w="540" w:type="dxa"/>
            <w:tcBorders>
              <w:top w:val="single" w:sz="8" w:space="0" w:color="000000"/>
            </w:tcBorders>
          </w:tcPr>
          <w:p w14:paraId="6CD32BA7" w14:textId="73921506" w:rsidR="00BB2035" w:rsidRPr="00AC4D37" w:rsidRDefault="00BB2035" w:rsidP="004345D2">
            <w:pPr>
              <w:widowControl w:val="0"/>
              <w:pBdr>
                <w:top w:val="nil"/>
                <w:left w:val="nil"/>
                <w:bottom w:val="nil"/>
                <w:right w:val="nil"/>
                <w:between w:val="nil"/>
              </w:pBdr>
              <w:jc w:val="center"/>
              <w:rPr>
                <w:sz w:val="20"/>
                <w:szCs w:val="20"/>
              </w:rPr>
            </w:pPr>
          </w:p>
        </w:tc>
        <w:tc>
          <w:tcPr>
            <w:tcW w:w="720" w:type="dxa"/>
            <w:tcBorders>
              <w:top w:val="single" w:sz="8" w:space="0" w:color="000000"/>
            </w:tcBorders>
          </w:tcPr>
          <w:p w14:paraId="25FD5E5F" w14:textId="77CCE3DB" w:rsidR="00BB2035" w:rsidRPr="00AC4D37" w:rsidRDefault="00BB2035" w:rsidP="004345D2">
            <w:pPr>
              <w:widowControl w:val="0"/>
              <w:pBdr>
                <w:top w:val="nil"/>
                <w:left w:val="nil"/>
                <w:bottom w:val="nil"/>
                <w:right w:val="nil"/>
                <w:between w:val="nil"/>
              </w:pBdr>
              <w:jc w:val="center"/>
              <w:rPr>
                <w:sz w:val="20"/>
                <w:szCs w:val="20"/>
              </w:rPr>
            </w:pPr>
          </w:p>
        </w:tc>
        <w:tc>
          <w:tcPr>
            <w:tcW w:w="720" w:type="dxa"/>
            <w:tcBorders>
              <w:top w:val="single" w:sz="8" w:space="0" w:color="000000"/>
            </w:tcBorders>
          </w:tcPr>
          <w:p w14:paraId="499B2765" w14:textId="201058CA" w:rsidR="00BB2035" w:rsidRPr="00AC4D37" w:rsidRDefault="00BB2035" w:rsidP="004345D2">
            <w:pPr>
              <w:widowControl w:val="0"/>
              <w:pBdr>
                <w:top w:val="nil"/>
                <w:left w:val="nil"/>
                <w:bottom w:val="nil"/>
                <w:right w:val="nil"/>
                <w:between w:val="nil"/>
              </w:pBdr>
              <w:jc w:val="center"/>
              <w:rPr>
                <w:sz w:val="20"/>
                <w:szCs w:val="20"/>
              </w:rPr>
            </w:pPr>
          </w:p>
        </w:tc>
        <w:tc>
          <w:tcPr>
            <w:tcW w:w="720" w:type="dxa"/>
            <w:tcBorders>
              <w:top w:val="single" w:sz="8" w:space="0" w:color="000000"/>
            </w:tcBorders>
          </w:tcPr>
          <w:p w14:paraId="31EB5D0E" w14:textId="699DB0B1" w:rsidR="00BB2035" w:rsidRPr="00AC4D37" w:rsidRDefault="00BB2035" w:rsidP="004345D2">
            <w:pPr>
              <w:widowControl w:val="0"/>
              <w:pBdr>
                <w:top w:val="nil"/>
                <w:left w:val="nil"/>
                <w:bottom w:val="nil"/>
                <w:right w:val="nil"/>
                <w:between w:val="nil"/>
              </w:pBdr>
              <w:jc w:val="center"/>
              <w:rPr>
                <w:sz w:val="20"/>
                <w:szCs w:val="20"/>
              </w:rPr>
            </w:pPr>
          </w:p>
        </w:tc>
        <w:tc>
          <w:tcPr>
            <w:tcW w:w="540" w:type="dxa"/>
            <w:tcBorders>
              <w:top w:val="single" w:sz="8" w:space="0" w:color="000000"/>
            </w:tcBorders>
          </w:tcPr>
          <w:p w14:paraId="2352DC70" w14:textId="78BA7D05" w:rsidR="00BB2035" w:rsidRPr="00AC4D37" w:rsidRDefault="00BB2035" w:rsidP="004345D2">
            <w:pPr>
              <w:widowControl w:val="0"/>
              <w:pBdr>
                <w:top w:val="nil"/>
                <w:left w:val="nil"/>
                <w:bottom w:val="nil"/>
                <w:right w:val="nil"/>
                <w:between w:val="nil"/>
              </w:pBdr>
              <w:jc w:val="center"/>
              <w:rPr>
                <w:sz w:val="20"/>
                <w:szCs w:val="20"/>
              </w:rPr>
            </w:pPr>
          </w:p>
        </w:tc>
      </w:tr>
      <w:tr w:rsidR="00C91C62" w:rsidRPr="00AC4D37" w14:paraId="12520E1E" w14:textId="3593AED3" w:rsidTr="00C91C62">
        <w:trPr>
          <w:jc w:val="center"/>
        </w:trPr>
        <w:tc>
          <w:tcPr>
            <w:tcW w:w="2070" w:type="dxa"/>
            <w:shd w:val="clear" w:color="auto" w:fill="auto"/>
            <w:tcMar>
              <w:top w:w="100" w:type="dxa"/>
              <w:left w:w="100" w:type="dxa"/>
              <w:bottom w:w="100" w:type="dxa"/>
              <w:right w:w="100" w:type="dxa"/>
            </w:tcMar>
          </w:tcPr>
          <w:p w14:paraId="67EC51D6" w14:textId="263FF873" w:rsidR="00BB2035" w:rsidRPr="00AC4D37" w:rsidRDefault="00BB2035" w:rsidP="004345D2">
            <w:pPr>
              <w:widowControl w:val="0"/>
              <w:pBdr>
                <w:top w:val="nil"/>
                <w:left w:val="nil"/>
                <w:bottom w:val="nil"/>
                <w:right w:val="nil"/>
                <w:between w:val="nil"/>
              </w:pBdr>
              <w:rPr>
                <w:sz w:val="20"/>
                <w:szCs w:val="20"/>
              </w:rPr>
            </w:pPr>
            <w:r>
              <w:rPr>
                <w:sz w:val="20"/>
                <w:szCs w:val="20"/>
              </w:rPr>
              <w:t>2. MPA</w:t>
            </w:r>
          </w:p>
        </w:tc>
        <w:tc>
          <w:tcPr>
            <w:tcW w:w="720" w:type="dxa"/>
            <w:shd w:val="clear" w:color="auto" w:fill="auto"/>
            <w:tcMar>
              <w:top w:w="100" w:type="dxa"/>
              <w:left w:w="100" w:type="dxa"/>
              <w:bottom w:w="100" w:type="dxa"/>
              <w:right w:w="100" w:type="dxa"/>
            </w:tcMar>
          </w:tcPr>
          <w:p w14:paraId="700C5FFF" w14:textId="45D67E7D" w:rsidR="00BB2035" w:rsidRPr="00AC4D37" w:rsidRDefault="00BB2035" w:rsidP="004345D2">
            <w:pPr>
              <w:widowControl w:val="0"/>
              <w:pBdr>
                <w:top w:val="nil"/>
                <w:left w:val="nil"/>
                <w:bottom w:val="nil"/>
                <w:right w:val="nil"/>
                <w:between w:val="nil"/>
              </w:pBdr>
              <w:jc w:val="center"/>
              <w:rPr>
                <w:sz w:val="20"/>
                <w:szCs w:val="20"/>
              </w:rPr>
            </w:pPr>
            <w:r>
              <w:rPr>
                <w:sz w:val="20"/>
                <w:szCs w:val="20"/>
              </w:rPr>
              <w:t>47.30</w:t>
            </w:r>
          </w:p>
        </w:tc>
        <w:tc>
          <w:tcPr>
            <w:tcW w:w="720" w:type="dxa"/>
            <w:shd w:val="clear" w:color="auto" w:fill="auto"/>
            <w:tcMar>
              <w:top w:w="100" w:type="dxa"/>
              <w:left w:w="100" w:type="dxa"/>
              <w:bottom w:w="100" w:type="dxa"/>
              <w:right w:w="100" w:type="dxa"/>
            </w:tcMar>
          </w:tcPr>
          <w:p w14:paraId="25CBB100" w14:textId="700F03D4" w:rsidR="00BB2035" w:rsidRPr="00AC4D37" w:rsidRDefault="00BB2035" w:rsidP="004345D2">
            <w:pPr>
              <w:widowControl w:val="0"/>
              <w:pBdr>
                <w:top w:val="nil"/>
                <w:left w:val="nil"/>
                <w:bottom w:val="nil"/>
                <w:right w:val="nil"/>
                <w:between w:val="nil"/>
              </w:pBdr>
              <w:jc w:val="center"/>
              <w:rPr>
                <w:sz w:val="20"/>
                <w:szCs w:val="20"/>
              </w:rPr>
            </w:pPr>
            <w:r>
              <w:rPr>
                <w:sz w:val="20"/>
                <w:szCs w:val="20"/>
              </w:rPr>
              <w:t>11.02</w:t>
            </w:r>
          </w:p>
        </w:tc>
        <w:tc>
          <w:tcPr>
            <w:tcW w:w="720" w:type="dxa"/>
          </w:tcPr>
          <w:p w14:paraId="6CC94F15" w14:textId="0927F877" w:rsidR="00BB2035" w:rsidRPr="00AC4D37" w:rsidRDefault="000C2142" w:rsidP="004345D2">
            <w:pPr>
              <w:widowControl w:val="0"/>
              <w:pBdr>
                <w:top w:val="nil"/>
                <w:left w:val="nil"/>
                <w:bottom w:val="nil"/>
                <w:right w:val="nil"/>
                <w:between w:val="nil"/>
              </w:pBdr>
              <w:jc w:val="center"/>
              <w:rPr>
                <w:sz w:val="20"/>
                <w:szCs w:val="20"/>
              </w:rPr>
            </w:pPr>
            <w:r>
              <w:rPr>
                <w:sz w:val="20"/>
                <w:szCs w:val="20"/>
              </w:rPr>
              <w:t>-.44*</w:t>
            </w:r>
          </w:p>
        </w:tc>
        <w:tc>
          <w:tcPr>
            <w:tcW w:w="810" w:type="dxa"/>
          </w:tcPr>
          <w:p w14:paraId="2E7CEB47" w14:textId="36F12E2D" w:rsidR="00BB2035" w:rsidRPr="00AC4D37" w:rsidRDefault="000C2142" w:rsidP="004345D2">
            <w:pPr>
              <w:widowControl w:val="0"/>
              <w:pBdr>
                <w:top w:val="nil"/>
                <w:left w:val="nil"/>
                <w:bottom w:val="nil"/>
                <w:right w:val="nil"/>
                <w:between w:val="nil"/>
              </w:pBdr>
              <w:jc w:val="center"/>
              <w:rPr>
                <w:sz w:val="20"/>
                <w:szCs w:val="20"/>
              </w:rPr>
            </w:pPr>
            <w:r>
              <w:rPr>
                <w:sz w:val="20"/>
                <w:szCs w:val="20"/>
              </w:rPr>
              <w:t>—</w:t>
            </w:r>
          </w:p>
        </w:tc>
        <w:tc>
          <w:tcPr>
            <w:tcW w:w="720" w:type="dxa"/>
          </w:tcPr>
          <w:p w14:paraId="03970D1B" w14:textId="6B024987" w:rsidR="00BB2035" w:rsidRPr="00AC4D37" w:rsidRDefault="00BB2035" w:rsidP="004345D2">
            <w:pPr>
              <w:widowControl w:val="0"/>
              <w:pBdr>
                <w:top w:val="nil"/>
                <w:left w:val="nil"/>
                <w:bottom w:val="nil"/>
                <w:right w:val="nil"/>
                <w:between w:val="nil"/>
              </w:pBdr>
              <w:jc w:val="center"/>
              <w:rPr>
                <w:sz w:val="20"/>
                <w:szCs w:val="20"/>
              </w:rPr>
            </w:pPr>
          </w:p>
        </w:tc>
        <w:tc>
          <w:tcPr>
            <w:tcW w:w="720" w:type="dxa"/>
          </w:tcPr>
          <w:p w14:paraId="7B6C39F1" w14:textId="6A6EAA35" w:rsidR="00BB2035" w:rsidRPr="00AC4D37" w:rsidRDefault="00BB2035" w:rsidP="004345D2">
            <w:pPr>
              <w:widowControl w:val="0"/>
              <w:pBdr>
                <w:top w:val="nil"/>
                <w:left w:val="nil"/>
                <w:bottom w:val="nil"/>
                <w:right w:val="nil"/>
                <w:between w:val="nil"/>
              </w:pBdr>
              <w:jc w:val="center"/>
              <w:rPr>
                <w:sz w:val="20"/>
                <w:szCs w:val="20"/>
              </w:rPr>
            </w:pPr>
          </w:p>
        </w:tc>
        <w:tc>
          <w:tcPr>
            <w:tcW w:w="540" w:type="dxa"/>
          </w:tcPr>
          <w:p w14:paraId="099F3713" w14:textId="065244F4" w:rsidR="00BB2035" w:rsidRPr="00AC4D37" w:rsidRDefault="00BB2035" w:rsidP="004345D2">
            <w:pPr>
              <w:widowControl w:val="0"/>
              <w:pBdr>
                <w:top w:val="nil"/>
                <w:left w:val="nil"/>
                <w:bottom w:val="nil"/>
                <w:right w:val="nil"/>
                <w:between w:val="nil"/>
              </w:pBdr>
              <w:jc w:val="center"/>
              <w:rPr>
                <w:sz w:val="20"/>
                <w:szCs w:val="20"/>
              </w:rPr>
            </w:pPr>
          </w:p>
        </w:tc>
        <w:tc>
          <w:tcPr>
            <w:tcW w:w="720" w:type="dxa"/>
          </w:tcPr>
          <w:p w14:paraId="7A87BD06" w14:textId="31F49591" w:rsidR="00BB2035" w:rsidRPr="00AC4D37" w:rsidRDefault="00BB2035" w:rsidP="004345D2">
            <w:pPr>
              <w:widowControl w:val="0"/>
              <w:pBdr>
                <w:top w:val="nil"/>
                <w:left w:val="nil"/>
                <w:bottom w:val="nil"/>
                <w:right w:val="nil"/>
                <w:between w:val="nil"/>
              </w:pBdr>
              <w:jc w:val="center"/>
              <w:rPr>
                <w:sz w:val="20"/>
                <w:szCs w:val="20"/>
              </w:rPr>
            </w:pPr>
          </w:p>
        </w:tc>
        <w:tc>
          <w:tcPr>
            <w:tcW w:w="720" w:type="dxa"/>
          </w:tcPr>
          <w:p w14:paraId="099A01D7" w14:textId="7B15714E" w:rsidR="00BB2035" w:rsidRPr="00AC4D37" w:rsidRDefault="00BB2035" w:rsidP="004345D2">
            <w:pPr>
              <w:widowControl w:val="0"/>
              <w:pBdr>
                <w:top w:val="nil"/>
                <w:left w:val="nil"/>
                <w:bottom w:val="nil"/>
                <w:right w:val="nil"/>
                <w:between w:val="nil"/>
              </w:pBdr>
              <w:jc w:val="center"/>
              <w:rPr>
                <w:sz w:val="20"/>
                <w:szCs w:val="20"/>
              </w:rPr>
            </w:pPr>
          </w:p>
        </w:tc>
        <w:tc>
          <w:tcPr>
            <w:tcW w:w="720" w:type="dxa"/>
          </w:tcPr>
          <w:p w14:paraId="7D53238C" w14:textId="0B05A610" w:rsidR="00BB2035" w:rsidRPr="00AC4D37" w:rsidRDefault="00BB2035" w:rsidP="004345D2">
            <w:pPr>
              <w:widowControl w:val="0"/>
              <w:pBdr>
                <w:top w:val="nil"/>
                <w:left w:val="nil"/>
                <w:bottom w:val="nil"/>
                <w:right w:val="nil"/>
                <w:between w:val="nil"/>
              </w:pBdr>
              <w:jc w:val="center"/>
              <w:rPr>
                <w:sz w:val="20"/>
                <w:szCs w:val="20"/>
              </w:rPr>
            </w:pPr>
          </w:p>
        </w:tc>
        <w:tc>
          <w:tcPr>
            <w:tcW w:w="540" w:type="dxa"/>
          </w:tcPr>
          <w:p w14:paraId="661888FA" w14:textId="50220677" w:rsidR="00BB2035" w:rsidRPr="00AC4D37" w:rsidRDefault="00BB2035" w:rsidP="004345D2">
            <w:pPr>
              <w:widowControl w:val="0"/>
              <w:pBdr>
                <w:top w:val="nil"/>
                <w:left w:val="nil"/>
                <w:bottom w:val="nil"/>
                <w:right w:val="nil"/>
                <w:between w:val="nil"/>
              </w:pBdr>
              <w:jc w:val="center"/>
              <w:rPr>
                <w:sz w:val="20"/>
                <w:szCs w:val="20"/>
              </w:rPr>
            </w:pPr>
          </w:p>
        </w:tc>
      </w:tr>
      <w:tr w:rsidR="00C91C62" w:rsidRPr="00AC4D37" w14:paraId="0613C555" w14:textId="7CD49CB6" w:rsidTr="00C91C62">
        <w:trPr>
          <w:jc w:val="center"/>
        </w:trPr>
        <w:tc>
          <w:tcPr>
            <w:tcW w:w="2070" w:type="dxa"/>
            <w:shd w:val="clear" w:color="auto" w:fill="auto"/>
            <w:tcMar>
              <w:top w:w="100" w:type="dxa"/>
              <w:left w:w="100" w:type="dxa"/>
              <w:bottom w:w="100" w:type="dxa"/>
              <w:right w:w="100" w:type="dxa"/>
            </w:tcMar>
          </w:tcPr>
          <w:p w14:paraId="70F44274" w14:textId="5DDCDCA3" w:rsidR="00BB2035" w:rsidRPr="00AC4D37" w:rsidRDefault="00BB2035" w:rsidP="004345D2">
            <w:pPr>
              <w:widowControl w:val="0"/>
              <w:pBdr>
                <w:top w:val="nil"/>
                <w:left w:val="nil"/>
                <w:bottom w:val="nil"/>
                <w:right w:val="nil"/>
                <w:between w:val="nil"/>
              </w:pBdr>
              <w:rPr>
                <w:sz w:val="20"/>
                <w:szCs w:val="20"/>
              </w:rPr>
            </w:pPr>
            <w:r>
              <w:rPr>
                <w:sz w:val="20"/>
                <w:szCs w:val="20"/>
              </w:rPr>
              <w:t>3. Global PF</w:t>
            </w:r>
          </w:p>
        </w:tc>
        <w:tc>
          <w:tcPr>
            <w:tcW w:w="720" w:type="dxa"/>
            <w:shd w:val="clear" w:color="auto" w:fill="auto"/>
            <w:tcMar>
              <w:top w:w="100" w:type="dxa"/>
              <w:left w:w="100" w:type="dxa"/>
              <w:bottom w:w="100" w:type="dxa"/>
              <w:right w:w="100" w:type="dxa"/>
            </w:tcMar>
          </w:tcPr>
          <w:p w14:paraId="65A646C3" w14:textId="276D4BFB" w:rsidR="00BB2035" w:rsidRPr="00AC4D37" w:rsidRDefault="00BB2035" w:rsidP="004345D2">
            <w:pPr>
              <w:widowControl w:val="0"/>
              <w:pBdr>
                <w:top w:val="nil"/>
                <w:left w:val="nil"/>
                <w:bottom w:val="nil"/>
                <w:right w:val="nil"/>
                <w:between w:val="nil"/>
              </w:pBdr>
              <w:jc w:val="center"/>
              <w:rPr>
                <w:sz w:val="20"/>
                <w:szCs w:val="20"/>
              </w:rPr>
            </w:pPr>
            <w:r>
              <w:rPr>
                <w:sz w:val="20"/>
                <w:szCs w:val="20"/>
              </w:rPr>
              <w:t>4.11</w:t>
            </w:r>
          </w:p>
        </w:tc>
        <w:tc>
          <w:tcPr>
            <w:tcW w:w="720" w:type="dxa"/>
            <w:shd w:val="clear" w:color="auto" w:fill="auto"/>
            <w:tcMar>
              <w:top w:w="100" w:type="dxa"/>
              <w:left w:w="100" w:type="dxa"/>
              <w:bottom w:w="100" w:type="dxa"/>
              <w:right w:w="100" w:type="dxa"/>
            </w:tcMar>
          </w:tcPr>
          <w:p w14:paraId="36F592F6" w14:textId="680F048D" w:rsidR="00BB2035" w:rsidRPr="00AC4D37" w:rsidRDefault="00BB2035" w:rsidP="00C01E36">
            <w:pPr>
              <w:widowControl w:val="0"/>
              <w:pBdr>
                <w:top w:val="nil"/>
                <w:left w:val="nil"/>
                <w:bottom w:val="nil"/>
                <w:right w:val="nil"/>
                <w:between w:val="nil"/>
              </w:pBdr>
              <w:jc w:val="center"/>
              <w:rPr>
                <w:sz w:val="20"/>
                <w:szCs w:val="20"/>
              </w:rPr>
            </w:pPr>
            <w:r>
              <w:rPr>
                <w:sz w:val="20"/>
                <w:szCs w:val="20"/>
              </w:rPr>
              <w:t>0.77</w:t>
            </w:r>
          </w:p>
        </w:tc>
        <w:tc>
          <w:tcPr>
            <w:tcW w:w="720" w:type="dxa"/>
          </w:tcPr>
          <w:p w14:paraId="4DE1FAD8" w14:textId="02B02D87" w:rsidR="00BB2035" w:rsidRPr="00AC4D37" w:rsidRDefault="00DE35A8" w:rsidP="00C01E36">
            <w:pPr>
              <w:widowControl w:val="0"/>
              <w:pBdr>
                <w:top w:val="nil"/>
                <w:left w:val="nil"/>
                <w:bottom w:val="nil"/>
                <w:right w:val="nil"/>
                <w:between w:val="nil"/>
              </w:pBdr>
              <w:jc w:val="center"/>
              <w:rPr>
                <w:sz w:val="20"/>
                <w:szCs w:val="20"/>
              </w:rPr>
            </w:pPr>
            <w:r>
              <w:rPr>
                <w:sz w:val="20"/>
                <w:szCs w:val="20"/>
              </w:rPr>
              <w:t>.39*</w:t>
            </w:r>
          </w:p>
        </w:tc>
        <w:tc>
          <w:tcPr>
            <w:tcW w:w="810" w:type="dxa"/>
          </w:tcPr>
          <w:p w14:paraId="7942D8E6" w14:textId="0B743A1A" w:rsidR="00BB2035" w:rsidRPr="00AC4D37" w:rsidRDefault="00DE35A8" w:rsidP="00C01E36">
            <w:pPr>
              <w:widowControl w:val="0"/>
              <w:pBdr>
                <w:top w:val="nil"/>
                <w:left w:val="nil"/>
                <w:bottom w:val="nil"/>
                <w:right w:val="nil"/>
                <w:between w:val="nil"/>
              </w:pBdr>
              <w:jc w:val="center"/>
              <w:rPr>
                <w:sz w:val="20"/>
                <w:szCs w:val="20"/>
              </w:rPr>
            </w:pPr>
            <w:r>
              <w:rPr>
                <w:sz w:val="20"/>
                <w:szCs w:val="20"/>
              </w:rPr>
              <w:t>-.50**</w:t>
            </w:r>
          </w:p>
        </w:tc>
        <w:tc>
          <w:tcPr>
            <w:tcW w:w="720" w:type="dxa"/>
          </w:tcPr>
          <w:p w14:paraId="7512A1B0" w14:textId="766C2A02" w:rsidR="00BB2035" w:rsidRPr="00AC4D37" w:rsidRDefault="00DE35A8" w:rsidP="00C01E36">
            <w:pPr>
              <w:widowControl w:val="0"/>
              <w:pBdr>
                <w:top w:val="nil"/>
                <w:left w:val="nil"/>
                <w:bottom w:val="nil"/>
                <w:right w:val="nil"/>
                <w:between w:val="nil"/>
              </w:pBdr>
              <w:jc w:val="center"/>
              <w:rPr>
                <w:sz w:val="20"/>
                <w:szCs w:val="20"/>
              </w:rPr>
            </w:pPr>
            <w:r>
              <w:rPr>
                <w:sz w:val="20"/>
                <w:szCs w:val="20"/>
              </w:rPr>
              <w:t>—</w:t>
            </w:r>
          </w:p>
        </w:tc>
        <w:tc>
          <w:tcPr>
            <w:tcW w:w="720" w:type="dxa"/>
          </w:tcPr>
          <w:p w14:paraId="1965FE6B" w14:textId="6AF981A8" w:rsidR="00BB2035" w:rsidRPr="00AC4D37" w:rsidRDefault="00BB2035" w:rsidP="00C01E36">
            <w:pPr>
              <w:widowControl w:val="0"/>
              <w:pBdr>
                <w:top w:val="nil"/>
                <w:left w:val="nil"/>
                <w:bottom w:val="nil"/>
                <w:right w:val="nil"/>
                <w:between w:val="nil"/>
              </w:pBdr>
              <w:jc w:val="center"/>
              <w:rPr>
                <w:sz w:val="20"/>
                <w:szCs w:val="20"/>
              </w:rPr>
            </w:pPr>
          </w:p>
        </w:tc>
        <w:tc>
          <w:tcPr>
            <w:tcW w:w="540" w:type="dxa"/>
          </w:tcPr>
          <w:p w14:paraId="609C6C1E" w14:textId="5F4FA3B9" w:rsidR="00BB2035" w:rsidRPr="00AC4D37" w:rsidRDefault="00BB2035" w:rsidP="00C01E36">
            <w:pPr>
              <w:widowControl w:val="0"/>
              <w:pBdr>
                <w:top w:val="nil"/>
                <w:left w:val="nil"/>
                <w:bottom w:val="nil"/>
                <w:right w:val="nil"/>
                <w:between w:val="nil"/>
              </w:pBdr>
              <w:jc w:val="center"/>
              <w:rPr>
                <w:sz w:val="20"/>
                <w:szCs w:val="20"/>
              </w:rPr>
            </w:pPr>
          </w:p>
        </w:tc>
        <w:tc>
          <w:tcPr>
            <w:tcW w:w="720" w:type="dxa"/>
          </w:tcPr>
          <w:p w14:paraId="6C20C317" w14:textId="02AE9041" w:rsidR="00BB2035" w:rsidRPr="00AC4D37" w:rsidRDefault="00BB2035" w:rsidP="00C01E36">
            <w:pPr>
              <w:widowControl w:val="0"/>
              <w:pBdr>
                <w:top w:val="nil"/>
                <w:left w:val="nil"/>
                <w:bottom w:val="nil"/>
                <w:right w:val="nil"/>
                <w:between w:val="nil"/>
              </w:pBdr>
              <w:jc w:val="center"/>
              <w:rPr>
                <w:sz w:val="20"/>
                <w:szCs w:val="20"/>
              </w:rPr>
            </w:pPr>
          </w:p>
        </w:tc>
        <w:tc>
          <w:tcPr>
            <w:tcW w:w="720" w:type="dxa"/>
          </w:tcPr>
          <w:p w14:paraId="23A4AF48" w14:textId="31850702" w:rsidR="00BB2035" w:rsidRPr="00AC4D37" w:rsidRDefault="00BB2035" w:rsidP="00C01E36">
            <w:pPr>
              <w:widowControl w:val="0"/>
              <w:pBdr>
                <w:top w:val="nil"/>
                <w:left w:val="nil"/>
                <w:bottom w:val="nil"/>
                <w:right w:val="nil"/>
                <w:between w:val="nil"/>
              </w:pBdr>
              <w:jc w:val="center"/>
              <w:rPr>
                <w:sz w:val="20"/>
                <w:szCs w:val="20"/>
              </w:rPr>
            </w:pPr>
          </w:p>
        </w:tc>
        <w:tc>
          <w:tcPr>
            <w:tcW w:w="720" w:type="dxa"/>
          </w:tcPr>
          <w:p w14:paraId="63377F0B" w14:textId="0A96B935" w:rsidR="00BB2035" w:rsidRPr="00AC4D37" w:rsidRDefault="00BB2035" w:rsidP="00C91C62">
            <w:pPr>
              <w:widowControl w:val="0"/>
              <w:pBdr>
                <w:top w:val="nil"/>
                <w:left w:val="nil"/>
                <w:bottom w:val="nil"/>
                <w:right w:val="nil"/>
                <w:between w:val="nil"/>
              </w:pBdr>
              <w:rPr>
                <w:sz w:val="20"/>
                <w:szCs w:val="20"/>
              </w:rPr>
            </w:pPr>
          </w:p>
        </w:tc>
        <w:tc>
          <w:tcPr>
            <w:tcW w:w="540" w:type="dxa"/>
          </w:tcPr>
          <w:p w14:paraId="346D80BF" w14:textId="45731CD5" w:rsidR="00BB2035" w:rsidRPr="00AC4D37" w:rsidRDefault="00BB2035" w:rsidP="00C01E36">
            <w:pPr>
              <w:widowControl w:val="0"/>
              <w:pBdr>
                <w:top w:val="nil"/>
                <w:left w:val="nil"/>
                <w:bottom w:val="nil"/>
                <w:right w:val="nil"/>
                <w:between w:val="nil"/>
              </w:pBdr>
              <w:jc w:val="center"/>
              <w:rPr>
                <w:sz w:val="20"/>
                <w:szCs w:val="20"/>
              </w:rPr>
            </w:pPr>
          </w:p>
        </w:tc>
      </w:tr>
      <w:tr w:rsidR="00C91C62" w:rsidRPr="00AC4D37" w14:paraId="2EDFA343" w14:textId="513345CB" w:rsidTr="00C91C62">
        <w:trPr>
          <w:jc w:val="center"/>
        </w:trPr>
        <w:tc>
          <w:tcPr>
            <w:tcW w:w="2070" w:type="dxa"/>
            <w:shd w:val="clear" w:color="auto" w:fill="auto"/>
            <w:tcMar>
              <w:top w:w="100" w:type="dxa"/>
              <w:left w:w="100" w:type="dxa"/>
              <w:bottom w:w="100" w:type="dxa"/>
              <w:right w:w="100" w:type="dxa"/>
            </w:tcMar>
          </w:tcPr>
          <w:p w14:paraId="3F85F8D0" w14:textId="246C4F7B" w:rsidR="00BB2035" w:rsidRPr="00AC4D37" w:rsidRDefault="00BB2035" w:rsidP="004345D2">
            <w:pPr>
              <w:widowControl w:val="0"/>
              <w:pBdr>
                <w:top w:val="nil"/>
                <w:left w:val="nil"/>
                <w:bottom w:val="nil"/>
                <w:right w:val="nil"/>
                <w:between w:val="nil"/>
              </w:pBdr>
              <w:rPr>
                <w:sz w:val="20"/>
                <w:szCs w:val="20"/>
              </w:rPr>
            </w:pPr>
            <w:r>
              <w:rPr>
                <w:sz w:val="20"/>
                <w:szCs w:val="20"/>
              </w:rPr>
              <w:t xml:space="preserve">    a. Acceptance</w:t>
            </w:r>
          </w:p>
        </w:tc>
        <w:tc>
          <w:tcPr>
            <w:tcW w:w="720" w:type="dxa"/>
            <w:shd w:val="clear" w:color="auto" w:fill="auto"/>
            <w:tcMar>
              <w:top w:w="100" w:type="dxa"/>
              <w:left w:w="100" w:type="dxa"/>
              <w:bottom w:w="100" w:type="dxa"/>
              <w:right w:w="100" w:type="dxa"/>
            </w:tcMar>
          </w:tcPr>
          <w:p w14:paraId="11A7207A" w14:textId="4B14CB81" w:rsidR="00BB2035" w:rsidRPr="00AC4D37" w:rsidRDefault="00BB2035" w:rsidP="004345D2">
            <w:pPr>
              <w:widowControl w:val="0"/>
              <w:pBdr>
                <w:top w:val="nil"/>
                <w:left w:val="nil"/>
                <w:bottom w:val="nil"/>
                <w:right w:val="nil"/>
                <w:between w:val="nil"/>
              </w:pBdr>
              <w:jc w:val="center"/>
              <w:rPr>
                <w:sz w:val="20"/>
                <w:szCs w:val="20"/>
              </w:rPr>
            </w:pPr>
            <w:r>
              <w:rPr>
                <w:sz w:val="20"/>
                <w:szCs w:val="20"/>
              </w:rPr>
              <w:t>3.63</w:t>
            </w:r>
          </w:p>
        </w:tc>
        <w:tc>
          <w:tcPr>
            <w:tcW w:w="720" w:type="dxa"/>
            <w:shd w:val="clear" w:color="auto" w:fill="auto"/>
            <w:tcMar>
              <w:top w:w="100" w:type="dxa"/>
              <w:left w:w="100" w:type="dxa"/>
              <w:bottom w:w="100" w:type="dxa"/>
              <w:right w:w="100" w:type="dxa"/>
            </w:tcMar>
          </w:tcPr>
          <w:p w14:paraId="5395A4C9" w14:textId="3B31296D" w:rsidR="00BB2035" w:rsidRPr="00AC4D37" w:rsidRDefault="00BB2035" w:rsidP="00C01E36">
            <w:pPr>
              <w:widowControl w:val="0"/>
              <w:pBdr>
                <w:top w:val="nil"/>
                <w:left w:val="nil"/>
                <w:bottom w:val="nil"/>
                <w:right w:val="nil"/>
                <w:between w:val="nil"/>
              </w:pBdr>
              <w:jc w:val="center"/>
              <w:rPr>
                <w:sz w:val="20"/>
                <w:szCs w:val="20"/>
              </w:rPr>
            </w:pPr>
            <w:r>
              <w:rPr>
                <w:sz w:val="20"/>
                <w:szCs w:val="20"/>
              </w:rPr>
              <w:t>0.91</w:t>
            </w:r>
          </w:p>
        </w:tc>
        <w:tc>
          <w:tcPr>
            <w:tcW w:w="720" w:type="dxa"/>
          </w:tcPr>
          <w:p w14:paraId="3498AD12" w14:textId="1997EE7D" w:rsidR="00BB2035" w:rsidRPr="00AC4D37" w:rsidRDefault="00DE35A8" w:rsidP="00C01E36">
            <w:pPr>
              <w:widowControl w:val="0"/>
              <w:pBdr>
                <w:top w:val="nil"/>
                <w:left w:val="nil"/>
                <w:bottom w:val="nil"/>
                <w:right w:val="nil"/>
                <w:between w:val="nil"/>
              </w:pBdr>
              <w:jc w:val="center"/>
              <w:rPr>
                <w:sz w:val="20"/>
                <w:szCs w:val="20"/>
              </w:rPr>
            </w:pPr>
            <w:r>
              <w:rPr>
                <w:sz w:val="20"/>
                <w:szCs w:val="20"/>
              </w:rPr>
              <w:t>.32</w:t>
            </w:r>
          </w:p>
        </w:tc>
        <w:tc>
          <w:tcPr>
            <w:tcW w:w="810" w:type="dxa"/>
          </w:tcPr>
          <w:p w14:paraId="3B1D38A5" w14:textId="761057B8" w:rsidR="00BB2035" w:rsidRPr="00AC4D37" w:rsidRDefault="00DE35A8" w:rsidP="00C01E36">
            <w:pPr>
              <w:widowControl w:val="0"/>
              <w:pBdr>
                <w:top w:val="nil"/>
                <w:left w:val="nil"/>
                <w:bottom w:val="nil"/>
                <w:right w:val="nil"/>
                <w:between w:val="nil"/>
              </w:pBdr>
              <w:jc w:val="center"/>
              <w:rPr>
                <w:sz w:val="20"/>
                <w:szCs w:val="20"/>
              </w:rPr>
            </w:pPr>
            <w:r>
              <w:rPr>
                <w:sz w:val="20"/>
                <w:szCs w:val="20"/>
              </w:rPr>
              <w:t>-.29</w:t>
            </w:r>
          </w:p>
        </w:tc>
        <w:tc>
          <w:tcPr>
            <w:tcW w:w="720" w:type="dxa"/>
          </w:tcPr>
          <w:p w14:paraId="1D5F7158" w14:textId="19C30D20" w:rsidR="00BB2035" w:rsidRPr="00AC4D37" w:rsidRDefault="00EB6DF1" w:rsidP="00C01E36">
            <w:pPr>
              <w:widowControl w:val="0"/>
              <w:pBdr>
                <w:top w:val="nil"/>
                <w:left w:val="nil"/>
                <w:bottom w:val="nil"/>
                <w:right w:val="nil"/>
                <w:between w:val="nil"/>
              </w:pBdr>
              <w:jc w:val="center"/>
              <w:rPr>
                <w:sz w:val="20"/>
                <w:szCs w:val="20"/>
              </w:rPr>
            </w:pPr>
            <w:r>
              <w:rPr>
                <w:sz w:val="20"/>
                <w:szCs w:val="20"/>
              </w:rPr>
              <w:t>.71**</w:t>
            </w:r>
          </w:p>
        </w:tc>
        <w:tc>
          <w:tcPr>
            <w:tcW w:w="720" w:type="dxa"/>
          </w:tcPr>
          <w:p w14:paraId="7C9364E3" w14:textId="6ADB3B8C" w:rsidR="00BB2035" w:rsidRPr="00AC4D37" w:rsidRDefault="00EB6DF1" w:rsidP="00C01E36">
            <w:pPr>
              <w:widowControl w:val="0"/>
              <w:pBdr>
                <w:top w:val="nil"/>
                <w:left w:val="nil"/>
                <w:bottom w:val="nil"/>
                <w:right w:val="nil"/>
                <w:between w:val="nil"/>
              </w:pBdr>
              <w:jc w:val="center"/>
              <w:rPr>
                <w:sz w:val="20"/>
                <w:szCs w:val="20"/>
              </w:rPr>
            </w:pPr>
            <w:r>
              <w:rPr>
                <w:sz w:val="20"/>
                <w:szCs w:val="20"/>
              </w:rPr>
              <w:t>—</w:t>
            </w:r>
          </w:p>
        </w:tc>
        <w:tc>
          <w:tcPr>
            <w:tcW w:w="540" w:type="dxa"/>
          </w:tcPr>
          <w:p w14:paraId="6EE79EC2" w14:textId="0CDE9CA2" w:rsidR="00BB2035" w:rsidRPr="00AC4D37" w:rsidRDefault="00BB2035" w:rsidP="00C01E36">
            <w:pPr>
              <w:widowControl w:val="0"/>
              <w:pBdr>
                <w:top w:val="nil"/>
                <w:left w:val="nil"/>
                <w:bottom w:val="nil"/>
                <w:right w:val="nil"/>
                <w:between w:val="nil"/>
              </w:pBdr>
              <w:jc w:val="center"/>
              <w:rPr>
                <w:sz w:val="20"/>
                <w:szCs w:val="20"/>
              </w:rPr>
            </w:pPr>
          </w:p>
        </w:tc>
        <w:tc>
          <w:tcPr>
            <w:tcW w:w="720" w:type="dxa"/>
          </w:tcPr>
          <w:p w14:paraId="705C4B49" w14:textId="1D5C2912" w:rsidR="00BB2035" w:rsidRPr="00AC4D37" w:rsidRDefault="00BB2035" w:rsidP="00C01E36">
            <w:pPr>
              <w:widowControl w:val="0"/>
              <w:pBdr>
                <w:top w:val="nil"/>
                <w:left w:val="nil"/>
                <w:bottom w:val="nil"/>
                <w:right w:val="nil"/>
                <w:between w:val="nil"/>
              </w:pBdr>
              <w:jc w:val="center"/>
              <w:rPr>
                <w:sz w:val="20"/>
                <w:szCs w:val="20"/>
              </w:rPr>
            </w:pPr>
          </w:p>
        </w:tc>
        <w:tc>
          <w:tcPr>
            <w:tcW w:w="720" w:type="dxa"/>
          </w:tcPr>
          <w:p w14:paraId="156ABE1C" w14:textId="49BC28BF" w:rsidR="00BB2035" w:rsidRPr="00AC4D37" w:rsidRDefault="00BB2035" w:rsidP="00C01E36">
            <w:pPr>
              <w:widowControl w:val="0"/>
              <w:pBdr>
                <w:top w:val="nil"/>
                <w:left w:val="nil"/>
                <w:bottom w:val="nil"/>
                <w:right w:val="nil"/>
                <w:between w:val="nil"/>
              </w:pBdr>
              <w:jc w:val="center"/>
              <w:rPr>
                <w:sz w:val="20"/>
                <w:szCs w:val="20"/>
              </w:rPr>
            </w:pPr>
          </w:p>
        </w:tc>
        <w:tc>
          <w:tcPr>
            <w:tcW w:w="720" w:type="dxa"/>
          </w:tcPr>
          <w:p w14:paraId="3A721172" w14:textId="4269C31B" w:rsidR="00BB2035" w:rsidRPr="00AC4D37" w:rsidRDefault="00BB2035" w:rsidP="00C01E36">
            <w:pPr>
              <w:widowControl w:val="0"/>
              <w:pBdr>
                <w:top w:val="nil"/>
                <w:left w:val="nil"/>
                <w:bottom w:val="nil"/>
                <w:right w:val="nil"/>
                <w:between w:val="nil"/>
              </w:pBdr>
              <w:jc w:val="center"/>
              <w:rPr>
                <w:sz w:val="20"/>
                <w:szCs w:val="20"/>
              </w:rPr>
            </w:pPr>
          </w:p>
        </w:tc>
        <w:tc>
          <w:tcPr>
            <w:tcW w:w="540" w:type="dxa"/>
          </w:tcPr>
          <w:p w14:paraId="1F7F7B4F" w14:textId="7F049A77" w:rsidR="00BB2035" w:rsidRPr="00AC4D37" w:rsidRDefault="00BB2035" w:rsidP="00C91C62">
            <w:pPr>
              <w:widowControl w:val="0"/>
              <w:pBdr>
                <w:top w:val="nil"/>
                <w:left w:val="nil"/>
                <w:bottom w:val="nil"/>
                <w:right w:val="nil"/>
                <w:between w:val="nil"/>
              </w:pBdr>
              <w:rPr>
                <w:sz w:val="20"/>
                <w:szCs w:val="20"/>
              </w:rPr>
            </w:pPr>
          </w:p>
        </w:tc>
      </w:tr>
      <w:tr w:rsidR="00C91C62" w:rsidRPr="00AC4D37" w14:paraId="3DDE5DA3" w14:textId="7E81D0AF" w:rsidTr="00C91C62">
        <w:trPr>
          <w:jc w:val="center"/>
        </w:trPr>
        <w:tc>
          <w:tcPr>
            <w:tcW w:w="2070" w:type="dxa"/>
            <w:shd w:val="clear" w:color="auto" w:fill="auto"/>
            <w:tcMar>
              <w:top w:w="100" w:type="dxa"/>
              <w:left w:w="100" w:type="dxa"/>
              <w:bottom w:w="100" w:type="dxa"/>
              <w:right w:w="100" w:type="dxa"/>
            </w:tcMar>
          </w:tcPr>
          <w:p w14:paraId="54871EED" w14:textId="500F2660" w:rsidR="00BB2035" w:rsidRPr="00AC4D37" w:rsidRDefault="00BB2035" w:rsidP="004345D2">
            <w:pPr>
              <w:widowControl w:val="0"/>
              <w:pBdr>
                <w:top w:val="nil"/>
                <w:left w:val="nil"/>
                <w:bottom w:val="nil"/>
                <w:right w:val="nil"/>
                <w:between w:val="nil"/>
              </w:pBdr>
              <w:rPr>
                <w:sz w:val="20"/>
                <w:szCs w:val="20"/>
              </w:rPr>
            </w:pPr>
            <w:r w:rsidRPr="00AC4D37">
              <w:rPr>
                <w:sz w:val="20"/>
                <w:szCs w:val="20"/>
              </w:rPr>
              <w:t xml:space="preserve">    </w:t>
            </w:r>
            <w:r>
              <w:rPr>
                <w:sz w:val="20"/>
                <w:szCs w:val="20"/>
              </w:rPr>
              <w:t>b. Present awareness</w:t>
            </w:r>
          </w:p>
        </w:tc>
        <w:tc>
          <w:tcPr>
            <w:tcW w:w="720" w:type="dxa"/>
            <w:shd w:val="clear" w:color="auto" w:fill="auto"/>
            <w:tcMar>
              <w:top w:w="100" w:type="dxa"/>
              <w:left w:w="100" w:type="dxa"/>
              <w:bottom w:w="100" w:type="dxa"/>
              <w:right w:w="100" w:type="dxa"/>
            </w:tcMar>
          </w:tcPr>
          <w:p w14:paraId="5EBA3EEA" w14:textId="06B6303B" w:rsidR="00BB2035" w:rsidRPr="00AC4D37" w:rsidRDefault="00BB2035" w:rsidP="004345D2">
            <w:pPr>
              <w:widowControl w:val="0"/>
              <w:pBdr>
                <w:top w:val="nil"/>
                <w:left w:val="nil"/>
                <w:bottom w:val="nil"/>
                <w:right w:val="nil"/>
                <w:between w:val="nil"/>
              </w:pBdr>
              <w:jc w:val="center"/>
              <w:rPr>
                <w:sz w:val="20"/>
                <w:szCs w:val="20"/>
              </w:rPr>
            </w:pPr>
            <w:r>
              <w:rPr>
                <w:sz w:val="20"/>
                <w:szCs w:val="20"/>
              </w:rPr>
              <w:t>4.23</w:t>
            </w:r>
          </w:p>
        </w:tc>
        <w:tc>
          <w:tcPr>
            <w:tcW w:w="720" w:type="dxa"/>
            <w:shd w:val="clear" w:color="auto" w:fill="auto"/>
            <w:tcMar>
              <w:top w:w="100" w:type="dxa"/>
              <w:left w:w="100" w:type="dxa"/>
              <w:bottom w:w="100" w:type="dxa"/>
              <w:right w:w="100" w:type="dxa"/>
            </w:tcMar>
          </w:tcPr>
          <w:p w14:paraId="2A0C8887" w14:textId="59BE88FD" w:rsidR="00BB2035" w:rsidRPr="00AC4D37" w:rsidRDefault="00BB2035" w:rsidP="00C01E36">
            <w:pPr>
              <w:widowControl w:val="0"/>
              <w:pBdr>
                <w:top w:val="nil"/>
                <w:left w:val="nil"/>
                <w:bottom w:val="nil"/>
                <w:right w:val="nil"/>
                <w:between w:val="nil"/>
              </w:pBdr>
              <w:jc w:val="center"/>
              <w:rPr>
                <w:sz w:val="20"/>
                <w:szCs w:val="20"/>
              </w:rPr>
            </w:pPr>
            <w:r>
              <w:rPr>
                <w:sz w:val="20"/>
                <w:szCs w:val="20"/>
              </w:rPr>
              <w:t>1.01</w:t>
            </w:r>
          </w:p>
        </w:tc>
        <w:tc>
          <w:tcPr>
            <w:tcW w:w="720" w:type="dxa"/>
          </w:tcPr>
          <w:p w14:paraId="54811327" w14:textId="36054936" w:rsidR="00BB2035" w:rsidRPr="00AC4D37" w:rsidRDefault="00EB6DF1" w:rsidP="00C01E36">
            <w:pPr>
              <w:widowControl w:val="0"/>
              <w:pBdr>
                <w:top w:val="nil"/>
                <w:left w:val="nil"/>
                <w:bottom w:val="nil"/>
                <w:right w:val="nil"/>
                <w:between w:val="nil"/>
              </w:pBdr>
              <w:jc w:val="center"/>
              <w:rPr>
                <w:sz w:val="20"/>
                <w:szCs w:val="20"/>
              </w:rPr>
            </w:pPr>
            <w:r>
              <w:rPr>
                <w:sz w:val="20"/>
                <w:szCs w:val="20"/>
              </w:rPr>
              <w:t>.21</w:t>
            </w:r>
          </w:p>
        </w:tc>
        <w:tc>
          <w:tcPr>
            <w:tcW w:w="810" w:type="dxa"/>
          </w:tcPr>
          <w:p w14:paraId="4ED555DF" w14:textId="09329377" w:rsidR="00BB2035" w:rsidRPr="00AC4D37" w:rsidRDefault="00EB6DF1" w:rsidP="00C01E36">
            <w:pPr>
              <w:widowControl w:val="0"/>
              <w:pBdr>
                <w:top w:val="nil"/>
                <w:left w:val="nil"/>
                <w:bottom w:val="nil"/>
                <w:right w:val="nil"/>
                <w:between w:val="nil"/>
              </w:pBdr>
              <w:jc w:val="center"/>
              <w:rPr>
                <w:sz w:val="20"/>
                <w:szCs w:val="20"/>
              </w:rPr>
            </w:pPr>
            <w:r>
              <w:rPr>
                <w:sz w:val="20"/>
                <w:szCs w:val="20"/>
              </w:rPr>
              <w:t>-.15</w:t>
            </w:r>
          </w:p>
        </w:tc>
        <w:tc>
          <w:tcPr>
            <w:tcW w:w="720" w:type="dxa"/>
          </w:tcPr>
          <w:p w14:paraId="21602DE8" w14:textId="5353F188" w:rsidR="00BB2035" w:rsidRPr="00AC4D37" w:rsidRDefault="00EB6DF1" w:rsidP="00C01E36">
            <w:pPr>
              <w:widowControl w:val="0"/>
              <w:pBdr>
                <w:top w:val="nil"/>
                <w:left w:val="nil"/>
                <w:bottom w:val="nil"/>
                <w:right w:val="nil"/>
                <w:between w:val="nil"/>
              </w:pBdr>
              <w:jc w:val="center"/>
              <w:rPr>
                <w:sz w:val="20"/>
                <w:szCs w:val="20"/>
              </w:rPr>
            </w:pPr>
            <w:r>
              <w:rPr>
                <w:sz w:val="20"/>
                <w:szCs w:val="20"/>
              </w:rPr>
              <w:t>.58**</w:t>
            </w:r>
          </w:p>
        </w:tc>
        <w:tc>
          <w:tcPr>
            <w:tcW w:w="720" w:type="dxa"/>
          </w:tcPr>
          <w:p w14:paraId="2F470D90" w14:textId="7208F303" w:rsidR="00BB2035" w:rsidRPr="00AC4D37" w:rsidRDefault="00EB6DF1" w:rsidP="00C01E36">
            <w:pPr>
              <w:widowControl w:val="0"/>
              <w:pBdr>
                <w:top w:val="nil"/>
                <w:left w:val="nil"/>
                <w:bottom w:val="nil"/>
                <w:right w:val="nil"/>
                <w:between w:val="nil"/>
              </w:pBdr>
              <w:jc w:val="center"/>
              <w:rPr>
                <w:sz w:val="20"/>
                <w:szCs w:val="20"/>
              </w:rPr>
            </w:pPr>
            <w:r>
              <w:rPr>
                <w:sz w:val="20"/>
                <w:szCs w:val="20"/>
              </w:rPr>
              <w:t>.69**</w:t>
            </w:r>
          </w:p>
        </w:tc>
        <w:tc>
          <w:tcPr>
            <w:tcW w:w="540" w:type="dxa"/>
          </w:tcPr>
          <w:p w14:paraId="2DD5FA5F" w14:textId="5C5FBAE4" w:rsidR="00BB2035" w:rsidRPr="00AC4D37" w:rsidRDefault="00EB6DF1" w:rsidP="00C01E36">
            <w:pPr>
              <w:widowControl w:val="0"/>
              <w:pBdr>
                <w:top w:val="nil"/>
                <w:left w:val="nil"/>
                <w:bottom w:val="nil"/>
                <w:right w:val="nil"/>
                <w:between w:val="nil"/>
              </w:pBdr>
              <w:jc w:val="center"/>
              <w:rPr>
                <w:sz w:val="20"/>
                <w:szCs w:val="20"/>
              </w:rPr>
            </w:pPr>
            <w:r>
              <w:rPr>
                <w:sz w:val="20"/>
                <w:szCs w:val="20"/>
              </w:rPr>
              <w:t>—</w:t>
            </w:r>
          </w:p>
        </w:tc>
        <w:tc>
          <w:tcPr>
            <w:tcW w:w="720" w:type="dxa"/>
          </w:tcPr>
          <w:p w14:paraId="51EEB6EA" w14:textId="08314C42" w:rsidR="00BB2035" w:rsidRPr="00AC4D37" w:rsidRDefault="00BB2035" w:rsidP="00C91C62">
            <w:pPr>
              <w:widowControl w:val="0"/>
              <w:pBdr>
                <w:top w:val="nil"/>
                <w:left w:val="nil"/>
                <w:bottom w:val="nil"/>
                <w:right w:val="nil"/>
                <w:between w:val="nil"/>
              </w:pBdr>
              <w:rPr>
                <w:sz w:val="20"/>
                <w:szCs w:val="20"/>
              </w:rPr>
            </w:pPr>
          </w:p>
        </w:tc>
        <w:tc>
          <w:tcPr>
            <w:tcW w:w="720" w:type="dxa"/>
          </w:tcPr>
          <w:p w14:paraId="51F7A103" w14:textId="19511B7E" w:rsidR="00BB2035" w:rsidRPr="00AC4D37" w:rsidRDefault="00BB2035" w:rsidP="00C01E36">
            <w:pPr>
              <w:widowControl w:val="0"/>
              <w:pBdr>
                <w:top w:val="nil"/>
                <w:left w:val="nil"/>
                <w:bottom w:val="nil"/>
                <w:right w:val="nil"/>
                <w:between w:val="nil"/>
              </w:pBdr>
              <w:jc w:val="center"/>
              <w:rPr>
                <w:sz w:val="20"/>
                <w:szCs w:val="20"/>
              </w:rPr>
            </w:pPr>
          </w:p>
        </w:tc>
        <w:tc>
          <w:tcPr>
            <w:tcW w:w="720" w:type="dxa"/>
          </w:tcPr>
          <w:p w14:paraId="2C791EB9" w14:textId="08D4AA26" w:rsidR="00BB2035" w:rsidRPr="00AC4D37" w:rsidRDefault="00BB2035" w:rsidP="00C01E36">
            <w:pPr>
              <w:widowControl w:val="0"/>
              <w:pBdr>
                <w:top w:val="nil"/>
                <w:left w:val="nil"/>
                <w:bottom w:val="nil"/>
                <w:right w:val="nil"/>
                <w:between w:val="nil"/>
              </w:pBdr>
              <w:jc w:val="center"/>
              <w:rPr>
                <w:sz w:val="20"/>
                <w:szCs w:val="20"/>
              </w:rPr>
            </w:pPr>
          </w:p>
        </w:tc>
        <w:tc>
          <w:tcPr>
            <w:tcW w:w="540" w:type="dxa"/>
          </w:tcPr>
          <w:p w14:paraId="386B41F9" w14:textId="3E2A9ADF" w:rsidR="00BB2035" w:rsidRPr="00AC4D37" w:rsidRDefault="00BB2035" w:rsidP="00C91C62">
            <w:pPr>
              <w:widowControl w:val="0"/>
              <w:pBdr>
                <w:top w:val="nil"/>
                <w:left w:val="nil"/>
                <w:bottom w:val="nil"/>
                <w:right w:val="nil"/>
                <w:between w:val="nil"/>
              </w:pBdr>
              <w:rPr>
                <w:sz w:val="20"/>
                <w:szCs w:val="20"/>
              </w:rPr>
            </w:pPr>
          </w:p>
        </w:tc>
      </w:tr>
      <w:tr w:rsidR="00C91C62" w:rsidRPr="00AC4D37" w14:paraId="18786056" w14:textId="245CD4A0" w:rsidTr="00C91C62">
        <w:trPr>
          <w:jc w:val="center"/>
        </w:trPr>
        <w:tc>
          <w:tcPr>
            <w:tcW w:w="2070" w:type="dxa"/>
            <w:shd w:val="clear" w:color="auto" w:fill="auto"/>
            <w:tcMar>
              <w:top w:w="100" w:type="dxa"/>
              <w:left w:w="100" w:type="dxa"/>
              <w:bottom w:w="100" w:type="dxa"/>
              <w:right w:w="100" w:type="dxa"/>
            </w:tcMar>
          </w:tcPr>
          <w:p w14:paraId="16BB11B5" w14:textId="05B52459" w:rsidR="00BB2035" w:rsidRPr="00AC4D37" w:rsidRDefault="00BB2035" w:rsidP="004345D2">
            <w:pPr>
              <w:widowControl w:val="0"/>
              <w:pBdr>
                <w:top w:val="nil"/>
                <w:left w:val="nil"/>
                <w:bottom w:val="nil"/>
                <w:right w:val="nil"/>
                <w:between w:val="nil"/>
              </w:pBdr>
              <w:rPr>
                <w:sz w:val="20"/>
                <w:szCs w:val="20"/>
              </w:rPr>
            </w:pPr>
            <w:r w:rsidRPr="00AC4D37">
              <w:rPr>
                <w:sz w:val="20"/>
                <w:szCs w:val="20"/>
              </w:rPr>
              <w:t xml:space="preserve">    </w:t>
            </w:r>
            <w:r>
              <w:rPr>
                <w:sz w:val="20"/>
                <w:szCs w:val="20"/>
              </w:rPr>
              <w:t>c. Self</w:t>
            </w:r>
            <w:r w:rsidR="006E4E59">
              <w:rPr>
                <w:sz w:val="20"/>
                <w:szCs w:val="20"/>
              </w:rPr>
              <w:t>-</w:t>
            </w:r>
            <w:r>
              <w:rPr>
                <w:sz w:val="20"/>
                <w:szCs w:val="20"/>
              </w:rPr>
              <w:t>as</w:t>
            </w:r>
            <w:r w:rsidR="006E4E59">
              <w:rPr>
                <w:sz w:val="20"/>
                <w:szCs w:val="20"/>
              </w:rPr>
              <w:t>-</w:t>
            </w:r>
            <w:r>
              <w:rPr>
                <w:sz w:val="20"/>
                <w:szCs w:val="20"/>
              </w:rPr>
              <w:t>context</w:t>
            </w:r>
          </w:p>
        </w:tc>
        <w:tc>
          <w:tcPr>
            <w:tcW w:w="720" w:type="dxa"/>
            <w:shd w:val="clear" w:color="auto" w:fill="auto"/>
            <w:tcMar>
              <w:top w:w="100" w:type="dxa"/>
              <w:left w:w="100" w:type="dxa"/>
              <w:bottom w:w="100" w:type="dxa"/>
              <w:right w:w="100" w:type="dxa"/>
            </w:tcMar>
          </w:tcPr>
          <w:p w14:paraId="21A2F7EA" w14:textId="6617D1DF" w:rsidR="00BB2035" w:rsidRPr="00AC4D37" w:rsidRDefault="00BB2035" w:rsidP="004345D2">
            <w:pPr>
              <w:widowControl w:val="0"/>
              <w:pBdr>
                <w:top w:val="nil"/>
                <w:left w:val="nil"/>
                <w:bottom w:val="nil"/>
                <w:right w:val="nil"/>
                <w:between w:val="nil"/>
              </w:pBdr>
              <w:jc w:val="center"/>
              <w:rPr>
                <w:sz w:val="20"/>
                <w:szCs w:val="20"/>
              </w:rPr>
            </w:pPr>
            <w:r>
              <w:rPr>
                <w:sz w:val="20"/>
                <w:szCs w:val="20"/>
              </w:rPr>
              <w:t>4.33</w:t>
            </w:r>
          </w:p>
        </w:tc>
        <w:tc>
          <w:tcPr>
            <w:tcW w:w="720" w:type="dxa"/>
            <w:shd w:val="clear" w:color="auto" w:fill="auto"/>
            <w:tcMar>
              <w:top w:w="100" w:type="dxa"/>
              <w:left w:w="100" w:type="dxa"/>
              <w:bottom w:w="100" w:type="dxa"/>
              <w:right w:w="100" w:type="dxa"/>
            </w:tcMar>
          </w:tcPr>
          <w:p w14:paraId="040D9777" w14:textId="4190CCF3" w:rsidR="00BB2035" w:rsidRPr="00AC4D37" w:rsidRDefault="00BB2035" w:rsidP="00C01E36">
            <w:pPr>
              <w:widowControl w:val="0"/>
              <w:pBdr>
                <w:top w:val="nil"/>
                <w:left w:val="nil"/>
                <w:bottom w:val="nil"/>
                <w:right w:val="nil"/>
                <w:between w:val="nil"/>
              </w:pBdr>
              <w:jc w:val="center"/>
              <w:rPr>
                <w:sz w:val="20"/>
                <w:szCs w:val="20"/>
              </w:rPr>
            </w:pPr>
            <w:r>
              <w:rPr>
                <w:sz w:val="20"/>
                <w:szCs w:val="20"/>
              </w:rPr>
              <w:t>1.16</w:t>
            </w:r>
          </w:p>
        </w:tc>
        <w:tc>
          <w:tcPr>
            <w:tcW w:w="720" w:type="dxa"/>
          </w:tcPr>
          <w:p w14:paraId="08A87325" w14:textId="3AEBB1AE" w:rsidR="00BB2035" w:rsidRPr="00AC4D37" w:rsidRDefault="00EB6DF1" w:rsidP="00C01E36">
            <w:pPr>
              <w:widowControl w:val="0"/>
              <w:pBdr>
                <w:top w:val="nil"/>
                <w:left w:val="nil"/>
                <w:bottom w:val="nil"/>
                <w:right w:val="nil"/>
                <w:between w:val="nil"/>
              </w:pBdr>
              <w:jc w:val="center"/>
              <w:rPr>
                <w:sz w:val="20"/>
                <w:szCs w:val="20"/>
              </w:rPr>
            </w:pPr>
            <w:r>
              <w:rPr>
                <w:sz w:val="20"/>
                <w:szCs w:val="20"/>
              </w:rPr>
              <w:t>.25</w:t>
            </w:r>
          </w:p>
        </w:tc>
        <w:tc>
          <w:tcPr>
            <w:tcW w:w="810" w:type="dxa"/>
          </w:tcPr>
          <w:p w14:paraId="2BB092B6" w14:textId="2AEF2075" w:rsidR="00BB2035" w:rsidRPr="00AC4D37" w:rsidRDefault="00EB6DF1" w:rsidP="00C01E36">
            <w:pPr>
              <w:widowControl w:val="0"/>
              <w:pBdr>
                <w:top w:val="nil"/>
                <w:left w:val="nil"/>
                <w:bottom w:val="nil"/>
                <w:right w:val="nil"/>
                <w:between w:val="nil"/>
              </w:pBdr>
              <w:jc w:val="center"/>
              <w:rPr>
                <w:sz w:val="20"/>
                <w:szCs w:val="20"/>
              </w:rPr>
            </w:pPr>
            <w:r>
              <w:rPr>
                <w:sz w:val="20"/>
                <w:szCs w:val="20"/>
              </w:rPr>
              <w:t>-.41*</w:t>
            </w:r>
          </w:p>
        </w:tc>
        <w:tc>
          <w:tcPr>
            <w:tcW w:w="720" w:type="dxa"/>
          </w:tcPr>
          <w:p w14:paraId="51E51C18" w14:textId="00C829E7" w:rsidR="00BB2035" w:rsidRPr="00AC4D37" w:rsidRDefault="00EB6DF1" w:rsidP="00C01E36">
            <w:pPr>
              <w:widowControl w:val="0"/>
              <w:pBdr>
                <w:top w:val="nil"/>
                <w:left w:val="nil"/>
                <w:bottom w:val="nil"/>
                <w:right w:val="nil"/>
                <w:between w:val="nil"/>
              </w:pBdr>
              <w:jc w:val="center"/>
              <w:rPr>
                <w:sz w:val="20"/>
                <w:szCs w:val="20"/>
              </w:rPr>
            </w:pPr>
            <w:r>
              <w:rPr>
                <w:sz w:val="20"/>
                <w:szCs w:val="20"/>
              </w:rPr>
              <w:t>.82**</w:t>
            </w:r>
          </w:p>
        </w:tc>
        <w:tc>
          <w:tcPr>
            <w:tcW w:w="720" w:type="dxa"/>
          </w:tcPr>
          <w:p w14:paraId="583F80DE" w14:textId="48D0B579" w:rsidR="00BB2035" w:rsidRPr="00AC4D37" w:rsidRDefault="00EB6DF1" w:rsidP="00C01E36">
            <w:pPr>
              <w:widowControl w:val="0"/>
              <w:pBdr>
                <w:top w:val="nil"/>
                <w:left w:val="nil"/>
                <w:bottom w:val="nil"/>
                <w:right w:val="nil"/>
                <w:between w:val="nil"/>
              </w:pBdr>
              <w:jc w:val="center"/>
              <w:rPr>
                <w:sz w:val="20"/>
                <w:szCs w:val="20"/>
              </w:rPr>
            </w:pPr>
            <w:r>
              <w:rPr>
                <w:sz w:val="20"/>
                <w:szCs w:val="20"/>
              </w:rPr>
              <w:t>.34*</w:t>
            </w:r>
          </w:p>
        </w:tc>
        <w:tc>
          <w:tcPr>
            <w:tcW w:w="540" w:type="dxa"/>
          </w:tcPr>
          <w:p w14:paraId="75E834F1" w14:textId="0C3FD95E" w:rsidR="00BB2035" w:rsidRPr="00AC4D37" w:rsidRDefault="00EB6DF1" w:rsidP="00C01E36">
            <w:pPr>
              <w:widowControl w:val="0"/>
              <w:pBdr>
                <w:top w:val="nil"/>
                <w:left w:val="nil"/>
                <w:bottom w:val="nil"/>
                <w:right w:val="nil"/>
                <w:between w:val="nil"/>
              </w:pBdr>
              <w:jc w:val="center"/>
              <w:rPr>
                <w:sz w:val="20"/>
                <w:szCs w:val="20"/>
              </w:rPr>
            </w:pPr>
            <w:r>
              <w:rPr>
                <w:sz w:val="20"/>
                <w:szCs w:val="20"/>
              </w:rPr>
              <w:t>.22</w:t>
            </w:r>
          </w:p>
        </w:tc>
        <w:tc>
          <w:tcPr>
            <w:tcW w:w="720" w:type="dxa"/>
          </w:tcPr>
          <w:p w14:paraId="75A8C125" w14:textId="0882B016" w:rsidR="00BB2035" w:rsidRPr="00AC4D37" w:rsidRDefault="00EB6DF1" w:rsidP="00C01E36">
            <w:pPr>
              <w:widowControl w:val="0"/>
              <w:pBdr>
                <w:top w:val="nil"/>
                <w:left w:val="nil"/>
                <w:bottom w:val="nil"/>
                <w:right w:val="nil"/>
                <w:between w:val="nil"/>
              </w:pBdr>
              <w:jc w:val="center"/>
              <w:rPr>
                <w:sz w:val="20"/>
                <w:szCs w:val="20"/>
              </w:rPr>
            </w:pPr>
            <w:r>
              <w:rPr>
                <w:sz w:val="20"/>
                <w:szCs w:val="20"/>
              </w:rPr>
              <w:t>—</w:t>
            </w:r>
          </w:p>
        </w:tc>
        <w:tc>
          <w:tcPr>
            <w:tcW w:w="720" w:type="dxa"/>
          </w:tcPr>
          <w:p w14:paraId="365DACB3" w14:textId="77777777" w:rsidR="00BB2035" w:rsidRPr="00AC4D37" w:rsidRDefault="00BB2035" w:rsidP="00C01E36">
            <w:pPr>
              <w:widowControl w:val="0"/>
              <w:pBdr>
                <w:top w:val="nil"/>
                <w:left w:val="nil"/>
                <w:bottom w:val="nil"/>
                <w:right w:val="nil"/>
                <w:between w:val="nil"/>
              </w:pBdr>
              <w:jc w:val="center"/>
              <w:rPr>
                <w:sz w:val="20"/>
                <w:szCs w:val="20"/>
              </w:rPr>
            </w:pPr>
          </w:p>
        </w:tc>
        <w:tc>
          <w:tcPr>
            <w:tcW w:w="720" w:type="dxa"/>
          </w:tcPr>
          <w:p w14:paraId="3389B950" w14:textId="77777777" w:rsidR="00BB2035" w:rsidRPr="00AC4D37" w:rsidRDefault="00BB2035" w:rsidP="00C01E36">
            <w:pPr>
              <w:widowControl w:val="0"/>
              <w:pBdr>
                <w:top w:val="nil"/>
                <w:left w:val="nil"/>
                <w:bottom w:val="nil"/>
                <w:right w:val="nil"/>
                <w:between w:val="nil"/>
              </w:pBdr>
              <w:jc w:val="center"/>
              <w:rPr>
                <w:sz w:val="20"/>
                <w:szCs w:val="20"/>
              </w:rPr>
            </w:pPr>
          </w:p>
        </w:tc>
        <w:tc>
          <w:tcPr>
            <w:tcW w:w="540" w:type="dxa"/>
          </w:tcPr>
          <w:p w14:paraId="680E484C" w14:textId="77777777" w:rsidR="00BB2035" w:rsidRPr="00AC4D37" w:rsidRDefault="00BB2035" w:rsidP="00C01E36">
            <w:pPr>
              <w:widowControl w:val="0"/>
              <w:pBdr>
                <w:top w:val="nil"/>
                <w:left w:val="nil"/>
                <w:bottom w:val="nil"/>
                <w:right w:val="nil"/>
                <w:between w:val="nil"/>
              </w:pBdr>
              <w:jc w:val="center"/>
              <w:rPr>
                <w:sz w:val="20"/>
                <w:szCs w:val="20"/>
              </w:rPr>
            </w:pPr>
          </w:p>
        </w:tc>
      </w:tr>
      <w:tr w:rsidR="00C91C62" w:rsidRPr="00AC4D37" w14:paraId="2995ACF0" w14:textId="2FC99639" w:rsidTr="00C91C62">
        <w:trPr>
          <w:jc w:val="center"/>
        </w:trPr>
        <w:tc>
          <w:tcPr>
            <w:tcW w:w="2070" w:type="dxa"/>
            <w:shd w:val="clear" w:color="auto" w:fill="auto"/>
            <w:tcMar>
              <w:top w:w="100" w:type="dxa"/>
              <w:left w:w="100" w:type="dxa"/>
              <w:bottom w:w="100" w:type="dxa"/>
              <w:right w:w="100" w:type="dxa"/>
            </w:tcMar>
          </w:tcPr>
          <w:p w14:paraId="5D148E3E" w14:textId="73CA837F" w:rsidR="00BB2035" w:rsidRPr="00AC4D37" w:rsidRDefault="00BB2035" w:rsidP="004345D2">
            <w:pPr>
              <w:widowControl w:val="0"/>
              <w:pBdr>
                <w:top w:val="nil"/>
                <w:left w:val="nil"/>
                <w:bottom w:val="nil"/>
                <w:right w:val="nil"/>
                <w:between w:val="nil"/>
              </w:pBdr>
              <w:rPr>
                <w:sz w:val="20"/>
                <w:szCs w:val="20"/>
              </w:rPr>
            </w:pPr>
            <w:r w:rsidRPr="00AC4D37">
              <w:rPr>
                <w:sz w:val="20"/>
                <w:szCs w:val="20"/>
              </w:rPr>
              <w:t xml:space="preserve">    </w:t>
            </w:r>
            <w:r>
              <w:rPr>
                <w:sz w:val="20"/>
                <w:szCs w:val="20"/>
              </w:rPr>
              <w:t>d. Defusion</w:t>
            </w:r>
          </w:p>
        </w:tc>
        <w:tc>
          <w:tcPr>
            <w:tcW w:w="720" w:type="dxa"/>
            <w:shd w:val="clear" w:color="auto" w:fill="auto"/>
            <w:tcMar>
              <w:top w:w="100" w:type="dxa"/>
              <w:left w:w="100" w:type="dxa"/>
              <w:bottom w:w="100" w:type="dxa"/>
              <w:right w:w="100" w:type="dxa"/>
            </w:tcMar>
          </w:tcPr>
          <w:p w14:paraId="78A1D9E7" w14:textId="6D50B185" w:rsidR="00BB2035" w:rsidRPr="00AC4D37" w:rsidRDefault="00BB2035" w:rsidP="004345D2">
            <w:pPr>
              <w:widowControl w:val="0"/>
              <w:pBdr>
                <w:top w:val="nil"/>
                <w:left w:val="nil"/>
                <w:bottom w:val="nil"/>
                <w:right w:val="nil"/>
                <w:between w:val="nil"/>
              </w:pBdr>
              <w:jc w:val="center"/>
              <w:rPr>
                <w:sz w:val="20"/>
                <w:szCs w:val="20"/>
              </w:rPr>
            </w:pPr>
            <w:r>
              <w:rPr>
                <w:sz w:val="20"/>
                <w:szCs w:val="20"/>
              </w:rPr>
              <w:t>3.23</w:t>
            </w:r>
          </w:p>
        </w:tc>
        <w:tc>
          <w:tcPr>
            <w:tcW w:w="720" w:type="dxa"/>
            <w:shd w:val="clear" w:color="auto" w:fill="auto"/>
            <w:tcMar>
              <w:top w:w="100" w:type="dxa"/>
              <w:left w:w="100" w:type="dxa"/>
              <w:bottom w:w="100" w:type="dxa"/>
              <w:right w:w="100" w:type="dxa"/>
            </w:tcMar>
          </w:tcPr>
          <w:p w14:paraId="74317D02" w14:textId="10458D90" w:rsidR="00BB2035" w:rsidRPr="00AC4D37" w:rsidRDefault="00BB2035" w:rsidP="00C01E36">
            <w:pPr>
              <w:widowControl w:val="0"/>
              <w:pBdr>
                <w:top w:val="nil"/>
                <w:left w:val="nil"/>
                <w:bottom w:val="nil"/>
                <w:right w:val="nil"/>
                <w:between w:val="nil"/>
              </w:pBdr>
              <w:jc w:val="center"/>
              <w:rPr>
                <w:sz w:val="20"/>
                <w:szCs w:val="20"/>
              </w:rPr>
            </w:pPr>
            <w:r>
              <w:rPr>
                <w:sz w:val="20"/>
                <w:szCs w:val="20"/>
              </w:rPr>
              <w:t>1.24</w:t>
            </w:r>
          </w:p>
        </w:tc>
        <w:tc>
          <w:tcPr>
            <w:tcW w:w="720" w:type="dxa"/>
          </w:tcPr>
          <w:p w14:paraId="1AE0690C" w14:textId="00993456" w:rsidR="00BB2035" w:rsidRPr="00AC4D37" w:rsidRDefault="00EB6DF1" w:rsidP="00C01E36">
            <w:pPr>
              <w:widowControl w:val="0"/>
              <w:pBdr>
                <w:top w:val="nil"/>
                <w:left w:val="nil"/>
                <w:bottom w:val="nil"/>
                <w:right w:val="nil"/>
                <w:between w:val="nil"/>
              </w:pBdr>
              <w:jc w:val="center"/>
              <w:rPr>
                <w:sz w:val="20"/>
                <w:szCs w:val="20"/>
              </w:rPr>
            </w:pPr>
            <w:r>
              <w:rPr>
                <w:sz w:val="20"/>
                <w:szCs w:val="20"/>
              </w:rPr>
              <w:t>.49**</w:t>
            </w:r>
          </w:p>
        </w:tc>
        <w:tc>
          <w:tcPr>
            <w:tcW w:w="810" w:type="dxa"/>
          </w:tcPr>
          <w:p w14:paraId="01841371" w14:textId="0D62FA91" w:rsidR="00BB2035" w:rsidRPr="00AC4D37" w:rsidRDefault="00EB6DF1" w:rsidP="00C01E36">
            <w:pPr>
              <w:widowControl w:val="0"/>
              <w:pBdr>
                <w:top w:val="nil"/>
                <w:left w:val="nil"/>
                <w:bottom w:val="nil"/>
                <w:right w:val="nil"/>
                <w:between w:val="nil"/>
              </w:pBdr>
              <w:jc w:val="center"/>
              <w:rPr>
                <w:sz w:val="20"/>
                <w:szCs w:val="20"/>
              </w:rPr>
            </w:pPr>
            <w:r>
              <w:rPr>
                <w:sz w:val="20"/>
                <w:szCs w:val="20"/>
              </w:rPr>
              <w:t>-.59**</w:t>
            </w:r>
          </w:p>
        </w:tc>
        <w:tc>
          <w:tcPr>
            <w:tcW w:w="720" w:type="dxa"/>
          </w:tcPr>
          <w:p w14:paraId="37A23C1C" w14:textId="1EF8F958" w:rsidR="00BB2035" w:rsidRPr="00AC4D37" w:rsidRDefault="00EB6DF1" w:rsidP="00C01E36">
            <w:pPr>
              <w:widowControl w:val="0"/>
              <w:pBdr>
                <w:top w:val="nil"/>
                <w:left w:val="nil"/>
                <w:bottom w:val="nil"/>
                <w:right w:val="nil"/>
                <w:between w:val="nil"/>
              </w:pBdr>
              <w:jc w:val="center"/>
              <w:rPr>
                <w:sz w:val="20"/>
                <w:szCs w:val="20"/>
              </w:rPr>
            </w:pPr>
            <w:r>
              <w:rPr>
                <w:sz w:val="20"/>
                <w:szCs w:val="20"/>
              </w:rPr>
              <w:t>.83**</w:t>
            </w:r>
          </w:p>
        </w:tc>
        <w:tc>
          <w:tcPr>
            <w:tcW w:w="720" w:type="dxa"/>
          </w:tcPr>
          <w:p w14:paraId="7E905480" w14:textId="7134528B" w:rsidR="00BB2035" w:rsidRPr="00AC4D37" w:rsidRDefault="00EB6DF1" w:rsidP="00C01E36">
            <w:pPr>
              <w:widowControl w:val="0"/>
              <w:pBdr>
                <w:top w:val="nil"/>
                <w:left w:val="nil"/>
                <w:bottom w:val="nil"/>
                <w:right w:val="nil"/>
                <w:between w:val="nil"/>
              </w:pBdr>
              <w:jc w:val="center"/>
              <w:rPr>
                <w:sz w:val="20"/>
                <w:szCs w:val="20"/>
              </w:rPr>
            </w:pPr>
            <w:r>
              <w:rPr>
                <w:sz w:val="20"/>
                <w:szCs w:val="20"/>
              </w:rPr>
              <w:t>.50**</w:t>
            </w:r>
          </w:p>
        </w:tc>
        <w:tc>
          <w:tcPr>
            <w:tcW w:w="540" w:type="dxa"/>
          </w:tcPr>
          <w:p w14:paraId="12E78797" w14:textId="60FE2215" w:rsidR="00BB2035" w:rsidRPr="00AC4D37" w:rsidRDefault="00EB6DF1" w:rsidP="00C01E36">
            <w:pPr>
              <w:widowControl w:val="0"/>
              <w:pBdr>
                <w:top w:val="nil"/>
                <w:left w:val="nil"/>
                <w:bottom w:val="nil"/>
                <w:right w:val="nil"/>
                <w:between w:val="nil"/>
              </w:pBdr>
              <w:jc w:val="center"/>
              <w:rPr>
                <w:sz w:val="20"/>
                <w:szCs w:val="20"/>
              </w:rPr>
            </w:pPr>
            <w:r>
              <w:rPr>
                <w:sz w:val="20"/>
                <w:szCs w:val="20"/>
              </w:rPr>
              <w:t>.30</w:t>
            </w:r>
          </w:p>
        </w:tc>
        <w:tc>
          <w:tcPr>
            <w:tcW w:w="720" w:type="dxa"/>
          </w:tcPr>
          <w:p w14:paraId="26390DDE" w14:textId="18DF8C0D" w:rsidR="00BB2035" w:rsidRPr="00AC4D37" w:rsidRDefault="00C91C62" w:rsidP="00C01E36">
            <w:pPr>
              <w:widowControl w:val="0"/>
              <w:pBdr>
                <w:top w:val="nil"/>
                <w:left w:val="nil"/>
                <w:bottom w:val="nil"/>
                <w:right w:val="nil"/>
                <w:between w:val="nil"/>
              </w:pBdr>
              <w:jc w:val="center"/>
              <w:rPr>
                <w:sz w:val="20"/>
                <w:szCs w:val="20"/>
              </w:rPr>
            </w:pPr>
            <w:r>
              <w:rPr>
                <w:sz w:val="20"/>
                <w:szCs w:val="20"/>
              </w:rPr>
              <w:t>.65**</w:t>
            </w:r>
          </w:p>
        </w:tc>
        <w:tc>
          <w:tcPr>
            <w:tcW w:w="720" w:type="dxa"/>
          </w:tcPr>
          <w:p w14:paraId="07BE9D4A" w14:textId="530C9860" w:rsidR="00BB2035" w:rsidRPr="00AC4D37" w:rsidRDefault="00C91C62" w:rsidP="00C01E36">
            <w:pPr>
              <w:widowControl w:val="0"/>
              <w:pBdr>
                <w:top w:val="nil"/>
                <w:left w:val="nil"/>
                <w:bottom w:val="nil"/>
                <w:right w:val="nil"/>
                <w:between w:val="nil"/>
              </w:pBdr>
              <w:jc w:val="center"/>
              <w:rPr>
                <w:sz w:val="20"/>
                <w:szCs w:val="20"/>
              </w:rPr>
            </w:pPr>
            <w:r>
              <w:rPr>
                <w:sz w:val="20"/>
                <w:szCs w:val="20"/>
              </w:rPr>
              <w:t>—</w:t>
            </w:r>
          </w:p>
        </w:tc>
        <w:tc>
          <w:tcPr>
            <w:tcW w:w="720" w:type="dxa"/>
          </w:tcPr>
          <w:p w14:paraId="4D743CD1" w14:textId="77777777" w:rsidR="00BB2035" w:rsidRPr="00AC4D37" w:rsidRDefault="00BB2035" w:rsidP="00C01E36">
            <w:pPr>
              <w:widowControl w:val="0"/>
              <w:pBdr>
                <w:top w:val="nil"/>
                <w:left w:val="nil"/>
                <w:bottom w:val="nil"/>
                <w:right w:val="nil"/>
                <w:between w:val="nil"/>
              </w:pBdr>
              <w:jc w:val="center"/>
              <w:rPr>
                <w:sz w:val="20"/>
                <w:szCs w:val="20"/>
              </w:rPr>
            </w:pPr>
          </w:p>
        </w:tc>
        <w:tc>
          <w:tcPr>
            <w:tcW w:w="540" w:type="dxa"/>
          </w:tcPr>
          <w:p w14:paraId="06131384" w14:textId="77777777" w:rsidR="00BB2035" w:rsidRPr="00AC4D37" w:rsidRDefault="00BB2035" w:rsidP="00C01E36">
            <w:pPr>
              <w:widowControl w:val="0"/>
              <w:pBdr>
                <w:top w:val="nil"/>
                <w:left w:val="nil"/>
                <w:bottom w:val="nil"/>
                <w:right w:val="nil"/>
                <w:between w:val="nil"/>
              </w:pBdr>
              <w:jc w:val="center"/>
              <w:rPr>
                <w:sz w:val="20"/>
                <w:szCs w:val="20"/>
              </w:rPr>
            </w:pPr>
          </w:p>
        </w:tc>
      </w:tr>
      <w:tr w:rsidR="00C91C62" w:rsidRPr="00AC4D37" w14:paraId="3C6DB3AB" w14:textId="60BE524C" w:rsidTr="00C91C62">
        <w:trPr>
          <w:jc w:val="center"/>
        </w:trPr>
        <w:tc>
          <w:tcPr>
            <w:tcW w:w="2070" w:type="dxa"/>
            <w:shd w:val="clear" w:color="auto" w:fill="auto"/>
            <w:tcMar>
              <w:top w:w="100" w:type="dxa"/>
              <w:left w:w="100" w:type="dxa"/>
              <w:bottom w:w="100" w:type="dxa"/>
              <w:right w:w="100" w:type="dxa"/>
            </w:tcMar>
          </w:tcPr>
          <w:p w14:paraId="6E184CB9" w14:textId="340676F4" w:rsidR="00BB2035" w:rsidRPr="00AC4D37" w:rsidRDefault="00BB2035" w:rsidP="004345D2">
            <w:pPr>
              <w:widowControl w:val="0"/>
              <w:pBdr>
                <w:top w:val="nil"/>
                <w:left w:val="nil"/>
                <w:bottom w:val="nil"/>
                <w:right w:val="nil"/>
                <w:between w:val="nil"/>
              </w:pBdr>
              <w:rPr>
                <w:sz w:val="20"/>
                <w:szCs w:val="20"/>
              </w:rPr>
            </w:pPr>
            <w:r>
              <w:rPr>
                <w:sz w:val="20"/>
                <w:szCs w:val="20"/>
              </w:rPr>
              <w:t xml:space="preserve">    e. Values</w:t>
            </w:r>
          </w:p>
        </w:tc>
        <w:tc>
          <w:tcPr>
            <w:tcW w:w="720" w:type="dxa"/>
            <w:shd w:val="clear" w:color="auto" w:fill="auto"/>
            <w:tcMar>
              <w:top w:w="100" w:type="dxa"/>
              <w:left w:w="100" w:type="dxa"/>
              <w:bottom w:w="100" w:type="dxa"/>
              <w:right w:w="100" w:type="dxa"/>
            </w:tcMar>
          </w:tcPr>
          <w:p w14:paraId="354457BC" w14:textId="28493C26" w:rsidR="00BB2035" w:rsidRPr="00AC4D37" w:rsidRDefault="00BB2035" w:rsidP="004345D2">
            <w:pPr>
              <w:widowControl w:val="0"/>
              <w:pBdr>
                <w:top w:val="nil"/>
                <w:left w:val="nil"/>
                <w:bottom w:val="nil"/>
                <w:right w:val="nil"/>
                <w:between w:val="nil"/>
              </w:pBdr>
              <w:jc w:val="center"/>
              <w:rPr>
                <w:sz w:val="20"/>
                <w:szCs w:val="20"/>
              </w:rPr>
            </w:pPr>
            <w:r>
              <w:rPr>
                <w:sz w:val="20"/>
                <w:szCs w:val="20"/>
              </w:rPr>
              <w:t>4.60</w:t>
            </w:r>
          </w:p>
        </w:tc>
        <w:tc>
          <w:tcPr>
            <w:tcW w:w="720" w:type="dxa"/>
            <w:shd w:val="clear" w:color="auto" w:fill="auto"/>
            <w:tcMar>
              <w:top w:w="100" w:type="dxa"/>
              <w:left w:w="100" w:type="dxa"/>
              <w:bottom w:w="100" w:type="dxa"/>
              <w:right w:w="100" w:type="dxa"/>
            </w:tcMar>
          </w:tcPr>
          <w:p w14:paraId="19E68AF6" w14:textId="232E79C7" w:rsidR="00BB2035" w:rsidRPr="00AC4D37" w:rsidRDefault="00BB2035" w:rsidP="00C01E36">
            <w:pPr>
              <w:widowControl w:val="0"/>
              <w:pBdr>
                <w:top w:val="nil"/>
                <w:left w:val="nil"/>
                <w:bottom w:val="nil"/>
                <w:right w:val="nil"/>
                <w:between w:val="nil"/>
              </w:pBdr>
              <w:jc w:val="center"/>
              <w:rPr>
                <w:sz w:val="20"/>
                <w:szCs w:val="20"/>
              </w:rPr>
            </w:pPr>
            <w:r>
              <w:rPr>
                <w:sz w:val="20"/>
                <w:szCs w:val="20"/>
              </w:rPr>
              <w:t>0.93</w:t>
            </w:r>
          </w:p>
        </w:tc>
        <w:tc>
          <w:tcPr>
            <w:tcW w:w="720" w:type="dxa"/>
          </w:tcPr>
          <w:p w14:paraId="379799AB" w14:textId="3F695A9E" w:rsidR="00BB2035" w:rsidRPr="00AC4D37" w:rsidRDefault="00C91C62" w:rsidP="00C01E36">
            <w:pPr>
              <w:widowControl w:val="0"/>
              <w:pBdr>
                <w:top w:val="nil"/>
                <w:left w:val="nil"/>
                <w:bottom w:val="nil"/>
                <w:right w:val="nil"/>
                <w:between w:val="nil"/>
              </w:pBdr>
              <w:jc w:val="center"/>
              <w:rPr>
                <w:sz w:val="20"/>
                <w:szCs w:val="20"/>
              </w:rPr>
            </w:pPr>
            <w:r>
              <w:rPr>
                <w:sz w:val="20"/>
                <w:szCs w:val="20"/>
              </w:rPr>
              <w:t>.15</w:t>
            </w:r>
          </w:p>
        </w:tc>
        <w:tc>
          <w:tcPr>
            <w:tcW w:w="810" w:type="dxa"/>
          </w:tcPr>
          <w:p w14:paraId="3CB5FA2E" w14:textId="14C489D5" w:rsidR="00BB2035" w:rsidRPr="00AC4D37" w:rsidRDefault="00C91C62" w:rsidP="00C01E36">
            <w:pPr>
              <w:widowControl w:val="0"/>
              <w:pBdr>
                <w:top w:val="nil"/>
                <w:left w:val="nil"/>
                <w:bottom w:val="nil"/>
                <w:right w:val="nil"/>
                <w:between w:val="nil"/>
              </w:pBdr>
              <w:jc w:val="center"/>
              <w:rPr>
                <w:sz w:val="20"/>
                <w:szCs w:val="20"/>
              </w:rPr>
            </w:pPr>
            <w:r>
              <w:rPr>
                <w:sz w:val="20"/>
                <w:szCs w:val="20"/>
              </w:rPr>
              <w:t>-.27</w:t>
            </w:r>
          </w:p>
        </w:tc>
        <w:tc>
          <w:tcPr>
            <w:tcW w:w="720" w:type="dxa"/>
          </w:tcPr>
          <w:p w14:paraId="2CCE49A4" w14:textId="570D7B96" w:rsidR="00BB2035" w:rsidRPr="00AC4D37" w:rsidRDefault="00C91C62" w:rsidP="00C01E36">
            <w:pPr>
              <w:widowControl w:val="0"/>
              <w:pBdr>
                <w:top w:val="nil"/>
                <w:left w:val="nil"/>
                <w:bottom w:val="nil"/>
                <w:right w:val="nil"/>
                <w:between w:val="nil"/>
              </w:pBdr>
              <w:jc w:val="center"/>
              <w:rPr>
                <w:sz w:val="20"/>
                <w:szCs w:val="20"/>
              </w:rPr>
            </w:pPr>
            <w:r>
              <w:rPr>
                <w:sz w:val="20"/>
                <w:szCs w:val="20"/>
              </w:rPr>
              <w:t>.79**</w:t>
            </w:r>
          </w:p>
        </w:tc>
        <w:tc>
          <w:tcPr>
            <w:tcW w:w="720" w:type="dxa"/>
          </w:tcPr>
          <w:p w14:paraId="56FC89F6" w14:textId="5CC6FC63" w:rsidR="00BB2035" w:rsidRPr="00AC4D37" w:rsidRDefault="00C91C62" w:rsidP="00C01E36">
            <w:pPr>
              <w:widowControl w:val="0"/>
              <w:pBdr>
                <w:top w:val="nil"/>
                <w:left w:val="nil"/>
                <w:bottom w:val="nil"/>
                <w:right w:val="nil"/>
                <w:between w:val="nil"/>
              </w:pBdr>
              <w:jc w:val="center"/>
              <w:rPr>
                <w:sz w:val="20"/>
                <w:szCs w:val="20"/>
              </w:rPr>
            </w:pPr>
            <w:r>
              <w:rPr>
                <w:sz w:val="20"/>
                <w:szCs w:val="20"/>
              </w:rPr>
              <w:t>.38*</w:t>
            </w:r>
          </w:p>
        </w:tc>
        <w:tc>
          <w:tcPr>
            <w:tcW w:w="540" w:type="dxa"/>
          </w:tcPr>
          <w:p w14:paraId="3870084C" w14:textId="16A9BDEE" w:rsidR="00BB2035" w:rsidRPr="00AC4D37" w:rsidRDefault="00C91C62" w:rsidP="00C01E36">
            <w:pPr>
              <w:widowControl w:val="0"/>
              <w:pBdr>
                <w:top w:val="nil"/>
                <w:left w:val="nil"/>
                <w:bottom w:val="nil"/>
                <w:right w:val="nil"/>
                <w:between w:val="nil"/>
              </w:pBdr>
              <w:jc w:val="center"/>
              <w:rPr>
                <w:sz w:val="20"/>
                <w:szCs w:val="20"/>
              </w:rPr>
            </w:pPr>
            <w:r>
              <w:rPr>
                <w:sz w:val="20"/>
                <w:szCs w:val="20"/>
              </w:rPr>
              <w:t>.30</w:t>
            </w:r>
          </w:p>
        </w:tc>
        <w:tc>
          <w:tcPr>
            <w:tcW w:w="720" w:type="dxa"/>
          </w:tcPr>
          <w:p w14:paraId="268AD5AA" w14:textId="4C74DA64" w:rsidR="00BB2035" w:rsidRPr="00AC4D37" w:rsidRDefault="00C91C62" w:rsidP="00C01E36">
            <w:pPr>
              <w:widowControl w:val="0"/>
              <w:pBdr>
                <w:top w:val="nil"/>
                <w:left w:val="nil"/>
                <w:bottom w:val="nil"/>
                <w:right w:val="nil"/>
                <w:between w:val="nil"/>
              </w:pBdr>
              <w:jc w:val="center"/>
              <w:rPr>
                <w:sz w:val="20"/>
                <w:szCs w:val="20"/>
              </w:rPr>
            </w:pPr>
            <w:r>
              <w:rPr>
                <w:sz w:val="20"/>
                <w:szCs w:val="20"/>
              </w:rPr>
              <w:t>.73**</w:t>
            </w:r>
          </w:p>
        </w:tc>
        <w:tc>
          <w:tcPr>
            <w:tcW w:w="720" w:type="dxa"/>
          </w:tcPr>
          <w:p w14:paraId="6D0AF98E" w14:textId="1A4F42E4" w:rsidR="00BB2035" w:rsidRPr="00AC4D37" w:rsidRDefault="00C91C62" w:rsidP="00C01E36">
            <w:pPr>
              <w:widowControl w:val="0"/>
              <w:pBdr>
                <w:top w:val="nil"/>
                <w:left w:val="nil"/>
                <w:bottom w:val="nil"/>
                <w:right w:val="nil"/>
                <w:between w:val="nil"/>
              </w:pBdr>
              <w:jc w:val="center"/>
              <w:rPr>
                <w:sz w:val="20"/>
                <w:szCs w:val="20"/>
              </w:rPr>
            </w:pPr>
            <w:r>
              <w:rPr>
                <w:sz w:val="20"/>
                <w:szCs w:val="20"/>
              </w:rPr>
              <w:t>.60**</w:t>
            </w:r>
          </w:p>
        </w:tc>
        <w:tc>
          <w:tcPr>
            <w:tcW w:w="720" w:type="dxa"/>
          </w:tcPr>
          <w:p w14:paraId="6C0778CE" w14:textId="6DC5EFE7" w:rsidR="00BB2035" w:rsidRPr="00AC4D37" w:rsidRDefault="00C91C62" w:rsidP="00C01E36">
            <w:pPr>
              <w:widowControl w:val="0"/>
              <w:pBdr>
                <w:top w:val="nil"/>
                <w:left w:val="nil"/>
                <w:bottom w:val="nil"/>
                <w:right w:val="nil"/>
                <w:between w:val="nil"/>
              </w:pBdr>
              <w:jc w:val="center"/>
              <w:rPr>
                <w:sz w:val="20"/>
                <w:szCs w:val="20"/>
              </w:rPr>
            </w:pPr>
            <w:r>
              <w:rPr>
                <w:sz w:val="20"/>
                <w:szCs w:val="20"/>
              </w:rPr>
              <w:t>—</w:t>
            </w:r>
          </w:p>
        </w:tc>
        <w:tc>
          <w:tcPr>
            <w:tcW w:w="540" w:type="dxa"/>
          </w:tcPr>
          <w:p w14:paraId="510A122A" w14:textId="77777777" w:rsidR="00BB2035" w:rsidRPr="00AC4D37" w:rsidRDefault="00BB2035" w:rsidP="00C01E36">
            <w:pPr>
              <w:widowControl w:val="0"/>
              <w:pBdr>
                <w:top w:val="nil"/>
                <w:left w:val="nil"/>
                <w:bottom w:val="nil"/>
                <w:right w:val="nil"/>
                <w:between w:val="nil"/>
              </w:pBdr>
              <w:jc w:val="center"/>
              <w:rPr>
                <w:sz w:val="20"/>
                <w:szCs w:val="20"/>
              </w:rPr>
            </w:pPr>
          </w:p>
        </w:tc>
      </w:tr>
      <w:tr w:rsidR="00C91C62" w:rsidRPr="00AC4D37" w14:paraId="68C17A19" w14:textId="365685E2" w:rsidTr="00C91C62">
        <w:trPr>
          <w:jc w:val="center"/>
        </w:trPr>
        <w:tc>
          <w:tcPr>
            <w:tcW w:w="2070" w:type="dxa"/>
            <w:tcBorders>
              <w:bottom w:val="single" w:sz="4" w:space="0" w:color="auto"/>
            </w:tcBorders>
            <w:shd w:val="clear" w:color="auto" w:fill="auto"/>
            <w:tcMar>
              <w:top w:w="100" w:type="dxa"/>
              <w:left w:w="100" w:type="dxa"/>
              <w:bottom w:w="100" w:type="dxa"/>
              <w:right w:w="100" w:type="dxa"/>
            </w:tcMar>
          </w:tcPr>
          <w:p w14:paraId="579278B8" w14:textId="49414237" w:rsidR="00BB2035" w:rsidRPr="00AC4D37" w:rsidRDefault="00BB2035" w:rsidP="004345D2">
            <w:pPr>
              <w:widowControl w:val="0"/>
              <w:pBdr>
                <w:top w:val="nil"/>
                <w:left w:val="nil"/>
                <w:bottom w:val="nil"/>
                <w:right w:val="nil"/>
                <w:between w:val="nil"/>
              </w:pBdr>
              <w:rPr>
                <w:sz w:val="20"/>
                <w:szCs w:val="20"/>
              </w:rPr>
            </w:pPr>
            <w:r w:rsidRPr="00AC4D37">
              <w:rPr>
                <w:sz w:val="20"/>
                <w:szCs w:val="20"/>
              </w:rPr>
              <w:t xml:space="preserve">    </w:t>
            </w:r>
            <w:r>
              <w:rPr>
                <w:sz w:val="20"/>
                <w:szCs w:val="20"/>
              </w:rPr>
              <w:t>f. Committed action</w:t>
            </w:r>
          </w:p>
        </w:tc>
        <w:tc>
          <w:tcPr>
            <w:tcW w:w="720" w:type="dxa"/>
            <w:tcBorders>
              <w:bottom w:val="single" w:sz="4" w:space="0" w:color="auto"/>
            </w:tcBorders>
            <w:shd w:val="clear" w:color="auto" w:fill="auto"/>
            <w:tcMar>
              <w:top w:w="100" w:type="dxa"/>
              <w:left w:w="100" w:type="dxa"/>
              <w:bottom w:w="100" w:type="dxa"/>
              <w:right w:w="100" w:type="dxa"/>
            </w:tcMar>
          </w:tcPr>
          <w:p w14:paraId="292DFD44" w14:textId="5FDAFFD9" w:rsidR="00BB2035" w:rsidRPr="00AC4D37" w:rsidRDefault="00BB2035" w:rsidP="004345D2">
            <w:pPr>
              <w:widowControl w:val="0"/>
              <w:pBdr>
                <w:top w:val="nil"/>
                <w:left w:val="nil"/>
                <w:bottom w:val="nil"/>
                <w:right w:val="nil"/>
                <w:between w:val="nil"/>
              </w:pBdr>
              <w:jc w:val="center"/>
              <w:rPr>
                <w:sz w:val="20"/>
                <w:szCs w:val="20"/>
              </w:rPr>
            </w:pPr>
            <w:r>
              <w:rPr>
                <w:sz w:val="20"/>
                <w:szCs w:val="20"/>
              </w:rPr>
              <w:t>4.64</w:t>
            </w:r>
          </w:p>
        </w:tc>
        <w:tc>
          <w:tcPr>
            <w:tcW w:w="720" w:type="dxa"/>
            <w:tcBorders>
              <w:bottom w:val="single" w:sz="4" w:space="0" w:color="auto"/>
            </w:tcBorders>
            <w:shd w:val="clear" w:color="auto" w:fill="auto"/>
            <w:tcMar>
              <w:top w:w="100" w:type="dxa"/>
              <w:left w:w="100" w:type="dxa"/>
              <w:bottom w:w="100" w:type="dxa"/>
              <w:right w:w="100" w:type="dxa"/>
            </w:tcMar>
          </w:tcPr>
          <w:p w14:paraId="6459EC0C" w14:textId="288EAC87" w:rsidR="00BB2035" w:rsidRPr="00AC4D37" w:rsidRDefault="00BB2035" w:rsidP="00C01E36">
            <w:pPr>
              <w:widowControl w:val="0"/>
              <w:pBdr>
                <w:top w:val="nil"/>
                <w:left w:val="nil"/>
                <w:bottom w:val="nil"/>
                <w:right w:val="nil"/>
                <w:between w:val="nil"/>
              </w:pBdr>
              <w:jc w:val="center"/>
              <w:rPr>
                <w:sz w:val="20"/>
                <w:szCs w:val="20"/>
              </w:rPr>
            </w:pPr>
            <w:r>
              <w:rPr>
                <w:sz w:val="20"/>
                <w:szCs w:val="20"/>
              </w:rPr>
              <w:t>1.03</w:t>
            </w:r>
          </w:p>
        </w:tc>
        <w:tc>
          <w:tcPr>
            <w:tcW w:w="720" w:type="dxa"/>
            <w:tcBorders>
              <w:bottom w:val="single" w:sz="4" w:space="0" w:color="auto"/>
            </w:tcBorders>
          </w:tcPr>
          <w:p w14:paraId="68BBB26A" w14:textId="0B3AF4DF" w:rsidR="00BB2035" w:rsidRPr="00AC4D37" w:rsidRDefault="00C91C62" w:rsidP="00C01E36">
            <w:pPr>
              <w:widowControl w:val="0"/>
              <w:pBdr>
                <w:top w:val="nil"/>
                <w:left w:val="nil"/>
                <w:bottom w:val="nil"/>
                <w:right w:val="nil"/>
                <w:between w:val="nil"/>
              </w:pBdr>
              <w:jc w:val="center"/>
              <w:rPr>
                <w:sz w:val="20"/>
                <w:szCs w:val="20"/>
              </w:rPr>
            </w:pPr>
            <w:r>
              <w:rPr>
                <w:sz w:val="20"/>
                <w:szCs w:val="20"/>
              </w:rPr>
              <w:t>.27</w:t>
            </w:r>
          </w:p>
        </w:tc>
        <w:tc>
          <w:tcPr>
            <w:tcW w:w="810" w:type="dxa"/>
            <w:tcBorders>
              <w:bottom w:val="single" w:sz="4" w:space="0" w:color="auto"/>
            </w:tcBorders>
          </w:tcPr>
          <w:p w14:paraId="6871345A" w14:textId="151E29D9" w:rsidR="00BB2035" w:rsidRPr="00AC4D37" w:rsidRDefault="00C91C62" w:rsidP="00C01E36">
            <w:pPr>
              <w:widowControl w:val="0"/>
              <w:pBdr>
                <w:top w:val="nil"/>
                <w:left w:val="nil"/>
                <w:bottom w:val="nil"/>
                <w:right w:val="nil"/>
                <w:between w:val="nil"/>
              </w:pBdr>
              <w:jc w:val="center"/>
              <w:rPr>
                <w:sz w:val="20"/>
                <w:szCs w:val="20"/>
              </w:rPr>
            </w:pPr>
            <w:r>
              <w:rPr>
                <w:sz w:val="20"/>
                <w:szCs w:val="20"/>
              </w:rPr>
              <w:t>-.48**</w:t>
            </w:r>
          </w:p>
        </w:tc>
        <w:tc>
          <w:tcPr>
            <w:tcW w:w="720" w:type="dxa"/>
            <w:tcBorders>
              <w:bottom w:val="single" w:sz="4" w:space="0" w:color="auto"/>
            </w:tcBorders>
          </w:tcPr>
          <w:p w14:paraId="7284154C" w14:textId="47B3F979" w:rsidR="00BB2035" w:rsidRPr="00AC4D37" w:rsidRDefault="00C91C62" w:rsidP="00C01E36">
            <w:pPr>
              <w:widowControl w:val="0"/>
              <w:pBdr>
                <w:top w:val="nil"/>
                <w:left w:val="nil"/>
                <w:bottom w:val="nil"/>
                <w:right w:val="nil"/>
                <w:between w:val="nil"/>
              </w:pBdr>
              <w:jc w:val="center"/>
              <w:rPr>
                <w:sz w:val="20"/>
                <w:szCs w:val="20"/>
              </w:rPr>
            </w:pPr>
            <w:r>
              <w:rPr>
                <w:sz w:val="20"/>
                <w:szCs w:val="20"/>
              </w:rPr>
              <w:t>.75**</w:t>
            </w:r>
          </w:p>
        </w:tc>
        <w:tc>
          <w:tcPr>
            <w:tcW w:w="720" w:type="dxa"/>
            <w:tcBorders>
              <w:bottom w:val="single" w:sz="4" w:space="0" w:color="auto"/>
            </w:tcBorders>
          </w:tcPr>
          <w:p w14:paraId="51C3858A" w14:textId="026F04AA" w:rsidR="00BB2035" w:rsidRPr="00AC4D37" w:rsidRDefault="00C91C62" w:rsidP="00C01E36">
            <w:pPr>
              <w:widowControl w:val="0"/>
              <w:pBdr>
                <w:top w:val="nil"/>
                <w:left w:val="nil"/>
                <w:bottom w:val="nil"/>
                <w:right w:val="nil"/>
                <w:between w:val="nil"/>
              </w:pBdr>
              <w:jc w:val="center"/>
              <w:rPr>
                <w:sz w:val="20"/>
                <w:szCs w:val="20"/>
              </w:rPr>
            </w:pPr>
            <w:r>
              <w:rPr>
                <w:sz w:val="20"/>
                <w:szCs w:val="20"/>
              </w:rPr>
              <w:t>.32</w:t>
            </w:r>
          </w:p>
        </w:tc>
        <w:tc>
          <w:tcPr>
            <w:tcW w:w="540" w:type="dxa"/>
            <w:tcBorders>
              <w:bottom w:val="single" w:sz="4" w:space="0" w:color="auto"/>
            </w:tcBorders>
          </w:tcPr>
          <w:p w14:paraId="083D70F2" w14:textId="23E55058" w:rsidR="00BB2035" w:rsidRPr="00AC4D37" w:rsidRDefault="00C91C62" w:rsidP="00C01E36">
            <w:pPr>
              <w:widowControl w:val="0"/>
              <w:pBdr>
                <w:top w:val="nil"/>
                <w:left w:val="nil"/>
                <w:bottom w:val="nil"/>
                <w:right w:val="nil"/>
                <w:between w:val="nil"/>
              </w:pBdr>
              <w:jc w:val="center"/>
              <w:rPr>
                <w:sz w:val="20"/>
                <w:szCs w:val="20"/>
              </w:rPr>
            </w:pPr>
            <w:r>
              <w:rPr>
                <w:sz w:val="20"/>
                <w:szCs w:val="20"/>
              </w:rPr>
              <w:t>.19</w:t>
            </w:r>
          </w:p>
        </w:tc>
        <w:tc>
          <w:tcPr>
            <w:tcW w:w="720" w:type="dxa"/>
            <w:tcBorders>
              <w:bottom w:val="single" w:sz="4" w:space="0" w:color="auto"/>
            </w:tcBorders>
          </w:tcPr>
          <w:p w14:paraId="5171139F" w14:textId="251F2B1B" w:rsidR="00BB2035" w:rsidRPr="00AC4D37" w:rsidRDefault="00C91C62" w:rsidP="00C01E36">
            <w:pPr>
              <w:widowControl w:val="0"/>
              <w:pBdr>
                <w:top w:val="nil"/>
                <w:left w:val="nil"/>
                <w:bottom w:val="nil"/>
                <w:right w:val="nil"/>
                <w:between w:val="nil"/>
              </w:pBdr>
              <w:jc w:val="center"/>
              <w:rPr>
                <w:sz w:val="20"/>
                <w:szCs w:val="20"/>
              </w:rPr>
            </w:pPr>
            <w:r>
              <w:rPr>
                <w:sz w:val="20"/>
                <w:szCs w:val="20"/>
              </w:rPr>
              <w:t>.67**</w:t>
            </w:r>
          </w:p>
        </w:tc>
        <w:tc>
          <w:tcPr>
            <w:tcW w:w="720" w:type="dxa"/>
            <w:tcBorders>
              <w:bottom w:val="single" w:sz="4" w:space="0" w:color="auto"/>
            </w:tcBorders>
          </w:tcPr>
          <w:p w14:paraId="0B05E9DC" w14:textId="41131D33" w:rsidR="00BB2035" w:rsidRPr="00AC4D37" w:rsidRDefault="00C91C62" w:rsidP="00C01E36">
            <w:pPr>
              <w:widowControl w:val="0"/>
              <w:pBdr>
                <w:top w:val="nil"/>
                <w:left w:val="nil"/>
                <w:bottom w:val="nil"/>
                <w:right w:val="nil"/>
                <w:between w:val="nil"/>
              </w:pBdr>
              <w:jc w:val="center"/>
              <w:rPr>
                <w:sz w:val="20"/>
                <w:szCs w:val="20"/>
              </w:rPr>
            </w:pPr>
            <w:r>
              <w:rPr>
                <w:sz w:val="20"/>
                <w:szCs w:val="20"/>
              </w:rPr>
              <w:t>.58**</w:t>
            </w:r>
          </w:p>
        </w:tc>
        <w:tc>
          <w:tcPr>
            <w:tcW w:w="720" w:type="dxa"/>
            <w:tcBorders>
              <w:bottom w:val="single" w:sz="4" w:space="0" w:color="auto"/>
            </w:tcBorders>
          </w:tcPr>
          <w:p w14:paraId="59069DF7" w14:textId="5B5ADC24" w:rsidR="00BB2035" w:rsidRPr="00AC4D37" w:rsidRDefault="00C91C62" w:rsidP="00C01E36">
            <w:pPr>
              <w:widowControl w:val="0"/>
              <w:pBdr>
                <w:top w:val="nil"/>
                <w:left w:val="nil"/>
                <w:bottom w:val="nil"/>
                <w:right w:val="nil"/>
                <w:between w:val="nil"/>
              </w:pBdr>
              <w:jc w:val="center"/>
              <w:rPr>
                <w:sz w:val="20"/>
                <w:szCs w:val="20"/>
              </w:rPr>
            </w:pPr>
            <w:r>
              <w:rPr>
                <w:sz w:val="20"/>
                <w:szCs w:val="20"/>
              </w:rPr>
              <w:t>.55**</w:t>
            </w:r>
          </w:p>
        </w:tc>
        <w:tc>
          <w:tcPr>
            <w:tcW w:w="540" w:type="dxa"/>
            <w:tcBorders>
              <w:bottom w:val="single" w:sz="4" w:space="0" w:color="auto"/>
            </w:tcBorders>
          </w:tcPr>
          <w:p w14:paraId="479B1968" w14:textId="47BC42D2" w:rsidR="00BB2035" w:rsidRPr="00AC4D37" w:rsidRDefault="00C91C62" w:rsidP="00C01E36">
            <w:pPr>
              <w:widowControl w:val="0"/>
              <w:pBdr>
                <w:top w:val="nil"/>
                <w:left w:val="nil"/>
                <w:bottom w:val="nil"/>
                <w:right w:val="nil"/>
                <w:between w:val="nil"/>
              </w:pBdr>
              <w:jc w:val="center"/>
              <w:rPr>
                <w:sz w:val="20"/>
                <w:szCs w:val="20"/>
              </w:rPr>
            </w:pPr>
            <w:r>
              <w:rPr>
                <w:sz w:val="20"/>
                <w:szCs w:val="20"/>
              </w:rPr>
              <w:t>—</w:t>
            </w:r>
          </w:p>
        </w:tc>
      </w:tr>
    </w:tbl>
    <w:p w14:paraId="6F5503E5" w14:textId="77777777" w:rsidR="00B673F7" w:rsidRDefault="00B673F7" w:rsidP="00B673F7">
      <w:pPr>
        <w:widowControl w:val="0"/>
        <w:rPr>
          <w:sz w:val="20"/>
          <w:szCs w:val="20"/>
        </w:rPr>
      </w:pPr>
    </w:p>
    <w:p w14:paraId="72303897" w14:textId="5D430649" w:rsidR="00B673F7" w:rsidRPr="00EE18B0" w:rsidRDefault="00B673F7" w:rsidP="00B673F7">
      <w:pPr>
        <w:widowControl w:val="0"/>
        <w:rPr>
          <w:sz w:val="20"/>
          <w:szCs w:val="20"/>
        </w:rPr>
      </w:pPr>
      <w:r w:rsidRPr="00EE18B0">
        <w:rPr>
          <w:sz w:val="20"/>
          <w:szCs w:val="20"/>
        </w:rPr>
        <w:t>*</w:t>
      </w:r>
      <w:r w:rsidRPr="00EE18B0">
        <w:rPr>
          <w:i/>
          <w:iCs/>
          <w:sz w:val="20"/>
          <w:szCs w:val="20"/>
        </w:rPr>
        <w:t>p</w:t>
      </w:r>
      <w:r w:rsidRPr="00EE18B0">
        <w:rPr>
          <w:sz w:val="20"/>
          <w:szCs w:val="20"/>
        </w:rPr>
        <w:t xml:space="preserve"> &lt; .05. **</w:t>
      </w:r>
      <w:r w:rsidRPr="00EE18B0">
        <w:rPr>
          <w:i/>
          <w:iCs/>
          <w:sz w:val="20"/>
          <w:szCs w:val="20"/>
        </w:rPr>
        <w:t>p</w:t>
      </w:r>
      <w:r w:rsidRPr="00EE18B0">
        <w:rPr>
          <w:sz w:val="20"/>
          <w:szCs w:val="20"/>
        </w:rPr>
        <w:t xml:space="preserve"> &lt; .01.</w:t>
      </w:r>
    </w:p>
    <w:p w14:paraId="1CB54BF8" w14:textId="77777777" w:rsidR="00B673F7" w:rsidRDefault="00B673F7" w:rsidP="0085054A"/>
    <w:p w14:paraId="39E6479C" w14:textId="5255F4BA" w:rsidR="0085054A" w:rsidRDefault="0085054A" w:rsidP="0085054A"/>
    <w:p w14:paraId="469A613B" w14:textId="2B90F039" w:rsidR="0085054A" w:rsidRDefault="0085054A" w:rsidP="0085054A"/>
    <w:p w14:paraId="725C81BC" w14:textId="61EA10FE" w:rsidR="0085054A" w:rsidRDefault="0085054A" w:rsidP="0085054A"/>
    <w:p w14:paraId="6B9AB850" w14:textId="299DBF50" w:rsidR="0085054A" w:rsidRDefault="0085054A" w:rsidP="0085054A"/>
    <w:p w14:paraId="23C1296B" w14:textId="445EC10B" w:rsidR="0085054A" w:rsidRDefault="0085054A" w:rsidP="0085054A"/>
    <w:p w14:paraId="02208E4E" w14:textId="35FFE881" w:rsidR="0085054A" w:rsidRDefault="0085054A" w:rsidP="0085054A"/>
    <w:p w14:paraId="3587701D" w14:textId="27E4CB73" w:rsidR="0085054A" w:rsidRDefault="0085054A" w:rsidP="0085054A"/>
    <w:p w14:paraId="0F5DB620" w14:textId="192097B5" w:rsidR="0085054A" w:rsidRDefault="0085054A" w:rsidP="0085054A"/>
    <w:p w14:paraId="1268C96F" w14:textId="59045029" w:rsidR="0085054A" w:rsidRDefault="0085054A" w:rsidP="0085054A"/>
    <w:p w14:paraId="15840E83" w14:textId="062D745C" w:rsidR="0085054A" w:rsidRDefault="0085054A" w:rsidP="0085054A"/>
    <w:p w14:paraId="18D5ACD0" w14:textId="585374AA" w:rsidR="0085054A" w:rsidRDefault="0085054A" w:rsidP="0085054A"/>
    <w:p w14:paraId="14AF7414" w14:textId="2A04E055" w:rsidR="0085054A" w:rsidRDefault="0085054A" w:rsidP="0085054A"/>
    <w:p w14:paraId="181EF825" w14:textId="7722600E" w:rsidR="0085054A" w:rsidRDefault="0085054A" w:rsidP="0085054A"/>
    <w:p w14:paraId="7CCBF743" w14:textId="37D9C10C" w:rsidR="0085054A" w:rsidRDefault="0085054A" w:rsidP="0085054A"/>
    <w:p w14:paraId="37CFBF01" w14:textId="37DF5471" w:rsidR="0085054A" w:rsidRDefault="0085054A" w:rsidP="0085054A"/>
    <w:p w14:paraId="0DB74D0B" w14:textId="4C13583E" w:rsidR="0085054A" w:rsidRDefault="0085054A" w:rsidP="0085054A"/>
    <w:p w14:paraId="17F7AA33" w14:textId="1349203A" w:rsidR="0085054A" w:rsidRDefault="0085054A" w:rsidP="006B7838">
      <w:pPr>
        <w:numPr>
          <w:ilvl w:val="12"/>
          <w:numId w:val="0"/>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spacing w:line="480" w:lineRule="auto"/>
      </w:pPr>
    </w:p>
    <w:p w14:paraId="7765FF4C" w14:textId="1F000996" w:rsidR="0085054A" w:rsidRDefault="0085054A" w:rsidP="006B7838">
      <w:pPr>
        <w:numPr>
          <w:ilvl w:val="12"/>
          <w:numId w:val="0"/>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spacing w:line="480" w:lineRule="auto"/>
      </w:pPr>
    </w:p>
    <w:p w14:paraId="5F7C8673" w14:textId="473EC424" w:rsidR="0085054A" w:rsidRDefault="0085054A" w:rsidP="006B7838">
      <w:pPr>
        <w:numPr>
          <w:ilvl w:val="12"/>
          <w:numId w:val="0"/>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spacing w:line="480" w:lineRule="auto"/>
      </w:pPr>
    </w:p>
    <w:p w14:paraId="250D269D" w14:textId="77777777" w:rsidR="0085054A" w:rsidRPr="006B7838" w:rsidRDefault="0085054A" w:rsidP="006B7838">
      <w:pPr>
        <w:numPr>
          <w:ilvl w:val="12"/>
          <w:numId w:val="0"/>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spacing w:line="480" w:lineRule="auto"/>
      </w:pPr>
    </w:p>
    <w:p w14:paraId="21BCB96E" w14:textId="476D5FE5" w:rsidR="00C61521" w:rsidRDefault="00C27E4C" w:rsidP="00560889">
      <w:pPr>
        <w:keepNext/>
        <w:spacing w:line="480" w:lineRule="auto"/>
      </w:pPr>
      <w:r w:rsidRPr="006B7838">
        <w:rPr>
          <w:noProof/>
        </w:rPr>
        <w:lastRenderedPageBreak/>
        <w:drawing>
          <wp:inline distT="114300" distB="114300" distL="114300" distR="114300" wp14:anchorId="324AB674" wp14:editId="498B42D3">
            <wp:extent cx="5943600" cy="4434840"/>
            <wp:effectExtent l="0" t="0" r="0" b="0"/>
            <wp:docPr id="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8"/>
                    <a:srcRect/>
                    <a:stretch>
                      <a:fillRect/>
                    </a:stretch>
                  </pic:blipFill>
                  <pic:spPr>
                    <a:xfrm>
                      <a:off x="0" y="0"/>
                      <a:ext cx="5943600" cy="4434840"/>
                    </a:xfrm>
                    <a:prstGeom prst="rect">
                      <a:avLst/>
                    </a:prstGeom>
                    <a:ln/>
                  </pic:spPr>
                </pic:pic>
              </a:graphicData>
            </a:graphic>
          </wp:inline>
        </w:drawing>
      </w:r>
    </w:p>
    <w:p w14:paraId="2F580897" w14:textId="5F4E4A6B" w:rsidR="00A02EC3" w:rsidRPr="00A02EC3" w:rsidRDefault="00C61521" w:rsidP="00A02EC3">
      <w:pPr>
        <w:pStyle w:val="Caption"/>
        <w:spacing w:line="240" w:lineRule="auto"/>
        <w:rPr>
          <w:rFonts w:ascii="Times New Roman" w:hAnsi="Times New Roman" w:cs="Times New Roman"/>
          <w:szCs w:val="20"/>
        </w:rPr>
      </w:pPr>
      <w:bookmarkStart w:id="29" w:name="_Toc108273129"/>
      <w:r w:rsidRPr="00A02EC3">
        <w:rPr>
          <w:rFonts w:ascii="Times New Roman" w:hAnsi="Times New Roman" w:cs="Times New Roman"/>
          <w:szCs w:val="20"/>
        </w:rPr>
        <w:t xml:space="preserve">Figure </w:t>
      </w:r>
      <w:r w:rsidRPr="00A02EC3">
        <w:rPr>
          <w:rFonts w:ascii="Times New Roman" w:hAnsi="Times New Roman" w:cs="Times New Roman"/>
          <w:szCs w:val="20"/>
        </w:rPr>
        <w:fldChar w:fldCharType="begin"/>
      </w:r>
      <w:r w:rsidRPr="00A02EC3">
        <w:rPr>
          <w:rFonts w:ascii="Times New Roman" w:hAnsi="Times New Roman" w:cs="Times New Roman"/>
          <w:szCs w:val="20"/>
        </w:rPr>
        <w:instrText xml:space="preserve"> SEQ Figure \* ARABIC </w:instrText>
      </w:r>
      <w:r w:rsidRPr="00A02EC3">
        <w:rPr>
          <w:rFonts w:ascii="Times New Roman" w:hAnsi="Times New Roman" w:cs="Times New Roman"/>
          <w:szCs w:val="20"/>
        </w:rPr>
        <w:fldChar w:fldCharType="separate"/>
      </w:r>
      <w:r w:rsidRPr="00A02EC3">
        <w:rPr>
          <w:rFonts w:ascii="Times New Roman" w:hAnsi="Times New Roman" w:cs="Times New Roman"/>
          <w:noProof/>
          <w:szCs w:val="20"/>
        </w:rPr>
        <w:t>1</w:t>
      </w:r>
      <w:r w:rsidRPr="00A02EC3">
        <w:rPr>
          <w:rFonts w:ascii="Times New Roman" w:hAnsi="Times New Roman" w:cs="Times New Roman"/>
          <w:szCs w:val="20"/>
        </w:rPr>
        <w:fldChar w:fldCharType="end"/>
      </w:r>
      <w:r w:rsidR="005B2408" w:rsidRPr="00A02EC3">
        <w:rPr>
          <w:rFonts w:ascii="Times New Roman" w:hAnsi="Times New Roman" w:cs="Times New Roman"/>
          <w:szCs w:val="20"/>
        </w:rPr>
        <w:t>. The ACT Hexaflex</w:t>
      </w:r>
      <w:bookmarkEnd w:id="29"/>
    </w:p>
    <w:p w14:paraId="7AF55F02" w14:textId="4B0A4C8F" w:rsidR="00C27E4C" w:rsidRPr="00A02EC3" w:rsidRDefault="00C27E4C" w:rsidP="00A02EC3">
      <w:pPr>
        <w:pStyle w:val="Caption"/>
        <w:spacing w:line="240" w:lineRule="auto"/>
        <w:rPr>
          <w:rFonts w:ascii="Times New Roman" w:hAnsi="Times New Roman" w:cs="Times New Roman"/>
          <w:szCs w:val="20"/>
        </w:rPr>
      </w:pPr>
      <w:r w:rsidRPr="00A02EC3">
        <w:rPr>
          <w:rFonts w:ascii="Times New Roman" w:hAnsi="Times New Roman" w:cs="Times New Roman"/>
          <w:i/>
          <w:szCs w:val="20"/>
        </w:rPr>
        <w:t xml:space="preserve">Note. </w:t>
      </w:r>
      <w:r w:rsidRPr="00A02EC3">
        <w:rPr>
          <w:rFonts w:ascii="Times New Roman" w:hAnsi="Times New Roman" w:cs="Times New Roman"/>
          <w:szCs w:val="20"/>
        </w:rPr>
        <w:t>Th</w:t>
      </w:r>
      <w:r w:rsidR="00A02EC3" w:rsidRPr="00A02EC3">
        <w:rPr>
          <w:rFonts w:ascii="Times New Roman" w:hAnsi="Times New Roman" w:cs="Times New Roman"/>
          <w:szCs w:val="20"/>
        </w:rPr>
        <w:t>is</w:t>
      </w:r>
      <w:r w:rsidRPr="00A02EC3">
        <w:rPr>
          <w:rFonts w:ascii="Times New Roman" w:hAnsi="Times New Roman" w:cs="Times New Roman"/>
          <w:szCs w:val="20"/>
        </w:rPr>
        <w:t xml:space="preserve"> </w:t>
      </w:r>
      <w:r w:rsidR="005B2408" w:rsidRPr="00A02EC3">
        <w:rPr>
          <w:rFonts w:ascii="Times New Roman" w:hAnsi="Times New Roman" w:cs="Times New Roman"/>
          <w:szCs w:val="20"/>
        </w:rPr>
        <w:t>model of psychological flexibility</w:t>
      </w:r>
      <w:r w:rsidRPr="00A02EC3">
        <w:rPr>
          <w:rFonts w:ascii="Times New Roman" w:hAnsi="Times New Roman" w:cs="Times New Roman"/>
          <w:szCs w:val="20"/>
        </w:rPr>
        <w:t xml:space="preserve"> is </w:t>
      </w:r>
      <w:r w:rsidR="00A02EC3" w:rsidRPr="00A02EC3">
        <w:rPr>
          <w:rFonts w:ascii="Times New Roman" w:hAnsi="Times New Roman" w:cs="Times New Roman"/>
          <w:szCs w:val="20"/>
        </w:rPr>
        <w:t>f</w:t>
      </w:r>
      <w:r w:rsidRPr="00A02EC3">
        <w:rPr>
          <w:rFonts w:ascii="Times New Roman" w:hAnsi="Times New Roman" w:cs="Times New Roman"/>
          <w:szCs w:val="20"/>
        </w:rPr>
        <w:t xml:space="preserve">rom </w:t>
      </w:r>
      <w:r w:rsidRPr="00A02EC3">
        <w:rPr>
          <w:rFonts w:ascii="Times New Roman" w:hAnsi="Times New Roman" w:cs="Times New Roman"/>
          <w:i/>
          <w:szCs w:val="20"/>
        </w:rPr>
        <w:t>ACT Made Simple</w:t>
      </w:r>
      <w:r w:rsidRPr="00A02EC3">
        <w:rPr>
          <w:rFonts w:ascii="Times New Roman" w:hAnsi="Times New Roman" w:cs="Times New Roman"/>
          <w:szCs w:val="20"/>
        </w:rPr>
        <w:t xml:space="preserve"> (Harris, 2009).</w:t>
      </w:r>
    </w:p>
    <w:p w14:paraId="0D548A50" w14:textId="77777777" w:rsidR="00C27E4C" w:rsidRPr="006B7838" w:rsidRDefault="00C27E4C" w:rsidP="00C61521">
      <w:pPr>
        <w:numPr>
          <w:ilvl w:val="12"/>
          <w:numId w:val="0"/>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spacing w:line="480" w:lineRule="auto"/>
      </w:pPr>
    </w:p>
    <w:p w14:paraId="40A87ABB" w14:textId="01BFEE7E" w:rsidR="0065467C" w:rsidRDefault="003D63DF" w:rsidP="00320709">
      <w:pPr>
        <w:pStyle w:val="AltHeading1"/>
      </w:pPr>
      <w:r w:rsidRPr="006B7838">
        <w:rPr>
          <w:noProof/>
        </w:rPr>
        <w:br w:type="page"/>
      </w:r>
      <w:bookmarkStart w:id="30" w:name="_Toc420995913"/>
      <w:bookmarkStart w:id="31" w:name="_Toc422997500"/>
      <w:bookmarkStart w:id="32" w:name="_Toc427156485"/>
      <w:bookmarkStart w:id="33" w:name="_Toc108269993"/>
      <w:bookmarkStart w:id="34" w:name="_Toc108273823"/>
      <w:bookmarkStart w:id="35" w:name="_Toc110418744"/>
      <w:r w:rsidR="007D538B" w:rsidRPr="006B7838">
        <w:lastRenderedPageBreak/>
        <w:t>V</w:t>
      </w:r>
      <w:r w:rsidR="00E91931" w:rsidRPr="006B7838">
        <w:t>ita</w:t>
      </w:r>
      <w:bookmarkEnd w:id="30"/>
      <w:bookmarkEnd w:id="31"/>
      <w:bookmarkEnd w:id="32"/>
      <w:bookmarkEnd w:id="33"/>
      <w:bookmarkEnd w:id="34"/>
      <w:bookmarkEnd w:id="35"/>
    </w:p>
    <w:p w14:paraId="37A7FCE5" w14:textId="58C4837D" w:rsidR="0065467C" w:rsidRPr="006B7838" w:rsidRDefault="0065467C" w:rsidP="00442AF2">
      <w:pPr>
        <w:spacing w:line="480" w:lineRule="auto"/>
        <w:ind w:firstLine="720"/>
      </w:pPr>
      <w:r>
        <w:t xml:space="preserve">A </w:t>
      </w:r>
      <w:r w:rsidR="006A0202">
        <w:t>C</w:t>
      </w:r>
      <w:r w:rsidR="00320709">
        <w:t xml:space="preserve">ounseling </w:t>
      </w:r>
      <w:r w:rsidR="006A0202">
        <w:t>P</w:t>
      </w:r>
      <w:r w:rsidR="00320709">
        <w:t>sychology P</w:t>
      </w:r>
      <w:r>
        <w:t xml:space="preserve">h.D. student at the University of Tennessee, Tracy Viator’s primary research interests include psychological flexibility and musicians’ health and wellness issues. </w:t>
      </w:r>
      <w:r w:rsidR="00275547">
        <w:t xml:space="preserve">With nineteen years of classical music training, </w:t>
      </w:r>
      <w:r>
        <w:t xml:space="preserve">Tracy </w:t>
      </w:r>
      <w:r w:rsidR="00DC010B">
        <w:t>earned</w:t>
      </w:r>
      <w:r>
        <w:t xml:space="preserve"> </w:t>
      </w:r>
      <w:r w:rsidR="00320709">
        <w:t>a</w:t>
      </w:r>
      <w:r>
        <w:t xml:space="preserve"> B.M. and M.M. in violin performance </w:t>
      </w:r>
      <w:r w:rsidR="00320709">
        <w:t xml:space="preserve">and </w:t>
      </w:r>
      <w:r w:rsidR="00275547">
        <w:t xml:space="preserve">operated a personal private lesson studio </w:t>
      </w:r>
      <w:r w:rsidR="00DC010B">
        <w:t>before</w:t>
      </w:r>
      <w:r w:rsidR="00275547">
        <w:t xml:space="preserve"> transitioning into the field of psychology.</w:t>
      </w:r>
      <w:r w:rsidR="006D406E">
        <w:t xml:space="preserve"> </w:t>
      </w:r>
      <w:r w:rsidR="00DA5B40">
        <w:t>Currently</w:t>
      </w:r>
      <w:r w:rsidR="001530D7">
        <w:t xml:space="preserve"> integrating </w:t>
      </w:r>
      <w:r w:rsidR="00FE46BA">
        <w:t xml:space="preserve">her musical expertise with </w:t>
      </w:r>
      <w:r w:rsidR="00DA5B40">
        <w:t>her</w:t>
      </w:r>
      <w:r w:rsidR="00FE46BA">
        <w:t xml:space="preserve"> clinical interest in third-wave therapies</w:t>
      </w:r>
      <w:r w:rsidR="001530D7">
        <w:t>, she seeks to</w:t>
      </w:r>
      <w:r w:rsidR="00FE46BA">
        <w:t xml:space="preserve"> </w:t>
      </w:r>
      <w:r w:rsidR="001530D7">
        <w:t xml:space="preserve">develop </w:t>
      </w:r>
      <w:r w:rsidR="00FE46BA">
        <w:t>ACT-based psychological resources for student musicians</w:t>
      </w:r>
      <w:r w:rsidR="00442AF2">
        <w:t>, with intentions to build a clinical practice as a licensed psycholog</w:t>
      </w:r>
      <w:r w:rsidR="000E5D1B">
        <w:t>ist</w:t>
      </w:r>
      <w:r w:rsidR="00442AF2">
        <w:t xml:space="preserve"> </w:t>
      </w:r>
      <w:r w:rsidR="000E5D1B">
        <w:t>and</w:t>
      </w:r>
      <w:r w:rsidR="00442AF2">
        <w:t xml:space="preserve"> provi</w:t>
      </w:r>
      <w:r w:rsidR="000E5D1B">
        <w:t>de</w:t>
      </w:r>
      <w:r w:rsidR="00442AF2">
        <w:t xml:space="preserve"> outreach services to local performing arts communities</w:t>
      </w:r>
      <w:r w:rsidR="000E5D1B">
        <w:t xml:space="preserve"> post-graduation</w:t>
      </w:r>
      <w:r w:rsidR="00442AF2">
        <w:t xml:space="preserve">. </w:t>
      </w:r>
      <w:r>
        <w:t>In her spare time, Tracy finds joy hiking in the mountains and cooking vegetarian cuisine.</w:t>
      </w:r>
    </w:p>
    <w:sectPr w:rsidR="0065467C" w:rsidRPr="006B7838" w:rsidSect="000453EE">
      <w:pgSz w:w="12240" w:h="15840" w:code="1"/>
      <w:pgMar w:top="1440" w:right="1440" w:bottom="1440" w:left="1440" w:header="720" w:footer="1440" w:gutter="0"/>
      <w:pgNumType w:start="1"/>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127A72" w14:textId="77777777" w:rsidR="008A44A2" w:rsidRDefault="008A44A2">
      <w:r>
        <w:separator/>
      </w:r>
    </w:p>
  </w:endnote>
  <w:endnote w:type="continuationSeparator" w:id="0">
    <w:p w14:paraId="713897FF" w14:textId="77777777" w:rsidR="008A44A2" w:rsidRDefault="008A44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rPr>
      <w:id w:val="-291986760"/>
      <w:docPartObj>
        <w:docPartGallery w:val="Page Numbers (Bottom of Page)"/>
        <w:docPartUnique/>
      </w:docPartObj>
    </w:sdtPr>
    <w:sdtEndPr>
      <w:rPr>
        <w:noProof/>
      </w:rPr>
    </w:sdtEndPr>
    <w:sdtContent>
      <w:p w14:paraId="60B42986" w14:textId="16196F46" w:rsidR="00AD7C08" w:rsidRPr="009D2AA9" w:rsidRDefault="00AD7C08">
        <w:pPr>
          <w:pStyle w:val="Footer"/>
          <w:jc w:val="center"/>
          <w:rPr>
            <w:rFonts w:ascii="Times New Roman" w:hAnsi="Times New Roman" w:cs="Times New Roman"/>
          </w:rPr>
        </w:pPr>
        <w:r w:rsidRPr="009D2AA9">
          <w:rPr>
            <w:rFonts w:ascii="Times New Roman" w:hAnsi="Times New Roman" w:cs="Times New Roman"/>
          </w:rPr>
          <w:fldChar w:fldCharType="begin"/>
        </w:r>
        <w:r w:rsidRPr="009D2AA9">
          <w:rPr>
            <w:rFonts w:ascii="Times New Roman" w:hAnsi="Times New Roman" w:cs="Times New Roman"/>
          </w:rPr>
          <w:instrText xml:space="preserve"> PAGE   \* MERGEFORMAT </w:instrText>
        </w:r>
        <w:r w:rsidRPr="009D2AA9">
          <w:rPr>
            <w:rFonts w:ascii="Times New Roman" w:hAnsi="Times New Roman" w:cs="Times New Roman"/>
          </w:rPr>
          <w:fldChar w:fldCharType="separate"/>
        </w:r>
        <w:r w:rsidR="00567304">
          <w:rPr>
            <w:rFonts w:ascii="Times New Roman" w:hAnsi="Times New Roman" w:cs="Times New Roman"/>
            <w:noProof/>
          </w:rPr>
          <w:t>22</w:t>
        </w:r>
        <w:r w:rsidRPr="009D2AA9">
          <w:rPr>
            <w:rFonts w:ascii="Times New Roman" w:hAnsi="Times New Roman" w:cs="Times New Roman"/>
            <w:noProof/>
          </w:rPr>
          <w:fldChar w:fldCharType="end"/>
        </w:r>
      </w:p>
    </w:sdtContent>
  </w:sdt>
  <w:p w14:paraId="7AA9DEFB" w14:textId="77777777" w:rsidR="00AD7C08" w:rsidRDefault="00AD7C0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AD50CC" w14:textId="77777777" w:rsidR="008A44A2" w:rsidRDefault="008A44A2">
      <w:r>
        <w:separator/>
      </w:r>
    </w:p>
  </w:footnote>
  <w:footnote w:type="continuationSeparator" w:id="0">
    <w:p w14:paraId="33F1C27D" w14:textId="77777777" w:rsidR="008A44A2" w:rsidRDefault="008A44A2">
      <w:r>
        <w:continuationSeparator/>
      </w:r>
    </w:p>
  </w:footnote>
  <w:footnote w:id="1">
    <w:p w14:paraId="2F80F52A" w14:textId="2A332868" w:rsidR="00AD7C08" w:rsidRDefault="00AD7C08">
      <w:pPr>
        <w:pStyle w:val="FootnoteText"/>
      </w:pPr>
      <w:r>
        <w:rPr>
          <w:rStyle w:val="FootnoteReference"/>
        </w:rPr>
        <w:footnoteRef/>
      </w:r>
      <w:r>
        <w:t xml:space="preserve"> S</w:t>
      </w:r>
      <w:r w:rsidRPr="006B7838">
        <w:t xml:space="preserve">ee the performance-only specifier for social anxiety disorder in the </w:t>
      </w:r>
      <w:r w:rsidRPr="0052549B">
        <w:rPr>
          <w:i/>
          <w:iCs/>
        </w:rPr>
        <w:t>DSM-5-TR</w:t>
      </w:r>
      <w:r w:rsidR="00B73BA1">
        <w:t xml:space="preserve"> (</w:t>
      </w:r>
      <w:r w:rsidRPr="006B7838">
        <w:t>American Psychiatric Association, 2022</w:t>
      </w:r>
      <w:r w:rsidR="00B73BA1">
        <w:t>)</w:t>
      </w:r>
      <w:r>
        <w:t>.</w:t>
      </w:r>
    </w:p>
  </w:footnote>
  <w:footnote w:id="2">
    <w:p w14:paraId="59E37B3A" w14:textId="4F9A4308" w:rsidR="00AD7C08" w:rsidRDefault="00AD7C08">
      <w:pPr>
        <w:pStyle w:val="FootnoteText"/>
      </w:pPr>
      <w:r>
        <w:rPr>
          <w:rStyle w:val="FootnoteReference"/>
        </w:rPr>
        <w:footnoteRef/>
      </w:r>
      <w:r>
        <w:t xml:space="preserve"> Process descriptions are further detailed in Table </w:t>
      </w:r>
      <w:r w:rsidR="00841225">
        <w:t>1. For</w:t>
      </w:r>
      <w:r w:rsidRPr="006B7838">
        <w:t xml:space="preserve"> a more comprehensive review of each hexaflex process, see the work of Hayes et al. </w:t>
      </w:r>
      <w:r>
        <w:t>(</w:t>
      </w:r>
      <w:r w:rsidRPr="006B7838">
        <w:t>2006).</w:t>
      </w:r>
    </w:p>
  </w:footnote>
  <w:footnote w:id="3">
    <w:p w14:paraId="37A16CCB" w14:textId="7DE495C6" w:rsidR="006A0202" w:rsidRPr="006A0202" w:rsidRDefault="006A0202">
      <w:pPr>
        <w:pStyle w:val="FootnoteText"/>
      </w:pPr>
      <w:r>
        <w:rPr>
          <w:rStyle w:val="FootnoteReference"/>
        </w:rPr>
        <w:t>2</w:t>
      </w:r>
      <w:r>
        <w:t xml:space="preserve"> See </w:t>
      </w:r>
      <w:r>
        <w:rPr>
          <w:i/>
          <w:iCs/>
        </w:rPr>
        <w:t xml:space="preserve">Performance Success </w:t>
      </w:r>
      <w:r>
        <w:t xml:space="preserve">(Greene, 2002); </w:t>
      </w:r>
      <w:r>
        <w:rPr>
          <w:i/>
          <w:iCs/>
        </w:rPr>
        <w:t xml:space="preserve">The Inner Game of Tennis </w:t>
      </w:r>
      <w:r>
        <w:t>(Gallwey, 1974).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CBB51A" w14:textId="77777777" w:rsidR="00AD7C08" w:rsidRDefault="00AD7C08">
    <w:pPr>
      <w:spacing w:line="34" w:lineRule="auto"/>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9253C7" w14:textId="77777777" w:rsidR="00AD7C08" w:rsidRDefault="00AD7C08">
    <w:pPr>
      <w:spacing w:line="34" w:lineRule="auto"/>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2D7D78"/>
    <w:multiLevelType w:val="multilevel"/>
    <w:tmpl w:val="37EE1592"/>
    <w:name w:val="Table2"/>
    <w:styleLink w:val="Caption2"/>
    <w:lvl w:ilvl="0">
      <w:start w:val="1"/>
      <w:numFmt w:val="decimal"/>
      <w:lvlText w:val="%1"/>
      <w:lvlJc w:val="left"/>
      <w:pPr>
        <w:ind w:left="360" w:hanging="360"/>
      </w:pPr>
      <w:rPr>
        <w:rFonts w:hint="default"/>
        <w:spacing w:val="0"/>
        <w:w w:val="100"/>
        <w:position w:val="0"/>
        <w:sz w:val="20"/>
        <w14:numForm w14:val="default"/>
        <w14:numSpacing w14:val="default"/>
        <w14:stylisticSets/>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076848AD"/>
    <w:multiLevelType w:val="multilevel"/>
    <w:tmpl w:val="1160DED6"/>
    <w:name w:val="Table3222422222"/>
    <w:lvl w:ilvl="0">
      <w:start w:val="1"/>
      <w:numFmt w:val="cardinalText"/>
      <w:suff w:val="space"/>
      <w:lvlText w:val="Chapter %1"/>
      <w:lvlJc w:val="center"/>
      <w:pPr>
        <w:ind w:left="0" w:firstLine="288"/>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 w15:restartNumberingAfterBreak="0">
    <w:nsid w:val="082825CA"/>
    <w:multiLevelType w:val="singleLevel"/>
    <w:tmpl w:val="C62AAE20"/>
    <w:name w:val="Table322222"/>
    <w:lvl w:ilvl="0">
      <w:start w:val="1"/>
      <w:numFmt w:val="decimal"/>
      <w:lvlText w:val="%1"/>
      <w:lvlJc w:val="left"/>
      <w:pPr>
        <w:ind w:left="360" w:hanging="360"/>
      </w:pPr>
      <w:rPr>
        <w:rFonts w:hint="default"/>
      </w:rPr>
    </w:lvl>
  </w:abstractNum>
  <w:abstractNum w:abstractNumId="3" w15:restartNumberingAfterBreak="0">
    <w:nsid w:val="093F7076"/>
    <w:multiLevelType w:val="multilevel"/>
    <w:tmpl w:val="A70046C4"/>
    <w:name w:val="Table32222"/>
    <w:styleLink w:val="111111"/>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0DE473E"/>
    <w:multiLevelType w:val="multilevel"/>
    <w:tmpl w:val="FD10FB5C"/>
    <w:name w:val="Table32224222"/>
    <w:lvl w:ilvl="0">
      <w:start w:val="1"/>
      <w:numFmt w:val="cardinalText"/>
      <w:lvlText w:val="%1"/>
      <w:lvlJc w:val="left"/>
      <w:pPr>
        <w:ind w:left="360" w:hanging="360"/>
      </w:pPr>
      <w:rPr>
        <w:rFonts w:hint="default"/>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5" w15:restartNumberingAfterBreak="0">
    <w:nsid w:val="110364E9"/>
    <w:multiLevelType w:val="multilevel"/>
    <w:tmpl w:val="F2C86E9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35E415A"/>
    <w:multiLevelType w:val="multilevel"/>
    <w:tmpl w:val="D7A8DF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4C20F2D"/>
    <w:multiLevelType w:val="multilevel"/>
    <w:tmpl w:val="AD3424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509298E"/>
    <w:multiLevelType w:val="multilevel"/>
    <w:tmpl w:val="B524B6C2"/>
    <w:name w:val="Table3223"/>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9" w15:restartNumberingAfterBreak="0">
    <w:nsid w:val="19976850"/>
    <w:multiLevelType w:val="multilevel"/>
    <w:tmpl w:val="B524B6C2"/>
    <w:name w:val="Table3223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0" w15:restartNumberingAfterBreak="0">
    <w:nsid w:val="20440B3E"/>
    <w:multiLevelType w:val="multilevel"/>
    <w:tmpl w:val="83E69722"/>
    <w:name w:val="Table32"/>
    <w:lvl w:ilvl="0">
      <w:start w:val="1"/>
      <w:numFmt w:val="cardinalText"/>
      <w:lvlText w:val="%1"/>
      <w:lvlJc w:val="left"/>
      <w:pPr>
        <w:ind w:left="360" w:hanging="360"/>
      </w:pPr>
      <w:rPr>
        <w:rFonts w:hint="default"/>
      </w:rPr>
    </w:lvl>
    <w:lvl w:ilvl="1">
      <w:start w:val="1"/>
      <w:numFmt w:val="none"/>
      <w:suff w:val="nothing"/>
      <w:lvlText w:val=""/>
      <w:lvlJc w:val="left"/>
      <w:pPr>
        <w:ind w:left="0" w:firstLine="0"/>
      </w:pPr>
    </w:lvl>
    <w:lvl w:ilvl="2">
      <w:start w:val="1"/>
      <w:numFmt w:val="none"/>
      <w:pStyle w:val="Heading3"/>
      <w:suff w:val="nothing"/>
      <w:lvlText w:val=""/>
      <w:lvlJc w:val="left"/>
      <w:pPr>
        <w:ind w:left="0" w:firstLine="0"/>
      </w:pPr>
    </w:lvl>
    <w:lvl w:ilvl="3">
      <w:start w:val="1"/>
      <w:numFmt w:val="none"/>
      <w:pStyle w:val="Heading4"/>
      <w:suff w:val="nothing"/>
      <w:lvlText w:val=""/>
      <w:lvlJc w:val="left"/>
      <w:pPr>
        <w:ind w:left="0" w:firstLine="0"/>
      </w:pPr>
    </w:lvl>
    <w:lvl w:ilvl="4">
      <w:start w:val="1"/>
      <w:numFmt w:val="none"/>
      <w:pStyle w:val="Heading5"/>
      <w:suff w:val="nothing"/>
      <w:lvlText w:val=""/>
      <w:lvlJc w:val="left"/>
      <w:pPr>
        <w:ind w:left="0" w:firstLine="0"/>
      </w:pPr>
    </w:lvl>
    <w:lvl w:ilvl="5">
      <w:start w:val="1"/>
      <w:numFmt w:val="none"/>
      <w:pStyle w:val="Heading6"/>
      <w:suff w:val="nothing"/>
      <w:lvlText w:val=""/>
      <w:lvlJc w:val="left"/>
      <w:pPr>
        <w:ind w:left="0" w:firstLine="0"/>
      </w:pPr>
    </w:lvl>
    <w:lvl w:ilvl="6">
      <w:start w:val="1"/>
      <w:numFmt w:val="none"/>
      <w:pStyle w:val="Heading7"/>
      <w:suff w:val="nothing"/>
      <w:lvlText w:val=""/>
      <w:lvlJc w:val="left"/>
      <w:pPr>
        <w:ind w:left="0" w:firstLine="0"/>
      </w:pPr>
    </w:lvl>
    <w:lvl w:ilvl="7">
      <w:start w:val="1"/>
      <w:numFmt w:val="none"/>
      <w:pStyle w:val="Heading8"/>
      <w:suff w:val="nothing"/>
      <w:lvlText w:val=""/>
      <w:lvlJc w:val="left"/>
      <w:pPr>
        <w:ind w:left="0" w:firstLine="0"/>
      </w:pPr>
    </w:lvl>
    <w:lvl w:ilvl="8">
      <w:start w:val="1"/>
      <w:numFmt w:val="none"/>
      <w:pStyle w:val="Heading9"/>
      <w:suff w:val="nothing"/>
      <w:lvlText w:val=""/>
      <w:lvlJc w:val="left"/>
      <w:pPr>
        <w:ind w:left="0" w:firstLine="0"/>
      </w:pPr>
    </w:lvl>
  </w:abstractNum>
  <w:abstractNum w:abstractNumId="11" w15:restartNumberingAfterBreak="0">
    <w:nsid w:val="25196574"/>
    <w:multiLevelType w:val="multilevel"/>
    <w:tmpl w:val="FD10FB5C"/>
    <w:name w:val="Table3"/>
    <w:lvl w:ilvl="0">
      <w:start w:val="1"/>
      <w:numFmt w:val="cardinalText"/>
      <w:lvlText w:val="%1"/>
      <w:lvlJc w:val="left"/>
      <w:pPr>
        <w:ind w:left="360" w:hanging="360"/>
      </w:pPr>
      <w:rPr>
        <w:rFonts w:hint="default"/>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2" w15:restartNumberingAfterBreak="0">
    <w:nsid w:val="299873C5"/>
    <w:multiLevelType w:val="hybridMultilevel"/>
    <w:tmpl w:val="C090D442"/>
    <w:name w:val="Table22"/>
    <w:lvl w:ilvl="0" w:tplc="81C86C9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24B34D6"/>
    <w:multiLevelType w:val="multilevel"/>
    <w:tmpl w:val="45C4F84E"/>
    <w:name w:val="Table"/>
    <w:lvl w:ilvl="0">
      <w:start w:val="1"/>
      <w:numFmt w:val="decimal"/>
      <w:lvlText w:val="%1"/>
      <w:lvlJc w:val="left"/>
      <w:pPr>
        <w:ind w:left="360" w:hanging="360"/>
      </w:pPr>
      <w:rPr>
        <w:rFonts w:hint="default"/>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3419734B"/>
    <w:multiLevelType w:val="multilevel"/>
    <w:tmpl w:val="1160DED6"/>
    <w:name w:val="Table322242222"/>
    <w:lvl w:ilvl="0">
      <w:start w:val="1"/>
      <w:numFmt w:val="cardinalText"/>
      <w:suff w:val="space"/>
      <w:lvlText w:val="Chapter %1"/>
      <w:lvlJc w:val="center"/>
      <w:pPr>
        <w:ind w:left="0" w:firstLine="288"/>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5" w15:restartNumberingAfterBreak="0">
    <w:nsid w:val="371016A7"/>
    <w:multiLevelType w:val="multilevel"/>
    <w:tmpl w:val="952E969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8E911CE"/>
    <w:multiLevelType w:val="multilevel"/>
    <w:tmpl w:val="A37A0FB0"/>
    <w:name w:val="Table32224222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7" w15:restartNumberingAfterBreak="0">
    <w:nsid w:val="4BCD41A3"/>
    <w:multiLevelType w:val="multilevel"/>
    <w:tmpl w:val="900A4528"/>
    <w:name w:val="Table3223"/>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8" w15:restartNumberingAfterBreak="0">
    <w:nsid w:val="5240305F"/>
    <w:multiLevelType w:val="multilevel"/>
    <w:tmpl w:val="D3842FA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27F228E"/>
    <w:multiLevelType w:val="multilevel"/>
    <w:tmpl w:val="BAAC08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6C17872"/>
    <w:multiLevelType w:val="multilevel"/>
    <w:tmpl w:val="7BA4C848"/>
    <w:name w:val="Table322242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1" w15:restartNumberingAfterBreak="0">
    <w:nsid w:val="58574C48"/>
    <w:multiLevelType w:val="multilevel"/>
    <w:tmpl w:val="9FEA7116"/>
    <w:name w:val="Table32223"/>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2" w15:restartNumberingAfterBreak="0">
    <w:nsid w:val="5B744D70"/>
    <w:multiLevelType w:val="multilevel"/>
    <w:tmpl w:val="7BA4C848"/>
    <w:name w:val="Table322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3" w15:restartNumberingAfterBreak="0">
    <w:nsid w:val="623A2602"/>
    <w:multiLevelType w:val="multilevel"/>
    <w:tmpl w:val="0409001D"/>
    <w:name w:val="Table32223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6DFF2418"/>
    <w:multiLevelType w:val="multilevel"/>
    <w:tmpl w:val="FE08FD52"/>
    <w:name w:val="Table32224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5" w15:restartNumberingAfterBreak="0">
    <w:nsid w:val="79992792"/>
    <w:multiLevelType w:val="hybridMultilevel"/>
    <w:tmpl w:val="DB8E8CF2"/>
    <w:lvl w:ilvl="0" w:tplc="BC4436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A0D2A25"/>
    <w:multiLevelType w:val="hybridMultilevel"/>
    <w:tmpl w:val="B4525D74"/>
    <w:lvl w:ilvl="0" w:tplc="B098327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20111533">
    <w:abstractNumId w:val="0"/>
  </w:num>
  <w:num w:numId="2" w16cid:durableId="1793666433">
    <w:abstractNumId w:val="10"/>
  </w:num>
  <w:num w:numId="3" w16cid:durableId="802819159">
    <w:abstractNumId w:val="3"/>
  </w:num>
  <w:num w:numId="4" w16cid:durableId="721753992">
    <w:abstractNumId w:val="17"/>
  </w:num>
  <w:num w:numId="5" w16cid:durableId="1409033674">
    <w:abstractNumId w:val="17"/>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382026549">
    <w:abstractNumId w:val="6"/>
  </w:num>
  <w:num w:numId="7" w16cid:durableId="751202856">
    <w:abstractNumId w:val="5"/>
    <w:lvlOverride w:ilvl="0">
      <w:lvl w:ilvl="0">
        <w:numFmt w:val="decimal"/>
        <w:lvlText w:val="%1."/>
        <w:lvlJc w:val="left"/>
      </w:lvl>
    </w:lvlOverride>
  </w:num>
  <w:num w:numId="8" w16cid:durableId="1983192292">
    <w:abstractNumId w:val="7"/>
  </w:num>
  <w:num w:numId="9" w16cid:durableId="1668508950">
    <w:abstractNumId w:val="15"/>
    <w:lvlOverride w:ilvl="0">
      <w:lvl w:ilvl="0">
        <w:numFmt w:val="decimal"/>
        <w:lvlText w:val="%1."/>
        <w:lvlJc w:val="left"/>
      </w:lvl>
    </w:lvlOverride>
  </w:num>
  <w:num w:numId="10" w16cid:durableId="1137408278">
    <w:abstractNumId w:val="19"/>
  </w:num>
  <w:num w:numId="11" w16cid:durableId="2089693615">
    <w:abstractNumId w:val="18"/>
    <w:lvlOverride w:ilvl="0">
      <w:lvl w:ilvl="0">
        <w:numFmt w:val="decimal"/>
        <w:lvlText w:val="%1."/>
        <w:lvlJc w:val="left"/>
      </w:lvl>
    </w:lvlOverride>
  </w:num>
  <w:num w:numId="12" w16cid:durableId="2060132109">
    <w:abstractNumId w:val="25"/>
  </w:num>
  <w:num w:numId="13" w16cid:durableId="2007897110">
    <w:abstractNumId w:val="2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proofState w:spelling="clean" w:grammar="clean"/>
  <w:attachedTemplate r:id="rId1"/>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2AA9"/>
    <w:rsid w:val="00003D2C"/>
    <w:rsid w:val="00014A3E"/>
    <w:rsid w:val="000166A9"/>
    <w:rsid w:val="0002026A"/>
    <w:rsid w:val="0002037F"/>
    <w:rsid w:val="00032057"/>
    <w:rsid w:val="000359D7"/>
    <w:rsid w:val="000372D8"/>
    <w:rsid w:val="00041851"/>
    <w:rsid w:val="00041CEB"/>
    <w:rsid w:val="000453EE"/>
    <w:rsid w:val="000458FE"/>
    <w:rsid w:val="000518DC"/>
    <w:rsid w:val="00057004"/>
    <w:rsid w:val="00071FB8"/>
    <w:rsid w:val="000744B9"/>
    <w:rsid w:val="000749EB"/>
    <w:rsid w:val="00076A95"/>
    <w:rsid w:val="00076F92"/>
    <w:rsid w:val="000957C1"/>
    <w:rsid w:val="000A071B"/>
    <w:rsid w:val="000A1564"/>
    <w:rsid w:val="000A1BEE"/>
    <w:rsid w:val="000B0A40"/>
    <w:rsid w:val="000B3848"/>
    <w:rsid w:val="000B47B0"/>
    <w:rsid w:val="000B4D2C"/>
    <w:rsid w:val="000B5C42"/>
    <w:rsid w:val="000C2142"/>
    <w:rsid w:val="000C5520"/>
    <w:rsid w:val="000D69FD"/>
    <w:rsid w:val="000E07B3"/>
    <w:rsid w:val="000E2040"/>
    <w:rsid w:val="000E4323"/>
    <w:rsid w:val="000E5D1B"/>
    <w:rsid w:val="0010217F"/>
    <w:rsid w:val="001051BA"/>
    <w:rsid w:val="001124B0"/>
    <w:rsid w:val="00112F00"/>
    <w:rsid w:val="00114686"/>
    <w:rsid w:val="001321D7"/>
    <w:rsid w:val="001349FE"/>
    <w:rsid w:val="001355F6"/>
    <w:rsid w:val="00136F94"/>
    <w:rsid w:val="0014788F"/>
    <w:rsid w:val="001478DA"/>
    <w:rsid w:val="001530D7"/>
    <w:rsid w:val="001618CF"/>
    <w:rsid w:val="00162666"/>
    <w:rsid w:val="00163A3E"/>
    <w:rsid w:val="00165A08"/>
    <w:rsid w:val="001669A7"/>
    <w:rsid w:val="00173751"/>
    <w:rsid w:val="00177D09"/>
    <w:rsid w:val="001854FB"/>
    <w:rsid w:val="00191DD7"/>
    <w:rsid w:val="00191F37"/>
    <w:rsid w:val="00193642"/>
    <w:rsid w:val="001A0D20"/>
    <w:rsid w:val="001A5996"/>
    <w:rsid w:val="001A7FA8"/>
    <w:rsid w:val="001B309E"/>
    <w:rsid w:val="001B745E"/>
    <w:rsid w:val="001B79D9"/>
    <w:rsid w:val="001C0423"/>
    <w:rsid w:val="001C39F6"/>
    <w:rsid w:val="001C66FE"/>
    <w:rsid w:val="001D4908"/>
    <w:rsid w:val="001D6904"/>
    <w:rsid w:val="001E1329"/>
    <w:rsid w:val="001E2B2C"/>
    <w:rsid w:val="001F522F"/>
    <w:rsid w:val="00200F29"/>
    <w:rsid w:val="00206911"/>
    <w:rsid w:val="00207219"/>
    <w:rsid w:val="00236E6D"/>
    <w:rsid w:val="002371A1"/>
    <w:rsid w:val="002408A2"/>
    <w:rsid w:val="002429E5"/>
    <w:rsid w:val="002430A7"/>
    <w:rsid w:val="00246600"/>
    <w:rsid w:val="0025048B"/>
    <w:rsid w:val="00250766"/>
    <w:rsid w:val="0025380F"/>
    <w:rsid w:val="00265ED2"/>
    <w:rsid w:val="00275547"/>
    <w:rsid w:val="00280CEF"/>
    <w:rsid w:val="00281CA4"/>
    <w:rsid w:val="00284FAE"/>
    <w:rsid w:val="0028757A"/>
    <w:rsid w:val="00287EC1"/>
    <w:rsid w:val="00296A10"/>
    <w:rsid w:val="002A0050"/>
    <w:rsid w:val="002A26B6"/>
    <w:rsid w:val="002A346A"/>
    <w:rsid w:val="002B14DB"/>
    <w:rsid w:val="002B2B6A"/>
    <w:rsid w:val="002B42BB"/>
    <w:rsid w:val="002C3F65"/>
    <w:rsid w:val="002C46D2"/>
    <w:rsid w:val="002C4D9C"/>
    <w:rsid w:val="002C5B85"/>
    <w:rsid w:val="002D1FE4"/>
    <w:rsid w:val="002D470F"/>
    <w:rsid w:val="002D533F"/>
    <w:rsid w:val="002E079A"/>
    <w:rsid w:val="002E2492"/>
    <w:rsid w:val="002E2D4A"/>
    <w:rsid w:val="002E522A"/>
    <w:rsid w:val="002F15D8"/>
    <w:rsid w:val="002F48AB"/>
    <w:rsid w:val="00303B4B"/>
    <w:rsid w:val="00304BD0"/>
    <w:rsid w:val="00307C39"/>
    <w:rsid w:val="00307D77"/>
    <w:rsid w:val="00311F1A"/>
    <w:rsid w:val="00313E9E"/>
    <w:rsid w:val="003150D5"/>
    <w:rsid w:val="00317820"/>
    <w:rsid w:val="00320709"/>
    <w:rsid w:val="00320F78"/>
    <w:rsid w:val="00323E0A"/>
    <w:rsid w:val="00333A10"/>
    <w:rsid w:val="00340675"/>
    <w:rsid w:val="00355881"/>
    <w:rsid w:val="00357378"/>
    <w:rsid w:val="0035768F"/>
    <w:rsid w:val="00360CC8"/>
    <w:rsid w:val="00376D59"/>
    <w:rsid w:val="0038177C"/>
    <w:rsid w:val="003836EB"/>
    <w:rsid w:val="00387024"/>
    <w:rsid w:val="0039365D"/>
    <w:rsid w:val="003963D3"/>
    <w:rsid w:val="003B3F9F"/>
    <w:rsid w:val="003C1575"/>
    <w:rsid w:val="003C274D"/>
    <w:rsid w:val="003C32B6"/>
    <w:rsid w:val="003C48A9"/>
    <w:rsid w:val="003C49AD"/>
    <w:rsid w:val="003D07F7"/>
    <w:rsid w:val="003D3DE8"/>
    <w:rsid w:val="003D439B"/>
    <w:rsid w:val="003D5275"/>
    <w:rsid w:val="003D63DF"/>
    <w:rsid w:val="003D737F"/>
    <w:rsid w:val="003E1F39"/>
    <w:rsid w:val="003E23EF"/>
    <w:rsid w:val="003E2944"/>
    <w:rsid w:val="003E338A"/>
    <w:rsid w:val="003E5EA7"/>
    <w:rsid w:val="003E709E"/>
    <w:rsid w:val="003F7474"/>
    <w:rsid w:val="003F7FED"/>
    <w:rsid w:val="00402196"/>
    <w:rsid w:val="00404616"/>
    <w:rsid w:val="00407B6A"/>
    <w:rsid w:val="004123FE"/>
    <w:rsid w:val="00412CC1"/>
    <w:rsid w:val="00414400"/>
    <w:rsid w:val="00415F26"/>
    <w:rsid w:val="00416F16"/>
    <w:rsid w:val="004170ED"/>
    <w:rsid w:val="00420910"/>
    <w:rsid w:val="00421CD4"/>
    <w:rsid w:val="00427833"/>
    <w:rsid w:val="00432928"/>
    <w:rsid w:val="004345D2"/>
    <w:rsid w:val="00440307"/>
    <w:rsid w:val="004407F6"/>
    <w:rsid w:val="00440EDF"/>
    <w:rsid w:val="0044196E"/>
    <w:rsid w:val="00442AF2"/>
    <w:rsid w:val="00445E22"/>
    <w:rsid w:val="004555DE"/>
    <w:rsid w:val="00467DE3"/>
    <w:rsid w:val="00473AD2"/>
    <w:rsid w:val="00474210"/>
    <w:rsid w:val="00480B96"/>
    <w:rsid w:val="0048303E"/>
    <w:rsid w:val="0048485C"/>
    <w:rsid w:val="00484A87"/>
    <w:rsid w:val="00485014"/>
    <w:rsid w:val="004920F6"/>
    <w:rsid w:val="00494B62"/>
    <w:rsid w:val="004A1B3F"/>
    <w:rsid w:val="004A5408"/>
    <w:rsid w:val="004A67E8"/>
    <w:rsid w:val="004A6E62"/>
    <w:rsid w:val="004C0283"/>
    <w:rsid w:val="004C3D65"/>
    <w:rsid w:val="004C5294"/>
    <w:rsid w:val="004C69E3"/>
    <w:rsid w:val="004D05F5"/>
    <w:rsid w:val="004D5DB8"/>
    <w:rsid w:val="004D6472"/>
    <w:rsid w:val="004D6A00"/>
    <w:rsid w:val="004E1B51"/>
    <w:rsid w:val="004E2370"/>
    <w:rsid w:val="004E673C"/>
    <w:rsid w:val="004F08CE"/>
    <w:rsid w:val="004F3F99"/>
    <w:rsid w:val="00513BB6"/>
    <w:rsid w:val="00514CD8"/>
    <w:rsid w:val="00525318"/>
    <w:rsid w:val="0052549B"/>
    <w:rsid w:val="005262C6"/>
    <w:rsid w:val="0053487B"/>
    <w:rsid w:val="005449A7"/>
    <w:rsid w:val="00544AAE"/>
    <w:rsid w:val="00560889"/>
    <w:rsid w:val="00562EB1"/>
    <w:rsid w:val="00567304"/>
    <w:rsid w:val="00577ACF"/>
    <w:rsid w:val="00582A06"/>
    <w:rsid w:val="00593CBB"/>
    <w:rsid w:val="00596C6A"/>
    <w:rsid w:val="00597D3F"/>
    <w:rsid w:val="005A0EB0"/>
    <w:rsid w:val="005A302B"/>
    <w:rsid w:val="005A540B"/>
    <w:rsid w:val="005A607B"/>
    <w:rsid w:val="005B2408"/>
    <w:rsid w:val="005B79E9"/>
    <w:rsid w:val="005C01AE"/>
    <w:rsid w:val="005C76E2"/>
    <w:rsid w:val="005D5549"/>
    <w:rsid w:val="005E1EF4"/>
    <w:rsid w:val="005E4912"/>
    <w:rsid w:val="005E6F1F"/>
    <w:rsid w:val="005F2B0B"/>
    <w:rsid w:val="005F44D1"/>
    <w:rsid w:val="005F556F"/>
    <w:rsid w:val="00605543"/>
    <w:rsid w:val="00606B4D"/>
    <w:rsid w:val="0060709C"/>
    <w:rsid w:val="006109DF"/>
    <w:rsid w:val="00615655"/>
    <w:rsid w:val="00615CD0"/>
    <w:rsid w:val="00621129"/>
    <w:rsid w:val="00623ABA"/>
    <w:rsid w:val="00633916"/>
    <w:rsid w:val="00641D2B"/>
    <w:rsid w:val="00643D72"/>
    <w:rsid w:val="0065123B"/>
    <w:rsid w:val="0065467C"/>
    <w:rsid w:val="00660036"/>
    <w:rsid w:val="006602CD"/>
    <w:rsid w:val="00662744"/>
    <w:rsid w:val="00662D3E"/>
    <w:rsid w:val="00665C7E"/>
    <w:rsid w:val="00672DDD"/>
    <w:rsid w:val="006753AB"/>
    <w:rsid w:val="00676C91"/>
    <w:rsid w:val="00683F5B"/>
    <w:rsid w:val="00685049"/>
    <w:rsid w:val="00685A24"/>
    <w:rsid w:val="00690B77"/>
    <w:rsid w:val="00693334"/>
    <w:rsid w:val="0069652D"/>
    <w:rsid w:val="006A0202"/>
    <w:rsid w:val="006A1E6E"/>
    <w:rsid w:val="006B0655"/>
    <w:rsid w:val="006B7838"/>
    <w:rsid w:val="006C18DE"/>
    <w:rsid w:val="006C2415"/>
    <w:rsid w:val="006C4000"/>
    <w:rsid w:val="006D406E"/>
    <w:rsid w:val="006D474B"/>
    <w:rsid w:val="006D5DC6"/>
    <w:rsid w:val="006E158B"/>
    <w:rsid w:val="006E1E6D"/>
    <w:rsid w:val="006E4BDD"/>
    <w:rsid w:val="006E4E59"/>
    <w:rsid w:val="006E56E8"/>
    <w:rsid w:val="006E5F4E"/>
    <w:rsid w:val="006F2116"/>
    <w:rsid w:val="006F5E24"/>
    <w:rsid w:val="007005A3"/>
    <w:rsid w:val="0070397F"/>
    <w:rsid w:val="00704ACC"/>
    <w:rsid w:val="00707FDC"/>
    <w:rsid w:val="00710A6E"/>
    <w:rsid w:val="00711200"/>
    <w:rsid w:val="00721057"/>
    <w:rsid w:val="0072397F"/>
    <w:rsid w:val="00731922"/>
    <w:rsid w:val="00731ACB"/>
    <w:rsid w:val="00735D18"/>
    <w:rsid w:val="007368AD"/>
    <w:rsid w:val="00737F54"/>
    <w:rsid w:val="0074133D"/>
    <w:rsid w:val="0074293C"/>
    <w:rsid w:val="0075196D"/>
    <w:rsid w:val="00752453"/>
    <w:rsid w:val="00753EAD"/>
    <w:rsid w:val="0075558C"/>
    <w:rsid w:val="00755F06"/>
    <w:rsid w:val="00761EFA"/>
    <w:rsid w:val="00763735"/>
    <w:rsid w:val="00764873"/>
    <w:rsid w:val="007749F5"/>
    <w:rsid w:val="007752E3"/>
    <w:rsid w:val="007778DD"/>
    <w:rsid w:val="0078610D"/>
    <w:rsid w:val="00790B6C"/>
    <w:rsid w:val="007942AB"/>
    <w:rsid w:val="00795D03"/>
    <w:rsid w:val="007965CF"/>
    <w:rsid w:val="00796693"/>
    <w:rsid w:val="007A1293"/>
    <w:rsid w:val="007A79FA"/>
    <w:rsid w:val="007B114B"/>
    <w:rsid w:val="007B37C0"/>
    <w:rsid w:val="007B5D33"/>
    <w:rsid w:val="007B68F4"/>
    <w:rsid w:val="007C072D"/>
    <w:rsid w:val="007C7591"/>
    <w:rsid w:val="007D538B"/>
    <w:rsid w:val="007D5CD5"/>
    <w:rsid w:val="007D7D28"/>
    <w:rsid w:val="007E5876"/>
    <w:rsid w:val="007E625A"/>
    <w:rsid w:val="007F6AE9"/>
    <w:rsid w:val="008065C5"/>
    <w:rsid w:val="008203DA"/>
    <w:rsid w:val="00826D54"/>
    <w:rsid w:val="00831412"/>
    <w:rsid w:val="008338C0"/>
    <w:rsid w:val="00834CBF"/>
    <w:rsid w:val="00835344"/>
    <w:rsid w:val="00836F89"/>
    <w:rsid w:val="00840694"/>
    <w:rsid w:val="00841225"/>
    <w:rsid w:val="00846459"/>
    <w:rsid w:val="008502AA"/>
    <w:rsid w:val="0085054A"/>
    <w:rsid w:val="00851C67"/>
    <w:rsid w:val="00852266"/>
    <w:rsid w:val="0085361C"/>
    <w:rsid w:val="00856DEC"/>
    <w:rsid w:val="00861CAB"/>
    <w:rsid w:val="008630D5"/>
    <w:rsid w:val="00863435"/>
    <w:rsid w:val="00871496"/>
    <w:rsid w:val="00871666"/>
    <w:rsid w:val="0087221F"/>
    <w:rsid w:val="00872827"/>
    <w:rsid w:val="0087349A"/>
    <w:rsid w:val="00873D4F"/>
    <w:rsid w:val="008767DF"/>
    <w:rsid w:val="008856D3"/>
    <w:rsid w:val="008865B6"/>
    <w:rsid w:val="008875FD"/>
    <w:rsid w:val="008900E0"/>
    <w:rsid w:val="00895DF4"/>
    <w:rsid w:val="00897F7D"/>
    <w:rsid w:val="008A44A2"/>
    <w:rsid w:val="008A4E30"/>
    <w:rsid w:val="008B1A4D"/>
    <w:rsid w:val="008B20DE"/>
    <w:rsid w:val="008B303B"/>
    <w:rsid w:val="008C3CB2"/>
    <w:rsid w:val="008C6052"/>
    <w:rsid w:val="008D468C"/>
    <w:rsid w:val="008D589C"/>
    <w:rsid w:val="008E114A"/>
    <w:rsid w:val="008E1B18"/>
    <w:rsid w:val="008E1EAD"/>
    <w:rsid w:val="008E26D1"/>
    <w:rsid w:val="008E7085"/>
    <w:rsid w:val="008F0AE3"/>
    <w:rsid w:val="008F0E55"/>
    <w:rsid w:val="008F143D"/>
    <w:rsid w:val="008F2A6C"/>
    <w:rsid w:val="008F3ACB"/>
    <w:rsid w:val="008F60C3"/>
    <w:rsid w:val="009043AB"/>
    <w:rsid w:val="00906B99"/>
    <w:rsid w:val="00914518"/>
    <w:rsid w:val="009211D4"/>
    <w:rsid w:val="009254D6"/>
    <w:rsid w:val="0092669B"/>
    <w:rsid w:val="009279C3"/>
    <w:rsid w:val="0093163E"/>
    <w:rsid w:val="00936436"/>
    <w:rsid w:val="00945144"/>
    <w:rsid w:val="00945A05"/>
    <w:rsid w:val="00946777"/>
    <w:rsid w:val="00946AC1"/>
    <w:rsid w:val="0094721A"/>
    <w:rsid w:val="00947A4F"/>
    <w:rsid w:val="00947F23"/>
    <w:rsid w:val="009575F4"/>
    <w:rsid w:val="00960158"/>
    <w:rsid w:val="00962628"/>
    <w:rsid w:val="00965FBD"/>
    <w:rsid w:val="00966BAC"/>
    <w:rsid w:val="00980CE1"/>
    <w:rsid w:val="00981BE9"/>
    <w:rsid w:val="00983530"/>
    <w:rsid w:val="00990D17"/>
    <w:rsid w:val="009A023D"/>
    <w:rsid w:val="009A2ABE"/>
    <w:rsid w:val="009A3339"/>
    <w:rsid w:val="009A4947"/>
    <w:rsid w:val="009A6A2F"/>
    <w:rsid w:val="009A6EA6"/>
    <w:rsid w:val="009A6FE1"/>
    <w:rsid w:val="009B1C9B"/>
    <w:rsid w:val="009B5D7F"/>
    <w:rsid w:val="009C12C5"/>
    <w:rsid w:val="009C755C"/>
    <w:rsid w:val="009C780F"/>
    <w:rsid w:val="009D041D"/>
    <w:rsid w:val="009D2408"/>
    <w:rsid w:val="009D2AA9"/>
    <w:rsid w:val="009E4F4C"/>
    <w:rsid w:val="009E78BD"/>
    <w:rsid w:val="009F2B56"/>
    <w:rsid w:val="00A02EC3"/>
    <w:rsid w:val="00A10017"/>
    <w:rsid w:val="00A106A5"/>
    <w:rsid w:val="00A110D1"/>
    <w:rsid w:val="00A121EA"/>
    <w:rsid w:val="00A25353"/>
    <w:rsid w:val="00A34ABE"/>
    <w:rsid w:val="00A34F5F"/>
    <w:rsid w:val="00A3521D"/>
    <w:rsid w:val="00A41E7D"/>
    <w:rsid w:val="00A46A68"/>
    <w:rsid w:val="00A47E65"/>
    <w:rsid w:val="00A50A08"/>
    <w:rsid w:val="00A50EE9"/>
    <w:rsid w:val="00A5188E"/>
    <w:rsid w:val="00A51E34"/>
    <w:rsid w:val="00A546BF"/>
    <w:rsid w:val="00A56B44"/>
    <w:rsid w:val="00A602F3"/>
    <w:rsid w:val="00A67787"/>
    <w:rsid w:val="00A6781B"/>
    <w:rsid w:val="00A713B6"/>
    <w:rsid w:val="00A71D3A"/>
    <w:rsid w:val="00A76FDA"/>
    <w:rsid w:val="00A847BE"/>
    <w:rsid w:val="00A84B8B"/>
    <w:rsid w:val="00A86F48"/>
    <w:rsid w:val="00A87869"/>
    <w:rsid w:val="00A9117A"/>
    <w:rsid w:val="00AC02A2"/>
    <w:rsid w:val="00AC4D37"/>
    <w:rsid w:val="00AD0A33"/>
    <w:rsid w:val="00AD2F16"/>
    <w:rsid w:val="00AD706D"/>
    <w:rsid w:val="00AD7C08"/>
    <w:rsid w:val="00AE0982"/>
    <w:rsid w:val="00AE1024"/>
    <w:rsid w:val="00AE125E"/>
    <w:rsid w:val="00AE3232"/>
    <w:rsid w:val="00AE5AB4"/>
    <w:rsid w:val="00AE6F69"/>
    <w:rsid w:val="00AF144B"/>
    <w:rsid w:val="00AF58C4"/>
    <w:rsid w:val="00AF6003"/>
    <w:rsid w:val="00B062D5"/>
    <w:rsid w:val="00B068F6"/>
    <w:rsid w:val="00B07524"/>
    <w:rsid w:val="00B113E7"/>
    <w:rsid w:val="00B143DA"/>
    <w:rsid w:val="00B16C7B"/>
    <w:rsid w:val="00B22F8A"/>
    <w:rsid w:val="00B25349"/>
    <w:rsid w:val="00B31D9B"/>
    <w:rsid w:val="00B3272F"/>
    <w:rsid w:val="00B32C81"/>
    <w:rsid w:val="00B3392D"/>
    <w:rsid w:val="00B35B7C"/>
    <w:rsid w:val="00B45DB8"/>
    <w:rsid w:val="00B52E92"/>
    <w:rsid w:val="00B53C15"/>
    <w:rsid w:val="00B56E76"/>
    <w:rsid w:val="00B61CB1"/>
    <w:rsid w:val="00B6507E"/>
    <w:rsid w:val="00B673F7"/>
    <w:rsid w:val="00B67D20"/>
    <w:rsid w:val="00B70E25"/>
    <w:rsid w:val="00B71162"/>
    <w:rsid w:val="00B73BA1"/>
    <w:rsid w:val="00B75792"/>
    <w:rsid w:val="00B75F8A"/>
    <w:rsid w:val="00B76E7C"/>
    <w:rsid w:val="00B85E54"/>
    <w:rsid w:val="00B90095"/>
    <w:rsid w:val="00B90F0E"/>
    <w:rsid w:val="00B9113F"/>
    <w:rsid w:val="00B92336"/>
    <w:rsid w:val="00B92A20"/>
    <w:rsid w:val="00B94444"/>
    <w:rsid w:val="00B955BD"/>
    <w:rsid w:val="00B95856"/>
    <w:rsid w:val="00B95AB1"/>
    <w:rsid w:val="00B967FE"/>
    <w:rsid w:val="00BA23C8"/>
    <w:rsid w:val="00BA3138"/>
    <w:rsid w:val="00BA4302"/>
    <w:rsid w:val="00BA68FE"/>
    <w:rsid w:val="00BB2035"/>
    <w:rsid w:val="00BC7741"/>
    <w:rsid w:val="00BD0AEA"/>
    <w:rsid w:val="00BD2734"/>
    <w:rsid w:val="00BD2896"/>
    <w:rsid w:val="00BD3522"/>
    <w:rsid w:val="00BD43E6"/>
    <w:rsid w:val="00BE15D2"/>
    <w:rsid w:val="00BF043F"/>
    <w:rsid w:val="00BF4CCD"/>
    <w:rsid w:val="00BF5C1E"/>
    <w:rsid w:val="00BF63FE"/>
    <w:rsid w:val="00C01E36"/>
    <w:rsid w:val="00C05C2F"/>
    <w:rsid w:val="00C067FC"/>
    <w:rsid w:val="00C0799A"/>
    <w:rsid w:val="00C11D0D"/>
    <w:rsid w:val="00C21FB1"/>
    <w:rsid w:val="00C257E0"/>
    <w:rsid w:val="00C27E4C"/>
    <w:rsid w:val="00C31381"/>
    <w:rsid w:val="00C317E9"/>
    <w:rsid w:val="00C31877"/>
    <w:rsid w:val="00C337DE"/>
    <w:rsid w:val="00C35558"/>
    <w:rsid w:val="00C37466"/>
    <w:rsid w:val="00C4100A"/>
    <w:rsid w:val="00C42D76"/>
    <w:rsid w:val="00C509C3"/>
    <w:rsid w:val="00C50A17"/>
    <w:rsid w:val="00C549B4"/>
    <w:rsid w:val="00C61521"/>
    <w:rsid w:val="00C6272A"/>
    <w:rsid w:val="00C64377"/>
    <w:rsid w:val="00C64437"/>
    <w:rsid w:val="00C65186"/>
    <w:rsid w:val="00C70EAE"/>
    <w:rsid w:val="00C71806"/>
    <w:rsid w:val="00C72D98"/>
    <w:rsid w:val="00C730E5"/>
    <w:rsid w:val="00C75B20"/>
    <w:rsid w:val="00C75DCC"/>
    <w:rsid w:val="00C83B65"/>
    <w:rsid w:val="00C83C75"/>
    <w:rsid w:val="00C90D32"/>
    <w:rsid w:val="00C91C62"/>
    <w:rsid w:val="00C940E4"/>
    <w:rsid w:val="00C95581"/>
    <w:rsid w:val="00C971A2"/>
    <w:rsid w:val="00C97C41"/>
    <w:rsid w:val="00CA35E9"/>
    <w:rsid w:val="00CA55E2"/>
    <w:rsid w:val="00CA6D72"/>
    <w:rsid w:val="00CB2FCB"/>
    <w:rsid w:val="00CB30FC"/>
    <w:rsid w:val="00CB6A94"/>
    <w:rsid w:val="00CB76D5"/>
    <w:rsid w:val="00CB77EA"/>
    <w:rsid w:val="00CC0850"/>
    <w:rsid w:val="00CC334D"/>
    <w:rsid w:val="00CD1712"/>
    <w:rsid w:val="00CD50B5"/>
    <w:rsid w:val="00CD54FA"/>
    <w:rsid w:val="00CD73A9"/>
    <w:rsid w:val="00CE2495"/>
    <w:rsid w:val="00CE3604"/>
    <w:rsid w:val="00CE4F9B"/>
    <w:rsid w:val="00CF0D06"/>
    <w:rsid w:val="00CF2A76"/>
    <w:rsid w:val="00CF488B"/>
    <w:rsid w:val="00D06F12"/>
    <w:rsid w:val="00D155F4"/>
    <w:rsid w:val="00D17A15"/>
    <w:rsid w:val="00D21EF3"/>
    <w:rsid w:val="00D226B9"/>
    <w:rsid w:val="00D418F5"/>
    <w:rsid w:val="00D441E8"/>
    <w:rsid w:val="00D46790"/>
    <w:rsid w:val="00D50AEF"/>
    <w:rsid w:val="00D51241"/>
    <w:rsid w:val="00D5319A"/>
    <w:rsid w:val="00D540B4"/>
    <w:rsid w:val="00D5418C"/>
    <w:rsid w:val="00D54F75"/>
    <w:rsid w:val="00D72950"/>
    <w:rsid w:val="00D77113"/>
    <w:rsid w:val="00D7778B"/>
    <w:rsid w:val="00D81B0C"/>
    <w:rsid w:val="00D836CC"/>
    <w:rsid w:val="00D83B30"/>
    <w:rsid w:val="00D91BF0"/>
    <w:rsid w:val="00D91C27"/>
    <w:rsid w:val="00D9214F"/>
    <w:rsid w:val="00D9353C"/>
    <w:rsid w:val="00D95432"/>
    <w:rsid w:val="00DA5B40"/>
    <w:rsid w:val="00DB3CF8"/>
    <w:rsid w:val="00DB4CCC"/>
    <w:rsid w:val="00DC010B"/>
    <w:rsid w:val="00DC1AE2"/>
    <w:rsid w:val="00DC5925"/>
    <w:rsid w:val="00DC60FA"/>
    <w:rsid w:val="00DC697E"/>
    <w:rsid w:val="00DC6D47"/>
    <w:rsid w:val="00DD638C"/>
    <w:rsid w:val="00DE23AF"/>
    <w:rsid w:val="00DE35A8"/>
    <w:rsid w:val="00DE5031"/>
    <w:rsid w:val="00DE67EB"/>
    <w:rsid w:val="00DE6E30"/>
    <w:rsid w:val="00DF0DA7"/>
    <w:rsid w:val="00DF1D7E"/>
    <w:rsid w:val="00DF2F03"/>
    <w:rsid w:val="00DF3B9A"/>
    <w:rsid w:val="00DF6210"/>
    <w:rsid w:val="00E03A72"/>
    <w:rsid w:val="00E11089"/>
    <w:rsid w:val="00E12D00"/>
    <w:rsid w:val="00E14E3D"/>
    <w:rsid w:val="00E15334"/>
    <w:rsid w:val="00E174B3"/>
    <w:rsid w:val="00E17598"/>
    <w:rsid w:val="00E20495"/>
    <w:rsid w:val="00E22697"/>
    <w:rsid w:val="00E254D5"/>
    <w:rsid w:val="00E25E3C"/>
    <w:rsid w:val="00E3630E"/>
    <w:rsid w:val="00E41F1C"/>
    <w:rsid w:val="00E4314C"/>
    <w:rsid w:val="00E53BD6"/>
    <w:rsid w:val="00E6033C"/>
    <w:rsid w:val="00E62202"/>
    <w:rsid w:val="00E6557E"/>
    <w:rsid w:val="00E7112C"/>
    <w:rsid w:val="00E723F3"/>
    <w:rsid w:val="00E73577"/>
    <w:rsid w:val="00E900CA"/>
    <w:rsid w:val="00E91306"/>
    <w:rsid w:val="00E91931"/>
    <w:rsid w:val="00E931AF"/>
    <w:rsid w:val="00E97FDB"/>
    <w:rsid w:val="00EA3C98"/>
    <w:rsid w:val="00EA5199"/>
    <w:rsid w:val="00EA5479"/>
    <w:rsid w:val="00EA56B3"/>
    <w:rsid w:val="00EB0008"/>
    <w:rsid w:val="00EB1FFB"/>
    <w:rsid w:val="00EB54BA"/>
    <w:rsid w:val="00EB6DF1"/>
    <w:rsid w:val="00EC1B53"/>
    <w:rsid w:val="00ED492C"/>
    <w:rsid w:val="00ED5BAD"/>
    <w:rsid w:val="00ED7A05"/>
    <w:rsid w:val="00EE035D"/>
    <w:rsid w:val="00EE18B0"/>
    <w:rsid w:val="00EE2FB2"/>
    <w:rsid w:val="00EE334C"/>
    <w:rsid w:val="00EF11A4"/>
    <w:rsid w:val="00EF3477"/>
    <w:rsid w:val="00F02153"/>
    <w:rsid w:val="00F058DF"/>
    <w:rsid w:val="00F1063C"/>
    <w:rsid w:val="00F15587"/>
    <w:rsid w:val="00F15675"/>
    <w:rsid w:val="00F21250"/>
    <w:rsid w:val="00F2326B"/>
    <w:rsid w:val="00F2398D"/>
    <w:rsid w:val="00F2542A"/>
    <w:rsid w:val="00F34932"/>
    <w:rsid w:val="00F34E02"/>
    <w:rsid w:val="00F35A69"/>
    <w:rsid w:val="00F51E5A"/>
    <w:rsid w:val="00F5206B"/>
    <w:rsid w:val="00F54F5C"/>
    <w:rsid w:val="00F56ABF"/>
    <w:rsid w:val="00F634A3"/>
    <w:rsid w:val="00F710F9"/>
    <w:rsid w:val="00F738C0"/>
    <w:rsid w:val="00F7620F"/>
    <w:rsid w:val="00F76E51"/>
    <w:rsid w:val="00F80AEC"/>
    <w:rsid w:val="00F81BF1"/>
    <w:rsid w:val="00F81F9C"/>
    <w:rsid w:val="00F83A5F"/>
    <w:rsid w:val="00F8462C"/>
    <w:rsid w:val="00F87F40"/>
    <w:rsid w:val="00F92C78"/>
    <w:rsid w:val="00F96569"/>
    <w:rsid w:val="00F96621"/>
    <w:rsid w:val="00FA03E5"/>
    <w:rsid w:val="00FA092B"/>
    <w:rsid w:val="00FA0AE4"/>
    <w:rsid w:val="00FA28C9"/>
    <w:rsid w:val="00FA3C5E"/>
    <w:rsid w:val="00FA54ED"/>
    <w:rsid w:val="00FB3EF0"/>
    <w:rsid w:val="00FB4DBA"/>
    <w:rsid w:val="00FB5DA2"/>
    <w:rsid w:val="00FB667E"/>
    <w:rsid w:val="00FD2A49"/>
    <w:rsid w:val="00FD3DAE"/>
    <w:rsid w:val="00FD6D31"/>
    <w:rsid w:val="00FE46BA"/>
    <w:rsid w:val="00FE552D"/>
    <w:rsid w:val="00FE7301"/>
    <w:rsid w:val="00FE7C0D"/>
    <w:rsid w:val="00FF0C95"/>
    <w:rsid w:val="00FF19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9BA2A1"/>
  <w15:docId w15:val="{04EA53A4-7E6C-4E60-B03B-E1F2C631BB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Arial"/>
        <w:sz w:val="24"/>
        <w:szCs w:val="24"/>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56ABF"/>
    <w:rPr>
      <w:rFonts w:cs="Times New Roman"/>
    </w:rPr>
  </w:style>
  <w:style w:type="paragraph" w:styleId="Heading1">
    <w:name w:val="heading 1"/>
    <w:basedOn w:val="Normal"/>
    <w:next w:val="Normal"/>
    <w:link w:val="Heading1Char"/>
    <w:autoRedefine/>
    <w:qFormat/>
    <w:rsid w:val="00B16C7B"/>
    <w:pPr>
      <w:autoSpaceDE w:val="0"/>
      <w:autoSpaceDN w:val="0"/>
      <w:adjustRightInd w:val="0"/>
      <w:spacing w:before="120" w:after="120" w:line="480" w:lineRule="auto"/>
      <w:jc w:val="center"/>
      <w:outlineLvl w:val="0"/>
    </w:pPr>
    <w:rPr>
      <w:rFonts w:ascii="Arial" w:hAnsi="Arial" w:cs="Arial"/>
      <w:b/>
      <w:bCs/>
      <w:caps/>
      <w:color w:val="000000" w:themeColor="text1"/>
      <w:sz w:val="28"/>
    </w:rPr>
  </w:style>
  <w:style w:type="paragraph" w:styleId="Heading2">
    <w:name w:val="heading 2"/>
    <w:basedOn w:val="Normal"/>
    <w:next w:val="Normal"/>
    <w:autoRedefine/>
    <w:qFormat/>
    <w:rsid w:val="00246600"/>
    <w:pPr>
      <w:keepNext/>
      <w:spacing w:before="240" w:after="60" w:line="480" w:lineRule="auto"/>
      <w:jc w:val="center"/>
      <w:outlineLvl w:val="1"/>
    </w:pPr>
    <w:rPr>
      <w:b/>
      <w:bCs/>
      <w:iCs/>
    </w:rPr>
  </w:style>
  <w:style w:type="paragraph" w:styleId="Heading3">
    <w:name w:val="heading 3"/>
    <w:basedOn w:val="Normal"/>
    <w:next w:val="Normal"/>
    <w:autoRedefine/>
    <w:qFormat/>
    <w:rsid w:val="00A847BE"/>
    <w:pPr>
      <w:keepNext/>
      <w:numPr>
        <w:ilvl w:val="2"/>
        <w:numId w:val="2"/>
      </w:numPr>
      <w:spacing w:before="240" w:after="60"/>
      <w:outlineLvl w:val="2"/>
    </w:pPr>
    <w:rPr>
      <w:b/>
      <w:bCs/>
      <w:i/>
    </w:rPr>
  </w:style>
  <w:style w:type="paragraph" w:styleId="Heading4">
    <w:name w:val="heading 4"/>
    <w:basedOn w:val="Normal"/>
    <w:next w:val="Normal"/>
    <w:link w:val="Heading4Char"/>
    <w:semiHidden/>
    <w:unhideWhenUsed/>
    <w:qFormat/>
    <w:rsid w:val="00C067FC"/>
    <w:pPr>
      <w:keepNext/>
      <w:keepLines/>
      <w:numPr>
        <w:ilvl w:val="3"/>
        <w:numId w:val="2"/>
      </w:numPr>
      <w:spacing w:before="40"/>
      <w:outlineLvl w:val="3"/>
    </w:pPr>
    <w:rPr>
      <w:rFonts w:ascii="Arial" w:eastAsiaTheme="majorEastAsia" w:hAnsi="Arial" w:cstheme="majorBidi"/>
      <w:i/>
      <w:iCs/>
      <w:color w:val="365F91" w:themeColor="accent1" w:themeShade="BF"/>
    </w:rPr>
  </w:style>
  <w:style w:type="paragraph" w:styleId="Heading5">
    <w:name w:val="heading 5"/>
    <w:basedOn w:val="Normal"/>
    <w:next w:val="Normal"/>
    <w:link w:val="Heading5Char"/>
    <w:semiHidden/>
    <w:unhideWhenUsed/>
    <w:qFormat/>
    <w:rsid w:val="00C067FC"/>
    <w:pPr>
      <w:keepNext/>
      <w:keepLines/>
      <w:numPr>
        <w:ilvl w:val="4"/>
        <w:numId w:val="2"/>
      </w:numPr>
      <w:spacing w:before="40"/>
      <w:outlineLvl w:val="4"/>
    </w:pPr>
    <w:rPr>
      <w:rFonts w:ascii="Arial" w:eastAsiaTheme="majorEastAsia" w:hAnsi="Arial" w:cstheme="majorBidi"/>
      <w:color w:val="365F91" w:themeColor="accent1" w:themeShade="BF"/>
    </w:rPr>
  </w:style>
  <w:style w:type="paragraph" w:styleId="Heading6">
    <w:name w:val="heading 6"/>
    <w:basedOn w:val="Normal"/>
    <w:next w:val="Normal"/>
    <w:link w:val="Heading6Char"/>
    <w:semiHidden/>
    <w:unhideWhenUsed/>
    <w:qFormat/>
    <w:rsid w:val="00C067FC"/>
    <w:pPr>
      <w:keepNext/>
      <w:keepLines/>
      <w:numPr>
        <w:ilvl w:val="5"/>
        <w:numId w:val="2"/>
      </w:numPr>
      <w:spacing w:before="40"/>
      <w:outlineLvl w:val="5"/>
    </w:pPr>
    <w:rPr>
      <w:rFonts w:ascii="Arial" w:eastAsiaTheme="majorEastAsia" w:hAnsi="Arial" w:cstheme="majorBidi"/>
      <w:color w:val="243F60" w:themeColor="accent1" w:themeShade="7F"/>
    </w:rPr>
  </w:style>
  <w:style w:type="paragraph" w:styleId="Heading7">
    <w:name w:val="heading 7"/>
    <w:basedOn w:val="Normal"/>
    <w:next w:val="Normal"/>
    <w:link w:val="Heading7Char"/>
    <w:semiHidden/>
    <w:unhideWhenUsed/>
    <w:qFormat/>
    <w:rsid w:val="00C067FC"/>
    <w:pPr>
      <w:keepNext/>
      <w:keepLines/>
      <w:numPr>
        <w:ilvl w:val="6"/>
        <w:numId w:val="2"/>
      </w:numPr>
      <w:spacing w:before="40"/>
      <w:outlineLvl w:val="6"/>
    </w:pPr>
    <w:rPr>
      <w:rFonts w:ascii="Arial" w:eastAsiaTheme="majorEastAsia" w:hAnsi="Arial" w:cstheme="majorBidi"/>
      <w:i/>
      <w:iCs/>
      <w:color w:val="243F60" w:themeColor="accent1" w:themeShade="7F"/>
    </w:rPr>
  </w:style>
  <w:style w:type="paragraph" w:styleId="Heading8">
    <w:name w:val="heading 8"/>
    <w:basedOn w:val="Normal"/>
    <w:next w:val="Normal"/>
    <w:link w:val="Heading8Char"/>
    <w:semiHidden/>
    <w:unhideWhenUsed/>
    <w:qFormat/>
    <w:rsid w:val="00C067FC"/>
    <w:pPr>
      <w:keepNext/>
      <w:keepLines/>
      <w:numPr>
        <w:ilvl w:val="7"/>
        <w:numId w:val="2"/>
      </w:numPr>
      <w:spacing w:before="40"/>
      <w:outlineLvl w:val="7"/>
    </w:pPr>
    <w:rPr>
      <w:rFonts w:ascii="Arial" w:eastAsiaTheme="majorEastAsia" w:hAnsi="Arial" w:cstheme="majorBidi"/>
      <w:color w:val="272727" w:themeColor="text1" w:themeTint="D8"/>
      <w:sz w:val="21"/>
      <w:szCs w:val="21"/>
    </w:rPr>
  </w:style>
  <w:style w:type="paragraph" w:styleId="Heading9">
    <w:name w:val="heading 9"/>
    <w:basedOn w:val="Normal"/>
    <w:next w:val="Normal"/>
    <w:link w:val="Heading9Char"/>
    <w:semiHidden/>
    <w:unhideWhenUsed/>
    <w:qFormat/>
    <w:rsid w:val="00C067FC"/>
    <w:pPr>
      <w:keepNext/>
      <w:keepLines/>
      <w:numPr>
        <w:ilvl w:val="8"/>
        <w:numId w:val="2"/>
      </w:numPr>
      <w:spacing w:before="40"/>
      <w:outlineLvl w:val="8"/>
    </w:pPr>
    <w:rPr>
      <w:rFonts w:ascii="Arial" w:eastAsiaTheme="majorEastAsia" w:hAnsi="Arial"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65C7E"/>
    <w:pPr>
      <w:tabs>
        <w:tab w:val="center" w:pos="4320"/>
        <w:tab w:val="right" w:pos="8640"/>
      </w:tabs>
    </w:pPr>
    <w:rPr>
      <w:rFonts w:ascii="Arial" w:hAnsi="Arial" w:cs="Arial"/>
    </w:rPr>
  </w:style>
  <w:style w:type="paragraph" w:styleId="Header">
    <w:name w:val="header"/>
    <w:basedOn w:val="Normal"/>
    <w:rsid w:val="00665C7E"/>
    <w:pPr>
      <w:tabs>
        <w:tab w:val="center" w:pos="4320"/>
        <w:tab w:val="right" w:pos="8640"/>
      </w:tabs>
    </w:pPr>
    <w:rPr>
      <w:rFonts w:ascii="Arial" w:hAnsi="Arial" w:cs="Arial"/>
    </w:rPr>
  </w:style>
  <w:style w:type="paragraph" w:customStyle="1" w:styleId="Level1">
    <w:name w:val="Level 1"/>
    <w:rsid w:val="00665C7E"/>
    <w:pPr>
      <w:autoSpaceDE w:val="0"/>
      <w:autoSpaceDN w:val="0"/>
      <w:adjustRightInd w:val="0"/>
      <w:ind w:left="720"/>
    </w:pPr>
  </w:style>
  <w:style w:type="character" w:customStyle="1" w:styleId="SYSHYPERTEXT">
    <w:name w:val="SYS_HYPERTEXT"/>
    <w:rsid w:val="00665C7E"/>
    <w:rPr>
      <w:noProof/>
      <w:color w:val="0000FF"/>
      <w:u w:val="single"/>
    </w:rPr>
  </w:style>
  <w:style w:type="character" w:customStyle="1" w:styleId="QuickFormat2">
    <w:name w:val="QuickFormat2"/>
    <w:rsid w:val="00665C7E"/>
    <w:rPr>
      <w:rFonts w:ascii="Arial" w:hAnsi="Arial" w:cs="Arial"/>
    </w:rPr>
  </w:style>
  <w:style w:type="character" w:customStyle="1" w:styleId="QuickFormat3">
    <w:name w:val="QuickFormat3"/>
    <w:rsid w:val="00665C7E"/>
    <w:rPr>
      <w:rFonts w:ascii="Arial" w:hAnsi="Arial" w:cs="Arial"/>
      <w:b/>
      <w:bCs/>
      <w:i/>
      <w:iCs/>
    </w:rPr>
  </w:style>
  <w:style w:type="paragraph" w:styleId="Title">
    <w:name w:val="Title"/>
    <w:basedOn w:val="Normal"/>
    <w:autoRedefine/>
    <w:qFormat/>
    <w:rsid w:val="003F7FED"/>
    <w:pPr>
      <w:autoSpaceDE w:val="0"/>
      <w:autoSpaceDN w:val="0"/>
      <w:adjustRightInd w:val="0"/>
      <w:jc w:val="center"/>
    </w:pPr>
    <w:rPr>
      <w:rFonts w:ascii="Arial" w:hAnsi="Arial" w:cs="Arial"/>
      <w:sz w:val="28"/>
      <w:szCs w:val="28"/>
    </w:rPr>
  </w:style>
  <w:style w:type="paragraph" w:styleId="BodyText">
    <w:name w:val="Body Text"/>
    <w:basedOn w:val="Normal"/>
    <w:link w:val="BodyTextChar"/>
    <w:rsid w:val="00665C7E"/>
    <w:pPr>
      <w:autoSpaceDE w:val="0"/>
      <w:autoSpaceDN w:val="0"/>
      <w:adjustRightInd w:val="0"/>
    </w:pPr>
    <w:rPr>
      <w:rFonts w:ascii="Arial" w:hAnsi="Arial" w:cs="Arial"/>
      <w:sz w:val="22"/>
      <w:szCs w:val="22"/>
    </w:rPr>
  </w:style>
  <w:style w:type="paragraph" w:styleId="Subtitle">
    <w:name w:val="Subtitle"/>
    <w:basedOn w:val="Normal"/>
    <w:autoRedefine/>
    <w:qFormat/>
    <w:rsid w:val="00665C7E"/>
    <w:pPr>
      <w:autoSpaceDE w:val="0"/>
      <w:autoSpaceDN w:val="0"/>
      <w:adjustRightInd w:val="0"/>
    </w:pPr>
    <w:rPr>
      <w:rFonts w:ascii="Arial" w:hAnsi="Arial" w:cs="Arial"/>
      <w:b/>
      <w:bCs/>
    </w:rPr>
  </w:style>
  <w:style w:type="paragraph" w:styleId="BodyTextIndent">
    <w:name w:val="Body Text Indent"/>
    <w:basedOn w:val="Normal"/>
    <w:link w:val="BodyTextIndentChar"/>
    <w:rsid w:val="00665C7E"/>
    <w:pPr>
      <w:tabs>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720"/>
      <w:jc w:val="both"/>
    </w:pPr>
    <w:rPr>
      <w:rFonts w:ascii="Arial" w:hAnsi="Arial" w:cs="Arial"/>
      <w:sz w:val="32"/>
      <w:szCs w:val="32"/>
    </w:rPr>
  </w:style>
  <w:style w:type="paragraph" w:customStyle="1" w:styleId="QuickFormat6">
    <w:name w:val="QuickFormat6"/>
    <w:rsid w:val="00665C7E"/>
    <w:pPr>
      <w:autoSpaceDE w:val="0"/>
      <w:autoSpaceDN w:val="0"/>
      <w:adjustRightInd w:val="0"/>
    </w:pPr>
  </w:style>
  <w:style w:type="character" w:styleId="PageNumber">
    <w:name w:val="page number"/>
    <w:basedOn w:val="DefaultParagraphFont"/>
    <w:rsid w:val="00665C7E"/>
  </w:style>
  <w:style w:type="paragraph" w:styleId="BodyText2">
    <w:name w:val="Body Text 2"/>
    <w:basedOn w:val="Normal"/>
    <w:rsid w:val="00665C7E"/>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right="52"/>
    </w:pPr>
    <w:rPr>
      <w:rFonts w:ascii="Arial" w:hAnsi="Arial" w:cs="Arial"/>
      <w:noProof/>
    </w:rPr>
  </w:style>
  <w:style w:type="paragraph" w:styleId="BodyTextIndent2">
    <w:name w:val="Body Text Indent 2"/>
    <w:basedOn w:val="Normal"/>
    <w:rsid w:val="00665C7E"/>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left="935"/>
    </w:pPr>
    <w:rPr>
      <w:rFonts w:ascii="Arial" w:hAnsi="Arial" w:cs="Arial"/>
      <w:sz w:val="17"/>
      <w:szCs w:val="17"/>
    </w:rPr>
  </w:style>
  <w:style w:type="paragraph" w:styleId="BodyTextIndent3">
    <w:name w:val="Body Text Indent 3"/>
    <w:basedOn w:val="Normal"/>
    <w:rsid w:val="00665C7E"/>
    <w:pPr>
      <w:numPr>
        <w:ilvl w:val="12"/>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1080"/>
    </w:pPr>
    <w:rPr>
      <w:rFonts w:ascii="Arial" w:hAnsi="Arial" w:cs="Arial"/>
      <w:sz w:val="20"/>
    </w:rPr>
  </w:style>
  <w:style w:type="paragraph" w:styleId="BlockText">
    <w:name w:val="Block Text"/>
    <w:basedOn w:val="Normal"/>
    <w:rsid w:val="00665C7E"/>
    <w:pPr>
      <w:keepNext/>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spacing w:line="480" w:lineRule="auto"/>
      <w:ind w:left="1440" w:right="630"/>
    </w:pPr>
    <w:rPr>
      <w:rFonts w:ascii="Arial" w:hAnsi="Arial" w:cs="Arial"/>
      <w:noProof/>
      <w:sz w:val="18"/>
      <w:szCs w:val="18"/>
    </w:rPr>
  </w:style>
  <w:style w:type="table" w:styleId="TableGrid">
    <w:name w:val="Table Grid"/>
    <w:basedOn w:val="TableNormal"/>
    <w:rsid w:val="00177D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Figures">
    <w:name w:val="table of figures"/>
    <w:basedOn w:val="Normal"/>
    <w:next w:val="Normal"/>
    <w:uiPriority w:val="99"/>
    <w:rsid w:val="00665C7E"/>
    <w:pPr>
      <w:ind w:left="480" w:hanging="480"/>
    </w:pPr>
    <w:rPr>
      <w:rFonts w:ascii="Arial" w:hAnsi="Arial" w:cs="Arial"/>
    </w:rPr>
  </w:style>
  <w:style w:type="character" w:styleId="Hyperlink">
    <w:name w:val="Hyperlink"/>
    <w:uiPriority w:val="99"/>
    <w:qFormat/>
    <w:rsid w:val="00D83B30"/>
    <w:rPr>
      <w:rFonts w:ascii="Arial" w:hAnsi="Arial"/>
      <w:color w:val="auto"/>
      <w:sz w:val="24"/>
      <w:u w:val="none"/>
    </w:rPr>
  </w:style>
  <w:style w:type="paragraph" w:styleId="TOC1">
    <w:name w:val="toc 1"/>
    <w:basedOn w:val="Normal"/>
    <w:next w:val="Normal"/>
    <w:autoRedefine/>
    <w:uiPriority w:val="39"/>
    <w:rsid w:val="00473AD2"/>
    <w:pPr>
      <w:spacing w:before="240" w:after="120"/>
    </w:pPr>
    <w:rPr>
      <w:rFonts w:asciiTheme="minorHAnsi" w:hAnsiTheme="minorHAnsi" w:cstheme="minorHAnsi"/>
      <w:b/>
      <w:bCs/>
      <w:sz w:val="20"/>
      <w:szCs w:val="20"/>
    </w:rPr>
  </w:style>
  <w:style w:type="paragraph" w:styleId="TOC2">
    <w:name w:val="toc 2"/>
    <w:basedOn w:val="Normal"/>
    <w:next w:val="Normal"/>
    <w:autoRedefine/>
    <w:uiPriority w:val="39"/>
    <w:rsid w:val="00665C7E"/>
    <w:pPr>
      <w:spacing w:before="120"/>
      <w:ind w:left="240"/>
    </w:pPr>
    <w:rPr>
      <w:rFonts w:asciiTheme="minorHAnsi" w:hAnsiTheme="minorHAnsi" w:cstheme="minorHAnsi"/>
      <w:i/>
      <w:iCs/>
      <w:sz w:val="20"/>
      <w:szCs w:val="20"/>
    </w:rPr>
  </w:style>
  <w:style w:type="paragraph" w:styleId="TOC3">
    <w:name w:val="toc 3"/>
    <w:basedOn w:val="Normal"/>
    <w:next w:val="Normal"/>
    <w:autoRedefine/>
    <w:uiPriority w:val="39"/>
    <w:rsid w:val="00665C7E"/>
    <w:pPr>
      <w:ind w:left="480"/>
    </w:pPr>
    <w:rPr>
      <w:rFonts w:asciiTheme="minorHAnsi" w:hAnsiTheme="minorHAnsi" w:cstheme="minorHAnsi"/>
      <w:sz w:val="20"/>
      <w:szCs w:val="20"/>
    </w:rPr>
  </w:style>
  <w:style w:type="paragraph" w:styleId="TOC4">
    <w:name w:val="toc 4"/>
    <w:basedOn w:val="Normal"/>
    <w:next w:val="Normal"/>
    <w:autoRedefine/>
    <w:semiHidden/>
    <w:rsid w:val="00665C7E"/>
    <w:pPr>
      <w:ind w:left="720"/>
    </w:pPr>
    <w:rPr>
      <w:rFonts w:asciiTheme="minorHAnsi" w:hAnsiTheme="minorHAnsi" w:cstheme="minorHAnsi"/>
      <w:sz w:val="20"/>
      <w:szCs w:val="20"/>
    </w:rPr>
  </w:style>
  <w:style w:type="paragraph" w:styleId="TOC5">
    <w:name w:val="toc 5"/>
    <w:basedOn w:val="Normal"/>
    <w:next w:val="Normal"/>
    <w:autoRedefine/>
    <w:semiHidden/>
    <w:rsid w:val="00665C7E"/>
    <w:pPr>
      <w:ind w:left="960"/>
    </w:pPr>
    <w:rPr>
      <w:rFonts w:asciiTheme="minorHAnsi" w:hAnsiTheme="minorHAnsi" w:cstheme="minorHAnsi"/>
      <w:sz w:val="20"/>
      <w:szCs w:val="20"/>
    </w:rPr>
  </w:style>
  <w:style w:type="paragraph" w:styleId="TOC6">
    <w:name w:val="toc 6"/>
    <w:basedOn w:val="Normal"/>
    <w:next w:val="Normal"/>
    <w:autoRedefine/>
    <w:semiHidden/>
    <w:rsid w:val="00665C7E"/>
    <w:pPr>
      <w:ind w:left="1200"/>
    </w:pPr>
    <w:rPr>
      <w:rFonts w:asciiTheme="minorHAnsi" w:hAnsiTheme="minorHAnsi" w:cstheme="minorHAnsi"/>
      <w:sz w:val="20"/>
      <w:szCs w:val="20"/>
    </w:rPr>
  </w:style>
  <w:style w:type="paragraph" w:styleId="TOC7">
    <w:name w:val="toc 7"/>
    <w:basedOn w:val="Normal"/>
    <w:next w:val="Normal"/>
    <w:autoRedefine/>
    <w:semiHidden/>
    <w:rsid w:val="00665C7E"/>
    <w:pPr>
      <w:ind w:left="1440"/>
    </w:pPr>
    <w:rPr>
      <w:rFonts w:asciiTheme="minorHAnsi" w:hAnsiTheme="minorHAnsi" w:cstheme="minorHAnsi"/>
      <w:sz w:val="20"/>
      <w:szCs w:val="20"/>
    </w:rPr>
  </w:style>
  <w:style w:type="paragraph" w:styleId="TOC8">
    <w:name w:val="toc 8"/>
    <w:basedOn w:val="Normal"/>
    <w:next w:val="Normal"/>
    <w:autoRedefine/>
    <w:semiHidden/>
    <w:rsid w:val="00665C7E"/>
    <w:pPr>
      <w:ind w:left="1680"/>
    </w:pPr>
    <w:rPr>
      <w:rFonts w:asciiTheme="minorHAnsi" w:hAnsiTheme="minorHAnsi" w:cstheme="minorHAnsi"/>
      <w:sz w:val="20"/>
      <w:szCs w:val="20"/>
    </w:rPr>
  </w:style>
  <w:style w:type="paragraph" w:styleId="TOC9">
    <w:name w:val="toc 9"/>
    <w:basedOn w:val="Normal"/>
    <w:next w:val="Normal"/>
    <w:autoRedefine/>
    <w:semiHidden/>
    <w:rsid w:val="00665C7E"/>
    <w:pPr>
      <w:ind w:left="1920"/>
    </w:pPr>
    <w:rPr>
      <w:rFonts w:asciiTheme="minorHAnsi" w:hAnsiTheme="minorHAnsi" w:cstheme="minorHAnsi"/>
      <w:sz w:val="20"/>
      <w:szCs w:val="20"/>
    </w:rPr>
  </w:style>
  <w:style w:type="paragraph" w:customStyle="1" w:styleId="thesistext">
    <w:name w:val="thesis text"/>
    <w:basedOn w:val="Normal"/>
    <w:autoRedefine/>
    <w:rsid w:val="00665C7E"/>
    <w:pPr>
      <w:spacing w:after="240"/>
      <w:ind w:firstLine="540"/>
    </w:pPr>
    <w:rPr>
      <w:rFonts w:ascii="Arial" w:hAnsi="Arial" w:cs="Arial"/>
      <w:lang w:eastAsia="es-ES"/>
    </w:rPr>
  </w:style>
  <w:style w:type="paragraph" w:customStyle="1" w:styleId="StyleHeading1Centered">
    <w:name w:val="Style Heading 1 + Centered"/>
    <w:basedOn w:val="Heading1"/>
    <w:link w:val="StyleHeading1CenteredChar"/>
    <w:rsid w:val="000166A9"/>
    <w:rPr>
      <w:caps w:val="0"/>
      <w:szCs w:val="28"/>
    </w:rPr>
  </w:style>
  <w:style w:type="character" w:customStyle="1" w:styleId="Heading1Char">
    <w:name w:val="Heading 1 Char"/>
    <w:link w:val="Heading1"/>
    <w:rsid w:val="00B16C7B"/>
    <w:rPr>
      <w:rFonts w:ascii="Arial" w:hAnsi="Arial"/>
      <w:b/>
      <w:bCs/>
      <w:caps/>
      <w:color w:val="000000" w:themeColor="text1"/>
      <w:sz w:val="28"/>
    </w:rPr>
  </w:style>
  <w:style w:type="character" w:customStyle="1" w:styleId="StyleHeading1CenteredChar">
    <w:name w:val="Style Heading 1 + Centered Char"/>
    <w:link w:val="StyleHeading1Centered"/>
    <w:rsid w:val="003C1575"/>
    <w:rPr>
      <w:rFonts w:asciiTheme="majorHAnsi" w:hAnsiTheme="majorHAnsi"/>
      <w:b/>
      <w:bCs/>
      <w:color w:val="000000" w:themeColor="text1"/>
      <w:sz w:val="28"/>
      <w:szCs w:val="28"/>
    </w:rPr>
  </w:style>
  <w:style w:type="paragraph" w:styleId="TOCHeading">
    <w:name w:val="TOC Heading"/>
    <w:basedOn w:val="Heading1"/>
    <w:next w:val="Normal"/>
    <w:autoRedefine/>
    <w:uiPriority w:val="39"/>
    <w:unhideWhenUsed/>
    <w:qFormat/>
    <w:rsid w:val="00D5319A"/>
    <w:pPr>
      <w:keepNext/>
      <w:keepLines/>
      <w:autoSpaceDE/>
      <w:autoSpaceDN/>
      <w:adjustRightInd/>
      <w:spacing w:before="240" w:line="259" w:lineRule="auto"/>
      <w:outlineLvl w:val="9"/>
    </w:pPr>
    <w:rPr>
      <w:bCs w:val="0"/>
      <w:color w:val="auto"/>
    </w:rPr>
  </w:style>
  <w:style w:type="character" w:styleId="Strong">
    <w:name w:val="Strong"/>
    <w:basedOn w:val="DefaultParagraphFont"/>
    <w:qFormat/>
    <w:rsid w:val="003F7FED"/>
    <w:rPr>
      <w:rFonts w:asciiTheme="majorHAnsi" w:hAnsiTheme="majorHAnsi"/>
      <w:b/>
      <w:bCs/>
    </w:rPr>
  </w:style>
  <w:style w:type="character" w:styleId="IntenseEmphasis">
    <w:name w:val="Intense Emphasis"/>
    <w:basedOn w:val="DefaultParagraphFont"/>
    <w:uiPriority w:val="21"/>
    <w:qFormat/>
    <w:rsid w:val="003F7FED"/>
    <w:rPr>
      <w:rFonts w:asciiTheme="majorHAnsi" w:hAnsiTheme="majorHAnsi"/>
      <w:i/>
      <w:iCs/>
      <w:color w:val="000000" w:themeColor="text1"/>
    </w:rPr>
  </w:style>
  <w:style w:type="paragraph" w:styleId="IntenseQuote">
    <w:name w:val="Intense Quote"/>
    <w:basedOn w:val="Normal"/>
    <w:next w:val="Normal"/>
    <w:link w:val="IntenseQuoteChar"/>
    <w:autoRedefine/>
    <w:uiPriority w:val="30"/>
    <w:qFormat/>
    <w:rsid w:val="003F7FED"/>
    <w:pPr>
      <w:framePr w:wrap="around" w:vAnchor="text" w:hAnchor="text" w:y="1"/>
      <w:spacing w:before="360" w:after="360"/>
      <w:ind w:left="864" w:right="864"/>
      <w:jc w:val="center"/>
    </w:pPr>
    <w:rPr>
      <w:rFonts w:ascii="Arial" w:hAnsi="Arial" w:cs="Arial"/>
      <w:i/>
      <w:iCs/>
      <w:color w:val="000000" w:themeColor="text1"/>
    </w:rPr>
  </w:style>
  <w:style w:type="character" w:customStyle="1" w:styleId="IntenseQuoteChar">
    <w:name w:val="Intense Quote Char"/>
    <w:basedOn w:val="DefaultParagraphFont"/>
    <w:link w:val="IntenseQuote"/>
    <w:uiPriority w:val="30"/>
    <w:rsid w:val="003F7FED"/>
    <w:rPr>
      <w:rFonts w:asciiTheme="majorHAnsi" w:hAnsiTheme="majorHAnsi"/>
      <w:i/>
      <w:iCs/>
      <w:color w:val="000000" w:themeColor="text1"/>
    </w:rPr>
  </w:style>
  <w:style w:type="character" w:styleId="SubtleReference">
    <w:name w:val="Subtle Reference"/>
    <w:basedOn w:val="DefaultParagraphFont"/>
    <w:uiPriority w:val="31"/>
    <w:qFormat/>
    <w:rsid w:val="003F7FED"/>
    <w:rPr>
      <w:rFonts w:asciiTheme="majorHAnsi" w:hAnsiTheme="majorHAnsi"/>
      <w:smallCaps/>
      <w:color w:val="5A5A5A" w:themeColor="text1" w:themeTint="A5"/>
    </w:rPr>
  </w:style>
  <w:style w:type="character" w:styleId="IntenseReference">
    <w:name w:val="Intense Reference"/>
    <w:basedOn w:val="DefaultParagraphFont"/>
    <w:uiPriority w:val="32"/>
    <w:qFormat/>
    <w:rsid w:val="003F7FED"/>
    <w:rPr>
      <w:b/>
      <w:bCs/>
      <w:smallCaps/>
      <w:color w:val="000000" w:themeColor="text1"/>
      <w:spacing w:val="5"/>
    </w:rPr>
  </w:style>
  <w:style w:type="character" w:styleId="Emphasis">
    <w:name w:val="Emphasis"/>
    <w:basedOn w:val="DefaultParagraphFont"/>
    <w:qFormat/>
    <w:rsid w:val="003F7FED"/>
    <w:rPr>
      <w:rFonts w:asciiTheme="majorHAnsi" w:hAnsiTheme="majorHAnsi"/>
      <w:i/>
      <w:iCs/>
    </w:rPr>
  </w:style>
  <w:style w:type="paragraph" w:styleId="NoSpacing">
    <w:name w:val="No Spacing"/>
    <w:autoRedefine/>
    <w:uiPriority w:val="1"/>
    <w:qFormat/>
    <w:rsid w:val="003F7FED"/>
    <w:rPr>
      <w:rFonts w:asciiTheme="majorHAnsi" w:hAnsiTheme="majorHAnsi"/>
    </w:rPr>
  </w:style>
  <w:style w:type="character" w:styleId="SubtleEmphasis">
    <w:name w:val="Subtle Emphasis"/>
    <w:basedOn w:val="DefaultParagraphFont"/>
    <w:uiPriority w:val="19"/>
    <w:qFormat/>
    <w:rsid w:val="003F7FED"/>
    <w:rPr>
      <w:rFonts w:asciiTheme="majorHAnsi" w:hAnsiTheme="majorHAnsi"/>
      <w:i/>
      <w:iCs/>
      <w:color w:val="404040" w:themeColor="text1" w:themeTint="BF"/>
    </w:rPr>
  </w:style>
  <w:style w:type="paragraph" w:styleId="Quote">
    <w:name w:val="Quote"/>
    <w:basedOn w:val="Normal"/>
    <w:next w:val="Normal"/>
    <w:link w:val="QuoteChar"/>
    <w:autoRedefine/>
    <w:uiPriority w:val="29"/>
    <w:qFormat/>
    <w:rsid w:val="003F7FED"/>
    <w:pPr>
      <w:spacing w:before="200" w:after="160"/>
      <w:ind w:left="864" w:right="864"/>
      <w:jc w:val="center"/>
    </w:pPr>
    <w:rPr>
      <w:rFonts w:ascii="Arial" w:hAnsi="Arial" w:cs="Arial"/>
      <w:i/>
      <w:iCs/>
      <w:color w:val="404040" w:themeColor="text1" w:themeTint="BF"/>
    </w:rPr>
  </w:style>
  <w:style w:type="character" w:customStyle="1" w:styleId="QuoteChar">
    <w:name w:val="Quote Char"/>
    <w:basedOn w:val="DefaultParagraphFont"/>
    <w:link w:val="Quote"/>
    <w:uiPriority w:val="29"/>
    <w:rsid w:val="003F7FED"/>
    <w:rPr>
      <w:i/>
      <w:iCs/>
      <w:color w:val="404040" w:themeColor="text1" w:themeTint="BF"/>
    </w:rPr>
  </w:style>
  <w:style w:type="paragraph" w:styleId="ListParagraph">
    <w:name w:val="List Paragraph"/>
    <w:basedOn w:val="Normal"/>
    <w:autoRedefine/>
    <w:uiPriority w:val="34"/>
    <w:qFormat/>
    <w:rsid w:val="003F7FED"/>
    <w:pPr>
      <w:ind w:left="720"/>
      <w:contextualSpacing/>
    </w:pPr>
    <w:rPr>
      <w:rFonts w:ascii="Arial" w:hAnsi="Arial" w:cs="Arial"/>
    </w:rPr>
  </w:style>
  <w:style w:type="character" w:customStyle="1" w:styleId="FooterChar">
    <w:name w:val="Footer Char"/>
    <w:basedOn w:val="DefaultParagraphFont"/>
    <w:link w:val="Footer"/>
    <w:uiPriority w:val="99"/>
    <w:rsid w:val="00852266"/>
    <w:rPr>
      <w:rFonts w:asciiTheme="majorHAnsi" w:hAnsiTheme="majorHAnsi"/>
    </w:rPr>
  </w:style>
  <w:style w:type="character" w:styleId="FollowedHyperlink">
    <w:name w:val="FollowedHyperlink"/>
    <w:basedOn w:val="DefaultParagraphFont"/>
    <w:semiHidden/>
    <w:unhideWhenUsed/>
    <w:rsid w:val="0065123B"/>
    <w:rPr>
      <w:color w:val="800080" w:themeColor="followedHyperlink"/>
      <w:u w:val="single"/>
    </w:rPr>
  </w:style>
  <w:style w:type="numbering" w:customStyle="1" w:styleId="Caption2">
    <w:name w:val="Caption2"/>
    <w:basedOn w:val="NoList"/>
    <w:uiPriority w:val="99"/>
    <w:rsid w:val="00861CAB"/>
    <w:pPr>
      <w:numPr>
        <w:numId w:val="1"/>
      </w:numPr>
    </w:pPr>
  </w:style>
  <w:style w:type="paragraph" w:customStyle="1" w:styleId="Chapter">
    <w:name w:val="Chapter"/>
    <w:basedOn w:val="Heading1"/>
    <w:next w:val="Heading1"/>
    <w:link w:val="ChapterChar"/>
    <w:autoRedefine/>
    <w:rsid w:val="00965FBD"/>
  </w:style>
  <w:style w:type="paragraph" w:styleId="Caption">
    <w:name w:val="caption"/>
    <w:basedOn w:val="Normal"/>
    <w:next w:val="Normal"/>
    <w:autoRedefine/>
    <w:unhideWhenUsed/>
    <w:qFormat/>
    <w:rsid w:val="00C61521"/>
    <w:pPr>
      <w:keepNext/>
      <w:spacing w:before="120" w:after="120" w:line="360" w:lineRule="auto"/>
    </w:pPr>
    <w:rPr>
      <w:rFonts w:ascii="Arial" w:hAnsi="Arial" w:cs="Arial"/>
      <w:iCs/>
      <w:color w:val="000000" w:themeColor="text1"/>
      <w:sz w:val="20"/>
      <w:szCs w:val="18"/>
    </w:rPr>
  </w:style>
  <w:style w:type="character" w:customStyle="1" w:styleId="ChapterChar">
    <w:name w:val="Chapter Char"/>
    <w:basedOn w:val="StyleHeading1CenteredChar"/>
    <w:link w:val="Chapter"/>
    <w:rsid w:val="00965FBD"/>
    <w:rPr>
      <w:rFonts w:asciiTheme="majorHAnsi" w:hAnsiTheme="majorHAnsi"/>
      <w:b/>
      <w:bCs/>
      <w:caps/>
      <w:color w:val="000000" w:themeColor="text1"/>
      <w:sz w:val="28"/>
      <w:szCs w:val="28"/>
    </w:rPr>
  </w:style>
  <w:style w:type="character" w:customStyle="1" w:styleId="Heading4Char">
    <w:name w:val="Heading 4 Char"/>
    <w:basedOn w:val="DefaultParagraphFont"/>
    <w:link w:val="Heading4"/>
    <w:semiHidden/>
    <w:rsid w:val="00C067FC"/>
    <w:rPr>
      <w:rFonts w:asciiTheme="majorHAnsi" w:eastAsiaTheme="majorEastAsia" w:hAnsiTheme="majorHAnsi" w:cstheme="majorBidi"/>
      <w:i/>
      <w:iCs/>
      <w:color w:val="365F91" w:themeColor="accent1" w:themeShade="BF"/>
    </w:rPr>
  </w:style>
  <w:style w:type="character" w:customStyle="1" w:styleId="Heading5Char">
    <w:name w:val="Heading 5 Char"/>
    <w:basedOn w:val="DefaultParagraphFont"/>
    <w:link w:val="Heading5"/>
    <w:semiHidden/>
    <w:rsid w:val="00C067FC"/>
    <w:rPr>
      <w:rFonts w:asciiTheme="majorHAnsi" w:eastAsiaTheme="majorEastAsia" w:hAnsiTheme="majorHAnsi" w:cstheme="majorBidi"/>
      <w:color w:val="365F91" w:themeColor="accent1" w:themeShade="BF"/>
    </w:rPr>
  </w:style>
  <w:style w:type="character" w:customStyle="1" w:styleId="Heading6Char">
    <w:name w:val="Heading 6 Char"/>
    <w:basedOn w:val="DefaultParagraphFont"/>
    <w:link w:val="Heading6"/>
    <w:semiHidden/>
    <w:rsid w:val="00C067FC"/>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semiHidden/>
    <w:rsid w:val="00C067FC"/>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semiHidden/>
    <w:rsid w:val="00C067FC"/>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semiHidden/>
    <w:rsid w:val="00C067FC"/>
    <w:rPr>
      <w:rFonts w:asciiTheme="majorHAnsi" w:eastAsiaTheme="majorEastAsia" w:hAnsiTheme="majorHAnsi" w:cstheme="majorBidi"/>
      <w:i/>
      <w:iCs/>
      <w:color w:val="272727" w:themeColor="text1" w:themeTint="D8"/>
      <w:sz w:val="21"/>
      <w:szCs w:val="21"/>
    </w:rPr>
  </w:style>
  <w:style w:type="numbering" w:styleId="111111">
    <w:name w:val="Outline List 2"/>
    <w:basedOn w:val="NoList"/>
    <w:semiHidden/>
    <w:unhideWhenUsed/>
    <w:rsid w:val="00861CAB"/>
    <w:pPr>
      <w:numPr>
        <w:numId w:val="3"/>
      </w:numPr>
    </w:pPr>
  </w:style>
  <w:style w:type="table" w:styleId="GridTable5Dark">
    <w:name w:val="Grid Table 5 Dark"/>
    <w:basedOn w:val="TableNormal"/>
    <w:uiPriority w:val="50"/>
    <w:rsid w:val="00177D0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ListTable7Colorful">
    <w:name w:val="List Table 7 Colorful"/>
    <w:basedOn w:val="TableNormal"/>
    <w:uiPriority w:val="52"/>
    <w:rsid w:val="00177D09"/>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BodyTextChar">
    <w:name w:val="Body Text Char"/>
    <w:basedOn w:val="DefaultParagraphFont"/>
    <w:link w:val="BodyText"/>
    <w:rsid w:val="00A56B44"/>
    <w:rPr>
      <w:rFonts w:asciiTheme="majorHAnsi" w:hAnsiTheme="majorHAnsi"/>
      <w:sz w:val="22"/>
      <w:szCs w:val="22"/>
    </w:rPr>
  </w:style>
  <w:style w:type="character" w:customStyle="1" w:styleId="BodyTextIndentChar">
    <w:name w:val="Body Text Indent Char"/>
    <w:basedOn w:val="DefaultParagraphFont"/>
    <w:link w:val="BodyTextIndent"/>
    <w:rsid w:val="00A56B44"/>
    <w:rPr>
      <w:rFonts w:asciiTheme="majorHAnsi" w:hAnsiTheme="majorHAnsi"/>
      <w:sz w:val="32"/>
      <w:szCs w:val="32"/>
    </w:rPr>
  </w:style>
  <w:style w:type="paragraph" w:customStyle="1" w:styleId="AltHeading1">
    <w:name w:val="AltHeading1"/>
    <w:basedOn w:val="Heading1"/>
    <w:autoRedefine/>
    <w:qFormat/>
    <w:rsid w:val="00AC4D37"/>
    <w:pPr>
      <w:numPr>
        <w:ilvl w:val="12"/>
      </w:numPr>
    </w:pPr>
    <w:rPr>
      <w:rFonts w:ascii="Times New Roman" w:hAnsi="Times New Roman" w:cs="Times New Roman"/>
      <w:bCs w:val="0"/>
      <w:sz w:val="24"/>
    </w:rPr>
  </w:style>
  <w:style w:type="character" w:styleId="CommentReference">
    <w:name w:val="annotation reference"/>
    <w:basedOn w:val="DefaultParagraphFont"/>
    <w:uiPriority w:val="99"/>
    <w:semiHidden/>
    <w:unhideWhenUsed/>
    <w:rsid w:val="00947A4F"/>
    <w:rPr>
      <w:sz w:val="16"/>
      <w:szCs w:val="16"/>
    </w:rPr>
  </w:style>
  <w:style w:type="paragraph" w:styleId="CommentText">
    <w:name w:val="annotation text"/>
    <w:basedOn w:val="Normal"/>
    <w:link w:val="CommentTextChar"/>
    <w:uiPriority w:val="99"/>
    <w:semiHidden/>
    <w:unhideWhenUsed/>
    <w:rsid w:val="00947A4F"/>
    <w:rPr>
      <w:rFonts w:ascii="Arial" w:hAnsi="Arial" w:cs="Arial"/>
      <w:sz w:val="20"/>
      <w:szCs w:val="20"/>
    </w:rPr>
  </w:style>
  <w:style w:type="character" w:customStyle="1" w:styleId="CommentTextChar">
    <w:name w:val="Comment Text Char"/>
    <w:basedOn w:val="DefaultParagraphFont"/>
    <w:link w:val="CommentText"/>
    <w:uiPriority w:val="99"/>
    <w:semiHidden/>
    <w:rsid w:val="00947A4F"/>
    <w:rPr>
      <w:rFonts w:ascii="Arial" w:hAnsi="Arial"/>
      <w:sz w:val="20"/>
      <w:szCs w:val="20"/>
    </w:rPr>
  </w:style>
  <w:style w:type="paragraph" w:styleId="CommentSubject">
    <w:name w:val="annotation subject"/>
    <w:basedOn w:val="CommentText"/>
    <w:next w:val="CommentText"/>
    <w:link w:val="CommentSubjectChar"/>
    <w:semiHidden/>
    <w:unhideWhenUsed/>
    <w:rsid w:val="00947A4F"/>
    <w:rPr>
      <w:b/>
      <w:bCs/>
    </w:rPr>
  </w:style>
  <w:style w:type="character" w:customStyle="1" w:styleId="CommentSubjectChar">
    <w:name w:val="Comment Subject Char"/>
    <w:basedOn w:val="CommentTextChar"/>
    <w:link w:val="CommentSubject"/>
    <w:semiHidden/>
    <w:rsid w:val="00947A4F"/>
    <w:rPr>
      <w:rFonts w:ascii="Arial" w:hAnsi="Arial"/>
      <w:b/>
      <w:bCs/>
      <w:sz w:val="20"/>
      <w:szCs w:val="20"/>
    </w:rPr>
  </w:style>
  <w:style w:type="character" w:customStyle="1" w:styleId="UnresolvedMention1">
    <w:name w:val="Unresolved Mention1"/>
    <w:basedOn w:val="DefaultParagraphFont"/>
    <w:uiPriority w:val="99"/>
    <w:semiHidden/>
    <w:unhideWhenUsed/>
    <w:rsid w:val="00473AD2"/>
    <w:rPr>
      <w:color w:val="605E5C"/>
      <w:shd w:val="clear" w:color="auto" w:fill="E1DFDD"/>
    </w:rPr>
  </w:style>
  <w:style w:type="paragraph" w:styleId="NormalWeb">
    <w:name w:val="Normal (Web)"/>
    <w:basedOn w:val="Normal"/>
    <w:uiPriority w:val="99"/>
    <w:unhideWhenUsed/>
    <w:rsid w:val="00DE67EB"/>
    <w:pPr>
      <w:spacing w:before="100" w:beforeAutospacing="1" w:after="100" w:afterAutospacing="1"/>
    </w:pPr>
  </w:style>
  <w:style w:type="table" w:styleId="PlainTable2">
    <w:name w:val="Plain Table 2"/>
    <w:basedOn w:val="TableNormal"/>
    <w:uiPriority w:val="42"/>
    <w:rsid w:val="00EE18B0"/>
    <w:rPr>
      <w:rFonts w:cs="Times New Roman"/>
      <w:sz w:val="20"/>
      <w:szCs w:val="20"/>
      <w:lang w:eastAsia="zh-CN"/>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apple-tab-span">
    <w:name w:val="apple-tab-span"/>
    <w:basedOn w:val="DefaultParagraphFont"/>
    <w:rsid w:val="00E15334"/>
  </w:style>
  <w:style w:type="character" w:styleId="LineNumber">
    <w:name w:val="line number"/>
    <w:basedOn w:val="DefaultParagraphFont"/>
    <w:semiHidden/>
    <w:unhideWhenUsed/>
    <w:rsid w:val="00B75792"/>
  </w:style>
  <w:style w:type="paragraph" w:styleId="BalloonText">
    <w:name w:val="Balloon Text"/>
    <w:basedOn w:val="Normal"/>
    <w:link w:val="BalloonTextChar"/>
    <w:semiHidden/>
    <w:unhideWhenUsed/>
    <w:rsid w:val="00EB0008"/>
    <w:rPr>
      <w:rFonts w:ascii="Segoe UI" w:hAnsi="Segoe UI" w:cs="Segoe UI"/>
      <w:sz w:val="18"/>
      <w:szCs w:val="18"/>
    </w:rPr>
  </w:style>
  <w:style w:type="character" w:customStyle="1" w:styleId="BalloonTextChar">
    <w:name w:val="Balloon Text Char"/>
    <w:basedOn w:val="DefaultParagraphFont"/>
    <w:link w:val="BalloonText"/>
    <w:semiHidden/>
    <w:rsid w:val="00EB0008"/>
    <w:rPr>
      <w:rFonts w:ascii="Segoe UI" w:hAnsi="Segoe UI" w:cs="Segoe UI"/>
      <w:sz w:val="18"/>
      <w:szCs w:val="18"/>
    </w:rPr>
  </w:style>
  <w:style w:type="paragraph" w:styleId="FootnoteText">
    <w:name w:val="footnote text"/>
    <w:basedOn w:val="Normal"/>
    <w:link w:val="FootnoteTextChar"/>
    <w:semiHidden/>
    <w:unhideWhenUsed/>
    <w:rsid w:val="00897F7D"/>
    <w:rPr>
      <w:sz w:val="20"/>
      <w:szCs w:val="20"/>
    </w:rPr>
  </w:style>
  <w:style w:type="character" w:customStyle="1" w:styleId="FootnoteTextChar">
    <w:name w:val="Footnote Text Char"/>
    <w:basedOn w:val="DefaultParagraphFont"/>
    <w:link w:val="FootnoteText"/>
    <w:semiHidden/>
    <w:rsid w:val="00897F7D"/>
    <w:rPr>
      <w:rFonts w:cs="Times New Roman"/>
      <w:sz w:val="20"/>
      <w:szCs w:val="20"/>
    </w:rPr>
  </w:style>
  <w:style w:type="character" w:styleId="FootnoteReference">
    <w:name w:val="footnote reference"/>
    <w:basedOn w:val="DefaultParagraphFont"/>
    <w:semiHidden/>
    <w:unhideWhenUsed/>
    <w:rsid w:val="00897F7D"/>
    <w:rPr>
      <w:vertAlign w:val="superscript"/>
    </w:rPr>
  </w:style>
  <w:style w:type="paragraph" w:styleId="Revision">
    <w:name w:val="Revision"/>
    <w:hidden/>
    <w:uiPriority w:val="99"/>
    <w:semiHidden/>
    <w:rsid w:val="00945144"/>
    <w:rPr>
      <w:rFonts w:cs="Times New Roman"/>
    </w:rPr>
  </w:style>
  <w:style w:type="character" w:styleId="UnresolvedMention">
    <w:name w:val="Unresolved Mention"/>
    <w:basedOn w:val="DefaultParagraphFont"/>
    <w:uiPriority w:val="99"/>
    <w:semiHidden/>
    <w:unhideWhenUsed/>
    <w:rsid w:val="00AF600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923295">
      <w:bodyDiv w:val="1"/>
      <w:marLeft w:val="0"/>
      <w:marRight w:val="0"/>
      <w:marTop w:val="0"/>
      <w:marBottom w:val="0"/>
      <w:divBdr>
        <w:top w:val="none" w:sz="0" w:space="0" w:color="auto"/>
        <w:left w:val="none" w:sz="0" w:space="0" w:color="auto"/>
        <w:bottom w:val="none" w:sz="0" w:space="0" w:color="auto"/>
        <w:right w:val="none" w:sz="0" w:space="0" w:color="auto"/>
      </w:divBdr>
    </w:div>
    <w:div w:id="342896471">
      <w:bodyDiv w:val="1"/>
      <w:marLeft w:val="0"/>
      <w:marRight w:val="0"/>
      <w:marTop w:val="0"/>
      <w:marBottom w:val="0"/>
      <w:divBdr>
        <w:top w:val="none" w:sz="0" w:space="0" w:color="auto"/>
        <w:left w:val="none" w:sz="0" w:space="0" w:color="auto"/>
        <w:bottom w:val="none" w:sz="0" w:space="0" w:color="auto"/>
        <w:right w:val="none" w:sz="0" w:space="0" w:color="auto"/>
      </w:divBdr>
    </w:div>
    <w:div w:id="640498967">
      <w:bodyDiv w:val="1"/>
      <w:marLeft w:val="0"/>
      <w:marRight w:val="0"/>
      <w:marTop w:val="0"/>
      <w:marBottom w:val="0"/>
      <w:divBdr>
        <w:top w:val="none" w:sz="0" w:space="0" w:color="auto"/>
        <w:left w:val="none" w:sz="0" w:space="0" w:color="auto"/>
        <w:bottom w:val="none" w:sz="0" w:space="0" w:color="auto"/>
        <w:right w:val="none" w:sz="0" w:space="0" w:color="auto"/>
      </w:divBdr>
    </w:div>
    <w:div w:id="877856786">
      <w:bodyDiv w:val="1"/>
      <w:marLeft w:val="0"/>
      <w:marRight w:val="0"/>
      <w:marTop w:val="0"/>
      <w:marBottom w:val="0"/>
      <w:divBdr>
        <w:top w:val="none" w:sz="0" w:space="0" w:color="auto"/>
        <w:left w:val="none" w:sz="0" w:space="0" w:color="auto"/>
        <w:bottom w:val="none" w:sz="0" w:space="0" w:color="auto"/>
        <w:right w:val="none" w:sz="0" w:space="0" w:color="auto"/>
      </w:divBdr>
    </w:div>
    <w:div w:id="884755356">
      <w:bodyDiv w:val="1"/>
      <w:marLeft w:val="0"/>
      <w:marRight w:val="0"/>
      <w:marTop w:val="0"/>
      <w:marBottom w:val="0"/>
      <w:divBdr>
        <w:top w:val="none" w:sz="0" w:space="0" w:color="auto"/>
        <w:left w:val="none" w:sz="0" w:space="0" w:color="auto"/>
        <w:bottom w:val="none" w:sz="0" w:space="0" w:color="auto"/>
        <w:right w:val="none" w:sz="0" w:space="0" w:color="auto"/>
      </w:divBdr>
    </w:div>
    <w:div w:id="924147212">
      <w:bodyDiv w:val="1"/>
      <w:marLeft w:val="0"/>
      <w:marRight w:val="0"/>
      <w:marTop w:val="0"/>
      <w:marBottom w:val="0"/>
      <w:divBdr>
        <w:top w:val="none" w:sz="0" w:space="0" w:color="auto"/>
        <w:left w:val="none" w:sz="0" w:space="0" w:color="auto"/>
        <w:bottom w:val="none" w:sz="0" w:space="0" w:color="auto"/>
        <w:right w:val="none" w:sz="0" w:space="0" w:color="auto"/>
      </w:divBdr>
    </w:div>
    <w:div w:id="1053500652">
      <w:bodyDiv w:val="1"/>
      <w:marLeft w:val="0"/>
      <w:marRight w:val="0"/>
      <w:marTop w:val="0"/>
      <w:marBottom w:val="0"/>
      <w:divBdr>
        <w:top w:val="none" w:sz="0" w:space="0" w:color="auto"/>
        <w:left w:val="none" w:sz="0" w:space="0" w:color="auto"/>
        <w:bottom w:val="none" w:sz="0" w:space="0" w:color="auto"/>
        <w:right w:val="none" w:sz="0" w:space="0" w:color="auto"/>
      </w:divBdr>
    </w:div>
    <w:div w:id="1070075855">
      <w:bodyDiv w:val="1"/>
      <w:marLeft w:val="0"/>
      <w:marRight w:val="0"/>
      <w:marTop w:val="0"/>
      <w:marBottom w:val="0"/>
      <w:divBdr>
        <w:top w:val="none" w:sz="0" w:space="0" w:color="auto"/>
        <w:left w:val="none" w:sz="0" w:space="0" w:color="auto"/>
        <w:bottom w:val="none" w:sz="0" w:space="0" w:color="auto"/>
        <w:right w:val="none" w:sz="0" w:space="0" w:color="auto"/>
      </w:divBdr>
    </w:div>
    <w:div w:id="1095244599">
      <w:bodyDiv w:val="1"/>
      <w:marLeft w:val="0"/>
      <w:marRight w:val="0"/>
      <w:marTop w:val="0"/>
      <w:marBottom w:val="0"/>
      <w:divBdr>
        <w:top w:val="none" w:sz="0" w:space="0" w:color="auto"/>
        <w:left w:val="none" w:sz="0" w:space="0" w:color="auto"/>
        <w:bottom w:val="none" w:sz="0" w:space="0" w:color="auto"/>
        <w:right w:val="none" w:sz="0" w:space="0" w:color="auto"/>
      </w:divBdr>
    </w:div>
    <w:div w:id="1122384894">
      <w:bodyDiv w:val="1"/>
      <w:marLeft w:val="0"/>
      <w:marRight w:val="0"/>
      <w:marTop w:val="0"/>
      <w:marBottom w:val="0"/>
      <w:divBdr>
        <w:top w:val="none" w:sz="0" w:space="0" w:color="auto"/>
        <w:left w:val="none" w:sz="0" w:space="0" w:color="auto"/>
        <w:bottom w:val="none" w:sz="0" w:space="0" w:color="auto"/>
        <w:right w:val="none" w:sz="0" w:space="0" w:color="auto"/>
      </w:divBdr>
    </w:div>
    <w:div w:id="1157913139">
      <w:bodyDiv w:val="1"/>
      <w:marLeft w:val="0"/>
      <w:marRight w:val="0"/>
      <w:marTop w:val="0"/>
      <w:marBottom w:val="0"/>
      <w:divBdr>
        <w:top w:val="none" w:sz="0" w:space="0" w:color="auto"/>
        <w:left w:val="none" w:sz="0" w:space="0" w:color="auto"/>
        <w:bottom w:val="none" w:sz="0" w:space="0" w:color="auto"/>
        <w:right w:val="none" w:sz="0" w:space="0" w:color="auto"/>
      </w:divBdr>
    </w:div>
    <w:div w:id="1262449664">
      <w:bodyDiv w:val="1"/>
      <w:marLeft w:val="0"/>
      <w:marRight w:val="0"/>
      <w:marTop w:val="0"/>
      <w:marBottom w:val="0"/>
      <w:divBdr>
        <w:top w:val="none" w:sz="0" w:space="0" w:color="auto"/>
        <w:left w:val="none" w:sz="0" w:space="0" w:color="auto"/>
        <w:bottom w:val="none" w:sz="0" w:space="0" w:color="auto"/>
        <w:right w:val="none" w:sz="0" w:space="0" w:color="auto"/>
      </w:divBdr>
    </w:div>
    <w:div w:id="1265963693">
      <w:bodyDiv w:val="1"/>
      <w:marLeft w:val="0"/>
      <w:marRight w:val="0"/>
      <w:marTop w:val="0"/>
      <w:marBottom w:val="0"/>
      <w:divBdr>
        <w:top w:val="none" w:sz="0" w:space="0" w:color="auto"/>
        <w:left w:val="none" w:sz="0" w:space="0" w:color="auto"/>
        <w:bottom w:val="none" w:sz="0" w:space="0" w:color="auto"/>
        <w:right w:val="none" w:sz="0" w:space="0" w:color="auto"/>
      </w:divBdr>
    </w:div>
    <w:div w:id="1498306173">
      <w:bodyDiv w:val="1"/>
      <w:marLeft w:val="0"/>
      <w:marRight w:val="0"/>
      <w:marTop w:val="0"/>
      <w:marBottom w:val="0"/>
      <w:divBdr>
        <w:top w:val="none" w:sz="0" w:space="0" w:color="auto"/>
        <w:left w:val="none" w:sz="0" w:space="0" w:color="auto"/>
        <w:bottom w:val="none" w:sz="0" w:space="0" w:color="auto"/>
        <w:right w:val="none" w:sz="0" w:space="0" w:color="auto"/>
      </w:divBdr>
    </w:div>
    <w:div w:id="1541042516">
      <w:bodyDiv w:val="1"/>
      <w:marLeft w:val="0"/>
      <w:marRight w:val="0"/>
      <w:marTop w:val="0"/>
      <w:marBottom w:val="0"/>
      <w:divBdr>
        <w:top w:val="none" w:sz="0" w:space="0" w:color="auto"/>
        <w:left w:val="none" w:sz="0" w:space="0" w:color="auto"/>
        <w:bottom w:val="none" w:sz="0" w:space="0" w:color="auto"/>
        <w:right w:val="none" w:sz="0" w:space="0" w:color="auto"/>
      </w:divBdr>
    </w:div>
    <w:div w:id="1935817822">
      <w:bodyDiv w:val="1"/>
      <w:marLeft w:val="0"/>
      <w:marRight w:val="0"/>
      <w:marTop w:val="0"/>
      <w:marBottom w:val="0"/>
      <w:divBdr>
        <w:top w:val="none" w:sz="0" w:space="0" w:color="auto"/>
        <w:left w:val="none" w:sz="0" w:space="0" w:color="auto"/>
        <w:bottom w:val="none" w:sz="0" w:space="0" w:color="auto"/>
        <w:right w:val="none" w:sz="0" w:space="0" w:color="auto"/>
      </w:divBdr>
    </w:div>
    <w:div w:id="2065982638">
      <w:bodyDiv w:val="1"/>
      <w:marLeft w:val="0"/>
      <w:marRight w:val="0"/>
      <w:marTop w:val="0"/>
      <w:marBottom w:val="0"/>
      <w:divBdr>
        <w:top w:val="none" w:sz="0" w:space="0" w:color="auto"/>
        <w:left w:val="none" w:sz="0" w:space="0" w:color="auto"/>
        <w:bottom w:val="none" w:sz="0" w:space="0" w:color="auto"/>
        <w:right w:val="none" w:sz="0" w:space="0" w:color="auto"/>
      </w:divBdr>
    </w:div>
    <w:div w:id="2097356135">
      <w:bodyDiv w:val="1"/>
      <w:marLeft w:val="0"/>
      <w:marRight w:val="0"/>
      <w:marTop w:val="0"/>
      <w:marBottom w:val="0"/>
      <w:divBdr>
        <w:top w:val="none" w:sz="0" w:space="0" w:color="auto"/>
        <w:left w:val="none" w:sz="0" w:space="0" w:color="auto"/>
        <w:bottom w:val="none" w:sz="0" w:space="0" w:color="auto"/>
        <w:right w:val="none" w:sz="0" w:space="0" w:color="auto"/>
      </w:divBdr>
    </w:div>
    <w:div w:id="21367485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psycnet.apa.org/doi/10.1007/BF01172967" TargetMode="External"/><Relationship Id="rId1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oi.org/10.1177/0022429418765447" TargetMode="External"/><Relationship Id="rId17" Type="http://schemas.openxmlformats.org/officeDocument/2006/relationships/hyperlink" Target="https://doi.org/10.1016/j.ijchp.2017.09.002" TargetMode="External"/><Relationship Id="rId2" Type="http://schemas.openxmlformats.org/officeDocument/2006/relationships/numbering" Target="numbering.xml"/><Relationship Id="rId16" Type="http://schemas.openxmlformats.org/officeDocument/2006/relationships/hyperlink" Target="https://doi.org/10.1177/002743210809400309"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1176/appi.books.9780890425596.dsm05" TargetMode="External"/><Relationship Id="rId5" Type="http://schemas.openxmlformats.org/officeDocument/2006/relationships/webSettings" Target="webSettings.xml"/><Relationship Id="rId15" Type="http://schemas.openxmlformats.org/officeDocument/2006/relationships/hyperlink" Target="https://doi.org/10.1177/0305735689171002" TargetMode="Externa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doi.org/10.3389/fpsyg.2017.00986"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herm10\Documents\etd-word-template-1%20(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955A1F-2D5A-4E4C-86A0-969FBFE21F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C:\Users\asherm10\Documents\etd-word-template-1 (1).dotx</Template>
  <TotalTime>172</TotalTime>
  <Pages>56</Pages>
  <Words>12715</Words>
  <Characters>72482</Characters>
  <Application>Microsoft Office Word</Application>
  <DocSecurity>0</DocSecurity>
  <Lines>604</Lines>
  <Paragraphs>170</Paragraphs>
  <ScaleCrop>false</ScaleCrop>
  <HeadingPairs>
    <vt:vector size="2" baseType="variant">
      <vt:variant>
        <vt:lpstr>Title</vt:lpstr>
      </vt:variant>
      <vt:variant>
        <vt:i4>1</vt:i4>
      </vt:variant>
    </vt:vector>
  </HeadingPairs>
  <TitlesOfParts>
    <vt:vector size="1" baseType="lpstr">
      <vt:lpstr>Guide to the Preparation of</vt:lpstr>
    </vt:vector>
  </TitlesOfParts>
  <Company>University of Tennessee</Company>
  <LinksUpToDate>false</LinksUpToDate>
  <CharactersWithSpaces>85027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Guide to the Preparation of</dc:title>
  <dc:creator>Sherman, Abby L</dc:creator>
  <cp:lastModifiedBy>Viator, Tracy Lianne</cp:lastModifiedBy>
  <cp:revision>14</cp:revision>
  <cp:lastPrinted>2005-09-22T13:02:00Z</cp:lastPrinted>
  <dcterms:created xsi:type="dcterms:W3CDTF">2022-10-06T17:08:00Z</dcterms:created>
  <dcterms:modified xsi:type="dcterms:W3CDTF">2022-10-17T16:42:00Z</dcterms:modified>
</cp:coreProperties>
</file>